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D4EDD" w14:textId="77777777" w:rsidR="00312754" w:rsidRDefault="00D15DB4" w:rsidP="0078079A">
      <w:pPr>
        <w:spacing w:line="480" w:lineRule="auto"/>
        <w:jc w:val="center"/>
        <w:rPr>
          <w:b/>
          <w:sz w:val="32"/>
        </w:rPr>
      </w:pPr>
      <w:r w:rsidRPr="004478AA">
        <w:rPr>
          <w:b/>
          <w:sz w:val="32"/>
        </w:rPr>
        <w:t xml:space="preserve">Confirming Resistance to Prodiamine and </w:t>
      </w:r>
    </w:p>
    <w:p w14:paraId="1F89E7EB" w14:textId="73E0F7BD" w:rsidR="00312754" w:rsidRDefault="00D15DB4" w:rsidP="0078079A">
      <w:pPr>
        <w:spacing w:line="480" w:lineRule="auto"/>
        <w:jc w:val="center"/>
        <w:rPr>
          <w:b/>
          <w:sz w:val="32"/>
        </w:rPr>
      </w:pPr>
      <w:r w:rsidRPr="004478AA">
        <w:rPr>
          <w:b/>
          <w:sz w:val="32"/>
        </w:rPr>
        <w:t>Glyphosate in</w:t>
      </w:r>
      <w:r w:rsidR="00312754">
        <w:rPr>
          <w:b/>
          <w:sz w:val="32"/>
        </w:rPr>
        <w:t xml:space="preserve"> </w:t>
      </w:r>
      <w:r w:rsidRPr="004478AA">
        <w:rPr>
          <w:b/>
          <w:sz w:val="32"/>
        </w:rPr>
        <w:t>a Single</w:t>
      </w:r>
      <w:r w:rsidR="00312754">
        <w:rPr>
          <w:b/>
          <w:sz w:val="32"/>
        </w:rPr>
        <w:t xml:space="preserve"> </w:t>
      </w:r>
      <w:r w:rsidRPr="004478AA">
        <w:rPr>
          <w:b/>
          <w:sz w:val="32"/>
        </w:rPr>
        <w:t xml:space="preserve">Annual Bluegrass </w:t>
      </w:r>
    </w:p>
    <w:p w14:paraId="40CD0CC8" w14:textId="63EB7144" w:rsidR="003D07F7" w:rsidRPr="0078079A" w:rsidRDefault="00D15DB4" w:rsidP="0078079A">
      <w:pPr>
        <w:spacing w:line="480" w:lineRule="auto"/>
        <w:jc w:val="center"/>
        <w:rPr>
          <w:b/>
          <w:sz w:val="32"/>
        </w:rPr>
      </w:pPr>
      <w:r w:rsidRPr="004478AA">
        <w:rPr>
          <w:b/>
          <w:sz w:val="32"/>
        </w:rPr>
        <w:t>(</w:t>
      </w:r>
      <w:r w:rsidRPr="00AF40F3">
        <w:rPr>
          <w:b/>
          <w:i/>
          <w:sz w:val="32"/>
        </w:rPr>
        <w:t>Poa annua</w:t>
      </w:r>
      <w:r w:rsidRPr="004478AA">
        <w:rPr>
          <w:b/>
          <w:sz w:val="32"/>
        </w:rPr>
        <w:t xml:space="preserve"> L.)</w:t>
      </w:r>
      <w:r w:rsidR="00312754">
        <w:rPr>
          <w:b/>
          <w:sz w:val="32"/>
        </w:rPr>
        <w:t xml:space="preserve"> </w:t>
      </w:r>
      <w:r w:rsidRPr="004478AA">
        <w:rPr>
          <w:b/>
          <w:sz w:val="32"/>
        </w:rPr>
        <w:t>Biotype from</w:t>
      </w:r>
      <w:r w:rsidR="00312754">
        <w:rPr>
          <w:b/>
          <w:sz w:val="32"/>
        </w:rPr>
        <w:t xml:space="preserve"> </w:t>
      </w:r>
      <w:r w:rsidRPr="004478AA">
        <w:rPr>
          <w:b/>
          <w:sz w:val="32"/>
        </w:rPr>
        <w:t>Tennessee</w:t>
      </w:r>
    </w:p>
    <w:p w14:paraId="157025E2" w14:textId="77777777" w:rsidR="00236E6D" w:rsidRDefault="00236E6D">
      <w:pPr>
        <w:jc w:val="center"/>
        <w:rPr>
          <w:sz w:val="36"/>
          <w:szCs w:val="36"/>
        </w:rPr>
      </w:pPr>
    </w:p>
    <w:p w14:paraId="0A69FEAF" w14:textId="77777777" w:rsidR="00236E6D" w:rsidRDefault="00236E6D">
      <w:pPr>
        <w:jc w:val="center"/>
        <w:rPr>
          <w:sz w:val="36"/>
          <w:szCs w:val="36"/>
        </w:rPr>
      </w:pPr>
    </w:p>
    <w:p w14:paraId="1F5C402A" w14:textId="77777777" w:rsidR="00236E6D" w:rsidRDefault="00236E6D">
      <w:pPr>
        <w:jc w:val="center"/>
        <w:rPr>
          <w:sz w:val="36"/>
          <w:szCs w:val="36"/>
        </w:rPr>
      </w:pPr>
    </w:p>
    <w:p w14:paraId="311654C4" w14:textId="77777777" w:rsidR="00236E6D" w:rsidRDefault="00236E6D">
      <w:pPr>
        <w:jc w:val="center"/>
        <w:rPr>
          <w:sz w:val="36"/>
          <w:szCs w:val="36"/>
        </w:rPr>
      </w:pPr>
    </w:p>
    <w:p w14:paraId="40BE9DF2" w14:textId="77777777" w:rsidR="00236E6D" w:rsidRDefault="00236E6D">
      <w:pPr>
        <w:jc w:val="center"/>
        <w:rPr>
          <w:sz w:val="36"/>
          <w:szCs w:val="36"/>
        </w:rPr>
      </w:pPr>
    </w:p>
    <w:p w14:paraId="6BBE3656" w14:textId="77777777" w:rsidR="00236E6D" w:rsidRDefault="00236E6D">
      <w:pPr>
        <w:jc w:val="center"/>
        <w:rPr>
          <w:sz w:val="36"/>
          <w:szCs w:val="36"/>
        </w:rPr>
      </w:pPr>
    </w:p>
    <w:p w14:paraId="7B3770E2" w14:textId="77777777" w:rsidR="00236E6D" w:rsidRDefault="00236E6D">
      <w:pPr>
        <w:jc w:val="center"/>
        <w:rPr>
          <w:sz w:val="36"/>
          <w:szCs w:val="36"/>
        </w:rPr>
      </w:pPr>
    </w:p>
    <w:p w14:paraId="18F280D2" w14:textId="77777777" w:rsidR="00236E6D" w:rsidRDefault="00236E6D">
      <w:pPr>
        <w:jc w:val="center"/>
        <w:rPr>
          <w:sz w:val="36"/>
          <w:szCs w:val="36"/>
        </w:rPr>
      </w:pPr>
    </w:p>
    <w:p w14:paraId="2A44AF5D" w14:textId="77777777" w:rsidR="00236E6D" w:rsidRDefault="00236E6D">
      <w:pPr>
        <w:jc w:val="center"/>
        <w:rPr>
          <w:sz w:val="36"/>
          <w:szCs w:val="36"/>
        </w:rPr>
      </w:pPr>
    </w:p>
    <w:p w14:paraId="280849AB" w14:textId="77777777" w:rsidR="00236E6D" w:rsidRDefault="009C755C">
      <w:pPr>
        <w:jc w:val="center"/>
        <w:rPr>
          <w:sz w:val="36"/>
          <w:szCs w:val="36"/>
        </w:rPr>
      </w:pPr>
      <w:r>
        <w:rPr>
          <w:sz w:val="36"/>
          <w:szCs w:val="36"/>
        </w:rPr>
        <w:t>A Thesis Presented for</w:t>
      </w:r>
      <w:r w:rsidR="008865B6">
        <w:rPr>
          <w:sz w:val="36"/>
          <w:szCs w:val="36"/>
        </w:rPr>
        <w:t xml:space="preserve"> the</w:t>
      </w:r>
    </w:p>
    <w:p w14:paraId="60FEF884" w14:textId="77777777" w:rsidR="009C755C" w:rsidRDefault="009C755C">
      <w:pPr>
        <w:jc w:val="center"/>
        <w:rPr>
          <w:sz w:val="36"/>
          <w:szCs w:val="36"/>
        </w:rPr>
      </w:pPr>
      <w:r>
        <w:rPr>
          <w:sz w:val="36"/>
          <w:szCs w:val="36"/>
        </w:rPr>
        <w:t>Master of Science</w:t>
      </w:r>
    </w:p>
    <w:p w14:paraId="3090C02A" w14:textId="77777777" w:rsidR="009C755C" w:rsidRDefault="009C755C">
      <w:pPr>
        <w:jc w:val="center"/>
        <w:rPr>
          <w:sz w:val="36"/>
          <w:szCs w:val="36"/>
        </w:rPr>
      </w:pPr>
      <w:r>
        <w:rPr>
          <w:sz w:val="36"/>
          <w:szCs w:val="36"/>
        </w:rPr>
        <w:t>Degree</w:t>
      </w:r>
    </w:p>
    <w:p w14:paraId="3C28C76D" w14:textId="77777777" w:rsidR="009C755C" w:rsidRDefault="009C755C">
      <w:pPr>
        <w:jc w:val="center"/>
        <w:rPr>
          <w:sz w:val="36"/>
          <w:szCs w:val="36"/>
        </w:rPr>
      </w:pPr>
      <w:r>
        <w:rPr>
          <w:sz w:val="36"/>
          <w:szCs w:val="36"/>
        </w:rPr>
        <w:t>The University of Tennessee, Knoxville</w:t>
      </w:r>
    </w:p>
    <w:p w14:paraId="037774F9" w14:textId="77777777" w:rsidR="00236E6D" w:rsidRDefault="00236E6D">
      <w:pPr>
        <w:jc w:val="center"/>
        <w:rPr>
          <w:sz w:val="36"/>
          <w:szCs w:val="36"/>
        </w:rPr>
      </w:pPr>
    </w:p>
    <w:p w14:paraId="18CF15CE" w14:textId="77777777" w:rsidR="00236E6D" w:rsidRDefault="00236E6D">
      <w:pPr>
        <w:jc w:val="center"/>
        <w:rPr>
          <w:sz w:val="36"/>
          <w:szCs w:val="36"/>
        </w:rPr>
      </w:pPr>
    </w:p>
    <w:p w14:paraId="5B842CCB" w14:textId="77777777" w:rsidR="00236E6D" w:rsidRDefault="00236E6D">
      <w:pPr>
        <w:jc w:val="center"/>
        <w:rPr>
          <w:sz w:val="36"/>
          <w:szCs w:val="36"/>
        </w:rPr>
      </w:pPr>
    </w:p>
    <w:p w14:paraId="78B740FC" w14:textId="77777777" w:rsidR="00236E6D" w:rsidRDefault="00236E6D">
      <w:pPr>
        <w:jc w:val="center"/>
        <w:rPr>
          <w:sz w:val="36"/>
          <w:szCs w:val="36"/>
        </w:rPr>
      </w:pPr>
    </w:p>
    <w:p w14:paraId="2944EA33" w14:textId="77777777" w:rsidR="00236E6D" w:rsidRDefault="00236E6D">
      <w:pPr>
        <w:jc w:val="center"/>
        <w:rPr>
          <w:sz w:val="36"/>
          <w:szCs w:val="36"/>
        </w:rPr>
      </w:pPr>
    </w:p>
    <w:p w14:paraId="53D97AAC" w14:textId="77777777" w:rsidR="00236E6D" w:rsidRDefault="00236E6D">
      <w:pPr>
        <w:jc w:val="center"/>
        <w:rPr>
          <w:sz w:val="36"/>
          <w:szCs w:val="36"/>
        </w:rPr>
      </w:pPr>
    </w:p>
    <w:p w14:paraId="5943F1A6" w14:textId="77777777" w:rsidR="00236E6D" w:rsidRDefault="00236E6D">
      <w:pPr>
        <w:jc w:val="center"/>
        <w:rPr>
          <w:sz w:val="36"/>
          <w:szCs w:val="36"/>
        </w:rPr>
      </w:pPr>
    </w:p>
    <w:p w14:paraId="1E9A4CFE" w14:textId="77777777" w:rsidR="00236E6D" w:rsidRDefault="00236E6D">
      <w:pPr>
        <w:jc w:val="center"/>
        <w:rPr>
          <w:sz w:val="36"/>
          <w:szCs w:val="36"/>
        </w:rPr>
      </w:pPr>
    </w:p>
    <w:p w14:paraId="20885E07" w14:textId="77777777" w:rsidR="00236E6D" w:rsidRDefault="00236E6D">
      <w:pPr>
        <w:jc w:val="center"/>
        <w:rPr>
          <w:sz w:val="36"/>
          <w:szCs w:val="36"/>
        </w:rPr>
      </w:pPr>
    </w:p>
    <w:p w14:paraId="2A8BFD66" w14:textId="77777777" w:rsidR="00D15DB4" w:rsidRPr="00D15DB4" w:rsidRDefault="00D15DB4" w:rsidP="00D15DB4">
      <w:pPr>
        <w:jc w:val="center"/>
        <w:rPr>
          <w:sz w:val="36"/>
          <w:szCs w:val="36"/>
        </w:rPr>
      </w:pPr>
      <w:r w:rsidRPr="00D15DB4">
        <w:rPr>
          <w:sz w:val="36"/>
          <w:szCs w:val="36"/>
        </w:rPr>
        <w:t>Shane Matthew Breeden</w:t>
      </w:r>
    </w:p>
    <w:p w14:paraId="5784F723" w14:textId="539C3F30" w:rsidR="00D15DB4" w:rsidRDefault="00354069" w:rsidP="00D15DB4">
      <w:pPr>
        <w:jc w:val="center"/>
        <w:rPr>
          <w:sz w:val="36"/>
          <w:szCs w:val="36"/>
        </w:rPr>
      </w:pPr>
      <w:r>
        <w:rPr>
          <w:sz w:val="36"/>
          <w:szCs w:val="36"/>
        </w:rPr>
        <w:t>December</w:t>
      </w:r>
      <w:r w:rsidRPr="00D15DB4">
        <w:rPr>
          <w:sz w:val="36"/>
          <w:szCs w:val="36"/>
        </w:rPr>
        <w:t xml:space="preserve"> </w:t>
      </w:r>
      <w:r w:rsidR="00D15DB4" w:rsidRPr="00D15DB4">
        <w:rPr>
          <w:sz w:val="36"/>
          <w:szCs w:val="36"/>
        </w:rPr>
        <w:t>201</w:t>
      </w:r>
      <w:r w:rsidR="00D15DB4">
        <w:rPr>
          <w:sz w:val="36"/>
          <w:szCs w:val="36"/>
        </w:rPr>
        <w:t>5</w:t>
      </w:r>
    </w:p>
    <w:p w14:paraId="2309E5B0" w14:textId="77777777" w:rsidR="00236E6D" w:rsidRDefault="00236E6D">
      <w:pPr>
        <w:jc w:val="center"/>
        <w:rPr>
          <w:sz w:val="36"/>
          <w:szCs w:val="36"/>
        </w:rPr>
      </w:pPr>
    </w:p>
    <w:p w14:paraId="4DBD60F6" w14:textId="77777777" w:rsidR="00236E6D" w:rsidRDefault="00236E6D">
      <w:pPr>
        <w:jc w:val="center"/>
        <w:rPr>
          <w:sz w:val="36"/>
          <w:szCs w:val="36"/>
        </w:rPr>
      </w:pPr>
    </w:p>
    <w:p w14:paraId="753D96E7" w14:textId="77777777" w:rsidR="00236E6D" w:rsidRDefault="00236E6D">
      <w:pPr>
        <w:jc w:val="center"/>
        <w:rPr>
          <w:sz w:val="36"/>
          <w:szCs w:val="36"/>
        </w:rPr>
      </w:pPr>
    </w:p>
    <w:p w14:paraId="56D31E71" w14:textId="77777777" w:rsidR="00236E6D" w:rsidRDefault="00236E6D">
      <w:pPr>
        <w:jc w:val="center"/>
        <w:rPr>
          <w:sz w:val="36"/>
          <w:szCs w:val="36"/>
        </w:rPr>
      </w:pPr>
    </w:p>
    <w:p w14:paraId="7C43BF12" w14:textId="77777777" w:rsidR="00236E6D" w:rsidRDefault="00236E6D">
      <w:pPr>
        <w:jc w:val="center"/>
        <w:rPr>
          <w:sz w:val="36"/>
          <w:szCs w:val="36"/>
        </w:rPr>
      </w:pPr>
    </w:p>
    <w:p w14:paraId="4E061691" w14:textId="77777777" w:rsidR="00236E6D" w:rsidRDefault="00236E6D">
      <w:pPr>
        <w:jc w:val="center"/>
        <w:rPr>
          <w:sz w:val="36"/>
          <w:szCs w:val="36"/>
        </w:rPr>
      </w:pPr>
    </w:p>
    <w:p w14:paraId="5A9C8A6C" w14:textId="77777777" w:rsidR="00236E6D" w:rsidRDefault="00236E6D">
      <w:pPr>
        <w:jc w:val="center"/>
        <w:rPr>
          <w:sz w:val="36"/>
          <w:szCs w:val="36"/>
        </w:rPr>
      </w:pPr>
    </w:p>
    <w:p w14:paraId="42773198" w14:textId="77777777" w:rsidR="00236E6D" w:rsidRDefault="00236E6D">
      <w:pPr>
        <w:jc w:val="center"/>
        <w:rPr>
          <w:sz w:val="36"/>
          <w:szCs w:val="36"/>
        </w:rPr>
      </w:pPr>
    </w:p>
    <w:p w14:paraId="71B65E52" w14:textId="77777777" w:rsidR="00236E6D" w:rsidRDefault="00236E6D">
      <w:pPr>
        <w:jc w:val="center"/>
        <w:rPr>
          <w:sz w:val="36"/>
          <w:szCs w:val="36"/>
        </w:rPr>
      </w:pPr>
    </w:p>
    <w:p w14:paraId="7C4D6247" w14:textId="77777777" w:rsidR="00236E6D" w:rsidRDefault="00236E6D">
      <w:pPr>
        <w:jc w:val="center"/>
        <w:rPr>
          <w:sz w:val="36"/>
          <w:szCs w:val="36"/>
        </w:rPr>
      </w:pPr>
    </w:p>
    <w:p w14:paraId="3FC02C9D" w14:textId="77777777" w:rsidR="00236E6D" w:rsidRDefault="00236E6D">
      <w:pPr>
        <w:jc w:val="center"/>
        <w:rPr>
          <w:sz w:val="36"/>
          <w:szCs w:val="36"/>
        </w:rPr>
      </w:pPr>
    </w:p>
    <w:p w14:paraId="4A7C4F63" w14:textId="77777777" w:rsidR="00236E6D" w:rsidRDefault="00236E6D">
      <w:pPr>
        <w:jc w:val="center"/>
        <w:rPr>
          <w:sz w:val="36"/>
          <w:szCs w:val="36"/>
        </w:rPr>
      </w:pPr>
    </w:p>
    <w:p w14:paraId="1DFE6654" w14:textId="77777777" w:rsidR="00236E6D" w:rsidRDefault="00236E6D">
      <w:pPr>
        <w:jc w:val="center"/>
        <w:rPr>
          <w:sz w:val="36"/>
          <w:szCs w:val="36"/>
        </w:rPr>
      </w:pPr>
    </w:p>
    <w:p w14:paraId="43A8646E" w14:textId="77777777" w:rsidR="00236E6D" w:rsidRDefault="00236E6D">
      <w:pPr>
        <w:jc w:val="center"/>
        <w:rPr>
          <w:sz w:val="36"/>
          <w:szCs w:val="36"/>
        </w:rPr>
      </w:pPr>
    </w:p>
    <w:p w14:paraId="2E21A77B" w14:textId="6A9B0FFB" w:rsidR="00236E6D" w:rsidRDefault="003D07F7" w:rsidP="00D91C27">
      <w:pPr>
        <w:jc w:val="center"/>
      </w:pPr>
      <w:r>
        <w:t>Copyright © 20</w:t>
      </w:r>
      <w:r w:rsidR="00173751">
        <w:t>15</w:t>
      </w:r>
      <w:r w:rsidR="00236E6D">
        <w:t xml:space="preserve"> by </w:t>
      </w:r>
      <w:r w:rsidR="00BE0EA0">
        <w:t>Shane Breeden</w:t>
      </w:r>
    </w:p>
    <w:p w14:paraId="5C22D327" w14:textId="77777777" w:rsidR="00236E6D" w:rsidRDefault="00236E6D">
      <w:pPr>
        <w:jc w:val="center"/>
      </w:pPr>
      <w:r>
        <w:t>All rights reserved.</w:t>
      </w:r>
    </w:p>
    <w:p w14:paraId="3F0B6538" w14:textId="77777777" w:rsidR="00236E6D" w:rsidRDefault="00236E6D">
      <w:pPr>
        <w:jc w:val="center"/>
      </w:pPr>
    </w:p>
    <w:p w14:paraId="3336FE52" w14:textId="77777777" w:rsidR="00236E6D" w:rsidRDefault="00236E6D">
      <w:pPr>
        <w:jc w:val="center"/>
      </w:pPr>
    </w:p>
    <w:p w14:paraId="5FC7559F" w14:textId="77777777" w:rsidR="00236E6D" w:rsidRDefault="00236E6D">
      <w:pPr>
        <w:jc w:val="center"/>
      </w:pPr>
    </w:p>
    <w:p w14:paraId="7D2C99B0" w14:textId="77777777" w:rsidR="00236E6D" w:rsidRDefault="00236E6D">
      <w:pPr>
        <w:jc w:val="center"/>
      </w:pPr>
    </w:p>
    <w:p w14:paraId="3310E87A" w14:textId="77777777" w:rsidR="00236E6D" w:rsidRDefault="00236E6D">
      <w:pPr>
        <w:jc w:val="center"/>
      </w:pPr>
    </w:p>
    <w:p w14:paraId="2AB36DC2" w14:textId="77777777" w:rsidR="00236E6D" w:rsidRDefault="00236E6D">
      <w:pPr>
        <w:jc w:val="center"/>
      </w:pPr>
    </w:p>
    <w:p w14:paraId="4086725C" w14:textId="77777777" w:rsidR="00236E6D" w:rsidRDefault="00236E6D">
      <w:pPr>
        <w:jc w:val="center"/>
      </w:pPr>
    </w:p>
    <w:p w14:paraId="00DE06D2" w14:textId="77777777" w:rsidR="00236E6D" w:rsidRDefault="00236E6D">
      <w:pPr>
        <w:jc w:val="center"/>
      </w:pPr>
    </w:p>
    <w:p w14:paraId="60B86022" w14:textId="77777777" w:rsidR="00236E6D" w:rsidRDefault="00236E6D">
      <w:pPr>
        <w:jc w:val="center"/>
      </w:pPr>
    </w:p>
    <w:p w14:paraId="1C4CDAE3" w14:textId="77777777" w:rsidR="00236E6D" w:rsidRDefault="00236E6D">
      <w:pPr>
        <w:jc w:val="center"/>
      </w:pPr>
    </w:p>
    <w:p w14:paraId="4B75EFEF" w14:textId="77777777" w:rsidR="00236E6D" w:rsidRDefault="00236E6D">
      <w:pPr>
        <w:jc w:val="center"/>
      </w:pPr>
    </w:p>
    <w:p w14:paraId="068289E1" w14:textId="77777777" w:rsidR="00236E6D" w:rsidRDefault="00236E6D">
      <w:pPr>
        <w:jc w:val="center"/>
      </w:pPr>
    </w:p>
    <w:p w14:paraId="58F03F59" w14:textId="77777777" w:rsidR="00236E6D" w:rsidRDefault="00236E6D">
      <w:pPr>
        <w:jc w:val="center"/>
      </w:pPr>
    </w:p>
    <w:p w14:paraId="13BB2588" w14:textId="77777777" w:rsidR="00236E6D" w:rsidRDefault="00236E6D">
      <w:pPr>
        <w:jc w:val="center"/>
      </w:pPr>
    </w:p>
    <w:p w14:paraId="0D9B90FA" w14:textId="77777777" w:rsidR="00D15DB4" w:rsidRPr="00D15DB4" w:rsidRDefault="00236E6D" w:rsidP="00D15DB4">
      <w:pPr>
        <w:jc w:val="center"/>
        <w:rPr>
          <w:b/>
          <w:sz w:val="28"/>
          <w:szCs w:val="28"/>
        </w:rPr>
      </w:pPr>
      <w:r>
        <w:rPr>
          <w:sz w:val="36"/>
          <w:szCs w:val="36"/>
        </w:rPr>
        <w:br w:type="page"/>
      </w:r>
      <w:r w:rsidR="00D15DB4" w:rsidRPr="00D15DB4">
        <w:rPr>
          <w:b/>
          <w:sz w:val="28"/>
          <w:szCs w:val="28"/>
        </w:rPr>
        <w:lastRenderedPageBreak/>
        <w:t>DEDICATION</w:t>
      </w:r>
    </w:p>
    <w:p w14:paraId="24156DA3" w14:textId="77777777" w:rsidR="00D15DB4" w:rsidRPr="00D15DB4" w:rsidRDefault="00D15DB4" w:rsidP="00D15DB4">
      <w:pPr>
        <w:jc w:val="center"/>
        <w:rPr>
          <w:b/>
          <w:sz w:val="28"/>
          <w:szCs w:val="28"/>
        </w:rPr>
      </w:pPr>
    </w:p>
    <w:p w14:paraId="651BBD23" w14:textId="4CB5CBD2" w:rsidR="00D15DB4" w:rsidRPr="00D15DB4" w:rsidRDefault="00D15DB4" w:rsidP="00D15DB4">
      <w:pPr>
        <w:jc w:val="center"/>
        <w:rPr>
          <w:sz w:val="28"/>
          <w:szCs w:val="28"/>
        </w:rPr>
      </w:pPr>
      <w:r w:rsidRPr="00D15DB4">
        <w:rPr>
          <w:sz w:val="28"/>
          <w:szCs w:val="28"/>
        </w:rPr>
        <w:t xml:space="preserve">I dedicate this thesis to my </w:t>
      </w:r>
      <w:r w:rsidR="00CE6C44">
        <w:rPr>
          <w:sz w:val="28"/>
          <w:szCs w:val="28"/>
        </w:rPr>
        <w:t xml:space="preserve">friends and </w:t>
      </w:r>
      <w:r w:rsidRPr="00D15DB4">
        <w:rPr>
          <w:sz w:val="28"/>
          <w:szCs w:val="28"/>
        </w:rPr>
        <w:t>family</w:t>
      </w:r>
      <w:r w:rsidR="00CE6C44">
        <w:rPr>
          <w:sz w:val="28"/>
          <w:szCs w:val="28"/>
        </w:rPr>
        <w:t>, this would not have been possible without them</w:t>
      </w:r>
      <w:r w:rsidRPr="00D15DB4">
        <w:rPr>
          <w:sz w:val="28"/>
          <w:szCs w:val="28"/>
        </w:rPr>
        <w:t>.</w:t>
      </w:r>
      <w:r w:rsidR="00CE6C44">
        <w:rPr>
          <w:sz w:val="28"/>
          <w:szCs w:val="28"/>
        </w:rPr>
        <w:t xml:space="preserve"> Their love and support have encouraged me to accomplish many things, this thesis being among them. </w:t>
      </w:r>
    </w:p>
    <w:p w14:paraId="7433C705" w14:textId="77777777" w:rsidR="00D15DB4" w:rsidRDefault="00D15DB4">
      <w:pPr>
        <w:rPr>
          <w:b/>
          <w:sz w:val="28"/>
          <w:szCs w:val="28"/>
        </w:rPr>
      </w:pPr>
      <w:r>
        <w:rPr>
          <w:b/>
          <w:sz w:val="28"/>
          <w:szCs w:val="28"/>
        </w:rPr>
        <w:br w:type="page"/>
      </w:r>
    </w:p>
    <w:p w14:paraId="01670CD2" w14:textId="77777777" w:rsidR="00CD73A9" w:rsidRDefault="00CD73A9" w:rsidP="009C755C">
      <w:pPr>
        <w:jc w:val="center"/>
        <w:rPr>
          <w:b/>
          <w:sz w:val="28"/>
          <w:szCs w:val="28"/>
        </w:rPr>
      </w:pPr>
      <w:r>
        <w:rPr>
          <w:b/>
          <w:sz w:val="28"/>
          <w:szCs w:val="28"/>
        </w:rPr>
        <w:t>ACKNOWLEDGEMENTS</w:t>
      </w:r>
    </w:p>
    <w:p w14:paraId="69638D75" w14:textId="77777777" w:rsidR="00CD73A9" w:rsidRPr="003211B3" w:rsidRDefault="00CD73A9">
      <w:pPr>
        <w:jc w:val="center"/>
        <w:rPr>
          <w:sz w:val="28"/>
          <w:szCs w:val="28"/>
        </w:rPr>
      </w:pPr>
    </w:p>
    <w:p w14:paraId="2B36B20D" w14:textId="35DCE3C1" w:rsidR="00D15DB4" w:rsidRPr="004478AA" w:rsidRDefault="00D15DB4" w:rsidP="00D15DB4">
      <w:pPr>
        <w:spacing w:line="480" w:lineRule="auto"/>
      </w:pPr>
      <w:r w:rsidRPr="004478AA">
        <w:t xml:space="preserve">I would like to </w:t>
      </w:r>
      <w:r>
        <w:t>thank</w:t>
      </w:r>
      <w:r w:rsidRPr="004478AA">
        <w:t xml:space="preserve"> my graduate committee, Dr. Jim Brosnan, Dr. Scott Senseman, Dr. Tom Mueller, and Dr. Brandon Horvath. </w:t>
      </w:r>
      <w:r>
        <w:t>Their knowledge and encouragement has given me the skills to continue my career as a plant scientist knowing that I am prepared. Dr. Brosnan, especially has cultivated me as a scientist. I must also thank all of the graduate students in the Plant Sciences Department. At times when I have asked for help, the graduate students have stopped doing what they were doing and helped me progress beyond whatever difficulty I was being faced with. I must especially thank Eric Reasor, Jess</w:t>
      </w:r>
      <w:r w:rsidR="0031151B">
        <w:t>i</w:t>
      </w:r>
      <w:r>
        <w:t xml:space="preserve"> Benelli, Kyley Dickson, David Shell, Whitney Crow, and Matthew Elmore for their help in my </w:t>
      </w:r>
      <w:r w:rsidR="0031151B">
        <w:t>career as a graduate student</w:t>
      </w:r>
      <w:r>
        <w:t>.</w:t>
      </w:r>
      <w:r w:rsidRPr="00C91A6D">
        <w:t xml:space="preserve"> </w:t>
      </w:r>
      <w:r>
        <w:t>I would also like to thank all of the undergraduate students that provided support through the duration of my project.</w:t>
      </w:r>
      <w:r w:rsidRPr="004478AA">
        <w:t xml:space="preserve"> Tyler Cambell, Kelly Arnholt, Jimmy Greenway, and Dennis Edralin</w:t>
      </w:r>
      <w:r>
        <w:t xml:space="preserve"> provided much support. Gregory Breeden and Daniel Farnsworth also provided </w:t>
      </w:r>
      <w:r w:rsidR="0031151B">
        <w:t xml:space="preserve">their knowledge and </w:t>
      </w:r>
      <w:r>
        <w:t>support to</w:t>
      </w:r>
      <w:r w:rsidR="0031151B">
        <w:t xml:space="preserve"> help with</w:t>
      </w:r>
      <w:r>
        <w:t xml:space="preserve"> this project. J.D. Murr, </w:t>
      </w:r>
      <w:r w:rsidRPr="004478AA">
        <w:t>the superintendent at Lambert Acres Golf Course</w:t>
      </w:r>
      <w:r>
        <w:t xml:space="preserve">, allowed me to conduct this project at Lambert Acres Golf Course and provided much </w:t>
      </w:r>
      <w:r w:rsidRPr="004478AA">
        <w:t xml:space="preserve">assistance. </w:t>
      </w:r>
      <w:r>
        <w:t>At this time, I would like to thank those that have supported me in any way</w:t>
      </w:r>
      <w:r w:rsidR="00B66CC0">
        <w:t xml:space="preserve"> through my master’s candidacy</w:t>
      </w:r>
      <w:r>
        <w:t>.</w:t>
      </w:r>
    </w:p>
    <w:p w14:paraId="6C5954EB" w14:textId="77777777" w:rsidR="00236E6D" w:rsidRDefault="00CD73A9" w:rsidP="008F60C3">
      <w:pPr>
        <w:jc w:val="center"/>
      </w:pPr>
      <w:r>
        <w:rPr>
          <w:sz w:val="36"/>
          <w:szCs w:val="36"/>
        </w:rPr>
        <w:br w:type="page"/>
      </w:r>
      <w:r w:rsidR="00236E6D">
        <w:rPr>
          <w:b/>
          <w:bCs/>
          <w:sz w:val="28"/>
          <w:szCs w:val="28"/>
        </w:rPr>
        <w:t>ABSTRACT</w:t>
      </w:r>
    </w:p>
    <w:p w14:paraId="4F04BC2C" w14:textId="77777777" w:rsidR="002C6F79" w:rsidRDefault="002C6F79" w:rsidP="00AF6228">
      <w:pPr>
        <w:spacing w:line="480" w:lineRule="auto"/>
      </w:pPr>
    </w:p>
    <w:p w14:paraId="5A8618EA" w14:textId="5ECD2CF3" w:rsidR="00805E8E" w:rsidRDefault="00072828" w:rsidP="00805E8E">
      <w:pPr>
        <w:spacing w:line="480" w:lineRule="auto"/>
      </w:pPr>
      <w:r>
        <w:tab/>
      </w:r>
      <w:r w:rsidR="00D15DB4" w:rsidRPr="00224414">
        <w:t>Annual bluegrass (</w:t>
      </w:r>
      <w:r w:rsidR="00D15DB4" w:rsidRPr="00CA32C7">
        <w:rPr>
          <w:i/>
        </w:rPr>
        <w:t>Poa annua</w:t>
      </w:r>
      <w:r w:rsidR="00D15DB4">
        <w:t xml:space="preserve"> L.; </w:t>
      </w:r>
      <w:r w:rsidR="00D15DB4" w:rsidRPr="00224414">
        <w:t>POAAN) is a cool-season weed that commonly infests warm-season turfgrasses during winter dormancy.</w:t>
      </w:r>
      <w:r w:rsidR="00D15DB4" w:rsidRPr="00342F29">
        <w:t xml:space="preserve"> </w:t>
      </w:r>
      <w:r w:rsidR="00D15DB4" w:rsidRPr="00224414">
        <w:t>In spring 2012, poor POAAN control (&lt;50%) was reported on golf course roughs in Alcoa, TN (35.75 °N, -83.88 °W) following treatment with a tank mixture of prodiamine (1120 g ha</w:t>
      </w:r>
      <w:r w:rsidR="00D15DB4" w:rsidRPr="00224414">
        <w:rPr>
          <w:vertAlign w:val="superscript"/>
        </w:rPr>
        <w:t>-1</w:t>
      </w:r>
      <w:r w:rsidR="00CB5A80">
        <w:t>[hectare]</w:t>
      </w:r>
      <w:r w:rsidR="00D15DB4" w:rsidRPr="00224414">
        <w:t>)</w:t>
      </w:r>
      <w:r w:rsidR="002C6F79">
        <w:t xml:space="preserve"> </w:t>
      </w:r>
      <w:r w:rsidR="00D15DB4" w:rsidRPr="00224414">
        <w:t>and glyphosate (840 g ae</w:t>
      </w:r>
      <w:r w:rsidR="00A54C05">
        <w:t xml:space="preserve"> </w:t>
      </w:r>
      <w:r w:rsidR="00D15DB4" w:rsidRPr="00224414">
        <w:t>ha</w:t>
      </w:r>
      <w:r w:rsidR="00D15DB4" w:rsidRPr="00224414">
        <w:rPr>
          <w:vertAlign w:val="superscript"/>
        </w:rPr>
        <w:t>-1</w:t>
      </w:r>
      <w:r w:rsidR="00D15DB4" w:rsidRPr="00224414">
        <w:t xml:space="preserve">) during bermudagrass dormancy. </w:t>
      </w:r>
      <w:r w:rsidR="00FA351D">
        <w:t>T</w:t>
      </w:r>
      <w:r w:rsidR="00D15DB4" w:rsidRPr="00224414">
        <w:t xml:space="preserve">he objective of this research was to determine </w:t>
      </w:r>
      <w:r w:rsidR="00FA351D">
        <w:t>if this</w:t>
      </w:r>
      <w:r w:rsidR="00D15DB4" w:rsidRPr="00224414">
        <w:t xml:space="preserve"> POAAN biotype </w:t>
      </w:r>
      <w:r w:rsidR="00FA351D">
        <w:t>was resistant to</w:t>
      </w:r>
      <w:r w:rsidR="00FA351D" w:rsidRPr="00224414">
        <w:t xml:space="preserve"> </w:t>
      </w:r>
      <w:r w:rsidR="00D15DB4" w:rsidRPr="00224414">
        <w:t>prodiamine and glyphosate.</w:t>
      </w:r>
      <w:r w:rsidR="00805E8E" w:rsidRPr="00805E8E">
        <w:t xml:space="preserve"> </w:t>
      </w:r>
    </w:p>
    <w:p w14:paraId="0CE7FD93" w14:textId="2C062259" w:rsidR="00A679EE" w:rsidRDefault="00072828" w:rsidP="00072828">
      <w:pPr>
        <w:spacing w:line="480" w:lineRule="auto"/>
        <w:rPr>
          <w:rFonts w:eastAsiaTheme="majorEastAsia"/>
          <w:bCs/>
        </w:rPr>
      </w:pPr>
      <w:r>
        <w:tab/>
      </w:r>
      <w:r w:rsidR="00FA351D">
        <w:t xml:space="preserve">Using mature plants from the field, </w:t>
      </w:r>
      <w:r>
        <w:t>81</w:t>
      </w:r>
      <w:r w:rsidR="00805E8E">
        <w:t xml:space="preserve"> of the 100 </w:t>
      </w:r>
      <w:r w:rsidR="00FA351D">
        <w:rPr>
          <w:rFonts w:eastAsiaTheme="majorEastAsia"/>
          <w:bCs/>
        </w:rPr>
        <w:t>selections w</w:t>
      </w:r>
      <w:r w:rsidR="00A679EE">
        <w:rPr>
          <w:rFonts w:eastAsiaTheme="majorEastAsia"/>
          <w:bCs/>
        </w:rPr>
        <w:t>ere</w:t>
      </w:r>
      <w:r w:rsidR="00FA351D">
        <w:rPr>
          <w:rFonts w:eastAsiaTheme="majorEastAsia"/>
          <w:bCs/>
        </w:rPr>
        <w:t xml:space="preserve"> not controlled by</w:t>
      </w:r>
      <w:r w:rsidR="00805E8E">
        <w:rPr>
          <w:rFonts w:eastAsiaTheme="majorEastAsia"/>
          <w:bCs/>
        </w:rPr>
        <w:t xml:space="preserve"> glyphosate and prodiamine</w:t>
      </w:r>
      <w:r w:rsidR="00FA351D">
        <w:rPr>
          <w:rFonts w:eastAsiaTheme="majorEastAsia"/>
          <w:bCs/>
        </w:rPr>
        <w:t>;</w:t>
      </w:r>
      <w:r w:rsidR="00805E8E">
        <w:rPr>
          <w:rFonts w:eastAsiaTheme="majorEastAsia"/>
          <w:bCs/>
        </w:rPr>
        <w:t xml:space="preserve"> </w:t>
      </w:r>
      <w:r>
        <w:rPr>
          <w:rFonts w:eastAsiaTheme="majorEastAsia"/>
          <w:bCs/>
        </w:rPr>
        <w:t>96</w:t>
      </w:r>
      <w:r w:rsidR="00805E8E">
        <w:rPr>
          <w:rFonts w:eastAsiaTheme="majorEastAsia"/>
          <w:bCs/>
        </w:rPr>
        <w:t xml:space="preserve"> </w:t>
      </w:r>
      <w:r w:rsidR="00FA351D">
        <w:rPr>
          <w:rFonts w:eastAsiaTheme="majorEastAsia"/>
          <w:bCs/>
        </w:rPr>
        <w:t xml:space="preserve">of the 100 selections were not controlled by </w:t>
      </w:r>
      <w:r>
        <w:rPr>
          <w:rFonts w:eastAsiaTheme="majorEastAsia"/>
          <w:bCs/>
        </w:rPr>
        <w:t xml:space="preserve">glyphosate, </w:t>
      </w:r>
      <w:r w:rsidR="00FA351D">
        <w:rPr>
          <w:rFonts w:eastAsiaTheme="majorEastAsia"/>
          <w:bCs/>
        </w:rPr>
        <w:t>while 84 were unaffected by</w:t>
      </w:r>
      <w:r>
        <w:rPr>
          <w:rFonts w:eastAsiaTheme="majorEastAsia"/>
          <w:bCs/>
        </w:rPr>
        <w:t xml:space="preserve"> prodiamine</w:t>
      </w:r>
      <w:r w:rsidR="00FA351D">
        <w:rPr>
          <w:rFonts w:eastAsiaTheme="majorEastAsia"/>
          <w:bCs/>
        </w:rPr>
        <w:t>. O</w:t>
      </w:r>
      <w:r>
        <w:rPr>
          <w:rFonts w:eastAsiaTheme="majorEastAsia"/>
          <w:bCs/>
        </w:rPr>
        <w:t xml:space="preserve">nly </w:t>
      </w:r>
      <w:r w:rsidR="00805E8E">
        <w:rPr>
          <w:rFonts w:eastAsiaTheme="majorEastAsia"/>
          <w:bCs/>
        </w:rPr>
        <w:t xml:space="preserve">a single plant </w:t>
      </w:r>
      <w:r w:rsidR="00FA351D">
        <w:rPr>
          <w:rFonts w:eastAsiaTheme="majorEastAsia"/>
          <w:bCs/>
        </w:rPr>
        <w:t xml:space="preserve">sampled </w:t>
      </w:r>
      <w:r w:rsidR="00805E8E">
        <w:rPr>
          <w:rFonts w:eastAsiaTheme="majorEastAsia"/>
          <w:bCs/>
        </w:rPr>
        <w:t>was susceptible to both herbicides</w:t>
      </w:r>
      <w:r w:rsidR="00FA351D">
        <w:rPr>
          <w:rFonts w:eastAsiaTheme="majorEastAsia"/>
          <w:bCs/>
        </w:rPr>
        <w:t xml:space="preserve">. </w:t>
      </w:r>
    </w:p>
    <w:p w14:paraId="70052C43" w14:textId="00423FBF" w:rsidR="00072828" w:rsidRPr="00075E45" w:rsidRDefault="00A679EE" w:rsidP="00072828">
      <w:pPr>
        <w:spacing w:line="480" w:lineRule="auto"/>
      </w:pPr>
      <w:r>
        <w:rPr>
          <w:rFonts w:eastAsiaTheme="majorEastAsia"/>
          <w:bCs/>
        </w:rPr>
        <w:tab/>
      </w:r>
      <w:r w:rsidR="00FA351D">
        <w:rPr>
          <w:rFonts w:eastAsiaTheme="majorEastAsia"/>
          <w:bCs/>
        </w:rPr>
        <w:t>Seed was harvested from surviving plants and used to confirm resistance in progeny.</w:t>
      </w:r>
      <w:r w:rsidR="00805E8E">
        <w:rPr>
          <w:rFonts w:eastAsiaTheme="majorEastAsia"/>
          <w:bCs/>
        </w:rPr>
        <w:t xml:space="preserve"> </w:t>
      </w:r>
      <w:r w:rsidR="00072828">
        <w:t>Percent c</w:t>
      </w:r>
      <w:r w:rsidR="00805E8E" w:rsidRPr="00B10AA2">
        <w:t>ontrol of the resistant and susceptible biotypes varied in response to increasing rates of prodiamine</w:t>
      </w:r>
      <w:r w:rsidR="00072828">
        <w:t xml:space="preserve"> and glyphosate</w:t>
      </w:r>
      <w:r w:rsidR="00805E8E" w:rsidRPr="00B10AA2">
        <w:t xml:space="preserve"> </w:t>
      </w:r>
      <w:r w:rsidR="00072828">
        <w:t xml:space="preserve"> </w:t>
      </w:r>
      <w:r w:rsidR="00805E8E">
        <w:t>(P &lt; 0.0001)</w:t>
      </w:r>
      <w:r w:rsidR="00805E8E" w:rsidRPr="00B10AA2">
        <w:t>.</w:t>
      </w:r>
      <w:r w:rsidR="00BC74D2">
        <w:t xml:space="preserve"> A</w:t>
      </w:r>
      <w:r w:rsidR="00805E8E">
        <w:t>pproximately 8.5</w:t>
      </w:r>
      <w:r w:rsidR="00805E8E" w:rsidRPr="00B10AA2">
        <w:t xml:space="preserve"> times more glyphosate</w:t>
      </w:r>
      <w:r w:rsidR="00805E8E">
        <w:t xml:space="preserve"> (1940 g ha</w:t>
      </w:r>
      <w:r w:rsidR="00805E8E">
        <w:rPr>
          <w:vertAlign w:val="superscript"/>
        </w:rPr>
        <w:t>-1</w:t>
      </w:r>
      <w:r w:rsidR="00805E8E">
        <w:t>)</w:t>
      </w:r>
      <w:r w:rsidR="00805E8E" w:rsidRPr="00B10AA2">
        <w:t xml:space="preserve"> </w:t>
      </w:r>
      <w:r w:rsidR="00805E8E">
        <w:t>was required to</w:t>
      </w:r>
      <w:r w:rsidR="00805E8E" w:rsidRPr="00B10AA2">
        <w:t xml:space="preserve"> reduce dry biomass</w:t>
      </w:r>
      <w:r w:rsidR="00805E8E">
        <w:t xml:space="preserve"> of the resistant</w:t>
      </w:r>
      <w:r w:rsidR="00805E8E" w:rsidRPr="00B10AA2">
        <w:t xml:space="preserve"> </w:t>
      </w:r>
      <w:r w:rsidR="00805E8E">
        <w:t xml:space="preserve">population </w:t>
      </w:r>
      <w:r w:rsidR="00805E8E" w:rsidRPr="00B10AA2">
        <w:t xml:space="preserve">by 50% </w:t>
      </w:r>
      <w:r w:rsidR="00805E8E">
        <w:t>compared to a known</w:t>
      </w:r>
      <w:r w:rsidR="00805E8E" w:rsidRPr="00B10AA2">
        <w:t xml:space="preserve"> </w:t>
      </w:r>
      <w:r w:rsidR="00805E8E">
        <w:t xml:space="preserve">glyphosate </w:t>
      </w:r>
      <w:r w:rsidR="00805E8E" w:rsidRPr="00B10AA2">
        <w:t>susceptible population (</w:t>
      </w:r>
      <w:r w:rsidR="00805E8E">
        <w:t>228.9 g ha</w:t>
      </w:r>
      <w:r w:rsidR="00805E8E">
        <w:rPr>
          <w:vertAlign w:val="superscript"/>
        </w:rPr>
        <w:t>-1</w:t>
      </w:r>
      <w:r w:rsidR="00805E8E" w:rsidRPr="00B10AA2">
        <w:t xml:space="preserve">). </w:t>
      </w:r>
      <w:r w:rsidR="00805E8E">
        <w:t>Moreover, glyphosate susceptible plants accumulated 50% more shikimic acid</w:t>
      </w:r>
      <w:r w:rsidR="00FA351D">
        <w:t xml:space="preserve"> (</w:t>
      </w:r>
      <w:r w:rsidR="008B4B4B" w:rsidRPr="00075E45">
        <w:t xml:space="preserve">898 </w:t>
      </w:r>
      <w:r w:rsidR="004C7C4F" w:rsidRPr="00075E45">
        <w:rPr>
          <w:color w:val="000000"/>
        </w:rPr>
        <w:t>mg</w:t>
      </w:r>
      <w:r w:rsidR="00630B5A" w:rsidRPr="00075E45">
        <w:rPr>
          <w:color w:val="000000"/>
        </w:rPr>
        <w:t xml:space="preserve"> kg</w:t>
      </w:r>
      <w:r w:rsidR="00630B5A" w:rsidRPr="00075E45">
        <w:rPr>
          <w:color w:val="000000"/>
          <w:vertAlign w:val="superscript"/>
        </w:rPr>
        <w:t>-1</w:t>
      </w:r>
      <w:r w:rsidR="00CB5A80">
        <w:rPr>
          <w:color w:val="000000"/>
        </w:rPr>
        <w:t>[kilogram]</w:t>
      </w:r>
      <w:r w:rsidR="00FA351D" w:rsidRPr="00075E45">
        <w:t>)</w:t>
      </w:r>
      <w:r w:rsidR="00805E8E" w:rsidRPr="00075E45">
        <w:t xml:space="preserve"> 6</w:t>
      </w:r>
      <w:r w:rsidR="00805E8E" w:rsidRPr="00E230A3">
        <w:t xml:space="preserve"> </w:t>
      </w:r>
      <w:r w:rsidR="00FA351D" w:rsidRPr="00E94F16">
        <w:t>days</w:t>
      </w:r>
      <w:r w:rsidR="00FA351D">
        <w:t xml:space="preserve"> after treatment </w:t>
      </w:r>
      <w:r w:rsidR="00805E8E">
        <w:t>than those resistant to glyphosate</w:t>
      </w:r>
      <w:r w:rsidR="00FA351D">
        <w:t xml:space="preserve"> (</w:t>
      </w:r>
      <w:r w:rsidR="008B4B4B" w:rsidRPr="00075E45">
        <w:t xml:space="preserve">394 </w:t>
      </w:r>
      <w:r w:rsidR="004C7C4F" w:rsidRPr="00075E45">
        <w:rPr>
          <w:color w:val="000000"/>
        </w:rPr>
        <w:t>mg</w:t>
      </w:r>
      <w:r w:rsidR="00016EFC" w:rsidRPr="00075E45">
        <w:rPr>
          <w:color w:val="000000"/>
        </w:rPr>
        <w:t xml:space="preserve"> kg</w:t>
      </w:r>
      <w:r w:rsidR="00016EFC" w:rsidRPr="00075E45">
        <w:rPr>
          <w:color w:val="000000"/>
          <w:vertAlign w:val="superscript"/>
        </w:rPr>
        <w:t>-1</w:t>
      </w:r>
      <w:r w:rsidR="00FA351D" w:rsidRPr="00075E45">
        <w:t>)</w:t>
      </w:r>
      <w:r w:rsidR="00805E8E" w:rsidRPr="00075E45">
        <w:t xml:space="preserve">. </w:t>
      </w:r>
    </w:p>
    <w:p w14:paraId="3FE165FB" w14:textId="194D8C76" w:rsidR="00805E8E" w:rsidRPr="00072828" w:rsidRDefault="00072828" w:rsidP="00072828">
      <w:pPr>
        <w:spacing w:line="480" w:lineRule="auto"/>
      </w:pPr>
      <w:r>
        <w:tab/>
      </w:r>
      <w:r w:rsidR="00805E8E" w:rsidRPr="009F61EA">
        <w:rPr>
          <w:rStyle w:val="Heading2Char"/>
          <w:b w:val="0"/>
          <w:sz w:val="24"/>
          <w:szCs w:val="24"/>
        </w:rPr>
        <w:t>Results of this research indicate that the POAAN biotype at Lambert Acres Golf Course has evolved resistance to both prodiamine and glyphosat</w:t>
      </w:r>
      <w:r w:rsidR="00805E8E" w:rsidRPr="00EF0F66">
        <w:rPr>
          <w:rStyle w:val="Heading2Char"/>
          <w:b w:val="0"/>
          <w:sz w:val="24"/>
          <w:szCs w:val="24"/>
        </w:rPr>
        <w:t>e. This marks the second occurrence of POAAN evolving multiple-resistance in managed turf and the first instance of a POAAN population evolving resistance to both PRE and POST herbicide</w:t>
      </w:r>
      <w:r w:rsidR="00FA351D">
        <w:rPr>
          <w:rStyle w:val="Heading2Char"/>
          <w:b w:val="0"/>
          <w:sz w:val="24"/>
          <w:szCs w:val="24"/>
        </w:rPr>
        <w:t>s</w:t>
      </w:r>
      <w:r w:rsidR="00805E8E" w:rsidRPr="00EF0F66">
        <w:rPr>
          <w:rStyle w:val="Heading2Char"/>
          <w:b w:val="0"/>
          <w:sz w:val="24"/>
          <w:szCs w:val="24"/>
        </w:rPr>
        <w:t>.</w:t>
      </w:r>
      <w:r w:rsidR="00805E8E" w:rsidRPr="00EF0F66">
        <w:rPr>
          <w:rStyle w:val="Heading2Char"/>
          <w:b w:val="0"/>
          <w:sz w:val="24"/>
          <w:szCs w:val="24"/>
        </w:rPr>
        <w:tab/>
      </w:r>
    </w:p>
    <w:p w14:paraId="0D116F88" w14:textId="6B55DFE0" w:rsidR="00D15DB4" w:rsidRPr="00CF5BE1" w:rsidRDefault="00D15DB4" w:rsidP="00072828">
      <w:pPr>
        <w:spacing w:line="480" w:lineRule="auto"/>
        <w:ind w:firstLine="720"/>
      </w:pPr>
    </w:p>
    <w:p w14:paraId="358F249A" w14:textId="287D41DB" w:rsidR="00236E6D" w:rsidRDefault="00236E6D" w:rsidP="002D34DE">
      <w:pPr>
        <w:spacing w:line="480" w:lineRule="auto"/>
        <w:jc w:val="center"/>
      </w:pPr>
      <w:r>
        <w:br w:type="page"/>
      </w:r>
      <w:r>
        <w:rPr>
          <w:b/>
          <w:bCs/>
          <w:sz w:val="28"/>
          <w:szCs w:val="28"/>
        </w:rPr>
        <w:t>TABLE OF CONTENTS</w:t>
      </w:r>
    </w:p>
    <w:p w14:paraId="5F91B967" w14:textId="77777777" w:rsidR="00236E6D" w:rsidRDefault="00236E6D" w:rsidP="002D34D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pPr>
    </w:p>
    <w:p w14:paraId="37A4EC23" w14:textId="03788F6F" w:rsidR="004C3D3C" w:rsidRDefault="00665C7E" w:rsidP="002D34DE">
      <w:pPr>
        <w:pStyle w:val="TOC1"/>
        <w:rPr>
          <w:rFonts w:asciiTheme="minorHAnsi" w:eastAsiaTheme="minorEastAsia" w:hAnsiTheme="minorHAnsi" w:cstheme="minorBidi"/>
          <w:noProof/>
          <w:lang w:eastAsia="ja-JP"/>
        </w:rPr>
      </w:pPr>
      <w:r w:rsidRPr="00EE334C">
        <w:fldChar w:fldCharType="begin"/>
      </w:r>
      <w:r w:rsidR="00236E6D" w:rsidRPr="00EE334C">
        <w:instrText xml:space="preserve"> TOC \o "1-3" \h \z </w:instrText>
      </w:r>
      <w:r w:rsidRPr="00EE334C">
        <w:fldChar w:fldCharType="separate"/>
      </w:r>
      <w:r w:rsidR="004C3D3C">
        <w:rPr>
          <w:noProof/>
        </w:rPr>
        <w:t>CHAPTER 1</w:t>
      </w:r>
      <w:r w:rsidR="002D34DE">
        <w:rPr>
          <w:noProof/>
        </w:rPr>
        <w:t xml:space="preserve"> </w:t>
      </w:r>
      <w:r w:rsidR="004C3D3C">
        <w:rPr>
          <w:noProof/>
        </w:rPr>
        <w:t>INTRODUCTION AND GENERAL INFORMATION</w:t>
      </w:r>
      <w:r w:rsidR="004C3D3C">
        <w:rPr>
          <w:noProof/>
        </w:rPr>
        <w:tab/>
      </w:r>
      <w:r w:rsidR="004C3D3C">
        <w:rPr>
          <w:noProof/>
        </w:rPr>
        <w:fldChar w:fldCharType="begin"/>
      </w:r>
      <w:r w:rsidR="004C3D3C">
        <w:rPr>
          <w:noProof/>
        </w:rPr>
        <w:instrText xml:space="preserve"> PAGEREF _Toc308873588 \h </w:instrText>
      </w:r>
      <w:r w:rsidR="004C3D3C">
        <w:rPr>
          <w:noProof/>
        </w:rPr>
      </w:r>
      <w:r w:rsidR="004C3D3C">
        <w:rPr>
          <w:noProof/>
        </w:rPr>
        <w:fldChar w:fldCharType="separate"/>
      </w:r>
      <w:r w:rsidR="009F30B2">
        <w:rPr>
          <w:noProof/>
        </w:rPr>
        <w:t>1</w:t>
      </w:r>
      <w:r w:rsidR="004C3D3C">
        <w:rPr>
          <w:noProof/>
        </w:rPr>
        <w:fldChar w:fldCharType="end"/>
      </w:r>
    </w:p>
    <w:p w14:paraId="4D03CE8F"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Annual Bluegrass as a Weed</w:t>
      </w:r>
      <w:r>
        <w:rPr>
          <w:noProof/>
        </w:rPr>
        <w:tab/>
      </w:r>
      <w:r>
        <w:rPr>
          <w:noProof/>
        </w:rPr>
        <w:fldChar w:fldCharType="begin"/>
      </w:r>
      <w:r>
        <w:rPr>
          <w:noProof/>
        </w:rPr>
        <w:instrText xml:space="preserve"> PAGEREF _Toc308873589 \h </w:instrText>
      </w:r>
      <w:r>
        <w:rPr>
          <w:noProof/>
        </w:rPr>
      </w:r>
      <w:r>
        <w:rPr>
          <w:noProof/>
        </w:rPr>
        <w:fldChar w:fldCharType="separate"/>
      </w:r>
      <w:r w:rsidR="009F30B2">
        <w:rPr>
          <w:noProof/>
        </w:rPr>
        <w:t>1</w:t>
      </w:r>
      <w:r>
        <w:rPr>
          <w:noProof/>
        </w:rPr>
        <w:fldChar w:fldCharType="end"/>
      </w:r>
    </w:p>
    <w:p w14:paraId="2618279B"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Instances of POAAN Evolving Resistance</w:t>
      </w:r>
      <w:r>
        <w:rPr>
          <w:noProof/>
        </w:rPr>
        <w:tab/>
      </w:r>
      <w:r>
        <w:rPr>
          <w:noProof/>
        </w:rPr>
        <w:fldChar w:fldCharType="begin"/>
      </w:r>
      <w:r>
        <w:rPr>
          <w:noProof/>
        </w:rPr>
        <w:instrText xml:space="preserve"> PAGEREF _Toc308873590 \h </w:instrText>
      </w:r>
      <w:r>
        <w:rPr>
          <w:noProof/>
        </w:rPr>
      </w:r>
      <w:r>
        <w:rPr>
          <w:noProof/>
        </w:rPr>
        <w:fldChar w:fldCharType="separate"/>
      </w:r>
      <w:r w:rsidR="009F30B2">
        <w:rPr>
          <w:noProof/>
        </w:rPr>
        <w:t>1</w:t>
      </w:r>
      <w:r>
        <w:rPr>
          <w:noProof/>
        </w:rPr>
        <w:fldChar w:fldCharType="end"/>
      </w:r>
    </w:p>
    <w:p w14:paraId="07B42F1E"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ALS-Inhibiting Herbicide Resistance</w:t>
      </w:r>
      <w:r>
        <w:rPr>
          <w:noProof/>
        </w:rPr>
        <w:tab/>
      </w:r>
      <w:r>
        <w:rPr>
          <w:noProof/>
        </w:rPr>
        <w:fldChar w:fldCharType="begin"/>
      </w:r>
      <w:r>
        <w:rPr>
          <w:noProof/>
        </w:rPr>
        <w:instrText xml:space="preserve"> PAGEREF _Toc308873591 \h </w:instrText>
      </w:r>
      <w:r>
        <w:rPr>
          <w:noProof/>
        </w:rPr>
      </w:r>
      <w:r>
        <w:rPr>
          <w:noProof/>
        </w:rPr>
        <w:fldChar w:fldCharType="separate"/>
      </w:r>
      <w:r w:rsidR="009F30B2">
        <w:rPr>
          <w:noProof/>
        </w:rPr>
        <w:t>2</w:t>
      </w:r>
      <w:r>
        <w:rPr>
          <w:noProof/>
        </w:rPr>
        <w:fldChar w:fldCharType="end"/>
      </w:r>
    </w:p>
    <w:p w14:paraId="26804227" w14:textId="3A55E572"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Weeds Developing Resistance to Photosystem II (PSII) Inhibiting Herbicides</w:t>
      </w:r>
      <w:r>
        <w:rPr>
          <w:noProof/>
        </w:rPr>
        <w:tab/>
      </w:r>
      <w:r>
        <w:rPr>
          <w:noProof/>
        </w:rPr>
        <w:fldChar w:fldCharType="begin"/>
      </w:r>
      <w:r>
        <w:rPr>
          <w:noProof/>
        </w:rPr>
        <w:instrText xml:space="preserve"> PAGEREF _Toc308873592 \h </w:instrText>
      </w:r>
      <w:r>
        <w:rPr>
          <w:noProof/>
        </w:rPr>
      </w:r>
      <w:r>
        <w:rPr>
          <w:noProof/>
        </w:rPr>
        <w:fldChar w:fldCharType="separate"/>
      </w:r>
      <w:r w:rsidR="009F30B2">
        <w:rPr>
          <w:noProof/>
        </w:rPr>
        <w:t>4</w:t>
      </w:r>
      <w:r>
        <w:rPr>
          <w:noProof/>
        </w:rPr>
        <w:fldChar w:fldCharType="end"/>
      </w:r>
    </w:p>
    <w:p w14:paraId="2176AB1C" w14:textId="1BF822D9"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 xml:space="preserve">Cases of POAAN Developing Resistance to PRE Herbicides in Managed </w:t>
      </w:r>
      <w:r w:rsidR="002D34DE">
        <w:rPr>
          <w:noProof/>
        </w:rPr>
        <w:br/>
      </w:r>
      <w:r w:rsidRPr="00162698">
        <w:rPr>
          <w:noProof/>
        </w:rPr>
        <w:t>Turfgrass Systems</w:t>
      </w:r>
      <w:r>
        <w:rPr>
          <w:noProof/>
        </w:rPr>
        <w:tab/>
      </w:r>
      <w:r>
        <w:rPr>
          <w:noProof/>
        </w:rPr>
        <w:fldChar w:fldCharType="begin"/>
      </w:r>
      <w:r>
        <w:rPr>
          <w:noProof/>
        </w:rPr>
        <w:instrText xml:space="preserve"> PAGEREF _Toc308873593 \h </w:instrText>
      </w:r>
      <w:r>
        <w:rPr>
          <w:noProof/>
        </w:rPr>
      </w:r>
      <w:r>
        <w:rPr>
          <w:noProof/>
        </w:rPr>
        <w:fldChar w:fldCharType="separate"/>
      </w:r>
      <w:r w:rsidR="009F30B2">
        <w:rPr>
          <w:noProof/>
        </w:rPr>
        <w:t>4</w:t>
      </w:r>
      <w:r>
        <w:rPr>
          <w:noProof/>
        </w:rPr>
        <w:fldChar w:fldCharType="end"/>
      </w:r>
    </w:p>
    <w:p w14:paraId="608F1BF3"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Pr>
          <w:noProof/>
        </w:rPr>
        <w:t>Methodology for Evaluating Resistance to Mitotic-Inhibiting Herbicides</w:t>
      </w:r>
      <w:r>
        <w:rPr>
          <w:noProof/>
        </w:rPr>
        <w:tab/>
      </w:r>
      <w:r>
        <w:rPr>
          <w:noProof/>
        </w:rPr>
        <w:fldChar w:fldCharType="begin"/>
      </w:r>
      <w:r>
        <w:rPr>
          <w:noProof/>
        </w:rPr>
        <w:instrText xml:space="preserve"> PAGEREF _Toc308873594 \h </w:instrText>
      </w:r>
      <w:r>
        <w:rPr>
          <w:noProof/>
        </w:rPr>
      </w:r>
      <w:r>
        <w:rPr>
          <w:noProof/>
        </w:rPr>
        <w:fldChar w:fldCharType="separate"/>
      </w:r>
      <w:r w:rsidR="009F30B2">
        <w:rPr>
          <w:noProof/>
        </w:rPr>
        <w:t>5</w:t>
      </w:r>
      <w:r>
        <w:rPr>
          <w:noProof/>
        </w:rPr>
        <w:fldChar w:fldCharType="end"/>
      </w:r>
    </w:p>
    <w:p w14:paraId="6D301DC1" w14:textId="0C50152B"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Multiple-Resistance</w:t>
      </w:r>
      <w:r>
        <w:rPr>
          <w:noProof/>
        </w:rPr>
        <w:t xml:space="preserve"> in Turfgrass Weeds</w:t>
      </w:r>
      <w:r>
        <w:rPr>
          <w:noProof/>
        </w:rPr>
        <w:tab/>
      </w:r>
      <w:r>
        <w:rPr>
          <w:noProof/>
        </w:rPr>
        <w:fldChar w:fldCharType="begin"/>
      </w:r>
      <w:r>
        <w:rPr>
          <w:noProof/>
        </w:rPr>
        <w:instrText xml:space="preserve"> PAGEREF _Toc308873595 \h </w:instrText>
      </w:r>
      <w:r>
        <w:rPr>
          <w:noProof/>
        </w:rPr>
      </w:r>
      <w:r>
        <w:rPr>
          <w:noProof/>
        </w:rPr>
        <w:fldChar w:fldCharType="separate"/>
      </w:r>
      <w:r w:rsidR="009F30B2">
        <w:rPr>
          <w:noProof/>
        </w:rPr>
        <w:t>8</w:t>
      </w:r>
      <w:r>
        <w:rPr>
          <w:noProof/>
        </w:rPr>
        <w:fldChar w:fldCharType="end"/>
      </w:r>
    </w:p>
    <w:p w14:paraId="132171E8" w14:textId="03FDE688" w:rsidR="004C3D3C" w:rsidRDefault="004C3D3C" w:rsidP="002D34DE">
      <w:pPr>
        <w:pStyle w:val="TOC1"/>
        <w:rPr>
          <w:rFonts w:asciiTheme="minorHAnsi" w:eastAsiaTheme="minorEastAsia" w:hAnsiTheme="minorHAnsi" w:cstheme="minorBidi"/>
          <w:noProof/>
          <w:lang w:eastAsia="ja-JP"/>
        </w:rPr>
      </w:pPr>
      <w:r>
        <w:rPr>
          <w:noProof/>
        </w:rPr>
        <w:t>CHAPT</w:t>
      </w:r>
      <w:r w:rsidR="00DE71DB">
        <w:rPr>
          <w:noProof/>
        </w:rPr>
        <w:t>ER 2</w:t>
      </w:r>
      <w:r w:rsidR="002D34DE">
        <w:rPr>
          <w:noProof/>
        </w:rPr>
        <w:t xml:space="preserve"> </w:t>
      </w:r>
      <w:r w:rsidR="00DE71DB">
        <w:rPr>
          <w:noProof/>
        </w:rPr>
        <w:t>MATERIALS AND METHODS</w:t>
      </w:r>
      <w:r>
        <w:rPr>
          <w:noProof/>
        </w:rPr>
        <w:tab/>
      </w:r>
      <w:r>
        <w:rPr>
          <w:noProof/>
        </w:rPr>
        <w:fldChar w:fldCharType="begin"/>
      </w:r>
      <w:r>
        <w:rPr>
          <w:noProof/>
        </w:rPr>
        <w:instrText xml:space="preserve"> PAGEREF _Toc308873597 \h </w:instrText>
      </w:r>
      <w:r>
        <w:rPr>
          <w:noProof/>
        </w:rPr>
      </w:r>
      <w:r>
        <w:rPr>
          <w:noProof/>
        </w:rPr>
        <w:fldChar w:fldCharType="separate"/>
      </w:r>
      <w:r w:rsidR="009F30B2">
        <w:rPr>
          <w:noProof/>
        </w:rPr>
        <w:t>9</w:t>
      </w:r>
      <w:r>
        <w:rPr>
          <w:noProof/>
        </w:rPr>
        <w:fldChar w:fldCharType="end"/>
      </w:r>
    </w:p>
    <w:p w14:paraId="051B87FC" w14:textId="027E1F1B"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Pr>
          <w:noProof/>
        </w:rPr>
        <w:t>Plant Collection</w:t>
      </w:r>
      <w:r>
        <w:rPr>
          <w:noProof/>
        </w:rPr>
        <w:tab/>
      </w:r>
      <w:r>
        <w:rPr>
          <w:noProof/>
        </w:rPr>
        <w:fldChar w:fldCharType="begin"/>
      </w:r>
      <w:r>
        <w:rPr>
          <w:noProof/>
        </w:rPr>
        <w:instrText xml:space="preserve"> PAGEREF _Toc308873598 \h </w:instrText>
      </w:r>
      <w:r>
        <w:rPr>
          <w:noProof/>
        </w:rPr>
      </w:r>
      <w:r>
        <w:rPr>
          <w:noProof/>
        </w:rPr>
        <w:fldChar w:fldCharType="separate"/>
      </w:r>
      <w:r w:rsidR="009F30B2">
        <w:rPr>
          <w:noProof/>
        </w:rPr>
        <w:t>9</w:t>
      </w:r>
      <w:r>
        <w:rPr>
          <w:noProof/>
        </w:rPr>
        <w:fldChar w:fldCharType="end"/>
      </w:r>
    </w:p>
    <w:p w14:paraId="0C3C7297" w14:textId="1A69E341"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 xml:space="preserve">Determining the Percentage of Plants with Putative Resistance to </w:t>
      </w:r>
      <w:r w:rsidR="00B914EA">
        <w:rPr>
          <w:noProof/>
        </w:rPr>
        <w:br/>
      </w:r>
      <w:r w:rsidRPr="00162698">
        <w:rPr>
          <w:noProof/>
        </w:rPr>
        <w:t>Prodiamine and Glyphosate</w:t>
      </w:r>
      <w:r>
        <w:rPr>
          <w:noProof/>
        </w:rPr>
        <w:tab/>
      </w:r>
      <w:r>
        <w:rPr>
          <w:noProof/>
        </w:rPr>
        <w:fldChar w:fldCharType="begin"/>
      </w:r>
      <w:r>
        <w:rPr>
          <w:noProof/>
        </w:rPr>
        <w:instrText xml:space="preserve"> PAGEREF _Toc308873599 \h </w:instrText>
      </w:r>
      <w:r>
        <w:rPr>
          <w:noProof/>
        </w:rPr>
      </w:r>
      <w:r>
        <w:rPr>
          <w:noProof/>
        </w:rPr>
        <w:fldChar w:fldCharType="separate"/>
      </w:r>
      <w:r w:rsidR="009F30B2">
        <w:rPr>
          <w:noProof/>
        </w:rPr>
        <w:t>10</w:t>
      </w:r>
      <w:r>
        <w:rPr>
          <w:noProof/>
        </w:rPr>
        <w:fldChar w:fldCharType="end"/>
      </w:r>
    </w:p>
    <w:p w14:paraId="0604CC7F"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Pr>
          <w:noProof/>
        </w:rPr>
        <w:t>Confirming Resistance in the Glasshouse</w:t>
      </w:r>
      <w:r>
        <w:rPr>
          <w:noProof/>
        </w:rPr>
        <w:tab/>
      </w:r>
      <w:r>
        <w:rPr>
          <w:noProof/>
        </w:rPr>
        <w:fldChar w:fldCharType="begin"/>
      </w:r>
      <w:r>
        <w:rPr>
          <w:noProof/>
        </w:rPr>
        <w:instrText xml:space="preserve"> PAGEREF _Toc308873600 \h </w:instrText>
      </w:r>
      <w:r>
        <w:rPr>
          <w:noProof/>
        </w:rPr>
      </w:r>
      <w:r>
        <w:rPr>
          <w:noProof/>
        </w:rPr>
        <w:fldChar w:fldCharType="separate"/>
      </w:r>
      <w:r w:rsidR="009F30B2">
        <w:rPr>
          <w:noProof/>
        </w:rPr>
        <w:t>12</w:t>
      </w:r>
      <w:r>
        <w:rPr>
          <w:noProof/>
        </w:rPr>
        <w:fldChar w:fldCharType="end"/>
      </w:r>
    </w:p>
    <w:p w14:paraId="0125DC1D" w14:textId="7297599A" w:rsidR="004C3D3C" w:rsidRPr="00DE71DB" w:rsidRDefault="004C3D3C" w:rsidP="002D34DE">
      <w:pPr>
        <w:pStyle w:val="TOC2"/>
        <w:tabs>
          <w:tab w:val="right" w:leader="dot" w:pos="9350"/>
        </w:tabs>
        <w:spacing w:line="360" w:lineRule="auto"/>
        <w:rPr>
          <w:noProof/>
        </w:rPr>
      </w:pPr>
      <w:r>
        <w:rPr>
          <w:noProof/>
        </w:rPr>
        <w:t>Statistical Analyses of Greenhouse and Laboratory Experiments</w:t>
      </w:r>
      <w:r>
        <w:rPr>
          <w:noProof/>
        </w:rPr>
        <w:tab/>
      </w:r>
      <w:r>
        <w:rPr>
          <w:noProof/>
        </w:rPr>
        <w:fldChar w:fldCharType="begin"/>
      </w:r>
      <w:r>
        <w:rPr>
          <w:noProof/>
        </w:rPr>
        <w:instrText xml:space="preserve"> PAGEREF _Toc308873601 \h </w:instrText>
      </w:r>
      <w:r>
        <w:rPr>
          <w:noProof/>
        </w:rPr>
      </w:r>
      <w:r>
        <w:rPr>
          <w:noProof/>
        </w:rPr>
        <w:fldChar w:fldCharType="separate"/>
      </w:r>
      <w:r w:rsidR="009F30B2">
        <w:rPr>
          <w:noProof/>
        </w:rPr>
        <w:t>16</w:t>
      </w:r>
      <w:r>
        <w:rPr>
          <w:noProof/>
        </w:rPr>
        <w:fldChar w:fldCharType="end"/>
      </w:r>
    </w:p>
    <w:p w14:paraId="2479EBF3" w14:textId="77B5D03D"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Pr>
          <w:noProof/>
        </w:rPr>
        <w:t>Confirming Resistance in the Field</w:t>
      </w:r>
      <w:r>
        <w:rPr>
          <w:noProof/>
        </w:rPr>
        <w:tab/>
      </w:r>
      <w:r>
        <w:rPr>
          <w:noProof/>
        </w:rPr>
        <w:fldChar w:fldCharType="begin"/>
      </w:r>
      <w:r>
        <w:rPr>
          <w:noProof/>
        </w:rPr>
        <w:instrText xml:space="preserve"> PAGEREF _Toc308873602 \h </w:instrText>
      </w:r>
      <w:r>
        <w:rPr>
          <w:noProof/>
        </w:rPr>
      </w:r>
      <w:r>
        <w:rPr>
          <w:noProof/>
        </w:rPr>
        <w:fldChar w:fldCharType="separate"/>
      </w:r>
      <w:r w:rsidR="009F30B2">
        <w:rPr>
          <w:noProof/>
        </w:rPr>
        <w:t>18</w:t>
      </w:r>
      <w:r>
        <w:rPr>
          <w:noProof/>
        </w:rPr>
        <w:fldChar w:fldCharType="end"/>
      </w:r>
    </w:p>
    <w:p w14:paraId="44A6F156" w14:textId="3E81964B" w:rsidR="004C3D3C" w:rsidRDefault="00DE71DB" w:rsidP="002D34DE">
      <w:pPr>
        <w:pStyle w:val="TOC1"/>
        <w:rPr>
          <w:rFonts w:asciiTheme="minorHAnsi" w:eastAsiaTheme="minorEastAsia" w:hAnsiTheme="minorHAnsi" w:cstheme="minorBidi"/>
          <w:noProof/>
          <w:lang w:eastAsia="ja-JP"/>
        </w:rPr>
      </w:pPr>
      <w:r>
        <w:rPr>
          <w:noProof/>
        </w:rPr>
        <w:t>CHAPTER 3</w:t>
      </w:r>
      <w:r w:rsidR="002D34DE">
        <w:rPr>
          <w:noProof/>
        </w:rPr>
        <w:t xml:space="preserve"> </w:t>
      </w:r>
      <w:r>
        <w:rPr>
          <w:noProof/>
        </w:rPr>
        <w:t>RESULTS AND DISCUSSION</w:t>
      </w:r>
      <w:r w:rsidR="004C3D3C">
        <w:rPr>
          <w:noProof/>
        </w:rPr>
        <w:tab/>
      </w:r>
      <w:r w:rsidR="004C3D3C">
        <w:rPr>
          <w:noProof/>
        </w:rPr>
        <w:fldChar w:fldCharType="begin"/>
      </w:r>
      <w:r w:rsidR="004C3D3C">
        <w:rPr>
          <w:noProof/>
        </w:rPr>
        <w:instrText xml:space="preserve"> PAGEREF _Toc308873604 \h </w:instrText>
      </w:r>
      <w:r w:rsidR="004C3D3C">
        <w:rPr>
          <w:noProof/>
        </w:rPr>
      </w:r>
      <w:r w:rsidR="004C3D3C">
        <w:rPr>
          <w:noProof/>
        </w:rPr>
        <w:fldChar w:fldCharType="separate"/>
      </w:r>
      <w:r w:rsidR="009F30B2">
        <w:rPr>
          <w:noProof/>
        </w:rPr>
        <w:t>20</w:t>
      </w:r>
      <w:r w:rsidR="004C3D3C">
        <w:rPr>
          <w:noProof/>
        </w:rPr>
        <w:fldChar w:fldCharType="end"/>
      </w:r>
    </w:p>
    <w:p w14:paraId="53853733" w14:textId="3A246013"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Pr>
          <w:noProof/>
        </w:rPr>
        <w:t xml:space="preserve">Determining the Percentage of Plants with Putative Resistance to </w:t>
      </w:r>
      <w:r w:rsidR="00B914EA">
        <w:rPr>
          <w:noProof/>
        </w:rPr>
        <w:br/>
      </w:r>
      <w:r>
        <w:rPr>
          <w:noProof/>
        </w:rPr>
        <w:t>Prodiamine and Glyphosate</w:t>
      </w:r>
      <w:r>
        <w:rPr>
          <w:noProof/>
        </w:rPr>
        <w:tab/>
      </w:r>
      <w:r>
        <w:rPr>
          <w:noProof/>
        </w:rPr>
        <w:fldChar w:fldCharType="begin"/>
      </w:r>
      <w:r>
        <w:rPr>
          <w:noProof/>
        </w:rPr>
        <w:instrText xml:space="preserve"> PAGEREF _Toc308873605 \h </w:instrText>
      </w:r>
      <w:r>
        <w:rPr>
          <w:noProof/>
        </w:rPr>
      </w:r>
      <w:r>
        <w:rPr>
          <w:noProof/>
        </w:rPr>
        <w:fldChar w:fldCharType="separate"/>
      </w:r>
      <w:r w:rsidR="009F30B2">
        <w:rPr>
          <w:noProof/>
        </w:rPr>
        <w:t>20</w:t>
      </w:r>
      <w:r>
        <w:rPr>
          <w:noProof/>
        </w:rPr>
        <w:fldChar w:fldCharType="end"/>
      </w:r>
    </w:p>
    <w:p w14:paraId="38A379E4"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sidRPr="00162698">
        <w:rPr>
          <w:noProof/>
        </w:rPr>
        <w:t>Confirming Resistance in the Glasshouse</w:t>
      </w:r>
      <w:r>
        <w:rPr>
          <w:noProof/>
        </w:rPr>
        <w:tab/>
      </w:r>
      <w:r>
        <w:rPr>
          <w:noProof/>
        </w:rPr>
        <w:fldChar w:fldCharType="begin"/>
      </w:r>
      <w:r>
        <w:rPr>
          <w:noProof/>
        </w:rPr>
        <w:instrText xml:space="preserve"> PAGEREF _Toc308873606 \h </w:instrText>
      </w:r>
      <w:r>
        <w:rPr>
          <w:noProof/>
        </w:rPr>
      </w:r>
      <w:r>
        <w:rPr>
          <w:noProof/>
        </w:rPr>
        <w:fldChar w:fldCharType="separate"/>
      </w:r>
      <w:r w:rsidR="009F30B2">
        <w:rPr>
          <w:noProof/>
        </w:rPr>
        <w:t>20</w:t>
      </w:r>
      <w:r>
        <w:rPr>
          <w:noProof/>
        </w:rPr>
        <w:fldChar w:fldCharType="end"/>
      </w:r>
    </w:p>
    <w:p w14:paraId="2FC03BDB" w14:textId="77777777" w:rsidR="004C3D3C" w:rsidRDefault="004C3D3C" w:rsidP="002D34DE">
      <w:pPr>
        <w:pStyle w:val="TOC2"/>
        <w:tabs>
          <w:tab w:val="right" w:leader="dot" w:pos="9350"/>
        </w:tabs>
        <w:spacing w:line="360" w:lineRule="auto"/>
        <w:rPr>
          <w:rFonts w:asciiTheme="minorHAnsi" w:eastAsiaTheme="minorEastAsia" w:hAnsiTheme="minorHAnsi" w:cstheme="minorBidi"/>
          <w:noProof/>
          <w:lang w:eastAsia="ja-JP"/>
        </w:rPr>
      </w:pPr>
      <w:r>
        <w:rPr>
          <w:noProof/>
        </w:rPr>
        <w:t>Confirming Resistance in the Field</w:t>
      </w:r>
      <w:r>
        <w:rPr>
          <w:noProof/>
        </w:rPr>
        <w:tab/>
      </w:r>
      <w:r>
        <w:rPr>
          <w:noProof/>
        </w:rPr>
        <w:fldChar w:fldCharType="begin"/>
      </w:r>
      <w:r>
        <w:rPr>
          <w:noProof/>
        </w:rPr>
        <w:instrText xml:space="preserve"> PAGEREF _Toc308873609 \h </w:instrText>
      </w:r>
      <w:r>
        <w:rPr>
          <w:noProof/>
        </w:rPr>
      </w:r>
      <w:r>
        <w:rPr>
          <w:noProof/>
        </w:rPr>
        <w:fldChar w:fldCharType="separate"/>
      </w:r>
      <w:r w:rsidR="009F30B2">
        <w:rPr>
          <w:noProof/>
        </w:rPr>
        <w:t>22</w:t>
      </w:r>
      <w:r>
        <w:rPr>
          <w:noProof/>
        </w:rPr>
        <w:fldChar w:fldCharType="end"/>
      </w:r>
    </w:p>
    <w:p w14:paraId="30842D60" w14:textId="0C6F9F81" w:rsidR="004C3D3C" w:rsidRDefault="00DE71DB" w:rsidP="002D34DE">
      <w:pPr>
        <w:pStyle w:val="TOC1"/>
        <w:rPr>
          <w:rFonts w:asciiTheme="minorHAnsi" w:eastAsiaTheme="minorEastAsia" w:hAnsiTheme="minorHAnsi" w:cstheme="minorBidi"/>
          <w:noProof/>
          <w:lang w:eastAsia="ja-JP"/>
        </w:rPr>
      </w:pPr>
      <w:r>
        <w:rPr>
          <w:noProof/>
        </w:rPr>
        <w:t>CHAPTER 4</w:t>
      </w:r>
      <w:r w:rsidR="002D34DE">
        <w:rPr>
          <w:noProof/>
        </w:rPr>
        <w:t xml:space="preserve"> </w:t>
      </w:r>
      <w:r>
        <w:rPr>
          <w:noProof/>
        </w:rPr>
        <w:t>CONCLUSION</w:t>
      </w:r>
      <w:r w:rsidR="004C3D3C">
        <w:rPr>
          <w:noProof/>
        </w:rPr>
        <w:tab/>
      </w:r>
      <w:r w:rsidR="004C3D3C">
        <w:rPr>
          <w:noProof/>
        </w:rPr>
        <w:fldChar w:fldCharType="begin"/>
      </w:r>
      <w:r w:rsidR="004C3D3C">
        <w:rPr>
          <w:noProof/>
        </w:rPr>
        <w:instrText xml:space="preserve"> PAGEREF _Toc308873611 \h </w:instrText>
      </w:r>
      <w:r w:rsidR="004C3D3C">
        <w:rPr>
          <w:noProof/>
        </w:rPr>
      </w:r>
      <w:r w:rsidR="004C3D3C">
        <w:rPr>
          <w:noProof/>
        </w:rPr>
        <w:fldChar w:fldCharType="separate"/>
      </w:r>
      <w:r w:rsidR="009F30B2">
        <w:rPr>
          <w:noProof/>
        </w:rPr>
        <w:t>24</w:t>
      </w:r>
      <w:r w:rsidR="004C3D3C">
        <w:rPr>
          <w:noProof/>
        </w:rPr>
        <w:fldChar w:fldCharType="end"/>
      </w:r>
    </w:p>
    <w:p w14:paraId="59CD8395" w14:textId="4F10D34E" w:rsidR="004C3D3C" w:rsidRDefault="00DE71DB" w:rsidP="002D34DE">
      <w:pPr>
        <w:pStyle w:val="TOC1"/>
        <w:rPr>
          <w:rFonts w:asciiTheme="minorHAnsi" w:eastAsiaTheme="minorEastAsia" w:hAnsiTheme="minorHAnsi" w:cstheme="minorBidi"/>
          <w:noProof/>
          <w:lang w:eastAsia="ja-JP"/>
        </w:rPr>
      </w:pPr>
      <w:r>
        <w:rPr>
          <w:noProof/>
        </w:rPr>
        <w:t>LITERATURE CITED</w:t>
      </w:r>
      <w:r w:rsidR="004C3D3C">
        <w:rPr>
          <w:noProof/>
        </w:rPr>
        <w:tab/>
      </w:r>
      <w:r w:rsidR="004C3D3C">
        <w:rPr>
          <w:noProof/>
        </w:rPr>
        <w:fldChar w:fldCharType="begin"/>
      </w:r>
      <w:r w:rsidR="004C3D3C">
        <w:rPr>
          <w:noProof/>
        </w:rPr>
        <w:instrText xml:space="preserve"> PAGEREF _Toc308873612 \h </w:instrText>
      </w:r>
      <w:r w:rsidR="004C3D3C">
        <w:rPr>
          <w:noProof/>
        </w:rPr>
      </w:r>
      <w:r w:rsidR="004C3D3C">
        <w:rPr>
          <w:noProof/>
        </w:rPr>
        <w:fldChar w:fldCharType="separate"/>
      </w:r>
      <w:r w:rsidR="009F30B2">
        <w:rPr>
          <w:noProof/>
        </w:rPr>
        <w:t>26</w:t>
      </w:r>
      <w:r w:rsidR="004C3D3C">
        <w:rPr>
          <w:noProof/>
        </w:rPr>
        <w:fldChar w:fldCharType="end"/>
      </w:r>
    </w:p>
    <w:p w14:paraId="345B2E3A" w14:textId="538749D3" w:rsidR="004C3D3C" w:rsidRDefault="004C3D3C" w:rsidP="002D34DE">
      <w:pPr>
        <w:pStyle w:val="TOC1"/>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_Toc308873613 \h </w:instrText>
      </w:r>
      <w:r>
        <w:rPr>
          <w:noProof/>
        </w:rPr>
      </w:r>
      <w:r>
        <w:rPr>
          <w:noProof/>
        </w:rPr>
        <w:fldChar w:fldCharType="separate"/>
      </w:r>
      <w:r w:rsidR="009F30B2">
        <w:rPr>
          <w:noProof/>
        </w:rPr>
        <w:t>31</w:t>
      </w:r>
      <w:r>
        <w:rPr>
          <w:noProof/>
        </w:rPr>
        <w:fldChar w:fldCharType="end"/>
      </w:r>
    </w:p>
    <w:p w14:paraId="29092F01" w14:textId="1BFD41CB" w:rsidR="004C3D3C" w:rsidRDefault="004C3D3C" w:rsidP="002D34DE">
      <w:pPr>
        <w:pStyle w:val="TOC1"/>
        <w:rPr>
          <w:rFonts w:asciiTheme="minorHAnsi" w:eastAsiaTheme="minorEastAsia" w:hAnsiTheme="minorHAnsi" w:cstheme="minorBidi"/>
          <w:noProof/>
          <w:lang w:eastAsia="ja-JP"/>
        </w:rPr>
      </w:pPr>
      <w:r w:rsidRPr="00162698">
        <w:rPr>
          <w:noProof/>
        </w:rPr>
        <w:t>VITA</w:t>
      </w:r>
      <w:r>
        <w:rPr>
          <w:noProof/>
        </w:rPr>
        <w:tab/>
      </w:r>
      <w:r>
        <w:rPr>
          <w:noProof/>
        </w:rPr>
        <w:fldChar w:fldCharType="begin"/>
      </w:r>
      <w:r>
        <w:rPr>
          <w:noProof/>
        </w:rPr>
        <w:instrText xml:space="preserve"> PAGEREF _Toc308873627 \h </w:instrText>
      </w:r>
      <w:r>
        <w:rPr>
          <w:noProof/>
        </w:rPr>
      </w:r>
      <w:r>
        <w:rPr>
          <w:noProof/>
        </w:rPr>
        <w:fldChar w:fldCharType="separate"/>
      </w:r>
      <w:r w:rsidR="009F30B2">
        <w:rPr>
          <w:noProof/>
        </w:rPr>
        <w:t>44</w:t>
      </w:r>
      <w:r>
        <w:rPr>
          <w:noProof/>
        </w:rPr>
        <w:fldChar w:fldCharType="end"/>
      </w:r>
    </w:p>
    <w:p w14:paraId="4D8AEE25" w14:textId="77777777" w:rsidR="008D3ED9" w:rsidRDefault="00665C7E" w:rsidP="002D34DE">
      <w:pPr>
        <w:numPr>
          <w:ilvl w:val="12"/>
          <w:numId w:val="0"/>
        </w:numPr>
        <w:spacing w:line="360" w:lineRule="auto"/>
        <w:jc w:val="center"/>
      </w:pPr>
      <w:r w:rsidRPr="00EE334C">
        <w:fldChar w:fldCharType="end"/>
      </w:r>
    </w:p>
    <w:p w14:paraId="2F6D0367" w14:textId="77777777" w:rsidR="008D3ED9" w:rsidRDefault="008D3ED9">
      <w:r>
        <w:br w:type="page"/>
      </w:r>
    </w:p>
    <w:p w14:paraId="67CA5C04" w14:textId="2DDA322A" w:rsidR="000F2351" w:rsidRDefault="000F2351" w:rsidP="00CB5A80">
      <w:pPr>
        <w:numPr>
          <w:ilvl w:val="12"/>
          <w:numId w:val="0"/>
        </w:numPr>
        <w:spacing w:line="480" w:lineRule="auto"/>
        <w:jc w:val="center"/>
      </w:pPr>
      <w:r>
        <w:rPr>
          <w:b/>
          <w:bCs/>
          <w:sz w:val="28"/>
          <w:szCs w:val="28"/>
        </w:rPr>
        <w:t xml:space="preserve">LIST OF </w:t>
      </w:r>
      <w:r w:rsidR="00B43A0E">
        <w:rPr>
          <w:b/>
          <w:bCs/>
          <w:sz w:val="28"/>
          <w:szCs w:val="28"/>
        </w:rPr>
        <w:t>TABLES</w:t>
      </w:r>
    </w:p>
    <w:p w14:paraId="5938FCAA" w14:textId="77777777" w:rsidR="000F2351" w:rsidRDefault="000F2351" w:rsidP="000F2351">
      <w:pPr>
        <w:numPr>
          <w:ilvl w:val="12"/>
          <w:numId w:val="0"/>
        </w:numPr>
      </w:pPr>
    </w:p>
    <w:p w14:paraId="085D0AA8" w14:textId="77777777" w:rsidR="000F2351" w:rsidRDefault="000F2351" w:rsidP="007915DC">
      <w:pPr>
        <w:numPr>
          <w:ilvl w:val="12"/>
          <w:numId w:val="0"/>
        </w:numPr>
      </w:pPr>
    </w:p>
    <w:p w14:paraId="09E10C5C" w14:textId="1C5814D3" w:rsidR="007915DC" w:rsidRDefault="000F2351" w:rsidP="00B914EA">
      <w:pPr>
        <w:pStyle w:val="TableofFigures"/>
        <w:tabs>
          <w:tab w:val="right" w:leader="dot" w:pos="9360"/>
        </w:tabs>
        <w:rPr>
          <w:rFonts w:asciiTheme="minorHAnsi" w:eastAsiaTheme="minorEastAsia" w:hAnsiTheme="minorHAnsi" w:cstheme="minorBidi"/>
          <w:noProof/>
          <w:lang w:eastAsia="ja-JP"/>
        </w:rPr>
      </w:pPr>
      <w:r>
        <w:rPr>
          <w:b/>
          <w:bCs/>
          <w:sz w:val="28"/>
          <w:szCs w:val="28"/>
        </w:rPr>
        <w:fldChar w:fldCharType="begin"/>
      </w:r>
      <w:r>
        <w:rPr>
          <w:b/>
          <w:bCs/>
          <w:sz w:val="28"/>
          <w:szCs w:val="28"/>
        </w:rPr>
        <w:instrText xml:space="preserve"> TOC \t "Table Heading" \c "Table" </w:instrText>
      </w:r>
      <w:r>
        <w:rPr>
          <w:b/>
          <w:bCs/>
          <w:sz w:val="28"/>
          <w:szCs w:val="28"/>
        </w:rPr>
        <w:fldChar w:fldCharType="separate"/>
      </w:r>
      <w:r w:rsidR="007915DC">
        <w:rPr>
          <w:noProof/>
        </w:rPr>
        <w:t>Table 1. Response of annual bluegrass (</w:t>
      </w:r>
      <w:r w:rsidR="007915DC" w:rsidRPr="00CD00BD">
        <w:rPr>
          <w:i/>
          <w:noProof/>
        </w:rPr>
        <w:t>Poa annua</w:t>
      </w:r>
      <w:r w:rsidR="007915DC">
        <w:rPr>
          <w:noProof/>
        </w:rPr>
        <w:t xml:space="preserve"> L.) biotypes harvested from Lambert Acres Golf Club (Alcoa, TN) to applications of glyphosate at 840 g ha</w:t>
      </w:r>
      <w:r w:rsidR="007915DC" w:rsidRPr="00CD00BD">
        <w:rPr>
          <w:noProof/>
          <w:vertAlign w:val="superscript"/>
        </w:rPr>
        <w:t>-1</w:t>
      </w:r>
      <w:r w:rsidR="007915DC">
        <w:rPr>
          <w:noProof/>
        </w:rPr>
        <w:t xml:space="preserve"> and exposure to prodiamine at 0.04 mM in hydroponic culture during April 2014 in a glasshouse at the University of Tennessee (Knoxville, TN).</w:t>
      </w:r>
      <w:r w:rsidR="007915DC">
        <w:rPr>
          <w:noProof/>
        </w:rPr>
        <w:tab/>
      </w:r>
      <w:r w:rsidR="007915DC">
        <w:rPr>
          <w:noProof/>
        </w:rPr>
        <w:fldChar w:fldCharType="begin"/>
      </w:r>
      <w:r w:rsidR="007915DC">
        <w:rPr>
          <w:noProof/>
        </w:rPr>
        <w:instrText xml:space="preserve"> PAGEREF _Toc301776053 \h </w:instrText>
      </w:r>
      <w:r w:rsidR="007915DC">
        <w:rPr>
          <w:noProof/>
        </w:rPr>
      </w:r>
      <w:r w:rsidR="007915DC">
        <w:rPr>
          <w:noProof/>
        </w:rPr>
        <w:fldChar w:fldCharType="separate"/>
      </w:r>
      <w:r w:rsidR="00B93B16">
        <w:rPr>
          <w:noProof/>
        </w:rPr>
        <w:t>30</w:t>
      </w:r>
      <w:r w:rsidR="007915DC">
        <w:rPr>
          <w:noProof/>
        </w:rPr>
        <w:fldChar w:fldCharType="end"/>
      </w:r>
    </w:p>
    <w:p w14:paraId="331D25D1" w14:textId="77777777" w:rsidR="007915DC" w:rsidRDefault="007915DC" w:rsidP="007915DC">
      <w:pPr>
        <w:pStyle w:val="TableofFigures"/>
        <w:tabs>
          <w:tab w:val="right" w:leader="dot" w:pos="8630"/>
        </w:tabs>
        <w:rPr>
          <w:noProof/>
        </w:rPr>
      </w:pPr>
    </w:p>
    <w:p w14:paraId="19A3E962" w14:textId="7A23B0F3"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Table 2. Non-linear regression equations modeling changes in annual bluegrass (</w:t>
      </w:r>
      <w:r w:rsidRPr="00CD00BD">
        <w:rPr>
          <w:i/>
          <w:noProof/>
        </w:rPr>
        <w:t>Poa annua</w:t>
      </w:r>
      <w:r>
        <w:rPr>
          <w:noProof/>
        </w:rPr>
        <w:t xml:space="preserve"> L.) control with increasing rates of prodiamine applied to resistant and susceptible biotypes in a glasshouse at the University of Tennessee (Knoxville, TN) in 2015. Prodiamine was applied at 0, 105, 210, 420, 840, 1680, 3360, and 6720 g ha</w:t>
      </w:r>
      <w:r w:rsidRPr="00CD00BD">
        <w:rPr>
          <w:noProof/>
          <w:vertAlign w:val="superscript"/>
        </w:rPr>
        <w:t>-1</w:t>
      </w:r>
      <w:r>
        <w:rPr>
          <w:noProof/>
        </w:rPr>
        <w:t>.</w:t>
      </w:r>
      <w:r>
        <w:rPr>
          <w:noProof/>
        </w:rPr>
        <w:tab/>
      </w:r>
      <w:r>
        <w:rPr>
          <w:noProof/>
        </w:rPr>
        <w:fldChar w:fldCharType="begin"/>
      </w:r>
      <w:r>
        <w:rPr>
          <w:noProof/>
        </w:rPr>
        <w:instrText xml:space="preserve"> PAGEREF _Toc301776054 \h </w:instrText>
      </w:r>
      <w:r>
        <w:rPr>
          <w:noProof/>
        </w:rPr>
      </w:r>
      <w:r>
        <w:rPr>
          <w:noProof/>
        </w:rPr>
        <w:fldChar w:fldCharType="separate"/>
      </w:r>
      <w:r w:rsidR="00B93B16">
        <w:rPr>
          <w:noProof/>
        </w:rPr>
        <w:t>32</w:t>
      </w:r>
      <w:r>
        <w:rPr>
          <w:noProof/>
        </w:rPr>
        <w:fldChar w:fldCharType="end"/>
      </w:r>
    </w:p>
    <w:p w14:paraId="004085C4" w14:textId="77777777" w:rsidR="007915DC" w:rsidRDefault="007915DC" w:rsidP="00B914EA">
      <w:pPr>
        <w:pStyle w:val="TableofFigures"/>
        <w:tabs>
          <w:tab w:val="right" w:leader="dot" w:pos="9360"/>
        </w:tabs>
        <w:rPr>
          <w:noProof/>
        </w:rPr>
      </w:pPr>
    </w:p>
    <w:p w14:paraId="403D24C6" w14:textId="4648535D"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Table 3. Non-linear regression equations modeling changes in annual bluegrass (</w:t>
      </w:r>
      <w:r w:rsidRPr="00CD00BD">
        <w:rPr>
          <w:i/>
          <w:noProof/>
        </w:rPr>
        <w:t>Poa annua</w:t>
      </w:r>
      <w:r>
        <w:rPr>
          <w:noProof/>
        </w:rPr>
        <w:t xml:space="preserve"> L.) dry biomass with increasing rates of prodiamine applied to resistant and susceptible biotypes in a glasshouse at the University of Tennessee (Knoxville, TN) in 2015. Prodiamine was applied at 0, 105, 210, 420, 840, 1680, 3360, and 6720 g ha</w:t>
      </w:r>
      <w:r w:rsidRPr="00CD00BD">
        <w:rPr>
          <w:noProof/>
          <w:vertAlign w:val="superscript"/>
        </w:rPr>
        <w:t>-1</w:t>
      </w:r>
      <w:r>
        <w:rPr>
          <w:noProof/>
        </w:rPr>
        <w:t>.</w:t>
      </w:r>
      <w:r>
        <w:rPr>
          <w:noProof/>
        </w:rPr>
        <w:tab/>
      </w:r>
      <w:r>
        <w:rPr>
          <w:noProof/>
        </w:rPr>
        <w:fldChar w:fldCharType="begin"/>
      </w:r>
      <w:r>
        <w:rPr>
          <w:noProof/>
        </w:rPr>
        <w:instrText xml:space="preserve"> PAGEREF _Toc301776055 \h </w:instrText>
      </w:r>
      <w:r>
        <w:rPr>
          <w:noProof/>
        </w:rPr>
      </w:r>
      <w:r>
        <w:rPr>
          <w:noProof/>
        </w:rPr>
        <w:fldChar w:fldCharType="separate"/>
      </w:r>
      <w:r w:rsidR="00B93B16">
        <w:rPr>
          <w:noProof/>
        </w:rPr>
        <w:t>34</w:t>
      </w:r>
      <w:r>
        <w:rPr>
          <w:noProof/>
        </w:rPr>
        <w:fldChar w:fldCharType="end"/>
      </w:r>
    </w:p>
    <w:p w14:paraId="46586494" w14:textId="77777777" w:rsidR="007915DC" w:rsidRDefault="007915DC" w:rsidP="00B914EA">
      <w:pPr>
        <w:pStyle w:val="TableofFigures"/>
        <w:tabs>
          <w:tab w:val="right" w:leader="dot" w:pos="9360"/>
        </w:tabs>
        <w:rPr>
          <w:noProof/>
        </w:rPr>
      </w:pPr>
    </w:p>
    <w:p w14:paraId="04B8A769" w14:textId="5FB2DEA4"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Table 4. Non-linear regression equations modeling changes in annual bluegrass (</w:t>
      </w:r>
      <w:r w:rsidRPr="00CD00BD">
        <w:rPr>
          <w:i/>
          <w:noProof/>
        </w:rPr>
        <w:t>Poa annua</w:t>
      </w:r>
      <w:r>
        <w:rPr>
          <w:noProof/>
        </w:rPr>
        <w:t xml:space="preserve"> L.) control with increasing rates of glyphosate applied to resistant and susceptible biotypes in a glasshouse at the University of Tennessee (Knoxville, TN) in 2015. Glyphosate was applied at 0, 105, 210, 420, 840, 1680, 3360, and 6720 g ha</w:t>
      </w:r>
      <w:r w:rsidRPr="00CD00BD">
        <w:rPr>
          <w:noProof/>
          <w:vertAlign w:val="superscript"/>
        </w:rPr>
        <w:t>-1</w:t>
      </w:r>
      <w:r>
        <w:rPr>
          <w:noProof/>
        </w:rPr>
        <w:t>.</w:t>
      </w:r>
      <w:r>
        <w:rPr>
          <w:noProof/>
        </w:rPr>
        <w:tab/>
      </w:r>
      <w:r>
        <w:rPr>
          <w:noProof/>
        </w:rPr>
        <w:fldChar w:fldCharType="begin"/>
      </w:r>
      <w:r>
        <w:rPr>
          <w:noProof/>
        </w:rPr>
        <w:instrText xml:space="preserve"> PAGEREF _Toc301776056 \h </w:instrText>
      </w:r>
      <w:r>
        <w:rPr>
          <w:noProof/>
        </w:rPr>
      </w:r>
      <w:r>
        <w:rPr>
          <w:noProof/>
        </w:rPr>
        <w:fldChar w:fldCharType="separate"/>
      </w:r>
      <w:r w:rsidR="00B93B16">
        <w:rPr>
          <w:noProof/>
        </w:rPr>
        <w:t>36</w:t>
      </w:r>
      <w:r>
        <w:rPr>
          <w:noProof/>
        </w:rPr>
        <w:fldChar w:fldCharType="end"/>
      </w:r>
    </w:p>
    <w:p w14:paraId="48175A55" w14:textId="77777777" w:rsidR="007915DC" w:rsidRDefault="007915DC" w:rsidP="00B914EA">
      <w:pPr>
        <w:pStyle w:val="TableofFigures"/>
        <w:tabs>
          <w:tab w:val="right" w:leader="dot" w:pos="9360"/>
        </w:tabs>
        <w:rPr>
          <w:noProof/>
        </w:rPr>
      </w:pPr>
    </w:p>
    <w:p w14:paraId="3AFB14B4" w14:textId="6C141AD5"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Table 5. Non-linear regression equations modeling changes in annual bluegrass (</w:t>
      </w:r>
      <w:r w:rsidRPr="00CD00BD">
        <w:rPr>
          <w:i/>
          <w:noProof/>
        </w:rPr>
        <w:t>Poa annua</w:t>
      </w:r>
      <w:r>
        <w:rPr>
          <w:noProof/>
        </w:rPr>
        <w:t xml:space="preserve"> L.) dry biomass with increasing rates of glyphosate applied to resistant and susceptible biotypes in a glasshouse at the University of Tennessee (Knoxville, TN) in 2015. Glyphosate was applied at 0, 105, 210, 420, 840, 1680, 3360, and 6720 g ha</w:t>
      </w:r>
      <w:r w:rsidRPr="00CD00BD">
        <w:rPr>
          <w:noProof/>
          <w:vertAlign w:val="superscript"/>
        </w:rPr>
        <w:t>-1</w:t>
      </w:r>
      <w:r>
        <w:rPr>
          <w:noProof/>
        </w:rPr>
        <w:t>.</w:t>
      </w:r>
      <w:r>
        <w:rPr>
          <w:noProof/>
        </w:rPr>
        <w:tab/>
      </w:r>
      <w:r>
        <w:rPr>
          <w:noProof/>
        </w:rPr>
        <w:fldChar w:fldCharType="begin"/>
      </w:r>
      <w:r>
        <w:rPr>
          <w:noProof/>
        </w:rPr>
        <w:instrText xml:space="preserve"> PAGEREF _Toc301776057 \h </w:instrText>
      </w:r>
      <w:r>
        <w:rPr>
          <w:noProof/>
        </w:rPr>
      </w:r>
      <w:r>
        <w:rPr>
          <w:noProof/>
        </w:rPr>
        <w:fldChar w:fldCharType="separate"/>
      </w:r>
      <w:r w:rsidR="00B93B16">
        <w:rPr>
          <w:noProof/>
        </w:rPr>
        <w:t>38</w:t>
      </w:r>
      <w:r>
        <w:rPr>
          <w:noProof/>
        </w:rPr>
        <w:fldChar w:fldCharType="end"/>
      </w:r>
    </w:p>
    <w:p w14:paraId="42F14B91" w14:textId="77777777" w:rsidR="007915DC" w:rsidRDefault="007915DC" w:rsidP="00B914EA">
      <w:pPr>
        <w:pStyle w:val="TableofFigures"/>
        <w:tabs>
          <w:tab w:val="right" w:leader="dot" w:pos="9360"/>
        </w:tabs>
        <w:rPr>
          <w:noProof/>
        </w:rPr>
      </w:pPr>
    </w:p>
    <w:p w14:paraId="4D5601A6" w14:textId="5A5654BD"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Table 6. Non-linear regression equations modeling changes in glyphosate resistant and susceptible annual bluegrass (</w:t>
      </w:r>
      <w:r w:rsidRPr="00CD00BD">
        <w:rPr>
          <w:i/>
          <w:noProof/>
        </w:rPr>
        <w:t>Poa annua</w:t>
      </w:r>
      <w:r>
        <w:rPr>
          <w:noProof/>
        </w:rPr>
        <w:t xml:space="preserve"> L.) shikimic acid accumulation following treatment with glyphosate at 420 g ha</w:t>
      </w:r>
      <w:r w:rsidRPr="00CD00BD">
        <w:rPr>
          <w:noProof/>
          <w:vertAlign w:val="superscript"/>
        </w:rPr>
        <w:t xml:space="preserve">-1 </w:t>
      </w:r>
      <w:r>
        <w:rPr>
          <w:noProof/>
        </w:rPr>
        <w:t>in glasshouse at the University of Tennessee (Knoxville, TN) in 2015.</w:t>
      </w:r>
      <w:r>
        <w:rPr>
          <w:noProof/>
        </w:rPr>
        <w:tab/>
      </w:r>
      <w:r>
        <w:rPr>
          <w:noProof/>
        </w:rPr>
        <w:fldChar w:fldCharType="begin"/>
      </w:r>
      <w:r>
        <w:rPr>
          <w:noProof/>
        </w:rPr>
        <w:instrText xml:space="preserve"> PAGEREF _Toc301776058 \h </w:instrText>
      </w:r>
      <w:r>
        <w:rPr>
          <w:noProof/>
        </w:rPr>
      </w:r>
      <w:r>
        <w:rPr>
          <w:noProof/>
        </w:rPr>
        <w:fldChar w:fldCharType="separate"/>
      </w:r>
      <w:r w:rsidR="00B93B16">
        <w:rPr>
          <w:noProof/>
        </w:rPr>
        <w:t>40</w:t>
      </w:r>
      <w:r>
        <w:rPr>
          <w:noProof/>
        </w:rPr>
        <w:fldChar w:fldCharType="end"/>
      </w:r>
    </w:p>
    <w:p w14:paraId="3DECC79A" w14:textId="77777777" w:rsidR="007915DC" w:rsidRDefault="007915DC" w:rsidP="00B914EA">
      <w:pPr>
        <w:pStyle w:val="TableofFigures"/>
        <w:tabs>
          <w:tab w:val="right" w:leader="dot" w:pos="9360"/>
        </w:tabs>
        <w:rPr>
          <w:noProof/>
        </w:rPr>
      </w:pPr>
    </w:p>
    <w:p w14:paraId="0A6138B1" w14:textId="164B0418"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Table 7. Effect of prodiamine, glyphosate, and glyphosate + prodiamine applications on annual bluegrass (</w:t>
      </w:r>
      <w:r w:rsidRPr="00CD00BD">
        <w:rPr>
          <w:i/>
          <w:noProof/>
        </w:rPr>
        <w:t>Poa annua</w:t>
      </w:r>
      <w:r>
        <w:rPr>
          <w:noProof/>
        </w:rPr>
        <w:t xml:space="preserve"> L., POAAN) survival during 30 March 2015 to 13 April 2015 at Lambert Acres Golf Club (Alcoa, TN). All prodiamine treatments were applied on 19 August 2014 and all glyphosate treatments were applied on 4 February 2015.</w:t>
      </w:r>
      <w:r>
        <w:rPr>
          <w:noProof/>
        </w:rPr>
        <w:tab/>
      </w:r>
      <w:r>
        <w:rPr>
          <w:noProof/>
        </w:rPr>
        <w:fldChar w:fldCharType="begin"/>
      </w:r>
      <w:r>
        <w:rPr>
          <w:noProof/>
        </w:rPr>
        <w:instrText xml:space="preserve"> PAGEREF _Toc301776059 \h </w:instrText>
      </w:r>
      <w:r>
        <w:rPr>
          <w:noProof/>
        </w:rPr>
      </w:r>
      <w:r>
        <w:rPr>
          <w:noProof/>
        </w:rPr>
        <w:fldChar w:fldCharType="separate"/>
      </w:r>
      <w:r w:rsidR="00B93B16">
        <w:rPr>
          <w:noProof/>
        </w:rPr>
        <w:t>41</w:t>
      </w:r>
      <w:r>
        <w:rPr>
          <w:noProof/>
        </w:rPr>
        <w:fldChar w:fldCharType="end"/>
      </w:r>
    </w:p>
    <w:p w14:paraId="20981D50" w14:textId="61872BA4" w:rsidR="00236E6D" w:rsidRDefault="000F2351" w:rsidP="007915DC">
      <w:pPr>
        <w:numPr>
          <w:ilvl w:val="12"/>
          <w:numId w:val="0"/>
        </w:numPr>
        <w:jc w:val="center"/>
      </w:pPr>
      <w:r>
        <w:rPr>
          <w:b/>
          <w:bCs/>
          <w:sz w:val="28"/>
          <w:szCs w:val="28"/>
        </w:rPr>
        <w:fldChar w:fldCharType="end"/>
      </w:r>
    </w:p>
    <w:p w14:paraId="06A952A5" w14:textId="77777777" w:rsidR="00236E6D" w:rsidRDefault="00236E6D">
      <w:pPr>
        <w:numPr>
          <w:ilvl w:val="12"/>
          <w:numId w:val="0"/>
        </w:numPr>
        <w:jc w:val="center"/>
      </w:pPr>
      <w:r>
        <w:rPr>
          <w:sz w:val="28"/>
          <w:szCs w:val="28"/>
        </w:rPr>
        <w:br w:type="page"/>
      </w:r>
      <w:r>
        <w:rPr>
          <w:b/>
          <w:bCs/>
          <w:sz w:val="28"/>
          <w:szCs w:val="28"/>
        </w:rPr>
        <w:t>LIST OF FIGURES</w:t>
      </w:r>
    </w:p>
    <w:p w14:paraId="28D4297B" w14:textId="77777777" w:rsidR="00236E6D" w:rsidRDefault="00236E6D">
      <w:pPr>
        <w:numPr>
          <w:ilvl w:val="12"/>
          <w:numId w:val="0"/>
        </w:numPr>
      </w:pPr>
    </w:p>
    <w:p w14:paraId="6E482D98"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2F53793" w14:textId="3C886EFB" w:rsidR="007915DC" w:rsidRDefault="000F2351" w:rsidP="00B914EA">
      <w:pPr>
        <w:pStyle w:val="TableofFigures"/>
        <w:tabs>
          <w:tab w:val="right" w:leader="dot" w:pos="9360"/>
        </w:tabs>
        <w:rPr>
          <w:rFonts w:asciiTheme="minorHAnsi" w:eastAsiaTheme="minorEastAsia" w:hAnsiTheme="minorHAnsi" w:cstheme="minorBidi"/>
          <w:noProof/>
          <w:lang w:eastAsia="ja-JP"/>
        </w:rPr>
      </w:pPr>
      <w:r>
        <w:fldChar w:fldCharType="begin"/>
      </w:r>
      <w:r>
        <w:instrText xml:space="preserve"> TOC \t "Figure Heading" \c </w:instrText>
      </w:r>
      <w:r>
        <w:fldChar w:fldCharType="separate"/>
      </w:r>
      <w:r w:rsidR="007915DC">
        <w:rPr>
          <w:noProof/>
        </w:rPr>
        <w:t>Figure 1. Effect of prodiamine treatment on control of prodiamine resistant and susceptible annual bluegrass (</w:t>
      </w:r>
      <w:r w:rsidR="007915DC" w:rsidRPr="00726C60">
        <w:rPr>
          <w:i/>
          <w:noProof/>
        </w:rPr>
        <w:t>Poa annua</w:t>
      </w:r>
      <w:r w:rsidR="007915DC">
        <w:rPr>
          <w:noProof/>
        </w:rPr>
        <w:t xml:space="preserve"> L.) 35 days after treatment (DAT) with prodiamine at 0, 105, 210, 420, 840, 1680, 3360, and 6720 g ha</w:t>
      </w:r>
      <w:r w:rsidR="007915DC" w:rsidRPr="00726C60">
        <w:rPr>
          <w:noProof/>
          <w:vertAlign w:val="superscript"/>
        </w:rPr>
        <w:t>-1</w:t>
      </w:r>
      <w:r w:rsidR="007915DC">
        <w:rPr>
          <w:noProof/>
        </w:rPr>
        <w:t xml:space="preserve"> during spring 2015 in a glasshouse at the University of Tennessee (Knoxville, TN). Prodiamine rates resulting in 50% annual bluegrass control for the resistant and susceptible biotypes were 4117 and 132 g ha</w:t>
      </w:r>
      <w:r w:rsidR="007915DC" w:rsidRPr="00726C60">
        <w:rPr>
          <w:noProof/>
          <w:vertAlign w:val="superscript"/>
        </w:rPr>
        <w:t>-</w:t>
      </w:r>
      <w:r w:rsidR="007915DC" w:rsidRPr="00726C60">
        <w:rPr>
          <w:rFonts w:eastAsiaTheme="minorHAnsi"/>
          <w:noProof/>
          <w:vertAlign w:val="superscript"/>
        </w:rPr>
        <w:t>1</w:t>
      </w:r>
      <w:r w:rsidR="007915DC">
        <w:rPr>
          <w:noProof/>
        </w:rPr>
        <w:t>, respectively. Error bars represent standard error of the mean.</w:t>
      </w:r>
      <w:r w:rsidR="007915DC">
        <w:rPr>
          <w:noProof/>
        </w:rPr>
        <w:tab/>
      </w:r>
      <w:r w:rsidR="007915DC">
        <w:rPr>
          <w:noProof/>
        </w:rPr>
        <w:fldChar w:fldCharType="begin"/>
      </w:r>
      <w:r w:rsidR="007915DC">
        <w:rPr>
          <w:noProof/>
        </w:rPr>
        <w:instrText xml:space="preserve"> PAGEREF _Toc301776146 \h </w:instrText>
      </w:r>
      <w:r w:rsidR="007915DC">
        <w:rPr>
          <w:noProof/>
        </w:rPr>
      </w:r>
      <w:r w:rsidR="007915DC">
        <w:rPr>
          <w:noProof/>
        </w:rPr>
        <w:fldChar w:fldCharType="separate"/>
      </w:r>
      <w:r w:rsidR="00B93B16">
        <w:rPr>
          <w:noProof/>
        </w:rPr>
        <w:t>31</w:t>
      </w:r>
      <w:r w:rsidR="007915DC">
        <w:rPr>
          <w:noProof/>
        </w:rPr>
        <w:fldChar w:fldCharType="end"/>
      </w:r>
    </w:p>
    <w:p w14:paraId="53CC26C1" w14:textId="77777777" w:rsidR="007915DC" w:rsidRDefault="007915DC" w:rsidP="00B914EA">
      <w:pPr>
        <w:pStyle w:val="TableofFigures"/>
        <w:tabs>
          <w:tab w:val="right" w:leader="dot" w:pos="8630"/>
          <w:tab w:val="right" w:leader="dot" w:pos="9360"/>
        </w:tabs>
        <w:rPr>
          <w:noProof/>
        </w:rPr>
      </w:pPr>
    </w:p>
    <w:p w14:paraId="0461CA43" w14:textId="5916647B"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Figure 2. Effect of prodiamine treatment on dry biomass of prodiamine resistant and susceptible annual bluegrass (</w:t>
      </w:r>
      <w:r w:rsidRPr="00726C60">
        <w:rPr>
          <w:i/>
          <w:noProof/>
        </w:rPr>
        <w:t>Poa annua</w:t>
      </w:r>
      <w:r>
        <w:rPr>
          <w:noProof/>
        </w:rPr>
        <w:t xml:space="preserve"> L.) 35 days after treatment (DAT) with prodiamine at 0, 105, 210, 420, 840, 1680, 3360, and 6720 g ha</w:t>
      </w:r>
      <w:r w:rsidRPr="00726C60">
        <w:rPr>
          <w:noProof/>
          <w:vertAlign w:val="superscript"/>
        </w:rPr>
        <w:t>-1</w:t>
      </w:r>
      <w:r>
        <w:rPr>
          <w:noProof/>
        </w:rPr>
        <w:t xml:space="preserve"> during spring 2015 in a glasshouse at the University of Tennessee (Knoxville, TN). Prodiamine rates resulting in 50% annual bluegrass dry biomass reduction for the resistant and susceptible biotypes were 1006 and 45 g ha</w:t>
      </w:r>
      <w:r w:rsidRPr="00726C60">
        <w:rPr>
          <w:noProof/>
          <w:vertAlign w:val="superscript"/>
        </w:rPr>
        <w:t>-</w:t>
      </w:r>
      <w:r w:rsidRPr="00726C60">
        <w:rPr>
          <w:rFonts w:eastAsiaTheme="minorHAnsi"/>
          <w:noProof/>
          <w:vertAlign w:val="superscript"/>
        </w:rPr>
        <w:t>1</w:t>
      </w:r>
      <w:r>
        <w:rPr>
          <w:noProof/>
        </w:rPr>
        <w:t>, respectively. Error bars represent standard error of the mean.</w:t>
      </w:r>
      <w:r>
        <w:rPr>
          <w:noProof/>
        </w:rPr>
        <w:tab/>
      </w:r>
      <w:r>
        <w:rPr>
          <w:noProof/>
        </w:rPr>
        <w:fldChar w:fldCharType="begin"/>
      </w:r>
      <w:r>
        <w:rPr>
          <w:noProof/>
        </w:rPr>
        <w:instrText xml:space="preserve"> PAGEREF _Toc301776147 \h </w:instrText>
      </w:r>
      <w:r>
        <w:rPr>
          <w:noProof/>
        </w:rPr>
      </w:r>
      <w:r>
        <w:rPr>
          <w:noProof/>
        </w:rPr>
        <w:fldChar w:fldCharType="separate"/>
      </w:r>
      <w:r w:rsidR="00B93B16">
        <w:rPr>
          <w:noProof/>
        </w:rPr>
        <w:t>33</w:t>
      </w:r>
      <w:r>
        <w:rPr>
          <w:noProof/>
        </w:rPr>
        <w:fldChar w:fldCharType="end"/>
      </w:r>
    </w:p>
    <w:p w14:paraId="59F7A8DB" w14:textId="77777777" w:rsidR="007915DC" w:rsidRDefault="007915DC" w:rsidP="00B914EA">
      <w:pPr>
        <w:pStyle w:val="TableofFigures"/>
        <w:tabs>
          <w:tab w:val="right" w:leader="dot" w:pos="8630"/>
          <w:tab w:val="right" w:leader="dot" w:pos="9360"/>
        </w:tabs>
        <w:rPr>
          <w:noProof/>
        </w:rPr>
      </w:pPr>
    </w:p>
    <w:p w14:paraId="3699273C" w14:textId="4B199F98" w:rsidR="007915DC" w:rsidRDefault="007915DC" w:rsidP="00B914EA">
      <w:pPr>
        <w:pStyle w:val="TableofFigures"/>
        <w:tabs>
          <w:tab w:val="right" w:leader="dot" w:pos="9360"/>
        </w:tabs>
        <w:rPr>
          <w:rFonts w:asciiTheme="minorHAnsi" w:eastAsiaTheme="minorEastAsia" w:hAnsiTheme="minorHAnsi" w:cstheme="minorBidi"/>
          <w:noProof/>
          <w:lang w:eastAsia="ja-JP"/>
        </w:rPr>
      </w:pPr>
      <w:bookmarkStart w:id="0" w:name="_GoBack"/>
      <w:r>
        <w:rPr>
          <w:noProof/>
        </w:rPr>
        <w:t>Figure 3. Effect of glyphosate treatment on control of glyphosate resistant and susceptible annual bluegrass (</w:t>
      </w:r>
      <w:r w:rsidRPr="00726C60">
        <w:rPr>
          <w:i/>
          <w:noProof/>
        </w:rPr>
        <w:t>Poa annua</w:t>
      </w:r>
      <w:r>
        <w:rPr>
          <w:noProof/>
        </w:rPr>
        <w:t xml:space="preserve"> L.) 35 days after treatment (DAT) with glyphosate at 0, 105, 210, 420, 840, 1680, 3360, and 6720 g ha</w:t>
      </w:r>
      <w:r w:rsidRPr="00726C60">
        <w:rPr>
          <w:noProof/>
          <w:vertAlign w:val="superscript"/>
        </w:rPr>
        <w:t>-1</w:t>
      </w:r>
      <w:r>
        <w:rPr>
          <w:noProof/>
        </w:rPr>
        <w:t xml:space="preserve"> during spring 2015 in a glasshouse at the University of Tennessee (Knoxville, TN). Glyphosate rates resulting in 50% annual bluegrass control for the resistant and susceptible biotypes were 3908 and 393 g ha</w:t>
      </w:r>
      <w:r w:rsidRPr="00726C60">
        <w:rPr>
          <w:noProof/>
          <w:vertAlign w:val="superscript"/>
        </w:rPr>
        <w:t>-1</w:t>
      </w:r>
      <w:r>
        <w:rPr>
          <w:noProof/>
        </w:rPr>
        <w:t>, respectively. Error bars represent standard error of the mean.</w:t>
      </w:r>
      <w:r>
        <w:rPr>
          <w:noProof/>
        </w:rPr>
        <w:tab/>
      </w:r>
      <w:r>
        <w:rPr>
          <w:noProof/>
        </w:rPr>
        <w:fldChar w:fldCharType="begin"/>
      </w:r>
      <w:r>
        <w:rPr>
          <w:noProof/>
        </w:rPr>
        <w:instrText xml:space="preserve"> PAGEREF _Toc301776148 \h </w:instrText>
      </w:r>
      <w:r>
        <w:rPr>
          <w:noProof/>
        </w:rPr>
      </w:r>
      <w:r>
        <w:rPr>
          <w:noProof/>
        </w:rPr>
        <w:fldChar w:fldCharType="separate"/>
      </w:r>
      <w:r w:rsidR="00B93B16">
        <w:rPr>
          <w:noProof/>
        </w:rPr>
        <w:t>35</w:t>
      </w:r>
      <w:r>
        <w:rPr>
          <w:noProof/>
        </w:rPr>
        <w:fldChar w:fldCharType="end"/>
      </w:r>
    </w:p>
    <w:p w14:paraId="0D15C53C" w14:textId="77777777" w:rsidR="007915DC" w:rsidRDefault="007915DC" w:rsidP="00B914EA">
      <w:pPr>
        <w:pStyle w:val="TableofFigures"/>
        <w:tabs>
          <w:tab w:val="right" w:leader="dot" w:pos="9360"/>
        </w:tabs>
        <w:rPr>
          <w:noProof/>
        </w:rPr>
      </w:pPr>
    </w:p>
    <w:p w14:paraId="2C82F9CC" w14:textId="310C6D0D"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Figure 4. Effect of glyphosate treatment on dry biomass of glyphosate resistant and susceptible annual bluegrass (</w:t>
      </w:r>
      <w:r w:rsidRPr="00726C60">
        <w:rPr>
          <w:i/>
          <w:noProof/>
        </w:rPr>
        <w:t>Poa annua</w:t>
      </w:r>
      <w:r>
        <w:rPr>
          <w:noProof/>
        </w:rPr>
        <w:t xml:space="preserve"> L.) 35 days after treatment (DAT) with glyphosate at 0, 105, 210, 420, 840, 1680, 3360, and 6720 g ha</w:t>
      </w:r>
      <w:r w:rsidRPr="00726C60">
        <w:rPr>
          <w:noProof/>
          <w:vertAlign w:val="superscript"/>
        </w:rPr>
        <w:t>-1</w:t>
      </w:r>
      <w:r>
        <w:rPr>
          <w:noProof/>
        </w:rPr>
        <w:t xml:space="preserve"> during spring 2015 in a glasshouse at the University of Tennessee (Knoxville, TN). Glyphosate rates resulting in 50% annual bluegrass dry biomass reduction for the resistant and susceptible biotypes were 1940 and 229 g ha</w:t>
      </w:r>
      <w:r w:rsidRPr="00726C60">
        <w:rPr>
          <w:noProof/>
          <w:vertAlign w:val="superscript"/>
        </w:rPr>
        <w:t>-</w:t>
      </w:r>
      <w:r w:rsidRPr="00726C60">
        <w:rPr>
          <w:rFonts w:eastAsiaTheme="minorHAnsi"/>
          <w:noProof/>
          <w:vertAlign w:val="superscript"/>
        </w:rPr>
        <w:t>1</w:t>
      </w:r>
      <w:r>
        <w:rPr>
          <w:noProof/>
        </w:rPr>
        <w:t>, respectively. Error bars represent standard error of the mean.</w:t>
      </w:r>
      <w:r>
        <w:rPr>
          <w:noProof/>
        </w:rPr>
        <w:tab/>
      </w:r>
      <w:r>
        <w:rPr>
          <w:noProof/>
        </w:rPr>
        <w:fldChar w:fldCharType="begin"/>
      </w:r>
      <w:r>
        <w:rPr>
          <w:noProof/>
        </w:rPr>
        <w:instrText xml:space="preserve"> PAGEREF _Toc301776149 \h </w:instrText>
      </w:r>
      <w:r>
        <w:rPr>
          <w:noProof/>
        </w:rPr>
      </w:r>
      <w:r>
        <w:rPr>
          <w:noProof/>
        </w:rPr>
        <w:fldChar w:fldCharType="separate"/>
      </w:r>
      <w:r w:rsidR="00B93B16">
        <w:rPr>
          <w:noProof/>
        </w:rPr>
        <w:t>37</w:t>
      </w:r>
      <w:r>
        <w:rPr>
          <w:noProof/>
        </w:rPr>
        <w:fldChar w:fldCharType="end"/>
      </w:r>
    </w:p>
    <w:p w14:paraId="173C42F3" w14:textId="77777777" w:rsidR="007915DC" w:rsidRDefault="007915DC" w:rsidP="00B914EA">
      <w:pPr>
        <w:pStyle w:val="TableofFigures"/>
        <w:tabs>
          <w:tab w:val="right" w:leader="dot" w:pos="9360"/>
        </w:tabs>
        <w:rPr>
          <w:noProof/>
        </w:rPr>
      </w:pPr>
    </w:p>
    <w:p w14:paraId="37B5C826" w14:textId="44C0559A" w:rsidR="007915DC" w:rsidRDefault="007915DC" w:rsidP="00B914EA">
      <w:pPr>
        <w:pStyle w:val="TableofFigures"/>
        <w:tabs>
          <w:tab w:val="right" w:leader="dot" w:pos="9360"/>
        </w:tabs>
        <w:rPr>
          <w:rFonts w:asciiTheme="minorHAnsi" w:eastAsiaTheme="minorEastAsia" w:hAnsiTheme="minorHAnsi" w:cstheme="minorBidi"/>
          <w:noProof/>
          <w:lang w:eastAsia="ja-JP"/>
        </w:rPr>
      </w:pPr>
      <w:r>
        <w:rPr>
          <w:noProof/>
        </w:rPr>
        <w:t>Figure 5. Shikimate concentration</w:t>
      </w:r>
      <w:r w:rsidRPr="00075E45">
        <w:rPr>
          <w:noProof/>
        </w:rPr>
        <w:t>s (</w:t>
      </w:r>
      <w:r w:rsidR="004C7C4F" w:rsidRPr="00075E45">
        <w:rPr>
          <w:noProof/>
        </w:rPr>
        <w:t>mg</w:t>
      </w:r>
      <w:r w:rsidR="00A863D0" w:rsidRPr="00075E45">
        <w:rPr>
          <w:noProof/>
        </w:rPr>
        <w:t xml:space="preserve"> kg</w:t>
      </w:r>
      <w:r w:rsidR="00A863D0" w:rsidRPr="00075E45">
        <w:rPr>
          <w:noProof/>
          <w:vertAlign w:val="superscript"/>
        </w:rPr>
        <w:t>-1</w:t>
      </w:r>
      <w:r w:rsidRPr="00075E45">
        <w:rPr>
          <w:noProof/>
        </w:rPr>
        <w:t>) in glyphosate resistant and susceptible annual bluegrass (</w:t>
      </w:r>
      <w:r w:rsidRPr="00075E45">
        <w:rPr>
          <w:i/>
          <w:noProof/>
        </w:rPr>
        <w:t>Poa annua</w:t>
      </w:r>
      <w:r w:rsidRPr="00075E45">
        <w:rPr>
          <w:noProof/>
        </w:rPr>
        <w:t xml:space="preserve"> L.) following treatment with glyphosate at 420 g ha</w:t>
      </w:r>
      <w:r w:rsidRPr="00075E45">
        <w:rPr>
          <w:noProof/>
          <w:vertAlign w:val="superscript"/>
        </w:rPr>
        <w:t>-1</w:t>
      </w:r>
      <w:r w:rsidRPr="00075E45">
        <w:rPr>
          <w:noProof/>
        </w:rPr>
        <w:t xml:space="preserve">. Error bars represent standard error of the mean for each biotype at each timing. Shikimate concentrations in non-treated GR and SS plants were &lt; 200 </w:t>
      </w:r>
      <w:r w:rsidR="004C7C4F" w:rsidRPr="00075E45">
        <w:rPr>
          <w:noProof/>
        </w:rPr>
        <w:t>mg</w:t>
      </w:r>
      <w:r w:rsidR="00A863D0" w:rsidRPr="00075E45">
        <w:rPr>
          <w:noProof/>
        </w:rPr>
        <w:t xml:space="preserve"> kg</w:t>
      </w:r>
      <w:r w:rsidR="00A863D0" w:rsidRPr="00075E45">
        <w:rPr>
          <w:noProof/>
          <w:vertAlign w:val="superscript"/>
        </w:rPr>
        <w:t>-1</w:t>
      </w:r>
      <w:r w:rsidRPr="00075E45">
        <w:rPr>
          <w:noProof/>
        </w:rPr>
        <w:t xml:space="preserve">. Shikimate concentrations plateaued at 393.4 </w:t>
      </w:r>
      <w:r w:rsidR="004C7C4F" w:rsidRPr="00075E45">
        <w:rPr>
          <w:noProof/>
          <w:color w:val="000000"/>
        </w:rPr>
        <w:t>mg</w:t>
      </w:r>
      <w:r w:rsidR="00016EFC" w:rsidRPr="00075E45">
        <w:rPr>
          <w:noProof/>
          <w:color w:val="000000"/>
        </w:rPr>
        <w:t xml:space="preserve"> kg</w:t>
      </w:r>
      <w:r w:rsidR="00016EFC" w:rsidRPr="00075E45">
        <w:rPr>
          <w:noProof/>
          <w:color w:val="000000"/>
          <w:vertAlign w:val="superscript"/>
        </w:rPr>
        <w:t>-1</w:t>
      </w:r>
      <w:r w:rsidRPr="00075E45">
        <w:rPr>
          <w:noProof/>
        </w:rPr>
        <w:t xml:space="preserve"> and 898.4 </w:t>
      </w:r>
      <w:r w:rsidR="004C7C4F" w:rsidRPr="00075E45">
        <w:rPr>
          <w:noProof/>
          <w:color w:val="000000"/>
        </w:rPr>
        <w:t>mg</w:t>
      </w:r>
      <w:r w:rsidR="00016EFC" w:rsidRPr="00075E45">
        <w:rPr>
          <w:noProof/>
          <w:color w:val="000000"/>
        </w:rPr>
        <w:t xml:space="preserve"> kg</w:t>
      </w:r>
      <w:r w:rsidR="00016EFC" w:rsidRPr="00075E45">
        <w:rPr>
          <w:noProof/>
          <w:color w:val="000000"/>
          <w:vertAlign w:val="superscript"/>
        </w:rPr>
        <w:t>-1</w:t>
      </w:r>
      <w:r w:rsidRPr="00075E45">
        <w:rPr>
          <w:noProof/>
        </w:rPr>
        <w:t xml:space="preserve"> for resi</w:t>
      </w:r>
      <w:r>
        <w:rPr>
          <w:noProof/>
        </w:rPr>
        <w:t>stant and susceptible POAAN biotypes respectively.</w:t>
      </w:r>
      <w:r>
        <w:rPr>
          <w:noProof/>
        </w:rPr>
        <w:tab/>
      </w:r>
      <w:r>
        <w:rPr>
          <w:noProof/>
        </w:rPr>
        <w:fldChar w:fldCharType="begin"/>
      </w:r>
      <w:r>
        <w:rPr>
          <w:noProof/>
        </w:rPr>
        <w:instrText xml:space="preserve"> PAGEREF _Toc301776150 \h </w:instrText>
      </w:r>
      <w:r>
        <w:rPr>
          <w:noProof/>
        </w:rPr>
      </w:r>
      <w:r>
        <w:rPr>
          <w:noProof/>
        </w:rPr>
        <w:fldChar w:fldCharType="separate"/>
      </w:r>
      <w:r w:rsidR="00B93B16">
        <w:rPr>
          <w:noProof/>
        </w:rPr>
        <w:t>39</w:t>
      </w:r>
      <w:r>
        <w:rPr>
          <w:noProof/>
        </w:rPr>
        <w:fldChar w:fldCharType="end"/>
      </w:r>
    </w:p>
    <w:bookmarkEnd w:id="0"/>
    <w:p w14:paraId="395CA30D" w14:textId="1EC92DA8" w:rsidR="003C1575" w:rsidRDefault="000F2351">
      <w:pPr>
        <w:numPr>
          <w:ilvl w:val="12"/>
          <w:numId w:val="0"/>
        </w:numPr>
        <w:sectPr w:rsidR="003C1575" w:rsidSect="003211B3">
          <w:headerReference w:type="even" r:id="rId9"/>
          <w:headerReference w:type="default" r:id="rId10"/>
          <w:footerReference w:type="default" r:id="rId11"/>
          <w:pgSz w:w="12240" w:h="15840" w:code="1"/>
          <w:pgMar w:top="1440" w:right="1440" w:bottom="1440" w:left="1440" w:header="1440" w:footer="1440" w:gutter="0"/>
          <w:pgNumType w:fmt="lowerRoman" w:start="1"/>
          <w:cols w:space="720"/>
          <w:noEndnote/>
          <w:titlePg/>
        </w:sectPr>
      </w:pPr>
      <w:r>
        <w:fldChar w:fldCharType="end"/>
      </w:r>
    </w:p>
    <w:p w14:paraId="7171B8F0" w14:textId="43AA5195" w:rsidR="00FA351D" w:rsidRPr="00F678F1" w:rsidRDefault="00236E6D" w:rsidP="004C3D3C">
      <w:pPr>
        <w:pStyle w:val="StyleHeading1Centered"/>
        <w:spacing w:line="480" w:lineRule="auto"/>
        <w:contextualSpacing/>
      </w:pPr>
      <w:bookmarkStart w:id="1" w:name="_Toc301775810"/>
      <w:bookmarkStart w:id="2" w:name="_Toc308873386"/>
      <w:bookmarkStart w:id="3" w:name="_Toc308873587"/>
      <w:r w:rsidRPr="00F678F1">
        <w:t xml:space="preserve">CHAPTER </w:t>
      </w:r>
      <w:r w:rsidR="00FA351D" w:rsidRPr="00F678F1">
        <w:t>1</w:t>
      </w:r>
      <w:bookmarkEnd w:id="1"/>
      <w:bookmarkEnd w:id="2"/>
      <w:bookmarkEnd w:id="3"/>
    </w:p>
    <w:p w14:paraId="31E7FF4B" w14:textId="6E8D1459" w:rsidR="00D15DB4" w:rsidRPr="00F678F1" w:rsidRDefault="003A6B6E" w:rsidP="004C3D3C">
      <w:pPr>
        <w:pStyle w:val="StyleHeading1Centered"/>
        <w:spacing w:line="480" w:lineRule="auto"/>
        <w:contextualSpacing/>
      </w:pPr>
      <w:bookmarkStart w:id="4" w:name="_Toc308873588"/>
      <w:r w:rsidRPr="00F678F1">
        <w:t>INTRODUCTION AND GENERAL INFORMATION</w:t>
      </w:r>
      <w:bookmarkEnd w:id="4"/>
    </w:p>
    <w:p w14:paraId="3A63152B" w14:textId="77777777" w:rsidR="00236E6D" w:rsidRPr="00F678F1" w:rsidRDefault="00236E6D" w:rsidP="004C3D3C">
      <w:pPr>
        <w:numPr>
          <w:ilvl w:val="12"/>
          <w:numId w:val="0"/>
        </w:numPr>
        <w:spacing w:line="480" w:lineRule="auto"/>
        <w:contextualSpacing/>
        <w:jc w:val="center"/>
      </w:pPr>
    </w:p>
    <w:p w14:paraId="0DEBDC50" w14:textId="241FE996" w:rsidR="00874445" w:rsidRPr="004C3D3C" w:rsidRDefault="00C056AA" w:rsidP="004C3D3C">
      <w:pPr>
        <w:pStyle w:val="Heading2"/>
        <w:spacing w:line="480" w:lineRule="auto"/>
        <w:contextualSpacing/>
        <w:rPr>
          <w:b w:val="0"/>
          <w:i/>
          <w:sz w:val="24"/>
          <w:szCs w:val="24"/>
        </w:rPr>
      </w:pPr>
      <w:bookmarkStart w:id="5" w:name="_Toc308873589"/>
      <w:r w:rsidRPr="004C3D3C">
        <w:rPr>
          <w:rStyle w:val="Heading3Char"/>
          <w:b/>
          <w:i w:val="0"/>
          <w:sz w:val="24"/>
          <w:szCs w:val="24"/>
        </w:rPr>
        <w:t xml:space="preserve">Annual </w:t>
      </w:r>
      <w:r w:rsidR="00F91379" w:rsidRPr="004C3D3C">
        <w:rPr>
          <w:rStyle w:val="Heading3Char"/>
          <w:b/>
          <w:i w:val="0"/>
          <w:sz w:val="24"/>
          <w:szCs w:val="24"/>
        </w:rPr>
        <w:t>Bluegrass as a Weed</w:t>
      </w:r>
      <w:bookmarkEnd w:id="5"/>
      <w:r w:rsidR="004977F5" w:rsidRPr="004C3D3C">
        <w:rPr>
          <w:b w:val="0"/>
          <w:i/>
          <w:sz w:val="24"/>
          <w:szCs w:val="24"/>
        </w:rPr>
        <w:t xml:space="preserve"> </w:t>
      </w:r>
    </w:p>
    <w:p w14:paraId="2C974779" w14:textId="0FB3DEBF" w:rsidR="005D55A4" w:rsidRDefault="00A760C8" w:rsidP="004C3D3C">
      <w:pPr>
        <w:spacing w:line="480" w:lineRule="auto"/>
        <w:contextualSpacing/>
      </w:pPr>
      <w:r>
        <w:tab/>
      </w:r>
      <w:r w:rsidR="005D55A4" w:rsidRPr="00F678F1">
        <w:t>Annual bluegrass (</w:t>
      </w:r>
      <w:r w:rsidR="005D55A4" w:rsidRPr="00F678F1">
        <w:rPr>
          <w:i/>
        </w:rPr>
        <w:t>Poa annua</w:t>
      </w:r>
      <w:r w:rsidR="005D55A4" w:rsidRPr="00F678F1">
        <w:t xml:space="preserve"> L.; POAAN) is a cool-season weed that commonly infests warm-season turfgrasses during winter dormancy. Differences in color, growth habit, and seed production render POAAN a problematic weed that can reduce turfgrass aesthetics, functionality, and surface uniformity (Beard et al. 1978). POAAN can persist under a range of mowing heights and produce seed heads at heights as low as 6 mm (Beard et al. 1978). Moreover, individual POAAN plants can produce </w:t>
      </w:r>
      <w:r w:rsidR="00E94F16" w:rsidRPr="00F678F1">
        <w:t xml:space="preserve">up to </w:t>
      </w:r>
      <w:r w:rsidR="005D55A4" w:rsidRPr="00F678F1">
        <w:t>2,577 viable seeds m</w:t>
      </w:r>
      <w:r w:rsidR="005D55A4" w:rsidRPr="00F678F1">
        <w:rPr>
          <w:vertAlign w:val="superscript"/>
        </w:rPr>
        <w:t>-2</w:t>
      </w:r>
      <w:r w:rsidR="005D55A4" w:rsidRPr="00F678F1">
        <w:t xml:space="preserve"> in the top 2.5 cm of soil (Watschke et al. 1979). This characteristic may be a factor in annual bluegrass becoming the most common weed in which herbicide resistance has been reported in managed turf (Heap 201</w:t>
      </w:r>
      <w:r w:rsidR="00965254" w:rsidRPr="00F678F1">
        <w:t>5</w:t>
      </w:r>
      <w:r w:rsidR="005D55A4" w:rsidRPr="00F678F1">
        <w:t>).  The ability of a weed to produce large quantities of viable seed annually is common among species that are prone to developing resistance to herbicides (Gressel and Levy 2006).</w:t>
      </w:r>
    </w:p>
    <w:p w14:paraId="05B58CCA" w14:textId="77777777" w:rsidR="005A6552" w:rsidRPr="00F678F1" w:rsidRDefault="005A6552" w:rsidP="004C3D3C">
      <w:pPr>
        <w:spacing w:line="480" w:lineRule="auto"/>
        <w:contextualSpacing/>
      </w:pPr>
    </w:p>
    <w:p w14:paraId="0A4F1B33" w14:textId="26C34DC0" w:rsidR="008D3ED9" w:rsidRPr="004C3D3C" w:rsidRDefault="005D55A4" w:rsidP="004C3D3C">
      <w:pPr>
        <w:pStyle w:val="Heading2"/>
        <w:spacing w:line="480" w:lineRule="auto"/>
        <w:contextualSpacing/>
        <w:rPr>
          <w:sz w:val="24"/>
          <w:szCs w:val="24"/>
        </w:rPr>
      </w:pPr>
      <w:bookmarkStart w:id="6" w:name="_Toc308873590"/>
      <w:r w:rsidRPr="004C3D3C">
        <w:rPr>
          <w:rStyle w:val="Heading3Char"/>
          <w:b/>
          <w:i w:val="0"/>
          <w:sz w:val="24"/>
          <w:szCs w:val="24"/>
        </w:rPr>
        <w:t xml:space="preserve">Instances of POAAN </w:t>
      </w:r>
      <w:r w:rsidR="00F91379" w:rsidRPr="004C3D3C">
        <w:rPr>
          <w:rStyle w:val="Heading3Char"/>
          <w:b/>
          <w:i w:val="0"/>
          <w:sz w:val="24"/>
          <w:szCs w:val="24"/>
        </w:rPr>
        <w:t>Evolving Resistance</w:t>
      </w:r>
      <w:bookmarkEnd w:id="6"/>
      <w:r w:rsidRPr="004C3D3C">
        <w:rPr>
          <w:sz w:val="24"/>
          <w:szCs w:val="24"/>
        </w:rPr>
        <w:t xml:space="preserve"> </w:t>
      </w:r>
    </w:p>
    <w:p w14:paraId="2CA4D149" w14:textId="49FDAFCA" w:rsidR="005A6552" w:rsidRPr="00210974" w:rsidRDefault="008D3ED9" w:rsidP="004C3D3C">
      <w:pPr>
        <w:spacing w:line="480" w:lineRule="auto"/>
        <w:contextualSpacing/>
      </w:pPr>
      <w:r w:rsidRPr="00F678F1">
        <w:tab/>
      </w:r>
      <w:r w:rsidR="005D55A4" w:rsidRPr="00F678F1">
        <w:t xml:space="preserve">POAAN evolving resistance to POST herbicides </w:t>
      </w:r>
      <w:r w:rsidR="00E94F16" w:rsidRPr="00F678F1">
        <w:t xml:space="preserve">has </w:t>
      </w:r>
      <w:r w:rsidR="005D55A4" w:rsidRPr="00F678F1">
        <w:t>been reported throughout the transition zone southward. POAAN resistance to glyphosate has been confirmed following applications of glyphosate for winter annual weed control during dormancy on golf courses (Binkholder et al. 2011; Brosnan et al. 2012). In Missouri, applications of glyphosate at 6.28 kg ha</w:t>
      </w:r>
      <w:r w:rsidR="005D55A4" w:rsidRPr="00F678F1">
        <w:rPr>
          <w:vertAlign w:val="superscript"/>
        </w:rPr>
        <w:t>-1</w:t>
      </w:r>
      <w:r w:rsidR="005D55A4" w:rsidRPr="00F678F1">
        <w:t xml:space="preserve"> only reduced the biomass of a glyphosate-resistant (GR) POAAN biotype 60% compared to the &gt;95% reductions observed following glyphosate applications at 0.78 kg ha</w:t>
      </w:r>
      <w:r w:rsidR="005D55A4" w:rsidRPr="00F678F1">
        <w:rPr>
          <w:vertAlign w:val="superscript"/>
        </w:rPr>
        <w:t xml:space="preserve">-1 </w:t>
      </w:r>
      <w:r w:rsidR="005D55A4" w:rsidRPr="00F678F1">
        <w:t>to a glyphosate-susceptible (GS) population (Binkholder et al. 2011). Similarly, a GR POAAN population in Tennessee was only controlled 76% with glyphosate at 6,720 g ha</w:t>
      </w:r>
      <w:r w:rsidR="005D55A4" w:rsidRPr="00F678F1">
        <w:rPr>
          <w:vertAlign w:val="superscript"/>
        </w:rPr>
        <w:t>-1</w:t>
      </w:r>
      <w:r w:rsidR="005D55A4" w:rsidRPr="00F678F1">
        <w:t>; comparatively, applications of glyphosate at 420 g ha</w:t>
      </w:r>
      <w:r w:rsidR="005D55A4" w:rsidRPr="00F678F1">
        <w:rPr>
          <w:vertAlign w:val="superscript"/>
        </w:rPr>
        <w:t>-1</w:t>
      </w:r>
      <w:r w:rsidR="005D55A4" w:rsidRPr="00F678F1">
        <w:t xml:space="preserve"> controlled a GS POAAN population &gt;95% (Brosnan et al. 2012). The researchers also observed greater shikimate accumulation in the GS biotype compared to the GR population following glyphosate treatment at 420 g ha</w:t>
      </w:r>
      <w:r w:rsidR="005D55A4" w:rsidRPr="00F678F1">
        <w:rPr>
          <w:vertAlign w:val="superscript"/>
        </w:rPr>
        <w:t>-1</w:t>
      </w:r>
      <w:r w:rsidR="005D55A4" w:rsidRPr="00F678F1">
        <w:t>.</w:t>
      </w:r>
      <w:r w:rsidR="00FA351D" w:rsidRPr="00F678F1">
        <w:t xml:space="preserve"> </w:t>
      </w:r>
      <w:r w:rsidR="006C4FC2" w:rsidRPr="00F678F1">
        <w:t>R</w:t>
      </w:r>
      <w:r w:rsidR="00C122D8" w:rsidRPr="00F678F1">
        <w:t>ecently</w:t>
      </w:r>
      <w:r w:rsidR="00120B5E" w:rsidRPr="00F678F1">
        <w:t>,</w:t>
      </w:r>
      <w:r w:rsidR="006C4FC2" w:rsidRPr="00F678F1">
        <w:t xml:space="preserve"> </w:t>
      </w:r>
      <w:r w:rsidR="00120B5E" w:rsidRPr="00F678F1">
        <w:t xml:space="preserve">a GR POAAN population </w:t>
      </w:r>
      <w:r w:rsidR="007309C8" w:rsidRPr="00F678F1">
        <w:t xml:space="preserve">in South Carolina </w:t>
      </w:r>
      <w:r w:rsidR="00120B5E" w:rsidRPr="00F678F1">
        <w:t>required 810 g</w:t>
      </w:r>
      <w:r w:rsidR="007309C8" w:rsidRPr="00F678F1">
        <w:t xml:space="preserve"> ae</w:t>
      </w:r>
      <w:r w:rsidR="00120B5E" w:rsidRPr="00F678F1">
        <w:t xml:space="preserve"> ha</w:t>
      </w:r>
      <w:r w:rsidR="00120B5E" w:rsidRPr="00F678F1">
        <w:rPr>
          <w:vertAlign w:val="superscript"/>
        </w:rPr>
        <w:t>-1</w:t>
      </w:r>
      <w:r w:rsidR="00120B5E" w:rsidRPr="00F678F1">
        <w:t xml:space="preserve"> </w:t>
      </w:r>
      <w:r w:rsidR="007309C8" w:rsidRPr="00F678F1">
        <w:t xml:space="preserve">to reduce dry biomass by 50%, </w:t>
      </w:r>
      <w:r w:rsidR="00F617F0" w:rsidRPr="00F678F1">
        <w:t>compared to</w:t>
      </w:r>
      <w:r w:rsidR="007309C8" w:rsidRPr="00F678F1">
        <w:t xml:space="preserve"> 180 g ae ha</w:t>
      </w:r>
      <w:r w:rsidR="007309C8" w:rsidRPr="00F678F1">
        <w:rPr>
          <w:vertAlign w:val="superscript"/>
        </w:rPr>
        <w:t>-</w:t>
      </w:r>
      <w:r w:rsidR="006C4FC2" w:rsidRPr="00F678F1">
        <w:rPr>
          <w:vertAlign w:val="superscript"/>
        </w:rPr>
        <w:t>1</w:t>
      </w:r>
      <w:r w:rsidR="00F617F0" w:rsidRPr="00F678F1">
        <w:rPr>
          <w:vertAlign w:val="superscript"/>
        </w:rPr>
        <w:t xml:space="preserve"> </w:t>
      </w:r>
      <w:r w:rsidR="00F617F0" w:rsidRPr="00F678F1">
        <w:t>for a GS population</w:t>
      </w:r>
      <w:r w:rsidR="006C4FC2" w:rsidRPr="00F678F1">
        <w:t xml:space="preserve"> (Cross et al. 2015).</w:t>
      </w:r>
      <w:r w:rsidR="007309C8" w:rsidRPr="00F678F1">
        <w:t xml:space="preserve"> </w:t>
      </w:r>
      <w:r w:rsidR="008C724D" w:rsidRPr="00F678F1">
        <w:t xml:space="preserve">Furthermore, </w:t>
      </w:r>
      <w:r w:rsidR="00263E98" w:rsidRPr="00F678F1">
        <w:t>the GS population</w:t>
      </w:r>
      <w:r w:rsidR="00F617F0" w:rsidRPr="00F678F1">
        <w:t xml:space="preserve"> accumulated more shikimic acid than</w:t>
      </w:r>
      <w:r w:rsidR="00263E98" w:rsidRPr="00F678F1">
        <w:t xml:space="preserve"> the GR population</w:t>
      </w:r>
      <w:r w:rsidR="00F617F0" w:rsidRPr="00F678F1">
        <w:t xml:space="preserve"> following glyphosate treatment</w:t>
      </w:r>
      <w:r w:rsidR="00263E98" w:rsidRPr="00F678F1">
        <w:t xml:space="preserve">. </w:t>
      </w:r>
      <w:r w:rsidR="006C4FC2" w:rsidRPr="00F678F1">
        <w:t xml:space="preserve">Additionally, </w:t>
      </w:r>
      <w:r w:rsidR="00263E98" w:rsidRPr="00F678F1">
        <w:t xml:space="preserve">researchers confirmed </w:t>
      </w:r>
      <w:r w:rsidR="00F617F0" w:rsidRPr="00F678F1">
        <w:t xml:space="preserve">that a </w:t>
      </w:r>
      <w:r w:rsidR="00D90071" w:rsidRPr="00F678F1">
        <w:t>Pro</w:t>
      </w:r>
      <w:r w:rsidR="00C122D8" w:rsidRPr="00F678F1">
        <w:rPr>
          <w:vertAlign w:val="subscript"/>
        </w:rPr>
        <w:t>106</w:t>
      </w:r>
      <w:r w:rsidR="00C122D8" w:rsidRPr="00F678F1">
        <w:t xml:space="preserve"> to Ala substitution </w:t>
      </w:r>
      <w:r w:rsidR="00F617F0" w:rsidRPr="00F678F1">
        <w:t xml:space="preserve">was the target site </w:t>
      </w:r>
      <w:r w:rsidR="00F617F0" w:rsidRPr="005A6552">
        <w:t>mechanism conferring</w:t>
      </w:r>
      <w:r w:rsidR="00C122D8" w:rsidRPr="005A6552">
        <w:t xml:space="preserve"> glyphosate resistance in </w:t>
      </w:r>
      <w:r w:rsidR="00F617F0" w:rsidRPr="005A6552">
        <w:t xml:space="preserve">this </w:t>
      </w:r>
      <w:r w:rsidR="00C122D8" w:rsidRPr="005A6552">
        <w:t>POAAN</w:t>
      </w:r>
      <w:r w:rsidR="00F617F0" w:rsidRPr="005A6552">
        <w:t xml:space="preserve"> population</w:t>
      </w:r>
      <w:r w:rsidR="00C122D8" w:rsidRPr="005A6552">
        <w:t xml:space="preserve"> (Cross et al. 2015).</w:t>
      </w:r>
      <w:r w:rsidR="00C20204" w:rsidRPr="005A6552">
        <w:t xml:space="preserve"> </w:t>
      </w:r>
    </w:p>
    <w:p w14:paraId="486CCC0C" w14:textId="77777777" w:rsidR="008D3ED9" w:rsidRPr="005A6552" w:rsidRDefault="008D3ED9" w:rsidP="004C3D3C">
      <w:pPr>
        <w:spacing w:line="480" w:lineRule="auto"/>
        <w:contextualSpacing/>
        <w:rPr>
          <w:rStyle w:val="Heading3Char"/>
          <w:i w:val="0"/>
        </w:rPr>
      </w:pPr>
    </w:p>
    <w:p w14:paraId="169181EE" w14:textId="2D8A8615" w:rsidR="008D3ED9" w:rsidRPr="004C3D3C" w:rsidRDefault="005D55A4" w:rsidP="005A6552">
      <w:pPr>
        <w:pStyle w:val="Heading2"/>
        <w:spacing w:line="480" w:lineRule="auto"/>
        <w:contextualSpacing/>
        <w:rPr>
          <w:sz w:val="24"/>
          <w:szCs w:val="24"/>
        </w:rPr>
      </w:pPr>
      <w:bookmarkStart w:id="7" w:name="_Toc308873591"/>
      <w:r w:rsidRPr="005A6552">
        <w:rPr>
          <w:rStyle w:val="Heading3Char"/>
          <w:b/>
          <w:i w:val="0"/>
          <w:sz w:val="24"/>
          <w:szCs w:val="24"/>
        </w:rPr>
        <w:t>ALS</w:t>
      </w:r>
      <w:r w:rsidRPr="004C3D3C">
        <w:rPr>
          <w:rStyle w:val="Heading3Char"/>
          <w:b/>
          <w:i w:val="0"/>
          <w:sz w:val="24"/>
          <w:szCs w:val="24"/>
        </w:rPr>
        <w:t>-</w:t>
      </w:r>
      <w:r w:rsidR="00F91379" w:rsidRPr="004C3D3C">
        <w:rPr>
          <w:rStyle w:val="Heading3Char"/>
          <w:b/>
          <w:i w:val="0"/>
          <w:sz w:val="24"/>
          <w:szCs w:val="24"/>
        </w:rPr>
        <w:t>Inhibiting Herbicide R</w:t>
      </w:r>
      <w:r w:rsidRPr="004C3D3C">
        <w:rPr>
          <w:rStyle w:val="Heading3Char"/>
          <w:b/>
          <w:i w:val="0"/>
          <w:sz w:val="24"/>
          <w:szCs w:val="24"/>
        </w:rPr>
        <w:t>esistance</w:t>
      </w:r>
      <w:bookmarkEnd w:id="7"/>
      <w:r w:rsidRPr="004C3D3C">
        <w:rPr>
          <w:sz w:val="24"/>
          <w:szCs w:val="24"/>
        </w:rPr>
        <w:t xml:space="preserve"> </w:t>
      </w:r>
    </w:p>
    <w:p w14:paraId="39115B18" w14:textId="4F2E9793" w:rsidR="005D55A4" w:rsidRPr="00F678F1" w:rsidRDefault="008D3ED9" w:rsidP="004C3D3C">
      <w:pPr>
        <w:spacing w:line="480" w:lineRule="auto"/>
        <w:contextualSpacing/>
      </w:pPr>
      <w:r w:rsidRPr="00F678F1">
        <w:tab/>
      </w:r>
      <w:r w:rsidR="005D55A4" w:rsidRPr="00F678F1">
        <w:t>ALS-inhibiting herbicides reduce weed populations by causing plant starvation of the branched-chain amino acids isoleucine, valine, and leucine (Shaner 1991; Tranel and Wright 2002). ALS-inhibitors are commonly used for POAAN control in warm</w:t>
      </w:r>
      <w:r w:rsidR="00016EFC" w:rsidRPr="00F678F1">
        <w:t>-</w:t>
      </w:r>
      <w:r w:rsidR="005D55A4" w:rsidRPr="00F678F1">
        <w:t>season turf as these herbicides offer low use rates, low mammalian toxicity, and a high level of efficacy (Saari et al. 1994). Toler et al. (2007) reported &gt;95% POAAN control in common bermudagrass [</w:t>
      </w:r>
      <w:r w:rsidR="005D55A4" w:rsidRPr="00F678F1">
        <w:rPr>
          <w:i/>
        </w:rPr>
        <w:t>Cynodon dactylon</w:t>
      </w:r>
      <w:r w:rsidR="005D55A4" w:rsidRPr="00F678F1">
        <w:t xml:space="preserve"> (L.) Pers.] with four ALS-inhibiting herbicides applied in February: rimsulfuron, trifloxysulfuron, flazasulfuron, and foramsulfuron. Heavy reliance on ALS-inhibiting herbicides has rapidly led to the evolution of many ALS-resistant weed species (Tranel and Wright 2002). There are </w:t>
      </w:r>
      <w:r w:rsidR="0044726E" w:rsidRPr="00F678F1">
        <w:t xml:space="preserve">156 </w:t>
      </w:r>
      <w:r w:rsidR="005D55A4" w:rsidRPr="00F678F1">
        <w:t>total documented cases of weed</w:t>
      </w:r>
      <w:r w:rsidR="0090660B" w:rsidRPr="00F678F1">
        <w:t xml:space="preserve"> specie</w:t>
      </w:r>
      <w:r w:rsidR="005D55A4" w:rsidRPr="00F678F1">
        <w:t>s developing resistance to ALS-inhibitors worldwide, including ALS-resistant POAAN (Heap 201</w:t>
      </w:r>
      <w:r w:rsidR="0044726E" w:rsidRPr="00F678F1">
        <w:t>5</w:t>
      </w:r>
      <w:r w:rsidR="005D55A4" w:rsidRPr="00F678F1">
        <w:t xml:space="preserve">). Cross et al. (2013) identified two POAAN biotypes highly resistant to ALS-inhibiting herbicides in South Carolina and Georgia. </w:t>
      </w:r>
      <w:r w:rsidR="005D55A4" w:rsidRPr="00F678F1">
        <w:rPr>
          <w:i/>
        </w:rPr>
        <w:t>In vivo</w:t>
      </w:r>
      <w:r w:rsidR="005D55A4" w:rsidRPr="00F678F1">
        <w:t xml:space="preserve"> assays revealed that ALS-resistant POAAN required 3650, 3290, and 13 times more trifloxysulfuron, foramsulfuron, and bispyribac-sodium than a susceptible population to reduce ALS activity 50%. McElroy et al. (2013) documented POAAN resistance to several families of ALS inhibiting herbicides including sulfonylureas, primidinyl benzoates, and imidazolinones. Foramsulfuron (25 and 50 g ai ha</w:t>
      </w:r>
      <w:r w:rsidR="005D55A4" w:rsidRPr="00F678F1">
        <w:rPr>
          <w:vertAlign w:val="superscript"/>
        </w:rPr>
        <w:t>-1</w:t>
      </w:r>
      <w:r w:rsidR="005D55A4" w:rsidRPr="00F678F1">
        <w:t>), trifloxysulfuron (16 and 32 g ai ha</w:t>
      </w:r>
      <w:r w:rsidR="005D55A4" w:rsidRPr="00F678F1">
        <w:rPr>
          <w:vertAlign w:val="superscript"/>
        </w:rPr>
        <w:t>-1</w:t>
      </w:r>
      <w:r w:rsidR="005D55A4" w:rsidRPr="00F678F1">
        <w:t>), imazaquin (490 and 980 g ai ha</w:t>
      </w:r>
      <w:r w:rsidR="005D55A4" w:rsidRPr="00F678F1">
        <w:rPr>
          <w:vertAlign w:val="superscript"/>
        </w:rPr>
        <w:t>-1</w:t>
      </w:r>
      <w:r w:rsidR="005D55A4" w:rsidRPr="00F678F1">
        <w:t>), and bispyribac-sodium (0.15 and 0.30 g ai ha</w:t>
      </w:r>
      <w:r w:rsidR="005D55A4" w:rsidRPr="00F678F1">
        <w:rPr>
          <w:vertAlign w:val="superscript"/>
        </w:rPr>
        <w:t>-1</w:t>
      </w:r>
      <w:r w:rsidR="005D55A4" w:rsidRPr="00F678F1">
        <w:t xml:space="preserve">) reduced aboveground biomass of susceptible POAAN by &gt;90% compared to &lt; 30% for the resistant biotype (McElroy et al. 2013). Genetic characterization of this biotype suggested that resistance was due to a tryptophan-to-leucine substitution at position 574 on </w:t>
      </w:r>
      <w:r w:rsidR="003D6D44" w:rsidRPr="00F678F1">
        <w:t xml:space="preserve">the </w:t>
      </w:r>
      <w:r w:rsidR="005D55A4" w:rsidRPr="00F678F1">
        <w:t xml:space="preserve">ALS </w:t>
      </w:r>
      <w:r w:rsidR="003D6D44" w:rsidRPr="00F678F1">
        <w:t>enzyme</w:t>
      </w:r>
      <w:r w:rsidR="005D55A4" w:rsidRPr="00F678F1">
        <w:t>, a common mutation conferring resistance to several herbicide families targeting ALS in weeds  (McElroy et al. 2013, Duggleby et al. 2008; Tranel and Wright 2002).</w:t>
      </w:r>
    </w:p>
    <w:p w14:paraId="340B32CB" w14:textId="77777777" w:rsidR="000550C5" w:rsidRPr="00F678F1" w:rsidRDefault="000550C5" w:rsidP="004C3D3C">
      <w:pPr>
        <w:spacing w:line="480" w:lineRule="auto"/>
        <w:ind w:firstLine="720"/>
        <w:contextualSpacing/>
      </w:pPr>
    </w:p>
    <w:p w14:paraId="1C66D7A3" w14:textId="77777777" w:rsidR="005A6552" w:rsidRDefault="005A6552" w:rsidP="008B7215">
      <w:pPr>
        <w:pStyle w:val="Heading2"/>
        <w:spacing w:line="480" w:lineRule="auto"/>
        <w:contextualSpacing/>
        <w:rPr>
          <w:rStyle w:val="Heading3Char"/>
          <w:b/>
          <w:i w:val="0"/>
          <w:sz w:val="24"/>
          <w:szCs w:val="24"/>
        </w:rPr>
      </w:pPr>
      <w:bookmarkStart w:id="8" w:name="_Toc308873592"/>
    </w:p>
    <w:p w14:paraId="43AB78D2" w14:textId="42E7B58B" w:rsidR="00874445" w:rsidRPr="004C3D3C" w:rsidRDefault="005D55A4" w:rsidP="008B7215">
      <w:pPr>
        <w:pStyle w:val="Heading2"/>
        <w:spacing w:line="480" w:lineRule="auto"/>
        <w:contextualSpacing/>
        <w:rPr>
          <w:sz w:val="24"/>
          <w:szCs w:val="24"/>
        </w:rPr>
      </w:pPr>
      <w:r w:rsidRPr="004C3D3C">
        <w:rPr>
          <w:rStyle w:val="Heading3Char"/>
          <w:b/>
          <w:i w:val="0"/>
          <w:sz w:val="24"/>
          <w:szCs w:val="24"/>
        </w:rPr>
        <w:t xml:space="preserve">Weeds </w:t>
      </w:r>
      <w:r w:rsidR="00F91379" w:rsidRPr="004C3D3C">
        <w:rPr>
          <w:rStyle w:val="Heading3Char"/>
          <w:b/>
          <w:i w:val="0"/>
          <w:sz w:val="24"/>
          <w:szCs w:val="24"/>
        </w:rPr>
        <w:t xml:space="preserve">Developing Resistance to Photosystem </w:t>
      </w:r>
      <w:r w:rsidRPr="004C3D3C">
        <w:rPr>
          <w:rStyle w:val="Heading3Char"/>
          <w:b/>
          <w:i w:val="0"/>
          <w:sz w:val="24"/>
          <w:szCs w:val="24"/>
        </w:rPr>
        <w:t xml:space="preserve">II </w:t>
      </w:r>
      <w:r w:rsidR="00F91379" w:rsidRPr="004C3D3C">
        <w:rPr>
          <w:rStyle w:val="Heading3Char"/>
          <w:b/>
          <w:i w:val="0"/>
          <w:sz w:val="24"/>
          <w:szCs w:val="24"/>
        </w:rPr>
        <w:t>(</w:t>
      </w:r>
      <w:r w:rsidRPr="004C3D3C">
        <w:rPr>
          <w:rStyle w:val="Heading3Char"/>
          <w:b/>
          <w:i w:val="0"/>
          <w:sz w:val="24"/>
          <w:szCs w:val="24"/>
        </w:rPr>
        <w:t>PSII</w:t>
      </w:r>
      <w:r w:rsidR="00F91379" w:rsidRPr="004C3D3C">
        <w:rPr>
          <w:rStyle w:val="Heading3Char"/>
          <w:b/>
          <w:i w:val="0"/>
          <w:sz w:val="24"/>
          <w:szCs w:val="24"/>
        </w:rPr>
        <w:t>) Inhibiting Herbicides</w:t>
      </w:r>
      <w:bookmarkEnd w:id="8"/>
      <w:r w:rsidR="00F91379" w:rsidRPr="004C3D3C">
        <w:rPr>
          <w:sz w:val="24"/>
          <w:szCs w:val="24"/>
        </w:rPr>
        <w:t xml:space="preserve"> </w:t>
      </w:r>
    </w:p>
    <w:p w14:paraId="69E076EA" w14:textId="63E4FC6A" w:rsidR="005D55A4" w:rsidRPr="00F678F1" w:rsidRDefault="005D55A4" w:rsidP="004C3D3C">
      <w:pPr>
        <w:spacing w:line="480" w:lineRule="auto"/>
        <w:ind w:firstLine="720"/>
        <w:contextualSpacing/>
      </w:pPr>
      <w:r w:rsidRPr="00F678F1">
        <w:t xml:space="preserve">Weeds developing resistance to photosystem II (PSII) inhibiting herbicides is also common, with </w:t>
      </w:r>
      <w:r w:rsidR="0044726E" w:rsidRPr="00F678F1">
        <w:t xml:space="preserve">73 </w:t>
      </w:r>
      <w:r w:rsidRPr="00F678F1">
        <w:t>cases of PSII-resistance documented globally, including several reports in POAAN populations of turf (Heap 201</w:t>
      </w:r>
      <w:r w:rsidR="0044726E" w:rsidRPr="00F678F1">
        <w:t>5</w:t>
      </w:r>
      <w:r w:rsidRPr="00F678F1">
        <w:t>). Kelly et al. (1999) documented that a simazine-resistant POAAN biotype required &gt;1000 times more simazine than a susceptible biotype to reduce fresh weight by 50%</w:t>
      </w:r>
      <w:r w:rsidRPr="00F678F1">
        <w:rPr>
          <w:bCs/>
        </w:rPr>
        <w:t>. Resistance was the result of a serine-to-glycine mutation that alters the ability of triazine herbicides (such as simazine) to bind at the QB-binding site on the DI protein in photosystem II (Kelly et al. 1999).</w:t>
      </w:r>
      <w:r w:rsidRPr="00F678F1">
        <w:t xml:space="preserve"> Perry et al. (2012) confirmed that this mutation also conferred resistance to a triazolinone inhibitor of PSII, amicarbazone, in POAAN. Applications of amicarbazone (0.26 kg ha</w:t>
      </w:r>
      <w:r w:rsidRPr="00F678F1">
        <w:rPr>
          <w:vertAlign w:val="superscript"/>
        </w:rPr>
        <w:t>-1</w:t>
      </w:r>
      <w:r w:rsidRPr="00F678F1">
        <w:t>), atrazine (1.7 kg ha</w:t>
      </w:r>
      <w:r w:rsidRPr="00F678F1">
        <w:rPr>
          <w:vertAlign w:val="superscript"/>
        </w:rPr>
        <w:t>-1</w:t>
      </w:r>
      <w:r w:rsidRPr="00F678F1">
        <w:t>), and simazine (1.7 kg ha</w:t>
      </w:r>
      <w:r w:rsidRPr="00F678F1">
        <w:rPr>
          <w:vertAlign w:val="superscript"/>
        </w:rPr>
        <w:t>-1</w:t>
      </w:r>
      <w:r w:rsidRPr="00F678F1">
        <w:t>) controlled the triazine-susceptible biotypes of POAAN 94% 2 WAT compared to 0% for the resistant population (Perry et al. 2012).</w:t>
      </w:r>
    </w:p>
    <w:p w14:paraId="2CA8616D" w14:textId="77777777" w:rsidR="000550C5" w:rsidRPr="00F678F1" w:rsidRDefault="000550C5" w:rsidP="004C3D3C">
      <w:pPr>
        <w:spacing w:line="480" w:lineRule="auto"/>
        <w:ind w:firstLine="720"/>
        <w:contextualSpacing/>
      </w:pPr>
    </w:p>
    <w:p w14:paraId="29793282" w14:textId="77777777" w:rsidR="005A6552" w:rsidRDefault="005D55A4" w:rsidP="005A6552">
      <w:pPr>
        <w:pStyle w:val="Heading2"/>
        <w:spacing w:line="480" w:lineRule="auto"/>
        <w:contextualSpacing/>
        <w:rPr>
          <w:rStyle w:val="Heading3Char"/>
          <w:b/>
          <w:i w:val="0"/>
          <w:sz w:val="24"/>
          <w:szCs w:val="24"/>
        </w:rPr>
      </w:pPr>
      <w:bookmarkStart w:id="9" w:name="_Toc308873593"/>
      <w:r w:rsidRPr="004C3D3C">
        <w:rPr>
          <w:rStyle w:val="Heading3Char"/>
          <w:b/>
          <w:i w:val="0"/>
          <w:sz w:val="24"/>
          <w:szCs w:val="24"/>
        </w:rPr>
        <w:t xml:space="preserve">Cases of POAAN </w:t>
      </w:r>
      <w:r w:rsidR="00F91379" w:rsidRPr="004C3D3C">
        <w:rPr>
          <w:rStyle w:val="Heading3Char"/>
          <w:b/>
          <w:i w:val="0"/>
          <w:sz w:val="24"/>
          <w:szCs w:val="24"/>
        </w:rPr>
        <w:t xml:space="preserve">Developing Resistance to </w:t>
      </w:r>
      <w:r w:rsidRPr="004C3D3C">
        <w:rPr>
          <w:rStyle w:val="Heading3Char"/>
          <w:b/>
          <w:i w:val="0"/>
          <w:sz w:val="24"/>
          <w:szCs w:val="24"/>
        </w:rPr>
        <w:t xml:space="preserve">PRE </w:t>
      </w:r>
      <w:r w:rsidR="00F91379" w:rsidRPr="004C3D3C">
        <w:rPr>
          <w:rStyle w:val="Heading3Char"/>
          <w:b/>
          <w:i w:val="0"/>
          <w:sz w:val="24"/>
          <w:szCs w:val="24"/>
        </w:rPr>
        <w:t xml:space="preserve">Herbicides in Managed </w:t>
      </w:r>
    </w:p>
    <w:p w14:paraId="60ECB50C" w14:textId="29936225" w:rsidR="00874445" w:rsidRPr="005A6552" w:rsidRDefault="00F91379" w:rsidP="005A6552">
      <w:pPr>
        <w:pStyle w:val="Heading2"/>
        <w:spacing w:line="480" w:lineRule="auto"/>
        <w:contextualSpacing/>
        <w:rPr>
          <w:bCs w:val="0"/>
          <w:sz w:val="24"/>
          <w:szCs w:val="24"/>
        </w:rPr>
      </w:pPr>
      <w:r w:rsidRPr="004C3D3C">
        <w:rPr>
          <w:rStyle w:val="Heading3Char"/>
          <w:b/>
          <w:i w:val="0"/>
          <w:sz w:val="24"/>
          <w:szCs w:val="24"/>
        </w:rPr>
        <w:t>Turfgrass Systems</w:t>
      </w:r>
      <w:bookmarkEnd w:id="9"/>
      <w:r w:rsidRPr="004C3D3C">
        <w:rPr>
          <w:sz w:val="24"/>
          <w:szCs w:val="24"/>
        </w:rPr>
        <w:t xml:space="preserve"> </w:t>
      </w:r>
    </w:p>
    <w:p w14:paraId="633EEEFC" w14:textId="62B44F77" w:rsidR="005D55A4" w:rsidRPr="00F678F1" w:rsidRDefault="005D55A4" w:rsidP="004C3D3C">
      <w:pPr>
        <w:spacing w:line="480" w:lineRule="auto"/>
        <w:ind w:firstLine="720"/>
        <w:contextualSpacing/>
      </w:pPr>
      <w:r w:rsidRPr="00F678F1">
        <w:t xml:space="preserve">Cases of POAAN developing resistance to PRE herbicides in managed turfgrass systems have also been reported throughout the southeastern United States. Isgrigg et al. (2002) documented a biotype of POAAN with resistance to dinitroaniline herbicides in North Carolina. The researchers observed &lt; 40% POAAN control on two golf course fairways </w:t>
      </w:r>
      <w:r w:rsidR="00F617F0" w:rsidRPr="00F678F1">
        <w:t xml:space="preserve">with </w:t>
      </w:r>
      <w:r w:rsidRPr="00F678F1">
        <w:t>prodiamine applied at 1.1 kg ai ha</w:t>
      </w:r>
      <w:r w:rsidRPr="00F678F1">
        <w:rPr>
          <w:vertAlign w:val="superscript"/>
        </w:rPr>
        <w:t>-1</w:t>
      </w:r>
      <w:r w:rsidRPr="00F678F1">
        <w:t xml:space="preserve"> (Isgrigg et al. 2002). Dose–response studies determined that this resistant POAAN population required 105x more prodiamine than a susceptible population to reduce shoot growth by 80%. Similar responses were observed with prodiamine-resistant POAAN populations in Tennessee as well (Brosnan et al. 2014).</w:t>
      </w:r>
    </w:p>
    <w:p w14:paraId="4CBC3A6E" w14:textId="77777777" w:rsidR="000550C5" w:rsidRPr="00F678F1" w:rsidRDefault="000550C5" w:rsidP="004C3D3C">
      <w:pPr>
        <w:spacing w:line="480" w:lineRule="auto"/>
        <w:ind w:firstLine="720"/>
        <w:contextualSpacing/>
      </w:pPr>
    </w:p>
    <w:p w14:paraId="7A513D89" w14:textId="2343E534" w:rsidR="00874445" w:rsidRPr="004C3D3C" w:rsidRDefault="005D55A4" w:rsidP="005A6552">
      <w:pPr>
        <w:pStyle w:val="Heading2"/>
        <w:spacing w:line="480" w:lineRule="auto"/>
        <w:contextualSpacing/>
        <w:rPr>
          <w:sz w:val="24"/>
          <w:szCs w:val="24"/>
        </w:rPr>
      </w:pPr>
      <w:bookmarkStart w:id="10" w:name="_Toc308873594"/>
      <w:r w:rsidRPr="004C3D3C">
        <w:rPr>
          <w:sz w:val="24"/>
          <w:szCs w:val="24"/>
        </w:rPr>
        <w:t>Methodology for Evaluating Resistance to Mitotic-Inhibiting Herbicides</w:t>
      </w:r>
      <w:bookmarkEnd w:id="10"/>
      <w:r w:rsidRPr="004C3D3C">
        <w:rPr>
          <w:sz w:val="24"/>
          <w:szCs w:val="24"/>
        </w:rPr>
        <w:t xml:space="preserve"> </w:t>
      </w:r>
    </w:p>
    <w:p w14:paraId="00631CAE" w14:textId="22E4F09A" w:rsidR="005D55A4" w:rsidRPr="00F678F1" w:rsidRDefault="005D55A4" w:rsidP="004C3D3C">
      <w:pPr>
        <w:spacing w:line="480" w:lineRule="auto"/>
        <w:ind w:firstLine="720"/>
        <w:contextualSpacing/>
      </w:pPr>
      <w:r w:rsidRPr="00F678F1">
        <w:t>Cutulle et al. (2009) evaluated four bioassays for confirming resistance to mitotic-inhibiting herbicides in POAAN. Two populations were used in this study: a population with no known herbicide resistance and a population with putative resistance to mitotic inhibiting herbicides harvested from Eagle’s Bluff Golf Course (Chattanooga, TN). The bioassay methods evaluated includ</w:t>
      </w:r>
      <w:r w:rsidR="000C7E50" w:rsidRPr="00F678F1">
        <w:t>ed</w:t>
      </w:r>
      <w:r w:rsidRPr="00F678F1">
        <w:t xml:space="preserve"> Murashige and Skoog (MS) media, filter-paper, soil, and hydroponic culture.</w:t>
      </w:r>
    </w:p>
    <w:p w14:paraId="754FFE99" w14:textId="0E9ECE35" w:rsidR="005D55A4" w:rsidRPr="00F678F1" w:rsidRDefault="00A760C8" w:rsidP="004C3D3C">
      <w:pPr>
        <w:spacing w:line="480" w:lineRule="auto"/>
        <w:contextualSpacing/>
        <w:rPr>
          <w:i/>
          <w:highlight w:val="yellow"/>
        </w:rPr>
      </w:pPr>
      <w:r>
        <w:rPr>
          <w:rStyle w:val="Heading3Char"/>
          <w:szCs w:val="24"/>
        </w:rPr>
        <w:tab/>
      </w:r>
      <w:r w:rsidR="005D55A4" w:rsidRPr="00F678F1">
        <w:rPr>
          <w:rStyle w:val="Heading3Char"/>
          <w:szCs w:val="24"/>
        </w:rPr>
        <w:t>MS Media Bioassay</w:t>
      </w:r>
      <w:r w:rsidR="005D55A4" w:rsidRPr="00F678F1">
        <w:rPr>
          <w:b/>
          <w:i/>
        </w:rPr>
        <w:t xml:space="preserve">. </w:t>
      </w:r>
      <w:r w:rsidR="005D55A4" w:rsidRPr="00F678F1">
        <w:t>MS media (pH 5.8) was placed into square petri dishes</w:t>
      </w:r>
      <w:r w:rsidR="001A160F" w:rsidRPr="00F678F1">
        <w:t xml:space="preserve"> (10-cm</w:t>
      </w:r>
      <w:r w:rsidR="003C63F0" w:rsidRPr="00F678F1">
        <w:t xml:space="preserve"> x 10-cm</w:t>
      </w:r>
      <w:r w:rsidR="001A160F" w:rsidRPr="00F678F1">
        <w:t>, 1.5-cm depth; Thermo Fisher Scientific, Waltham, MA)</w:t>
      </w:r>
      <w:r w:rsidR="005D55A4" w:rsidRPr="00F678F1">
        <w:t xml:space="preserve"> and incorporated with pendimethalin, dithiopyr,</w:t>
      </w:r>
      <w:r w:rsidR="005D55A4" w:rsidRPr="00F678F1">
        <w:rPr>
          <w:i/>
        </w:rPr>
        <w:t xml:space="preserve"> </w:t>
      </w:r>
      <w:r w:rsidR="005D55A4" w:rsidRPr="00F678F1">
        <w:t>and prodiamine at 0, 0.01, 0.1, 1.0, and 10.0 mM.  Six seeds were planted within each petri dish</w:t>
      </w:r>
      <w:r w:rsidR="00932445" w:rsidRPr="00F678F1">
        <w:t>. After seeding each petri dish was</w:t>
      </w:r>
      <w:r w:rsidR="005D55A4" w:rsidRPr="00F678F1">
        <w:t xml:space="preserve"> sealed with paraffin wrap</w:t>
      </w:r>
      <w:r w:rsidR="00932445" w:rsidRPr="00F678F1">
        <w:t xml:space="preserve"> and</w:t>
      </w:r>
      <w:r w:rsidR="005D55A4" w:rsidRPr="00F678F1">
        <w:t xml:space="preserve"> aligned upright on a frame. After a two-week</w:t>
      </w:r>
      <w:r w:rsidR="005D55A4" w:rsidRPr="00F678F1">
        <w:rPr>
          <w:i/>
        </w:rPr>
        <w:t xml:space="preserve"> </w:t>
      </w:r>
      <w:r w:rsidR="005D55A4" w:rsidRPr="00F678F1">
        <w:t>incubation period at 26˚C, 24-h photoperiod, and a photon flux</w:t>
      </w:r>
      <w:r w:rsidR="005D55A4" w:rsidRPr="00F678F1">
        <w:rPr>
          <w:i/>
        </w:rPr>
        <w:t xml:space="preserve"> </w:t>
      </w:r>
      <w:r w:rsidR="005D55A4" w:rsidRPr="00F678F1">
        <w:t xml:space="preserve">density of </w:t>
      </w:r>
      <w:r w:rsidR="003C63F0" w:rsidRPr="00F678F1">
        <w:t>21-</w:t>
      </w:r>
      <w:r w:rsidR="00932445" w:rsidRPr="00F678F1">
        <w:t xml:space="preserve">μmol </w:t>
      </w:r>
      <w:r w:rsidR="005D55A4" w:rsidRPr="00F678F1">
        <w:t>m</w:t>
      </w:r>
      <w:r w:rsidR="005D55A4" w:rsidRPr="00F678F1">
        <w:rPr>
          <w:vertAlign w:val="superscript"/>
        </w:rPr>
        <w:t>–2</w:t>
      </w:r>
      <w:r w:rsidR="005D55A4" w:rsidRPr="00F678F1">
        <w:t xml:space="preserve"> s</w:t>
      </w:r>
      <w:r w:rsidR="005D55A4" w:rsidRPr="00F678F1">
        <w:rPr>
          <w:vertAlign w:val="superscript"/>
        </w:rPr>
        <w:t>−1</w:t>
      </w:r>
      <w:r w:rsidR="005D55A4" w:rsidRPr="00F678F1">
        <w:t xml:space="preserve">, root length was measured. </w:t>
      </w:r>
    </w:p>
    <w:p w14:paraId="18E7270D" w14:textId="7D025799" w:rsidR="005D55A4" w:rsidRPr="00F678F1" w:rsidRDefault="00A760C8" w:rsidP="004C3D3C">
      <w:pPr>
        <w:spacing w:line="480" w:lineRule="auto"/>
        <w:contextualSpacing/>
        <w:rPr>
          <w:i/>
          <w:highlight w:val="yellow"/>
        </w:rPr>
      </w:pPr>
      <w:r>
        <w:rPr>
          <w:rStyle w:val="Heading3Char"/>
        </w:rPr>
        <w:tab/>
      </w:r>
      <w:r w:rsidR="005D55A4" w:rsidRPr="00F678F1">
        <w:rPr>
          <w:rStyle w:val="Heading3Char"/>
        </w:rPr>
        <w:t>Filter-Paper Bioassay</w:t>
      </w:r>
      <w:r w:rsidR="005D55A4" w:rsidRPr="00F678F1">
        <w:rPr>
          <w:b/>
          <w:i/>
        </w:rPr>
        <w:t xml:space="preserve">. </w:t>
      </w:r>
      <w:r w:rsidR="005D55A4" w:rsidRPr="00F678F1">
        <w:t>Petri dishes</w:t>
      </w:r>
      <w:r w:rsidR="003C63F0" w:rsidRPr="00F678F1">
        <w:t xml:space="preserve"> (10-cm</w:t>
      </w:r>
      <w:r w:rsidR="003C63F0" w:rsidRPr="00F678F1">
        <w:rPr>
          <w:i/>
        </w:rPr>
        <w:t xml:space="preserve"> </w:t>
      </w:r>
      <w:r w:rsidR="003C63F0" w:rsidRPr="00F678F1">
        <w:t xml:space="preserve">diameter, 1.5-cm depth; Thermo Fisher Scientific, Waltham, MA) </w:t>
      </w:r>
      <w:r w:rsidR="005D55A4" w:rsidRPr="00F678F1">
        <w:t>were filled with</w:t>
      </w:r>
      <w:r w:rsidR="005D55A4" w:rsidRPr="00F678F1">
        <w:rPr>
          <w:i/>
        </w:rPr>
        <w:t xml:space="preserve"> </w:t>
      </w:r>
      <w:r w:rsidR="005D55A4" w:rsidRPr="00F678F1">
        <w:t xml:space="preserve">two pieces of filter paper (9-cm diameter, 520 mg; Whatman Filter papers, Whatman International Ltd., Maidstone, England). Six annual bluegrass seeds were placed between two filter-paper sheets in each </w:t>
      </w:r>
      <w:r w:rsidR="001A160F" w:rsidRPr="00F678F1">
        <w:t>p</w:t>
      </w:r>
      <w:r w:rsidR="005D55A4" w:rsidRPr="00F678F1">
        <w:t xml:space="preserve">etri dish. Dithiopyr, prodiamine, and pendimethalin were added at previously described concentrations to completely saturate each petri dish. After a two-week incubation period at 26˚C, 24-h photoperiod, and a photon flux density of </w:t>
      </w:r>
      <w:r w:rsidR="00B015DA" w:rsidRPr="00F678F1">
        <w:t>21-μmol</w:t>
      </w:r>
      <w:r w:rsidR="005D55A4" w:rsidRPr="00F678F1">
        <w:t xml:space="preserve"> m</w:t>
      </w:r>
      <w:r w:rsidR="005D55A4" w:rsidRPr="00F678F1">
        <w:rPr>
          <w:vertAlign w:val="superscript"/>
        </w:rPr>
        <w:t>−2</w:t>
      </w:r>
      <w:r w:rsidR="005D55A4" w:rsidRPr="00F678F1">
        <w:t xml:space="preserve"> s</w:t>
      </w:r>
      <w:r w:rsidR="005D55A4" w:rsidRPr="00F678F1">
        <w:rPr>
          <w:vertAlign w:val="superscript"/>
        </w:rPr>
        <w:t>−1</w:t>
      </w:r>
      <w:r w:rsidR="005D55A4" w:rsidRPr="00F678F1">
        <w:t>, root length was measured.</w:t>
      </w:r>
    </w:p>
    <w:p w14:paraId="23FB52AA" w14:textId="7A6E52A2" w:rsidR="00874445" w:rsidRPr="00F678F1" w:rsidRDefault="00A760C8" w:rsidP="004C3D3C">
      <w:pPr>
        <w:spacing w:line="480" w:lineRule="auto"/>
        <w:contextualSpacing/>
        <w:rPr>
          <w:highlight w:val="yellow"/>
        </w:rPr>
      </w:pPr>
      <w:r>
        <w:rPr>
          <w:rStyle w:val="Heading3Char"/>
        </w:rPr>
        <w:tab/>
      </w:r>
      <w:r w:rsidR="005D55A4" w:rsidRPr="00F678F1">
        <w:rPr>
          <w:rStyle w:val="Heading3Char"/>
        </w:rPr>
        <w:t>Soil</w:t>
      </w:r>
      <w:r w:rsidR="00F91379" w:rsidRPr="00F678F1">
        <w:rPr>
          <w:rStyle w:val="Heading3Char"/>
        </w:rPr>
        <w:t xml:space="preserve">-Based </w:t>
      </w:r>
      <w:r w:rsidR="005D55A4" w:rsidRPr="00F678F1">
        <w:rPr>
          <w:rStyle w:val="Heading3Char"/>
        </w:rPr>
        <w:t>Bioassay</w:t>
      </w:r>
      <w:r w:rsidR="005D55A4" w:rsidRPr="00F678F1">
        <w:rPr>
          <w:i/>
        </w:rPr>
        <w:t>.</w:t>
      </w:r>
      <w:r w:rsidR="005D55A4" w:rsidRPr="00F678F1">
        <w:t xml:space="preserve"> Ten seeds of each POAAN biotype were planted in 10-cm-diameter greenhouse pots containing Sequatchie loam soil (fine-loamy siliceous, semi-active, thermic Humic Hapludults) with 2.1% organic matter</w:t>
      </w:r>
      <w:r w:rsidR="001A160F" w:rsidRPr="00F678F1">
        <w:t xml:space="preserve"> and </w:t>
      </w:r>
      <w:r w:rsidR="005D55A4" w:rsidRPr="00F678F1">
        <w:t>pH 5.8. After seeding, pots were treated with dithiopyr (0.00, 0.14, 0.28, 0.56, or 1.12 kg ha</w:t>
      </w:r>
      <w:r w:rsidR="005D55A4" w:rsidRPr="00F678F1">
        <w:rPr>
          <w:vertAlign w:val="superscript"/>
        </w:rPr>
        <w:t>−1</w:t>
      </w:r>
      <w:r w:rsidR="005D55A4" w:rsidRPr="00F678F1">
        <w:t>) pendimethalin (0.00, 0.28, 0.56, 1.12, or 2.24 kg ha</w:t>
      </w:r>
      <w:r w:rsidR="005D55A4" w:rsidRPr="00F678F1">
        <w:rPr>
          <w:vertAlign w:val="superscript"/>
        </w:rPr>
        <w:t>−1</w:t>
      </w:r>
      <w:r w:rsidR="005D55A4" w:rsidRPr="00F678F1">
        <w:t>), or prodiamine (0.00, 0.28, 0.56, 1.12, or 2.24 kg ha</w:t>
      </w:r>
      <w:r w:rsidR="005D55A4" w:rsidRPr="00F678F1">
        <w:rPr>
          <w:vertAlign w:val="superscript"/>
        </w:rPr>
        <w:t>−1</w:t>
      </w:r>
      <w:r w:rsidR="005D55A4" w:rsidRPr="00F678F1">
        <w:t>) using a CO</w:t>
      </w:r>
      <w:r w:rsidR="005D55A4" w:rsidRPr="00F678F1">
        <w:rPr>
          <w:vertAlign w:val="subscript"/>
        </w:rPr>
        <w:t>2</w:t>
      </w:r>
      <w:r w:rsidR="005D55A4" w:rsidRPr="00F678F1">
        <w:t xml:space="preserve"> pressurized sprayer calibrated to deliver 280 L ha</w:t>
      </w:r>
      <w:r w:rsidR="005D55A4" w:rsidRPr="00F678F1">
        <w:rPr>
          <w:vertAlign w:val="superscript"/>
        </w:rPr>
        <w:t>−1</w:t>
      </w:r>
      <w:r w:rsidR="005D55A4" w:rsidRPr="00F678F1">
        <w:t>. Pots were placed in a glasshouse with overhead irrigation and after three weeks the percentage of germination was recorded for each for each biotype</w:t>
      </w:r>
      <w:r w:rsidR="001A160F" w:rsidRPr="00F678F1">
        <w:t>.</w:t>
      </w:r>
    </w:p>
    <w:p w14:paraId="6BF71051" w14:textId="38EBD974" w:rsidR="005D55A4" w:rsidRPr="00F678F1" w:rsidRDefault="00A760C8" w:rsidP="004C3D3C">
      <w:pPr>
        <w:spacing w:line="480" w:lineRule="auto"/>
        <w:contextualSpacing/>
      </w:pPr>
      <w:r>
        <w:rPr>
          <w:rStyle w:val="Heading3Char"/>
        </w:rPr>
        <w:tab/>
      </w:r>
      <w:r w:rsidR="005D55A4" w:rsidRPr="00F678F1">
        <w:rPr>
          <w:rStyle w:val="Heading3Char"/>
        </w:rPr>
        <w:t>Hydroponics Bioassay</w:t>
      </w:r>
      <w:r w:rsidR="005D55A4" w:rsidRPr="00F678F1">
        <w:rPr>
          <w:b/>
          <w:i/>
        </w:rPr>
        <w:t>.</w:t>
      </w:r>
      <w:r w:rsidR="005D55A4" w:rsidRPr="00F678F1">
        <w:rPr>
          <w:b/>
        </w:rPr>
        <w:t xml:space="preserve"> </w:t>
      </w:r>
      <w:r w:rsidR="005D55A4" w:rsidRPr="00F678F1">
        <w:t xml:space="preserve">Ten tillers of each POAAN biotype were added to a 950-mL-volume plastic tub (Takealongs, Rubbermaid, Fairlawn, OH) filled with 25% strength Hoagland solution (Hoagland and Arnon, 1950) and pendimethalin, prodiamine, or dithiopyr at 0, 0.01, 0.1, 1.0, or 10.0 mM. One-centimeter-diameter holes were drilled into the lids of each container and </w:t>
      </w:r>
      <w:r w:rsidR="00FA1123" w:rsidRPr="00F678F1">
        <w:t xml:space="preserve">POAAN </w:t>
      </w:r>
      <w:r w:rsidR="005D55A4" w:rsidRPr="00F678F1">
        <w:t>tillers were placed in each hole and held in place using foam plugs (Identi-Plug, Fisher Scientific, Pittsburgh, PA). All tillers were trimmed to a uniform root length of 3 cm prior to being placed in the container. The nutrient-herbicide solution in each container was aerated and agitated using air stones (Aqua culture, Wal-Mart Stores, Inc., Bentonsville, AR) and air pumps (230- liter Whisper Air Pump, Tetra, Blacksburg, VA). Containers were maintained under growth lights and after 10 days within this environment, root length was measured on each tiller.</w:t>
      </w:r>
    </w:p>
    <w:p w14:paraId="6AE174CF" w14:textId="30B61232" w:rsidR="00874445" w:rsidRPr="00F678F1" w:rsidRDefault="005D55A4" w:rsidP="004C3D3C">
      <w:pPr>
        <w:tabs>
          <w:tab w:val="left" w:pos="0"/>
        </w:tabs>
        <w:spacing w:line="480" w:lineRule="auto"/>
        <w:ind w:firstLine="720"/>
        <w:contextualSpacing/>
      </w:pPr>
      <w:r w:rsidRPr="00F678F1">
        <w:t xml:space="preserve">Cutulle et al. (2009) reported greater herbicide concentrations </w:t>
      </w:r>
      <w:r w:rsidR="00596464" w:rsidRPr="00F678F1">
        <w:t xml:space="preserve">were required to </w:t>
      </w:r>
      <w:r w:rsidRPr="00F678F1">
        <w:t>reduce root length</w:t>
      </w:r>
      <w:r w:rsidR="00596464" w:rsidRPr="00F678F1">
        <w:t xml:space="preserve"> of the resistant population</w:t>
      </w:r>
      <w:r w:rsidRPr="00F678F1">
        <w:t xml:space="preserve"> by 50% (GR</w:t>
      </w:r>
      <w:r w:rsidRPr="00F678F1">
        <w:rPr>
          <w:vertAlign w:val="subscript"/>
        </w:rPr>
        <w:t>50</w:t>
      </w:r>
      <w:r w:rsidRPr="00F678F1">
        <w:t>) and 90% (GR</w:t>
      </w:r>
      <w:r w:rsidRPr="00F678F1">
        <w:rPr>
          <w:vertAlign w:val="subscript"/>
        </w:rPr>
        <w:t>90</w:t>
      </w:r>
      <w:r w:rsidRPr="00F678F1">
        <w:t xml:space="preserve">) </w:t>
      </w:r>
      <w:r w:rsidR="00E85CEF" w:rsidRPr="00F678F1">
        <w:t>using</w:t>
      </w:r>
      <w:r w:rsidR="00596464" w:rsidRPr="00F678F1">
        <w:t xml:space="preserve"> the hydroponic bioassay compared to the other methods tested</w:t>
      </w:r>
      <w:r w:rsidRPr="00F678F1">
        <w:t xml:space="preserve">. </w:t>
      </w:r>
      <w:r w:rsidR="00E85CEF" w:rsidRPr="00F678F1">
        <w:t>In hydroponics</w:t>
      </w:r>
      <w:r w:rsidR="00294982" w:rsidRPr="00F678F1">
        <w:t xml:space="preserve">, resistant POAAN required 2, 30, and 26 times more pendimethalin, dithiopyr, and prodiamine </w:t>
      </w:r>
      <w:r w:rsidR="00104AF5" w:rsidRPr="00F678F1">
        <w:t xml:space="preserve">respectively </w:t>
      </w:r>
      <w:r w:rsidR="00294982" w:rsidRPr="00F678F1">
        <w:t>to reduce root length 50%</w:t>
      </w:r>
      <w:r w:rsidRPr="00F678F1">
        <w:t xml:space="preserve"> compared to a susceptible control.</w:t>
      </w:r>
      <w:r w:rsidR="00104AF5" w:rsidRPr="00F678F1">
        <w:t xml:space="preserve"> MS media GR</w:t>
      </w:r>
      <w:r w:rsidR="00104AF5" w:rsidRPr="00F678F1">
        <w:rPr>
          <w:vertAlign w:val="subscript"/>
        </w:rPr>
        <w:t>50</w:t>
      </w:r>
      <w:r w:rsidR="00104AF5" w:rsidRPr="00F678F1">
        <w:t xml:space="preserve"> values were 9, 2, and 80 times more pendimethalin, dithiopyr, and prodiamine respectively compared to a susceptible control. Filter paper GR</w:t>
      </w:r>
      <w:r w:rsidR="00104AF5" w:rsidRPr="00F678F1">
        <w:rPr>
          <w:vertAlign w:val="subscript"/>
        </w:rPr>
        <w:t>50</w:t>
      </w:r>
      <w:r w:rsidR="00104AF5" w:rsidRPr="00F678F1">
        <w:t xml:space="preserve"> values were 3, 2, and 42 times more pendimethalin, dithiopyr, and prodiamine respectively compared to a susceptible control. Soil based method GR</w:t>
      </w:r>
      <w:r w:rsidR="00104AF5" w:rsidRPr="00F678F1">
        <w:rPr>
          <w:vertAlign w:val="subscript"/>
        </w:rPr>
        <w:t>50</w:t>
      </w:r>
      <w:r w:rsidR="00104AF5" w:rsidRPr="00F678F1">
        <w:t xml:space="preserve"> values were not significantly different</w:t>
      </w:r>
      <w:r w:rsidR="00932445" w:rsidRPr="00F678F1">
        <w:t xml:space="preserve"> </w:t>
      </w:r>
      <w:r w:rsidR="00104AF5" w:rsidRPr="00F678F1">
        <w:t xml:space="preserve">compared to a susceptible control. </w:t>
      </w:r>
      <w:r w:rsidRPr="00F678F1">
        <w:t>The researchers concluded that when viable seeds are not available</w:t>
      </w:r>
      <w:r w:rsidRPr="00F678F1" w:rsidDel="00852D98">
        <w:t xml:space="preserve"> </w:t>
      </w:r>
      <w:r w:rsidRPr="00F678F1">
        <w:t xml:space="preserve">a hydroponics bioassay is best for screening POAAN populations for resistance to mitotic inhibiting herbicides in that it provides an assessment similar to </w:t>
      </w:r>
      <w:r w:rsidR="00596464" w:rsidRPr="00F678F1">
        <w:t>the MS media, filter paper, and soil based bioassays</w:t>
      </w:r>
      <w:r w:rsidRPr="00F678F1">
        <w:t xml:space="preserve"> within 10 days. Brosnan et al. (2014) used similar </w:t>
      </w:r>
      <w:r w:rsidR="00E85CEF" w:rsidRPr="00F678F1">
        <w:t xml:space="preserve">hydroponic </w:t>
      </w:r>
      <w:r w:rsidRPr="00F678F1">
        <w:t xml:space="preserve">methodology to confirm prodiamine resistance in another POAAN biotype from Tennessee. </w:t>
      </w:r>
    </w:p>
    <w:p w14:paraId="0E7E7656" w14:textId="77777777" w:rsidR="00596464" w:rsidRPr="00F678F1" w:rsidRDefault="00596464" w:rsidP="004C3D3C">
      <w:pPr>
        <w:tabs>
          <w:tab w:val="left" w:pos="0"/>
        </w:tabs>
        <w:spacing w:line="480" w:lineRule="auto"/>
        <w:ind w:firstLine="720"/>
        <w:contextualSpacing/>
      </w:pPr>
    </w:p>
    <w:p w14:paraId="364CCB3E" w14:textId="77777777" w:rsidR="005A6552" w:rsidRDefault="005A6552" w:rsidP="005A6552">
      <w:pPr>
        <w:pStyle w:val="Heading2"/>
        <w:spacing w:line="480" w:lineRule="auto"/>
        <w:contextualSpacing/>
        <w:rPr>
          <w:rStyle w:val="Heading3Char"/>
          <w:b/>
          <w:i w:val="0"/>
          <w:sz w:val="24"/>
          <w:szCs w:val="24"/>
        </w:rPr>
      </w:pPr>
      <w:bookmarkStart w:id="11" w:name="_Toc308873595"/>
    </w:p>
    <w:p w14:paraId="744DE7B7" w14:textId="29D481FA" w:rsidR="00874445" w:rsidRPr="005A6552" w:rsidRDefault="005D55A4" w:rsidP="005A6552">
      <w:pPr>
        <w:pStyle w:val="Heading2"/>
        <w:spacing w:line="480" w:lineRule="auto"/>
        <w:contextualSpacing/>
        <w:rPr>
          <w:sz w:val="24"/>
          <w:szCs w:val="24"/>
        </w:rPr>
      </w:pPr>
      <w:r w:rsidRPr="005A6552">
        <w:rPr>
          <w:rStyle w:val="Heading3Char"/>
          <w:b/>
          <w:i w:val="0"/>
          <w:sz w:val="24"/>
          <w:szCs w:val="24"/>
        </w:rPr>
        <w:t>Multiple-Resistance</w:t>
      </w:r>
      <w:r w:rsidR="003D6D44" w:rsidRPr="005A6552">
        <w:rPr>
          <w:sz w:val="24"/>
          <w:szCs w:val="24"/>
        </w:rPr>
        <w:t xml:space="preserve"> in Turfgrass Weeds</w:t>
      </w:r>
      <w:bookmarkEnd w:id="11"/>
      <w:r w:rsidRPr="005A6552">
        <w:rPr>
          <w:sz w:val="24"/>
          <w:szCs w:val="24"/>
        </w:rPr>
        <w:t xml:space="preserve"> </w:t>
      </w:r>
    </w:p>
    <w:p w14:paraId="4644E746" w14:textId="6BBF433A" w:rsidR="005D55A4" w:rsidRPr="00F678F1" w:rsidRDefault="005D55A4" w:rsidP="004C3D3C">
      <w:pPr>
        <w:spacing w:line="480" w:lineRule="auto"/>
        <w:ind w:firstLine="720"/>
        <w:contextualSpacing/>
      </w:pPr>
      <w:r w:rsidRPr="00F678F1">
        <w:t>To date, the only documented instance of a turfgrass weed developing multiple-resistance occurred on a golf course in Tennessee (Brosnan et al. 2015). POAAN at this location developed resistance to simazine and trifloxysulfuron concomitant with years of consecutive use of each herbicide in the field. In a glasshouse, applications of trifloxysulfuron (3.5 to 223 g ha</w:t>
      </w:r>
      <w:r w:rsidRPr="00F678F1">
        <w:rPr>
          <w:vertAlign w:val="superscript"/>
        </w:rPr>
        <w:t>-1</w:t>
      </w:r>
      <w:r w:rsidRPr="00F678F1">
        <w:t>) and simazine (140 to 9000 g ha</w:t>
      </w:r>
      <w:r w:rsidRPr="00F678F1">
        <w:rPr>
          <w:vertAlign w:val="superscript"/>
        </w:rPr>
        <w:t>-1</w:t>
      </w:r>
      <w:r w:rsidRPr="00F678F1">
        <w:t>) controlled this resistant POAAN biotype ≤ 40% and ≤ 20%, respectively (Brosnan et al. 2015). However, applications of indaziflam (35 to 70 g ha</w:t>
      </w:r>
      <w:r w:rsidRPr="00F678F1">
        <w:rPr>
          <w:vertAlign w:val="superscript"/>
        </w:rPr>
        <w:t>-1</w:t>
      </w:r>
      <w:r w:rsidRPr="00F678F1">
        <w:t>) and oxadiazon (2240 to 4500 g ha</w:t>
      </w:r>
      <w:r w:rsidRPr="00F678F1">
        <w:rPr>
          <w:vertAlign w:val="superscript"/>
        </w:rPr>
        <w:t>-1</w:t>
      </w:r>
      <w:r w:rsidRPr="00F678F1">
        <w:t>) effectively controlled this resistant POAAN biotype PRE (Brosnan et al. 2015).</w:t>
      </w:r>
    </w:p>
    <w:p w14:paraId="61CFD3FA" w14:textId="268516E7" w:rsidR="00E85CEF" w:rsidRPr="00F678F1" w:rsidRDefault="005D55A4" w:rsidP="004C3D3C">
      <w:pPr>
        <w:spacing w:line="480" w:lineRule="auto"/>
        <w:ind w:firstLine="720"/>
        <w:contextualSpacing/>
      </w:pPr>
      <w:r w:rsidRPr="00F678F1">
        <w:t>In spring 2012, poor POAAN control (&lt;50%) was reported on golf course roughs in Alcoa, TN (35.75 °N, -83.88 °W) following treatment with a tank mixture of prodiamine (1120 g ha</w:t>
      </w:r>
      <w:r w:rsidRPr="00F678F1">
        <w:rPr>
          <w:vertAlign w:val="superscript"/>
        </w:rPr>
        <w:t>-1</w:t>
      </w:r>
      <w:r w:rsidRPr="00F678F1">
        <w:t>) and glyphosate (840 g ae ha</w:t>
      </w:r>
      <w:r w:rsidRPr="00F678F1">
        <w:rPr>
          <w:vertAlign w:val="superscript"/>
        </w:rPr>
        <w:t>-1</w:t>
      </w:r>
      <w:r w:rsidRPr="00F678F1">
        <w:t xml:space="preserve">) during bermudagrass dormancy. This application had been made at this location for over ten consecutive years without rotation (J.D. Murr, personal communication). We hypothesized that this POAAN population had evolved multiple-resistance to both glyphosate and prodiamine. This would mark only the second instance of a weed with multiple-resistance in managed turf (Heap </w:t>
      </w:r>
      <w:r w:rsidR="0044726E" w:rsidRPr="00F678F1">
        <w:t>2015</w:t>
      </w:r>
      <w:r w:rsidRPr="00F678F1">
        <w:t>). Moreover, it would also represent the first case of a POAAN population developing resistance to both PRE and POST herbicides. Thus, the objective of this research was to determine the sensitivity of a putatively resistant POAAN biotype to applications of prodiamine and glyphosate.</w:t>
      </w:r>
    </w:p>
    <w:p w14:paraId="7CEBE046" w14:textId="77777777" w:rsidR="005A6552" w:rsidRDefault="005A6552">
      <w:pPr>
        <w:rPr>
          <w:b/>
          <w:bCs/>
          <w:caps/>
          <w:sz w:val="28"/>
          <w:szCs w:val="28"/>
        </w:rPr>
      </w:pPr>
      <w:bookmarkStart w:id="12" w:name="_Toc308873395"/>
      <w:bookmarkStart w:id="13" w:name="_Toc308873596"/>
      <w:r>
        <w:br w:type="page"/>
      </w:r>
    </w:p>
    <w:p w14:paraId="7A72C215" w14:textId="74911552" w:rsidR="003A6B6E" w:rsidRPr="00F678F1" w:rsidRDefault="003A6B6E" w:rsidP="004C3D3C">
      <w:pPr>
        <w:pStyle w:val="StyleHeading1Centered"/>
        <w:spacing w:line="480" w:lineRule="auto"/>
        <w:contextualSpacing/>
      </w:pPr>
      <w:r w:rsidRPr="00F678F1">
        <w:t>CHAPTER 2</w:t>
      </w:r>
      <w:bookmarkEnd w:id="12"/>
      <w:bookmarkEnd w:id="13"/>
    </w:p>
    <w:p w14:paraId="3EDAD5D2" w14:textId="1F8C974B" w:rsidR="00236E6D" w:rsidRPr="00F678F1" w:rsidRDefault="00C056AA" w:rsidP="004C3D3C">
      <w:pPr>
        <w:pStyle w:val="StyleHeading1Centered"/>
        <w:spacing w:line="480" w:lineRule="auto"/>
        <w:contextualSpacing/>
      </w:pPr>
      <w:bookmarkStart w:id="14" w:name="_Toc308873597"/>
      <w:r w:rsidRPr="00F678F1">
        <w:t>Materials and Methods</w:t>
      </w:r>
      <w:bookmarkEnd w:id="14"/>
    </w:p>
    <w:p w14:paraId="47018C7F" w14:textId="5A06DD34" w:rsidR="00236E6D" w:rsidRPr="00F678F1" w:rsidRDefault="00236E6D" w:rsidP="004C3D3C">
      <w:pPr>
        <w:numPr>
          <w:ilvl w:val="12"/>
          <w:numId w:val="0"/>
        </w:numPr>
        <w:spacing w:line="480" w:lineRule="auto"/>
        <w:contextualSpacing/>
      </w:pPr>
      <w:r w:rsidRPr="00F678F1">
        <w:tab/>
      </w:r>
      <w:r w:rsidRPr="00F678F1">
        <w:tab/>
        <w:t xml:space="preserve"> </w:t>
      </w:r>
    </w:p>
    <w:p w14:paraId="2177C266" w14:textId="77777777" w:rsidR="00236E6D" w:rsidRPr="004C3D3C" w:rsidRDefault="00C056AA" w:rsidP="004C3D3C">
      <w:pPr>
        <w:pStyle w:val="Heading2"/>
        <w:spacing w:line="480" w:lineRule="auto"/>
        <w:contextualSpacing/>
        <w:rPr>
          <w:sz w:val="24"/>
          <w:szCs w:val="24"/>
        </w:rPr>
      </w:pPr>
      <w:bookmarkStart w:id="15" w:name="_Toc308873598"/>
      <w:r w:rsidRPr="004C3D3C">
        <w:rPr>
          <w:sz w:val="24"/>
          <w:szCs w:val="24"/>
        </w:rPr>
        <w:t>Plant Collection</w:t>
      </w:r>
      <w:bookmarkEnd w:id="15"/>
    </w:p>
    <w:p w14:paraId="0A6989DE" w14:textId="1F40748E" w:rsidR="00C056AA" w:rsidRPr="00F678F1" w:rsidRDefault="00874445" w:rsidP="004C3D3C">
      <w:pPr>
        <w:spacing w:line="480" w:lineRule="auto"/>
        <w:contextualSpacing/>
      </w:pPr>
      <w:r w:rsidRPr="00F678F1">
        <w:tab/>
      </w:r>
      <w:r w:rsidR="00C056AA" w:rsidRPr="00F678F1">
        <w:t xml:space="preserve">Three plant collection areas were identified within a single golf course rough at Lambert Acres Golf Course (Alcoa, TN; 35.75 °N, -83.88 °W) in February 2014. Previous research had reported that POAAN at this location was highly resistant to prodiamine (Brosnan et al. 2014). To investigate the potential for resistance to glyphosate, plots (1.5 x 10 m) were treated with glyphosate (Roundup Promax, Monsanto </w:t>
      </w:r>
      <w:r w:rsidR="00E35A1D" w:rsidRPr="00F678F1">
        <w:t>Company</w:t>
      </w:r>
      <w:r w:rsidR="00C056AA" w:rsidRPr="00F678F1">
        <w:t xml:space="preserve">, St. Louis </w:t>
      </w:r>
      <w:r w:rsidR="00E35A1D" w:rsidRPr="00F678F1">
        <w:t>MO</w:t>
      </w:r>
      <w:r w:rsidR="00C056AA" w:rsidRPr="00F678F1">
        <w:t>) at 840 g ae ha</w:t>
      </w:r>
      <w:r w:rsidR="00C056AA" w:rsidRPr="00F678F1">
        <w:rPr>
          <w:vertAlign w:val="superscript"/>
        </w:rPr>
        <w:t>-1</w:t>
      </w:r>
      <w:r w:rsidR="00C056AA" w:rsidRPr="00F678F1">
        <w:t xml:space="preserve"> using a CO</w:t>
      </w:r>
      <w:r w:rsidR="00C056AA" w:rsidRPr="00F678F1">
        <w:rPr>
          <w:vertAlign w:val="subscript"/>
        </w:rPr>
        <w:t>2</w:t>
      </w:r>
      <w:r w:rsidR="00016EFC" w:rsidRPr="00F678F1">
        <w:t>-</w:t>
      </w:r>
      <w:r w:rsidR="00C056AA" w:rsidRPr="00F678F1">
        <w:t>pressurized boom sprayer calibrated to deliver 281 L ha</w:t>
      </w:r>
      <w:r w:rsidR="00C056AA" w:rsidRPr="00F678F1">
        <w:rPr>
          <w:vertAlign w:val="superscript"/>
        </w:rPr>
        <w:t>-1</w:t>
      </w:r>
      <w:r w:rsidR="00C056AA" w:rsidRPr="00F678F1">
        <w:t xml:space="preserve"> via 8002 flat-fan nozzles on 18 February 2014. Each treated plot had a corresponding plot of similar size that was left non-treated. Visual assessments of annual bluegrass control 28 days after treatment (DAT) revealed no differences between treated and non-treated plots suggesting that this POAAN population may be glyphosate resistant (GR).</w:t>
      </w:r>
    </w:p>
    <w:p w14:paraId="0DDAAFB7" w14:textId="2385AA47" w:rsidR="00C056AA" w:rsidRPr="00F678F1" w:rsidRDefault="00C056AA" w:rsidP="004C3D3C">
      <w:pPr>
        <w:spacing w:line="480" w:lineRule="auto"/>
        <w:ind w:firstLine="432"/>
        <w:contextualSpacing/>
      </w:pPr>
      <w:r w:rsidRPr="00F678F1">
        <w:t xml:space="preserve">One hundred POAAN plugs were harvested from the non-treated plots using a Hound Dog weeder (Weed Hound, Hound Dog®, The Ames Companies Inc., Camp Hill, </w:t>
      </w:r>
      <w:r w:rsidR="00E35A1D" w:rsidRPr="00F678F1">
        <w:t>PA</w:t>
      </w:r>
      <w:r w:rsidRPr="00F678F1">
        <w:t xml:space="preserve">) on 18 March 2014 and </w:t>
      </w:r>
      <w:r w:rsidR="00E85CEF" w:rsidRPr="00F678F1">
        <w:t xml:space="preserve">transplanted </w:t>
      </w:r>
      <w:r w:rsidRPr="00F678F1">
        <w:t xml:space="preserve">in a glasshouse in </w:t>
      </w:r>
      <w:r w:rsidRPr="00F678F1">
        <w:rPr>
          <w:rFonts w:eastAsiaTheme="minorHAnsi"/>
        </w:rPr>
        <w:t>Knoxville, TN (35° 57' N Lat.)</w:t>
      </w:r>
      <w:r w:rsidRPr="00F678F1">
        <w:t xml:space="preserve">. Considering that POAAN is a self-pollinated species (Ellis 1973), harvested plants were given a unique identifier and clonally propagated into a minimum of four single tiller samples per plug. Tillers were established in </w:t>
      </w:r>
      <w:r w:rsidR="00016EFC" w:rsidRPr="00F678F1">
        <w:t>164-</w:t>
      </w:r>
      <w:r w:rsidRPr="00F678F1">
        <w:t>cm</w:t>
      </w:r>
      <w:r w:rsidRPr="00F678F1">
        <w:rPr>
          <w:vertAlign w:val="superscript"/>
        </w:rPr>
        <w:t>3</w:t>
      </w:r>
      <w:r w:rsidRPr="00F678F1">
        <w:t xml:space="preserve"> cone-tainers (SC10 Super Cell Conetainer. Steuwe &amp; Sons. Tangent, OR) filled with peat moss growing medium (Growing Mix #2. Conrad Fafard, Inc., Agawam, MA). The unique identifier allowed for experiments to be conducted using tillers directly associated with a specific plant harvested from the field site. This resulted in a total of 890 individual tillers from 100 whole plants. After transplanting, all plants remained in a glasshouse with </w:t>
      </w:r>
      <w:r w:rsidR="00E85CEF" w:rsidRPr="00F678F1">
        <w:t xml:space="preserve">maximum/minimum </w:t>
      </w:r>
      <w:r w:rsidRPr="00F678F1">
        <w:t xml:space="preserve">peak light intensity </w:t>
      </w:r>
      <w:r w:rsidR="00E85CEF" w:rsidRPr="00F678F1">
        <w:t xml:space="preserve">of </w:t>
      </w:r>
      <w:r w:rsidR="000550C5" w:rsidRPr="00F678F1">
        <w:t>4</w:t>
      </w:r>
      <w:r w:rsidR="00361ECE" w:rsidRPr="00F678F1">
        <w:t>.</w:t>
      </w:r>
      <w:r w:rsidR="000550C5" w:rsidRPr="00F678F1">
        <w:t>29</w:t>
      </w:r>
      <w:r w:rsidRPr="00F678F1">
        <w:t>/</w:t>
      </w:r>
      <w:r w:rsidR="00361ECE" w:rsidRPr="00F678F1">
        <w:t>0.03</w:t>
      </w:r>
      <w:r w:rsidR="000550C5" w:rsidRPr="00F678F1">
        <w:t xml:space="preserve"> </w:t>
      </w:r>
      <w:r w:rsidR="00361ECE" w:rsidRPr="00F678F1">
        <w:t>m</w:t>
      </w:r>
      <w:r w:rsidRPr="00F678F1">
        <w:t>mol m</w:t>
      </w:r>
      <w:r w:rsidRPr="00F678F1">
        <w:rPr>
          <w:vertAlign w:val="superscript"/>
        </w:rPr>
        <w:t>-2</w:t>
      </w:r>
      <w:r w:rsidRPr="00F678F1">
        <w:t xml:space="preserve"> s</w:t>
      </w:r>
      <w:r w:rsidRPr="00F678F1">
        <w:rPr>
          <w:vertAlign w:val="superscript"/>
        </w:rPr>
        <w:t>-1</w:t>
      </w:r>
      <w:r w:rsidRPr="00F678F1">
        <w:t xml:space="preserve"> with a daily average of </w:t>
      </w:r>
      <w:r w:rsidR="000550C5" w:rsidRPr="00F678F1">
        <w:t>1</w:t>
      </w:r>
      <w:r w:rsidR="00361ECE" w:rsidRPr="00F678F1">
        <w:t>.20</w:t>
      </w:r>
      <w:r w:rsidR="000550C5" w:rsidRPr="00F678F1">
        <w:t xml:space="preserve"> </w:t>
      </w:r>
      <w:r w:rsidR="00361ECE" w:rsidRPr="00F678F1">
        <w:t>m</w:t>
      </w:r>
      <w:r w:rsidRPr="00F678F1">
        <w:t>mol m</w:t>
      </w:r>
      <w:r w:rsidRPr="00F678F1">
        <w:rPr>
          <w:vertAlign w:val="superscript"/>
        </w:rPr>
        <w:t>-2</w:t>
      </w:r>
      <w:r w:rsidRPr="00F678F1">
        <w:t xml:space="preserve"> s</w:t>
      </w:r>
      <w:r w:rsidRPr="00F678F1">
        <w:rPr>
          <w:vertAlign w:val="superscript"/>
        </w:rPr>
        <w:t>-1</w:t>
      </w:r>
      <w:r w:rsidR="00E85CEF" w:rsidRPr="00F678F1">
        <w:t>.</w:t>
      </w:r>
      <w:r w:rsidRPr="00F678F1">
        <w:t xml:space="preserve"> </w:t>
      </w:r>
      <w:r w:rsidR="00E85CEF" w:rsidRPr="00F678F1">
        <w:t>D</w:t>
      </w:r>
      <w:r w:rsidRPr="00F678F1">
        <w:t xml:space="preserve">ay/night </w:t>
      </w:r>
      <w:r w:rsidR="00734CDA" w:rsidRPr="00F678F1">
        <w:t>temperatures in</w:t>
      </w:r>
      <w:r w:rsidR="00E85CEF" w:rsidRPr="00F678F1">
        <w:t xml:space="preserve"> the glasshouse averaged </w:t>
      </w:r>
      <w:r w:rsidRPr="00F678F1">
        <w:t xml:space="preserve">29/19 °C.  Plants received irrigation thrice </w:t>
      </w:r>
      <w:r w:rsidR="0049005C" w:rsidRPr="00F678F1">
        <w:t xml:space="preserve">daily </w:t>
      </w:r>
      <w:r w:rsidRPr="00F678F1">
        <w:t>from an overhead misting system, for 5 minutes per irrigation cycle, and were maintained at an approximate height of 4 cm using scissors. Nutrients were supplied at a rate of 24.4 kg nitrogen (N) ha</w:t>
      </w:r>
      <w:r w:rsidRPr="00F678F1">
        <w:rPr>
          <w:vertAlign w:val="superscript"/>
        </w:rPr>
        <w:t>-1</w:t>
      </w:r>
      <w:r w:rsidRPr="00F678F1">
        <w:t xml:space="preserve"> biweekly using a complete fertilizer (20-20-20 Soluble Fertilizer with Minor Elements, Southern Agricultural Insecticides Inc., Hendersonville, NC)</w:t>
      </w:r>
      <w:r w:rsidR="005A6552">
        <w:t>.</w:t>
      </w:r>
    </w:p>
    <w:p w14:paraId="1EFA85F0" w14:textId="3646AA79" w:rsidR="00B041CD" w:rsidRPr="005A6552" w:rsidRDefault="00B041CD" w:rsidP="004C3D3C">
      <w:pPr>
        <w:spacing w:line="480" w:lineRule="auto"/>
        <w:contextualSpacing/>
        <w:rPr>
          <w:rStyle w:val="Heading3Char"/>
          <w:b w:val="0"/>
          <w:i w:val="0"/>
        </w:rPr>
      </w:pPr>
    </w:p>
    <w:p w14:paraId="6172515F" w14:textId="1963A696" w:rsidR="00F6326B" w:rsidRPr="004C3D3C" w:rsidRDefault="00C056AA" w:rsidP="004C3D3C">
      <w:pPr>
        <w:pStyle w:val="Heading2"/>
        <w:spacing w:line="480" w:lineRule="auto"/>
        <w:contextualSpacing/>
        <w:rPr>
          <w:sz w:val="24"/>
          <w:szCs w:val="24"/>
        </w:rPr>
      </w:pPr>
      <w:bookmarkStart w:id="16" w:name="_Toc308873599"/>
      <w:r w:rsidRPr="004C3D3C">
        <w:rPr>
          <w:rStyle w:val="Heading3Char"/>
          <w:b/>
          <w:i w:val="0"/>
          <w:sz w:val="24"/>
          <w:szCs w:val="24"/>
        </w:rPr>
        <w:t xml:space="preserve">Determining the </w:t>
      </w:r>
      <w:r w:rsidR="00F91379" w:rsidRPr="004C3D3C">
        <w:rPr>
          <w:rStyle w:val="Heading3Char"/>
          <w:b/>
          <w:i w:val="0"/>
          <w:sz w:val="24"/>
          <w:szCs w:val="24"/>
        </w:rPr>
        <w:t>Percentage of Plants with Putative Resistance to Prodiamine and Glyphosate</w:t>
      </w:r>
      <w:bookmarkEnd w:id="16"/>
      <w:r w:rsidR="00F91379" w:rsidRPr="004C3D3C">
        <w:rPr>
          <w:sz w:val="24"/>
          <w:szCs w:val="24"/>
        </w:rPr>
        <w:t xml:space="preserve"> </w:t>
      </w:r>
    </w:p>
    <w:p w14:paraId="27C2F5CB" w14:textId="6AADD55D" w:rsidR="008D3ED9" w:rsidRPr="00B93B16" w:rsidRDefault="00F6326B" w:rsidP="004C3D3C">
      <w:pPr>
        <w:spacing w:line="480" w:lineRule="auto"/>
        <w:contextualSpacing/>
        <w:rPr>
          <w:rStyle w:val="Heading3Char"/>
          <w:i w:val="0"/>
        </w:rPr>
      </w:pPr>
      <w:r w:rsidRPr="00F678F1">
        <w:rPr>
          <w:b/>
        </w:rPr>
        <w:tab/>
      </w:r>
      <w:r w:rsidR="00C056AA" w:rsidRPr="00F678F1">
        <w:t xml:space="preserve">Research was conducted in a glasshouse at the </w:t>
      </w:r>
      <w:r w:rsidR="00C056AA" w:rsidRPr="00F678F1">
        <w:rPr>
          <w:rStyle w:val="bodychar"/>
          <w:rFonts w:eastAsia="?????? Pro W3"/>
        </w:rPr>
        <w:t>University of Tennessee (Knoxville, TN; 35.56</w:t>
      </w:r>
      <w:r w:rsidR="00C056AA" w:rsidRPr="00F678F1">
        <w:rPr>
          <w:color w:val="000000"/>
        </w:rPr>
        <w:t>°N,</w:t>
      </w:r>
      <w:r w:rsidR="00C056AA" w:rsidRPr="00F678F1">
        <w:rPr>
          <w:rStyle w:val="bodychar"/>
          <w:rFonts w:eastAsia="?????? Pro W3"/>
        </w:rPr>
        <w:t xml:space="preserve"> -83.56</w:t>
      </w:r>
      <w:r w:rsidR="00C056AA" w:rsidRPr="00F678F1">
        <w:rPr>
          <w:color w:val="000000"/>
        </w:rPr>
        <w:t>°W</w:t>
      </w:r>
      <w:r w:rsidR="00C056AA" w:rsidRPr="00F678F1">
        <w:rPr>
          <w:rStyle w:val="bodychar"/>
          <w:rFonts w:eastAsia="?????? Pro W3"/>
        </w:rPr>
        <w:t>)</w:t>
      </w:r>
      <w:r w:rsidR="00C056AA" w:rsidRPr="00F678F1">
        <w:t xml:space="preserve"> during 2014 to determine the relative percentages of POAAN plants in the sampled population with multiple resistance to both prodiamine and glyphosate, either herbicide individually, or neither active </w:t>
      </w:r>
      <w:r w:rsidR="00C056AA" w:rsidRPr="00B93B16">
        <w:t>ingredient.</w:t>
      </w:r>
    </w:p>
    <w:p w14:paraId="0389FEC7" w14:textId="63E2B785" w:rsidR="00C056AA" w:rsidRPr="00F678F1" w:rsidRDefault="00B041CD" w:rsidP="004C3D3C">
      <w:pPr>
        <w:spacing w:line="480" w:lineRule="auto"/>
        <w:contextualSpacing/>
      </w:pPr>
      <w:r w:rsidRPr="00B93B16">
        <w:rPr>
          <w:rStyle w:val="Heading3Char"/>
          <w:i w:val="0"/>
        </w:rPr>
        <w:tab/>
      </w:r>
      <w:r w:rsidR="00C056AA" w:rsidRPr="00F678F1">
        <w:rPr>
          <w:rStyle w:val="Heading3Char"/>
        </w:rPr>
        <w:t xml:space="preserve">Glyphosate </w:t>
      </w:r>
      <w:r w:rsidR="00F91379" w:rsidRPr="00F678F1">
        <w:rPr>
          <w:rStyle w:val="Heading3Char"/>
        </w:rPr>
        <w:t>Resistance</w:t>
      </w:r>
      <w:r w:rsidR="00C056AA" w:rsidRPr="00F678F1">
        <w:rPr>
          <w:i/>
        </w:rPr>
        <w:t xml:space="preserve">. </w:t>
      </w:r>
      <w:r w:rsidR="00C056AA" w:rsidRPr="00F678F1">
        <w:t>Clonal tillers of all 100 plants harvested from the field site were treated with glyphosate at 840 g ha</w:t>
      </w:r>
      <w:r w:rsidR="00C056AA" w:rsidRPr="00F678F1">
        <w:rPr>
          <w:vertAlign w:val="superscript"/>
        </w:rPr>
        <w:t>-1</w:t>
      </w:r>
      <w:r w:rsidR="00C056AA" w:rsidRPr="00F678F1">
        <w:t xml:space="preserve"> using a single flat-fan nozzle (Teejet 8004EVS </w:t>
      </w:r>
      <w:r w:rsidR="00016EFC" w:rsidRPr="00F678F1">
        <w:t>flat-</w:t>
      </w:r>
      <w:r w:rsidR="00C056AA" w:rsidRPr="00F678F1">
        <w:t>fan spray nozzle, Spraying Systems Co.) in an enclosed spray chamber (Generation III Research Sprayer, DeVries Manufacturing, Hollandale, MN) calibrated to deliver 215 L ha</w:t>
      </w:r>
      <w:r w:rsidR="00C056AA" w:rsidRPr="00F678F1">
        <w:rPr>
          <w:vertAlign w:val="superscript"/>
        </w:rPr>
        <w:t>-1</w:t>
      </w:r>
      <w:r w:rsidR="00C056AA" w:rsidRPr="00F678F1">
        <w:t xml:space="preserve"> on 29 April 2014. Plants were at least a single tiller in size when treatments were applied and maintained under previously described glasshouse conditions. POAAN control was visually assessed on a 0 (i.e., no control) to 100% (i.e., complete control) scale relative to a non-treated check at 3 weeks after treatment (WAT). Plants controlled ≤ 30% were deemed resistant </w:t>
      </w:r>
      <w:r w:rsidR="00501BF1" w:rsidRPr="00F678F1">
        <w:t xml:space="preserve">to glyphosate </w:t>
      </w:r>
      <w:r w:rsidR="00C056AA" w:rsidRPr="00F678F1">
        <w:t xml:space="preserve">while those controlled ≥ 70% were deemed susceptible. </w:t>
      </w:r>
    </w:p>
    <w:p w14:paraId="56750781" w14:textId="2B9F7935" w:rsidR="00C57B7C" w:rsidRPr="005A6552" w:rsidRDefault="00B041CD" w:rsidP="004C3D3C">
      <w:pPr>
        <w:spacing w:line="480" w:lineRule="auto"/>
        <w:contextualSpacing/>
      </w:pPr>
      <w:r w:rsidRPr="00F678F1">
        <w:rPr>
          <w:rStyle w:val="Heading3Char"/>
        </w:rPr>
        <w:tab/>
      </w:r>
      <w:r w:rsidR="00C056AA" w:rsidRPr="00F678F1">
        <w:rPr>
          <w:rStyle w:val="Heading3Char"/>
        </w:rPr>
        <w:t xml:space="preserve">Prodiamine </w:t>
      </w:r>
      <w:r w:rsidR="00F91379" w:rsidRPr="00F678F1">
        <w:rPr>
          <w:rStyle w:val="Heading3Char"/>
        </w:rPr>
        <w:t>Resistance</w:t>
      </w:r>
      <w:r w:rsidR="002D25CA" w:rsidRPr="00F678F1">
        <w:rPr>
          <w:rStyle w:val="Heading3Char"/>
        </w:rPr>
        <w:t>.</w:t>
      </w:r>
      <w:r w:rsidR="00F91379" w:rsidRPr="00F678F1">
        <w:t xml:space="preserve"> </w:t>
      </w:r>
      <w:r w:rsidR="00C056AA" w:rsidRPr="00F678F1">
        <w:t xml:space="preserve">Tillers of all 100 plants harvested from the field site were screened for prodiamine resistance using hydroponic methods similar to </w:t>
      </w:r>
      <w:r w:rsidR="00C056AA" w:rsidRPr="00F678F1">
        <w:rPr>
          <w:rStyle w:val="bodychar"/>
          <w:rFonts w:eastAsia="?????? Pro W3"/>
        </w:rPr>
        <w:t xml:space="preserve">Brosnan et al. (2014) in a glasshouse at the University of Tennessee. </w:t>
      </w:r>
      <w:r w:rsidR="00C056AA" w:rsidRPr="00F678F1">
        <w:t>Tillers were transplanted into</w:t>
      </w:r>
      <w:r w:rsidR="00C056AA" w:rsidRPr="00F678F1">
        <w:rPr>
          <w:rStyle w:val="bodychar"/>
          <w:rFonts w:eastAsia="?????? Pro W3"/>
        </w:rPr>
        <w:t xml:space="preserve"> polyethylene containers (Rubbermaid Roughneck, Rubbermaid Commercial Products LLC, Winchester, VA) filled with 10 L of a full strength Hoagland solution (Hoagland and Arnon 1950</w:t>
      </w:r>
      <w:r w:rsidR="00C57B7C" w:rsidRPr="00F678F1">
        <w:rPr>
          <w:rStyle w:val="bodychar"/>
          <w:rFonts w:eastAsia="?????? Pro W3"/>
        </w:rPr>
        <w:t>)</w:t>
      </w:r>
      <w:r w:rsidR="00C056AA" w:rsidRPr="00F678F1">
        <w:rPr>
          <w:rStyle w:val="bodychar"/>
          <w:rFonts w:eastAsia="?????? Pro W3"/>
        </w:rPr>
        <w:t xml:space="preserve"> aerated with a</w:t>
      </w:r>
      <w:r w:rsidR="00C056AA" w:rsidRPr="00F678F1">
        <w:t xml:space="preserve"> blower (Model VB-007S, Sweetwater, Ft. Collins, CO), air stones </w:t>
      </w:r>
      <w:r w:rsidR="00C056AA" w:rsidRPr="00F678F1">
        <w:rPr>
          <w:rStyle w:val="bodychar"/>
          <w:rFonts w:eastAsia="?????? Pro W3"/>
        </w:rPr>
        <w:t xml:space="preserve">(HAGEN Elite 1" Cube Air Stone, Rolf C. Hagen Corp., Mansfield, MA), and Tygon tubing (Saint-Gobain Performance Plastics Akron, OH). Ten holes (0.4-cm diameter) were drilled into the lid of each container at a 5.3-cm spacing. One hundred individual POAAN tillers were transplanted into these holes on 29 April 2014. </w:t>
      </w:r>
      <w:r w:rsidR="00C056AA" w:rsidRPr="00F678F1">
        <w:t>Root length of all tillers was trimmed to 5 cm at the beginning of the trial and all 100 tillers were placed into containers with roots submerged into the nutrient solution containing 0.04 mM prodiamine. In a previous study, the concentration of prodiamine required to reduce rooting of POAAN from this field location by 50% measured 0.04 mM compared to 2.8 x 10</w:t>
      </w:r>
      <w:r w:rsidR="00C056AA" w:rsidRPr="00F678F1">
        <w:rPr>
          <w:vertAlign w:val="superscript"/>
        </w:rPr>
        <w:t>-6</w:t>
      </w:r>
      <w:r w:rsidR="00C056AA" w:rsidRPr="00F678F1">
        <w:t xml:space="preserve"> mM for a known susceptible population of POAAN (Brosnan et al. 2014). Therefore, all 100 plants in this experiment were exposed to 0.04 mM prodiamine in hydroponic culture to identify prodiamine resistant and susceptible individuals within the population sampled from our field site. At 10 DAT, all tillers were harvested and root length was measured. Root growth beyond the 5 cm benchmark constituted a resistant plant while root length at or below 5 cm identified plants with susceptibility to </w:t>
      </w:r>
      <w:r w:rsidR="00C056AA" w:rsidRPr="005A6552">
        <w:t xml:space="preserve">prodiamine. Maximum and minimum air temperature conditions in the glasshouse during experiment averaged 31/26 °C, with maximum and minimum daily light intensity </w:t>
      </w:r>
      <w:r w:rsidR="00C57B7C" w:rsidRPr="005A6552">
        <w:t xml:space="preserve">measuring </w:t>
      </w:r>
      <w:r w:rsidR="00C056AA" w:rsidRPr="005A6552">
        <w:t>4</w:t>
      </w:r>
      <w:r w:rsidR="006F7BDE" w:rsidRPr="005A6552">
        <w:t>.</w:t>
      </w:r>
      <w:r w:rsidR="00C056AA" w:rsidRPr="005A6552">
        <w:t>13/</w:t>
      </w:r>
      <w:r w:rsidR="006F7BDE" w:rsidRPr="005A6552">
        <w:t>0.</w:t>
      </w:r>
      <w:r w:rsidR="00C056AA" w:rsidRPr="005A6552">
        <w:t xml:space="preserve">15 </w:t>
      </w:r>
      <w:r w:rsidR="006F7BDE" w:rsidRPr="005A6552">
        <w:t>mmol</w:t>
      </w:r>
      <w:r w:rsidR="00C056AA" w:rsidRPr="005A6552">
        <w:t xml:space="preserve"> m</w:t>
      </w:r>
      <w:r w:rsidR="00C056AA" w:rsidRPr="005A6552">
        <w:rPr>
          <w:vertAlign w:val="superscript"/>
        </w:rPr>
        <w:t>-2</w:t>
      </w:r>
      <w:r w:rsidR="00C056AA" w:rsidRPr="005A6552">
        <w:t xml:space="preserve"> s</w:t>
      </w:r>
      <w:r w:rsidR="00C056AA" w:rsidRPr="005A6552">
        <w:rPr>
          <w:vertAlign w:val="superscript"/>
        </w:rPr>
        <w:t>-1</w:t>
      </w:r>
      <w:r w:rsidR="00C056AA" w:rsidRPr="005A6552">
        <w:t xml:space="preserve"> </w:t>
      </w:r>
      <w:r w:rsidR="00C57B7C" w:rsidRPr="005A6552">
        <w:t xml:space="preserve">with </w:t>
      </w:r>
      <w:r w:rsidR="00C056AA" w:rsidRPr="005A6552">
        <w:t>a daily average of 1</w:t>
      </w:r>
      <w:r w:rsidR="006F7BDE" w:rsidRPr="005A6552">
        <w:t>.</w:t>
      </w:r>
      <w:r w:rsidR="00C056AA" w:rsidRPr="005A6552">
        <w:t xml:space="preserve">17 </w:t>
      </w:r>
      <w:r w:rsidR="006F7BDE" w:rsidRPr="005A6552">
        <w:t>mmol</w:t>
      </w:r>
      <w:r w:rsidR="00C056AA" w:rsidRPr="005A6552">
        <w:t xml:space="preserve"> m</w:t>
      </w:r>
      <w:r w:rsidR="00C056AA" w:rsidRPr="005A6552">
        <w:rPr>
          <w:vertAlign w:val="superscript"/>
        </w:rPr>
        <w:t>-</w:t>
      </w:r>
      <w:r w:rsidR="00D03E81" w:rsidRPr="005A6552">
        <w:rPr>
          <w:vertAlign w:val="superscript"/>
        </w:rPr>
        <w:t>2</w:t>
      </w:r>
      <w:r w:rsidR="00D03E81" w:rsidRPr="005A6552">
        <w:t xml:space="preserve"> s</w:t>
      </w:r>
      <w:r w:rsidR="00C056AA" w:rsidRPr="005A6552">
        <w:rPr>
          <w:vertAlign w:val="superscript"/>
        </w:rPr>
        <w:t>-1</w:t>
      </w:r>
      <w:r w:rsidR="00C056AA" w:rsidRPr="005A6552">
        <w:t>.</w:t>
      </w:r>
      <w:bookmarkStart w:id="17" w:name="_Toc294435748"/>
    </w:p>
    <w:p w14:paraId="64EF3D63" w14:textId="0740D10C" w:rsidR="00C056AA" w:rsidRPr="005A6552" w:rsidRDefault="00C57B7C" w:rsidP="004C3D3C">
      <w:pPr>
        <w:pStyle w:val="Heading2"/>
        <w:spacing w:line="480" w:lineRule="auto"/>
        <w:contextualSpacing/>
        <w:rPr>
          <w:sz w:val="24"/>
          <w:szCs w:val="24"/>
        </w:rPr>
      </w:pPr>
      <w:r w:rsidRPr="005A6552">
        <w:rPr>
          <w:sz w:val="24"/>
          <w:szCs w:val="24"/>
        </w:rPr>
        <w:br/>
      </w:r>
      <w:bookmarkStart w:id="18" w:name="_Toc308873600"/>
      <w:r w:rsidR="00C056AA" w:rsidRPr="005A6552">
        <w:rPr>
          <w:sz w:val="24"/>
          <w:szCs w:val="24"/>
        </w:rPr>
        <w:t>Confirming Resistance in the Glasshouse</w:t>
      </w:r>
      <w:bookmarkEnd w:id="17"/>
      <w:bookmarkEnd w:id="18"/>
    </w:p>
    <w:p w14:paraId="61999334" w14:textId="5006AB70" w:rsidR="002D25CA" w:rsidRPr="00F678F1" w:rsidRDefault="002D25CA" w:rsidP="004C3D3C">
      <w:pPr>
        <w:spacing w:line="480" w:lineRule="auto"/>
        <w:contextualSpacing/>
        <w:rPr>
          <w:i/>
        </w:rPr>
      </w:pPr>
      <w:r w:rsidRPr="005A6552">
        <w:tab/>
        <w:t xml:space="preserve">Research was conducted in a glasshouse at the </w:t>
      </w:r>
      <w:r w:rsidRPr="005A6552">
        <w:rPr>
          <w:rStyle w:val="bodychar"/>
          <w:rFonts w:eastAsia="?????? Pro W3"/>
        </w:rPr>
        <w:t>University of Tennessee (Knoxville, TN; 35.56</w:t>
      </w:r>
      <w:r w:rsidRPr="005A6552">
        <w:rPr>
          <w:color w:val="000000"/>
        </w:rPr>
        <w:t>°N,</w:t>
      </w:r>
      <w:r w:rsidRPr="005A6552">
        <w:rPr>
          <w:rStyle w:val="bodychar"/>
          <w:rFonts w:eastAsia="?????? Pro W3"/>
        </w:rPr>
        <w:t xml:space="preserve"> -83.56</w:t>
      </w:r>
      <w:r w:rsidRPr="005A6552">
        <w:rPr>
          <w:color w:val="000000"/>
        </w:rPr>
        <w:t>°W</w:t>
      </w:r>
      <w:r w:rsidRPr="005A6552">
        <w:rPr>
          <w:rStyle w:val="bodychar"/>
          <w:rFonts w:eastAsia="?????? Pro W3"/>
        </w:rPr>
        <w:t>)</w:t>
      </w:r>
      <w:r w:rsidRPr="005A6552">
        <w:t xml:space="preserve"> during 2015</w:t>
      </w:r>
      <w:r w:rsidRPr="00F678F1">
        <w:t xml:space="preserve"> to determine the sensitivity of POAAN plants to prodiamine and glyphosate from seed to confirm that these traits are inheritable and measure the level of resistance.</w:t>
      </w:r>
    </w:p>
    <w:p w14:paraId="594F2C49" w14:textId="1FBBEB08" w:rsidR="00C57B7C" w:rsidRPr="00F678F1" w:rsidRDefault="00B041CD" w:rsidP="004C3D3C">
      <w:pPr>
        <w:spacing w:line="480" w:lineRule="auto"/>
        <w:contextualSpacing/>
      </w:pPr>
      <w:r w:rsidRPr="00F678F1">
        <w:rPr>
          <w:rStyle w:val="Heading3Char"/>
        </w:rPr>
        <w:tab/>
      </w:r>
      <w:r w:rsidR="00C056AA" w:rsidRPr="00F678F1">
        <w:rPr>
          <w:rStyle w:val="Heading3Char"/>
        </w:rPr>
        <w:t xml:space="preserve">Prodiamine </w:t>
      </w:r>
      <w:r w:rsidR="00F91379" w:rsidRPr="00F678F1">
        <w:rPr>
          <w:rStyle w:val="Heading3Char"/>
        </w:rPr>
        <w:t>Resistance</w:t>
      </w:r>
      <w:r w:rsidR="002D25CA" w:rsidRPr="00F678F1">
        <w:rPr>
          <w:rStyle w:val="Heading3Char"/>
        </w:rPr>
        <w:t>.</w:t>
      </w:r>
      <w:r w:rsidR="00F91379" w:rsidRPr="00F678F1">
        <w:rPr>
          <w:i/>
        </w:rPr>
        <w:t xml:space="preserve"> </w:t>
      </w:r>
      <w:r w:rsidR="002D25CA" w:rsidRPr="00F678F1">
        <w:t>S</w:t>
      </w:r>
      <w:r w:rsidR="00C056AA" w:rsidRPr="00F678F1">
        <w:t xml:space="preserve">eeds from plants exhibiting resistance to prodiamine in previously described glasshouse studies were collected and stored in Nalgene containers at -20 °C during spring 2014. After a 4-month vernalization period, greenhouse pots containing 1049 cm³ of Sequatchie silt loam soil (fine-loamy, siliceous, semiactive, thermic Humic Hapludult) were surface seeded with </w:t>
      </w:r>
      <w:r w:rsidR="00016EFC" w:rsidRPr="00F678F1">
        <w:t>prodiamine-</w:t>
      </w:r>
      <w:r w:rsidR="00C056AA" w:rsidRPr="00F678F1">
        <w:t>resistant germplasm on 5 February 2015. Companion pots were surface seeded with prodiamine-susceptible germplasm on the same date. Immediately after seeding, pots were treated with prodiamine at 0, 105, 210, 420, 840, 1680, 3360, and 6720 g ha</w:t>
      </w:r>
      <w:r w:rsidR="00C056AA" w:rsidRPr="00F678F1">
        <w:rPr>
          <w:vertAlign w:val="superscript"/>
        </w:rPr>
        <w:t>-1</w:t>
      </w:r>
      <w:r w:rsidR="00C056AA" w:rsidRPr="00F678F1">
        <w:t xml:space="preserve"> using a previously described spray chamber. This experiment was repeated again on 13 March 2015. </w:t>
      </w:r>
    </w:p>
    <w:p w14:paraId="7F8A99F2" w14:textId="1D8659B3" w:rsidR="00C056AA" w:rsidRPr="00F678F1" w:rsidRDefault="00C57B7C" w:rsidP="004C3D3C">
      <w:pPr>
        <w:spacing w:line="480" w:lineRule="auto"/>
        <w:ind w:firstLine="720"/>
        <w:contextualSpacing/>
        <w:rPr>
          <w:i/>
        </w:rPr>
      </w:pPr>
      <w:r w:rsidRPr="00F678F1">
        <w:t>In each experimental run, irrigation was supplied via an overhead misting system thrice a day.  Nutrients were supplied at a rate of 24.4 kg N ha</w:t>
      </w:r>
      <w:r w:rsidRPr="00F678F1">
        <w:rPr>
          <w:vertAlign w:val="superscript"/>
        </w:rPr>
        <w:t>-1</w:t>
      </w:r>
      <w:r w:rsidRPr="00F678F1">
        <w:t xml:space="preserve"> biweekly using a complete fertilizer (20-20-20 Soluble Fertilizer with Minor Elements, Southern Agricultural Insecticides Inc., Hendersonville, NC) once non-treated plants reached 2.5 cm in height. Maximum and minimum air temperature conditions in the glasshouse during each experimental run averaged 30/20 °C.</w:t>
      </w:r>
      <w:r w:rsidRPr="00F678F1" w:rsidDel="007E68DC">
        <w:t xml:space="preserve"> </w:t>
      </w:r>
      <w:r w:rsidRPr="00F678F1">
        <w:t xml:space="preserve"> During experimental run 1, maximum and minimum peak light intensity averaged 5</w:t>
      </w:r>
      <w:r w:rsidR="006F7BDE" w:rsidRPr="00F678F1">
        <w:t>.</w:t>
      </w:r>
      <w:r w:rsidRPr="00F678F1">
        <w:t>08/</w:t>
      </w:r>
      <w:r w:rsidR="006F7BDE" w:rsidRPr="00F678F1">
        <w:t>0.</w:t>
      </w:r>
      <w:r w:rsidRPr="00F678F1">
        <w:t xml:space="preserve">40 </w:t>
      </w:r>
      <w:r w:rsidR="006F7BDE" w:rsidRPr="00F678F1">
        <w:t>mmol</w:t>
      </w:r>
      <w:r w:rsidRPr="00F678F1">
        <w:t xml:space="preserve"> m</w:t>
      </w:r>
      <w:r w:rsidRPr="00F678F1">
        <w:rPr>
          <w:vertAlign w:val="superscript"/>
        </w:rPr>
        <w:t>-2</w:t>
      </w:r>
      <w:r w:rsidRPr="00F678F1">
        <w:t xml:space="preserve"> s</w:t>
      </w:r>
      <w:r w:rsidRPr="00F678F1">
        <w:rPr>
          <w:vertAlign w:val="superscript"/>
        </w:rPr>
        <w:t>-1</w:t>
      </w:r>
      <w:r w:rsidRPr="00F678F1">
        <w:t xml:space="preserve"> with a daily average of 1</w:t>
      </w:r>
      <w:r w:rsidR="006F7BDE" w:rsidRPr="00F678F1">
        <w:t>.</w:t>
      </w:r>
      <w:r w:rsidRPr="00F678F1">
        <w:t xml:space="preserve">46 </w:t>
      </w:r>
      <w:r w:rsidR="006F7BDE" w:rsidRPr="00F678F1">
        <w:t>mmol</w:t>
      </w:r>
      <w:r w:rsidRPr="00F678F1">
        <w:t xml:space="preserve"> m</w:t>
      </w:r>
      <w:r w:rsidRPr="00F678F1">
        <w:rPr>
          <w:vertAlign w:val="superscript"/>
        </w:rPr>
        <w:t>-2</w:t>
      </w:r>
      <w:r w:rsidRPr="00F678F1">
        <w:t xml:space="preserve"> s</w:t>
      </w:r>
      <w:r w:rsidRPr="00F678F1">
        <w:rPr>
          <w:vertAlign w:val="superscript"/>
        </w:rPr>
        <w:t>-1</w:t>
      </w:r>
      <w:r w:rsidRPr="00F678F1">
        <w:t>. The experiment was replicated a second time with maximum/minimum peak daily light intensity averaging 7</w:t>
      </w:r>
      <w:r w:rsidR="006F7BDE" w:rsidRPr="00F678F1">
        <w:t>.</w:t>
      </w:r>
      <w:r w:rsidRPr="00F678F1">
        <w:t>37/</w:t>
      </w:r>
      <w:r w:rsidR="006F7BDE" w:rsidRPr="00F678F1">
        <w:t>0.</w:t>
      </w:r>
      <w:r w:rsidRPr="00F678F1">
        <w:t xml:space="preserve">50 </w:t>
      </w:r>
      <w:r w:rsidR="006F7BDE" w:rsidRPr="00F678F1">
        <w:t>mmol</w:t>
      </w:r>
      <w:r w:rsidRPr="00F678F1">
        <w:t xml:space="preserve"> m</w:t>
      </w:r>
      <w:r w:rsidRPr="00F678F1">
        <w:rPr>
          <w:vertAlign w:val="superscript"/>
        </w:rPr>
        <w:t>-2</w:t>
      </w:r>
      <w:r w:rsidRPr="00F678F1">
        <w:t xml:space="preserve"> s</w:t>
      </w:r>
      <w:r w:rsidRPr="00F678F1">
        <w:rPr>
          <w:vertAlign w:val="superscript"/>
        </w:rPr>
        <w:t>-1</w:t>
      </w:r>
      <w:r w:rsidRPr="00F678F1">
        <w:t xml:space="preserve"> with a daily average of 1</w:t>
      </w:r>
      <w:r w:rsidR="006F7BDE" w:rsidRPr="00F678F1">
        <w:t>.</w:t>
      </w:r>
      <w:r w:rsidRPr="00F678F1">
        <w:t xml:space="preserve">87 </w:t>
      </w:r>
      <w:r w:rsidR="006F7BDE" w:rsidRPr="00F678F1">
        <w:t>mmol</w:t>
      </w:r>
      <w:r w:rsidRPr="00F678F1">
        <w:t xml:space="preserve"> m</w:t>
      </w:r>
      <w:r w:rsidRPr="00F678F1">
        <w:rPr>
          <w:vertAlign w:val="superscript"/>
        </w:rPr>
        <w:t>-2</w:t>
      </w:r>
      <w:r w:rsidRPr="00F678F1">
        <w:t xml:space="preserve"> s</w:t>
      </w:r>
      <w:r w:rsidRPr="00F678F1">
        <w:rPr>
          <w:vertAlign w:val="superscript"/>
        </w:rPr>
        <w:t>-1</w:t>
      </w:r>
      <w:r w:rsidRPr="00F678F1">
        <w:t xml:space="preserve">. </w:t>
      </w:r>
      <w:r w:rsidR="00C056AA" w:rsidRPr="00F678F1">
        <w:t>POAAN control was visually assessed on a 0 (i.e., no control) to 100% (i.e., complete control) scale relative to a non-treated check 5 WAT. At the conclusion of each experimental run, aboveground biomass was measured by harvesting all tissue above the soil line and placing it in a forced air oven at 35 °C for 5 days.</w:t>
      </w:r>
    </w:p>
    <w:p w14:paraId="0340C7F6" w14:textId="1C376E09" w:rsidR="00C056AA" w:rsidRPr="00F678F1" w:rsidRDefault="00B041CD" w:rsidP="004C3D3C">
      <w:pPr>
        <w:spacing w:line="480" w:lineRule="auto"/>
        <w:contextualSpacing/>
      </w:pPr>
      <w:r w:rsidRPr="00F678F1">
        <w:rPr>
          <w:rStyle w:val="Heading3Char"/>
        </w:rPr>
        <w:tab/>
      </w:r>
      <w:r w:rsidR="00C056AA" w:rsidRPr="00F678F1">
        <w:rPr>
          <w:rStyle w:val="Heading3Char"/>
        </w:rPr>
        <w:t xml:space="preserve">Glyphosate </w:t>
      </w:r>
      <w:r w:rsidR="00085242" w:rsidRPr="00F678F1">
        <w:rPr>
          <w:rStyle w:val="Heading3Char"/>
        </w:rPr>
        <w:t>Resistance</w:t>
      </w:r>
      <w:r w:rsidRPr="00F678F1">
        <w:t xml:space="preserve">. </w:t>
      </w:r>
      <w:r w:rsidR="00C056AA" w:rsidRPr="00F678F1">
        <w:t xml:space="preserve">Seeds from plants exhibiting resistance to glyphosate in glasshouse studies were collected and stored as previously described for prodiamine. </w:t>
      </w:r>
      <w:r w:rsidR="0041166D" w:rsidRPr="00F678F1">
        <w:t>Containers</w:t>
      </w:r>
      <w:r w:rsidR="00C056AA" w:rsidRPr="00F678F1">
        <w:t xml:space="preserve"> (SC10 Super Cell Conetainer. Steuwe &amp; Sons. Tangent, OR) filled with peat moss growing medium (Growing Mix #2. Conrad Fafard, Inc., Agawam, MA) were seeded with glyphosate resistant germplasm on 30 October 2014. A POAAN biotype known to be susceptible to glyphosate was seeded in a similar manner on the same date. Plants were irrigated thrice daily and maintained at approximately </w:t>
      </w:r>
      <w:r w:rsidR="00016EFC" w:rsidRPr="00F678F1">
        <w:t>4-</w:t>
      </w:r>
      <w:r w:rsidR="00C056AA" w:rsidRPr="00F678F1">
        <w:t>cm height of cut using scissors. Cone-tainers were cultured under these conditions until developing a minimum of three tillers.  Nutrients were applied at a rate of 24.4 kg N ha</w:t>
      </w:r>
      <w:r w:rsidR="00C056AA" w:rsidRPr="00F678F1">
        <w:rPr>
          <w:vertAlign w:val="superscript"/>
        </w:rPr>
        <w:t>-1</w:t>
      </w:r>
      <w:r w:rsidR="00C056AA" w:rsidRPr="00F678F1">
        <w:t xml:space="preserve"> weekly using a complete fertilizer (20-20-20 Soluble Fertilizer with Minor Elements, Southern Agricultural Insecticides Inc., Hendersonville, NC). Maximum and minimum peak light intensity in the glasshouse averaged 7</w:t>
      </w:r>
      <w:r w:rsidR="006F7BDE" w:rsidRPr="00F678F1">
        <w:t>.</w:t>
      </w:r>
      <w:r w:rsidR="00C056AA" w:rsidRPr="00F678F1">
        <w:t>37</w:t>
      </w:r>
      <w:r w:rsidR="00D60255" w:rsidRPr="00F678F1">
        <w:t>/</w:t>
      </w:r>
      <w:r w:rsidR="006F7BDE" w:rsidRPr="00F678F1">
        <w:t>0.</w:t>
      </w:r>
      <w:r w:rsidR="00D60255" w:rsidRPr="00F678F1">
        <w:t>50</w:t>
      </w:r>
      <w:r w:rsidR="00FD6283" w:rsidRPr="00F678F1">
        <w:t xml:space="preserve"> </w:t>
      </w:r>
      <w:r w:rsidR="006F7BDE" w:rsidRPr="00F678F1">
        <w:t>mmol</w:t>
      </w:r>
      <w:r w:rsidR="00C056AA" w:rsidRPr="00F678F1">
        <w:t xml:space="preserve"> m</w:t>
      </w:r>
      <w:r w:rsidR="00C056AA" w:rsidRPr="00F678F1">
        <w:rPr>
          <w:vertAlign w:val="superscript"/>
        </w:rPr>
        <w:t>-2</w:t>
      </w:r>
      <w:r w:rsidR="00C056AA" w:rsidRPr="00F678F1">
        <w:t xml:space="preserve"> s</w:t>
      </w:r>
      <w:r w:rsidR="00C056AA" w:rsidRPr="00F678F1">
        <w:rPr>
          <w:vertAlign w:val="superscript"/>
        </w:rPr>
        <w:t>-1</w:t>
      </w:r>
      <w:r w:rsidR="00C056AA" w:rsidRPr="00F678F1">
        <w:t>,</w:t>
      </w:r>
      <w:r w:rsidR="00C056AA" w:rsidRPr="00F678F1">
        <w:rPr>
          <w:vertAlign w:val="superscript"/>
        </w:rPr>
        <w:t xml:space="preserve"> </w:t>
      </w:r>
      <w:r w:rsidR="00C056AA" w:rsidRPr="00F678F1">
        <w:t>respectively with a daily average of 1</w:t>
      </w:r>
      <w:r w:rsidR="006F7BDE" w:rsidRPr="00F678F1">
        <w:t>.</w:t>
      </w:r>
      <w:r w:rsidR="00C056AA" w:rsidRPr="00F678F1">
        <w:t xml:space="preserve">97 </w:t>
      </w:r>
      <w:r w:rsidR="006F7BDE" w:rsidRPr="00F678F1">
        <w:t>mmol</w:t>
      </w:r>
      <w:r w:rsidR="00C056AA" w:rsidRPr="00F678F1">
        <w:t xml:space="preserve"> m</w:t>
      </w:r>
      <w:r w:rsidR="00C056AA" w:rsidRPr="00F678F1">
        <w:rPr>
          <w:vertAlign w:val="superscript"/>
        </w:rPr>
        <w:t>-2</w:t>
      </w:r>
      <w:r w:rsidR="00C056AA" w:rsidRPr="00F678F1">
        <w:t xml:space="preserve"> s</w:t>
      </w:r>
      <w:r w:rsidR="00C056AA" w:rsidRPr="00F678F1">
        <w:rPr>
          <w:vertAlign w:val="superscript"/>
        </w:rPr>
        <w:t>-1</w:t>
      </w:r>
      <w:r w:rsidR="00C056AA" w:rsidRPr="00F678F1">
        <w:t>. Day/night temperatures averaged 30/20 °C</w:t>
      </w:r>
      <w:r w:rsidR="00C57B7C" w:rsidRPr="00F678F1">
        <w:t>,</w:t>
      </w:r>
      <w:r w:rsidR="00C056AA" w:rsidRPr="00F678F1">
        <w:t xml:space="preserve"> respectively. </w:t>
      </w:r>
      <w:r w:rsidR="009613DF" w:rsidRPr="00F678F1">
        <w:t>Chlorantraniliprole</w:t>
      </w:r>
      <w:r w:rsidR="009613DF" w:rsidRPr="00F678F1" w:rsidDel="009613DF">
        <w:t xml:space="preserve"> </w:t>
      </w:r>
      <w:r w:rsidR="00C056AA" w:rsidRPr="00F678F1">
        <w:t>(Acelepryn® Turf Insecticide, Syngenta Professional Products. Greensboro, NC) was applied at 0.23 kg ha</w:t>
      </w:r>
      <w:r w:rsidR="00C056AA" w:rsidRPr="00F678F1">
        <w:rPr>
          <w:vertAlign w:val="superscript"/>
        </w:rPr>
        <w:t>-1</w:t>
      </w:r>
      <w:r w:rsidR="00C056AA" w:rsidRPr="00F678F1">
        <w:t xml:space="preserve"> on an as needed basis to control insect pests.</w:t>
      </w:r>
    </w:p>
    <w:p w14:paraId="6743E355" w14:textId="0D9123CC" w:rsidR="00C056AA" w:rsidRPr="00F678F1" w:rsidRDefault="00C056AA" w:rsidP="004C3D3C">
      <w:pPr>
        <w:spacing w:line="480" w:lineRule="auto"/>
        <w:ind w:firstLine="720"/>
        <w:contextualSpacing/>
      </w:pPr>
      <w:r w:rsidRPr="00F678F1">
        <w:t>Resistant and susceptible plants were treated with glyphosate (Roundup ProMax, Monsanto Company, St. Louis, MO) at 0, 105, 210, 420, 840, 1680, 3360, and 6720 g ha</w:t>
      </w:r>
      <w:r w:rsidRPr="00F678F1">
        <w:rPr>
          <w:vertAlign w:val="superscript"/>
        </w:rPr>
        <w:t xml:space="preserve">-1 </w:t>
      </w:r>
      <w:r w:rsidRPr="00F678F1">
        <w:t>on 19 February 2015 using a previously described enclosed spray chamber calibrated to deliver 215 L ha</w:t>
      </w:r>
      <w:r w:rsidRPr="00F678F1">
        <w:rPr>
          <w:vertAlign w:val="superscript"/>
        </w:rPr>
        <w:t>-1</w:t>
      </w:r>
      <w:r w:rsidRPr="00F678F1">
        <w:t>. This study was repeated in time with applications for the second experimental run made on 13 March 2015. POAAN control was visually assessed on a 0 (i.e., no control) to 100% (i.e., complete control) scale relative to a non-treated check 3 WAT. At the conclusion of each experimental run, aboveground biomass was measured by harvesting all tissue above the soil line and placing it in a forced air oven at 35 °C for 5 days.</w:t>
      </w:r>
      <w:r w:rsidR="00123D7F" w:rsidRPr="00F678F1">
        <w:t xml:space="preserve"> Data were expressed as a percentage of the non-treated control.</w:t>
      </w:r>
    </w:p>
    <w:p w14:paraId="74FBC3D4" w14:textId="16FBEE0A" w:rsidR="0064022C" w:rsidRPr="00F678F1" w:rsidRDefault="00E35A1D" w:rsidP="004C3D3C">
      <w:pPr>
        <w:spacing w:line="480" w:lineRule="auto"/>
        <w:ind w:firstLine="720"/>
        <w:contextualSpacing/>
      </w:pPr>
      <w:r w:rsidRPr="00F678F1">
        <w:t>In a separate experiment, s</w:t>
      </w:r>
      <w:r w:rsidR="00F571E4" w:rsidRPr="00F678F1">
        <w:t>hikimate accumulation was quantified after exposing resistant and susceptible tillers to glyphosate similar to Mueller et al. (2003). Plants were treated with glyphosate at 420 g ha</w:t>
      </w:r>
      <w:r w:rsidR="00F571E4" w:rsidRPr="00F678F1">
        <w:rPr>
          <w:vertAlign w:val="superscript"/>
        </w:rPr>
        <w:t xml:space="preserve">-1 </w:t>
      </w:r>
      <w:r w:rsidR="00F571E4" w:rsidRPr="00F678F1">
        <w:t>using a previously described enclosed spray chamber calibrated to deliver 215 L ha</w:t>
      </w:r>
      <w:r w:rsidR="00F571E4" w:rsidRPr="00F678F1">
        <w:rPr>
          <w:vertAlign w:val="superscript"/>
        </w:rPr>
        <w:t>-1</w:t>
      </w:r>
      <w:r w:rsidR="00F571E4" w:rsidRPr="00F678F1">
        <w:t xml:space="preserve">. POAAN aboveground tissue was harvested </w:t>
      </w:r>
      <w:r w:rsidR="00746218" w:rsidRPr="00F678F1">
        <w:t xml:space="preserve">using scissors </w:t>
      </w:r>
      <w:r w:rsidR="00F571E4" w:rsidRPr="00F678F1">
        <w:t xml:space="preserve">from each cone-tainer at 0, 1, 2, 3, and 6 DAT using methods similar to Mueller et al. (2003). Twenty treated replicates of each resistant and susceptible POAAN were combined to provide sufficient biomass for shikimate analysis; therefore, twenty replicates were composited into four replicates of each biotype on each harvest date. Aboveground plant tissue harvested 0, 1, 2, 3, and 6 DAT </w:t>
      </w:r>
      <w:r w:rsidRPr="00F678F1">
        <w:t xml:space="preserve">was </w:t>
      </w:r>
      <w:r w:rsidR="00F571E4" w:rsidRPr="00F678F1">
        <w:t xml:space="preserve">stored in an upright freezer (-20 °C) within </w:t>
      </w:r>
      <w:r w:rsidR="00DA3F66" w:rsidRPr="00F678F1">
        <w:t>an hour of harvest and</w:t>
      </w:r>
      <w:r w:rsidR="00F571E4" w:rsidRPr="00F678F1">
        <w:t xml:space="preserve"> remained there until shikimic acid was extracted from harvested tissue and analyzed. </w:t>
      </w:r>
      <w:r w:rsidR="00DA3F66" w:rsidRPr="00F678F1">
        <w:t xml:space="preserve">All samples were extracted and analyzed within 34 days of harvest. Shikimate accumulation studies were initiated on 10 February 2015 and repeated on 3 March 2015. Maximum and minimum air temperature conditions in the glasshouse during the time in which data were collected averaged 30/19 °C. Maximum and minimum peak light intensity in the glasshouse for run 1 averaged </w:t>
      </w:r>
      <w:r w:rsidR="00F93E5C" w:rsidRPr="00F678F1">
        <w:t>4</w:t>
      </w:r>
      <w:r w:rsidR="00E954B9" w:rsidRPr="00F678F1">
        <w:t>.</w:t>
      </w:r>
      <w:r w:rsidR="00F93E5C" w:rsidRPr="00F678F1">
        <w:t>2</w:t>
      </w:r>
      <w:r w:rsidR="00E954B9" w:rsidRPr="00F678F1">
        <w:t>4</w:t>
      </w:r>
      <w:r w:rsidR="00F93E5C" w:rsidRPr="00F678F1">
        <w:t xml:space="preserve"> </w:t>
      </w:r>
      <w:r w:rsidR="00DA3F66" w:rsidRPr="00F678F1">
        <w:t xml:space="preserve">and </w:t>
      </w:r>
      <w:r w:rsidR="00E954B9" w:rsidRPr="00F678F1">
        <w:t>0.03</w:t>
      </w:r>
      <w:r w:rsidR="00F93E5C" w:rsidRPr="00F678F1">
        <w:t xml:space="preserve"> </w:t>
      </w:r>
      <w:r w:rsidR="00E954B9" w:rsidRPr="00F678F1">
        <w:t>m</w:t>
      </w:r>
      <w:r w:rsidR="00DA3F66" w:rsidRPr="00F678F1">
        <w:t>mol m</w:t>
      </w:r>
      <w:r w:rsidR="00DA3F66" w:rsidRPr="00F678F1">
        <w:rPr>
          <w:vertAlign w:val="superscript"/>
        </w:rPr>
        <w:t>-2</w:t>
      </w:r>
      <w:r w:rsidR="00DA3F66" w:rsidRPr="00F678F1">
        <w:t xml:space="preserve"> s</w:t>
      </w:r>
      <w:r w:rsidR="00DA3F66" w:rsidRPr="00F678F1">
        <w:rPr>
          <w:vertAlign w:val="superscript"/>
        </w:rPr>
        <w:t>-1</w:t>
      </w:r>
      <w:r w:rsidR="00DA3F66" w:rsidRPr="00F678F1">
        <w:t>,</w:t>
      </w:r>
      <w:r w:rsidR="00DA3F66" w:rsidRPr="00F678F1">
        <w:rPr>
          <w:vertAlign w:val="superscript"/>
        </w:rPr>
        <w:t xml:space="preserve"> </w:t>
      </w:r>
      <w:r w:rsidR="00DA3F66" w:rsidRPr="00F678F1">
        <w:t xml:space="preserve">respectively with a daily average of </w:t>
      </w:r>
      <w:r w:rsidR="00F93E5C" w:rsidRPr="00F678F1">
        <w:t>1</w:t>
      </w:r>
      <w:r w:rsidR="00E954B9" w:rsidRPr="00F678F1">
        <w:t>.</w:t>
      </w:r>
      <w:r w:rsidR="00F93E5C" w:rsidRPr="00F678F1">
        <w:t>1</w:t>
      </w:r>
      <w:r w:rsidR="00E954B9" w:rsidRPr="00F678F1">
        <w:t>4</w:t>
      </w:r>
      <w:r w:rsidR="00F93E5C" w:rsidRPr="00F678F1">
        <w:t xml:space="preserve"> </w:t>
      </w:r>
      <w:r w:rsidR="00E954B9" w:rsidRPr="00F678F1">
        <w:t>m</w:t>
      </w:r>
      <w:r w:rsidR="00DA3F66" w:rsidRPr="00F678F1">
        <w:t>mol m</w:t>
      </w:r>
      <w:r w:rsidR="00DA3F66" w:rsidRPr="00F678F1">
        <w:rPr>
          <w:vertAlign w:val="superscript"/>
        </w:rPr>
        <w:t>-2</w:t>
      </w:r>
      <w:r w:rsidR="00DA3F66" w:rsidRPr="00F678F1">
        <w:t xml:space="preserve"> s</w:t>
      </w:r>
      <w:r w:rsidR="00DA3F66" w:rsidRPr="00F678F1">
        <w:rPr>
          <w:vertAlign w:val="superscript"/>
        </w:rPr>
        <w:t>-1</w:t>
      </w:r>
      <w:r w:rsidR="00DA3F66" w:rsidRPr="00F678F1">
        <w:t xml:space="preserve">. During the second experimental run, maximum and minimum peak light intensity averaged </w:t>
      </w:r>
      <w:r w:rsidR="00F93E5C" w:rsidRPr="00F678F1">
        <w:t>5</w:t>
      </w:r>
      <w:r w:rsidR="00E954B9" w:rsidRPr="00F678F1">
        <w:t>.</w:t>
      </w:r>
      <w:r w:rsidR="00F93E5C" w:rsidRPr="00F678F1">
        <w:t>0</w:t>
      </w:r>
      <w:r w:rsidR="00E954B9" w:rsidRPr="00F678F1">
        <w:t>8</w:t>
      </w:r>
      <w:r w:rsidR="00F93E5C" w:rsidRPr="00F678F1">
        <w:t xml:space="preserve"> </w:t>
      </w:r>
      <w:r w:rsidR="00DA3F66" w:rsidRPr="00F678F1">
        <w:t xml:space="preserve">and </w:t>
      </w:r>
      <w:r w:rsidR="00E954B9" w:rsidRPr="00F678F1">
        <w:t>0.0</w:t>
      </w:r>
      <w:r w:rsidR="00DA3F66" w:rsidRPr="00F678F1">
        <w:t xml:space="preserve">4 </w:t>
      </w:r>
      <w:r w:rsidR="00E954B9" w:rsidRPr="00F678F1">
        <w:t xml:space="preserve">mmol </w:t>
      </w:r>
      <w:r w:rsidR="00DA3F66" w:rsidRPr="00F678F1">
        <w:t>m</w:t>
      </w:r>
      <w:r w:rsidR="00DA3F66" w:rsidRPr="00F678F1">
        <w:rPr>
          <w:vertAlign w:val="superscript"/>
        </w:rPr>
        <w:t>-2</w:t>
      </w:r>
      <w:r w:rsidR="00DA3F66" w:rsidRPr="00F678F1">
        <w:t xml:space="preserve"> s</w:t>
      </w:r>
      <w:r w:rsidR="00DA3F66" w:rsidRPr="00F678F1">
        <w:rPr>
          <w:vertAlign w:val="superscript"/>
        </w:rPr>
        <w:t>-1</w:t>
      </w:r>
      <w:r w:rsidR="00DA3F66" w:rsidRPr="00F678F1">
        <w:t>,</w:t>
      </w:r>
      <w:r w:rsidR="00DA3F66" w:rsidRPr="00F678F1">
        <w:rPr>
          <w:vertAlign w:val="superscript"/>
        </w:rPr>
        <w:t xml:space="preserve"> </w:t>
      </w:r>
      <w:r w:rsidR="00DA3F66" w:rsidRPr="00F678F1">
        <w:t xml:space="preserve">respectively, with a daily average of </w:t>
      </w:r>
      <w:r w:rsidR="00F93E5C" w:rsidRPr="00F678F1">
        <w:t>1</w:t>
      </w:r>
      <w:r w:rsidR="00E954B9" w:rsidRPr="00F678F1">
        <w:t>.</w:t>
      </w:r>
      <w:r w:rsidR="00F93E5C" w:rsidRPr="00F678F1">
        <w:t>4</w:t>
      </w:r>
      <w:r w:rsidR="00E954B9" w:rsidRPr="00F678F1">
        <w:t>6</w:t>
      </w:r>
      <w:r w:rsidR="00F93E5C" w:rsidRPr="00F678F1">
        <w:t xml:space="preserve"> </w:t>
      </w:r>
      <w:r w:rsidR="00E954B9" w:rsidRPr="00F678F1">
        <w:t>m</w:t>
      </w:r>
      <w:r w:rsidR="00DA3F66" w:rsidRPr="00F678F1">
        <w:t>mol m</w:t>
      </w:r>
      <w:r w:rsidR="00DA3F66" w:rsidRPr="00F678F1">
        <w:rPr>
          <w:vertAlign w:val="superscript"/>
        </w:rPr>
        <w:t>-2</w:t>
      </w:r>
      <w:r w:rsidR="00DA3F66" w:rsidRPr="00F678F1">
        <w:t xml:space="preserve"> s</w:t>
      </w:r>
      <w:r w:rsidR="00DA3F66" w:rsidRPr="00F678F1">
        <w:rPr>
          <w:vertAlign w:val="superscript"/>
        </w:rPr>
        <w:t>-1</w:t>
      </w:r>
      <w:r w:rsidR="00DA3F66" w:rsidRPr="00F678F1">
        <w:t>.</w:t>
      </w:r>
      <w:r w:rsidR="00F571E4" w:rsidRPr="00F678F1">
        <w:t xml:space="preserve"> </w:t>
      </w:r>
    </w:p>
    <w:p w14:paraId="52AE579B" w14:textId="601929A9" w:rsidR="000550C5" w:rsidRDefault="00F571E4" w:rsidP="004C3D3C">
      <w:pPr>
        <w:spacing w:line="480" w:lineRule="auto"/>
        <w:ind w:firstLine="720"/>
        <w:contextualSpacing/>
      </w:pPr>
      <w:r w:rsidRPr="00F678F1">
        <w:t xml:space="preserve">POAAN tissue was ground with a mortar and pestle in liquid nitrogen and then weighed in 50-mL screw-cap polypropylene centrifuge tubes. Following this 1 M HCl (Fisher Scientific, 1 Liberty Lane, Hampton, NH 03842) was added at a ratio of 5 mL of HCl solution per 1 g of tissue. Centrifuge tubes were then placed on a reciprocating shaker (Fisher Scientific, 1 Liberty Lane, Hampton, NH 03842) at 80 rpm for 16 h. HCl extractions were filtered through a 0.45-mm syringe filter into a 4-ml vial for liquid chromatography analysis. All samples were analyzed 1 d after extraction using </w:t>
      </w:r>
      <w:r w:rsidR="00C912EC" w:rsidRPr="00F678F1">
        <w:t xml:space="preserve">a </w:t>
      </w:r>
      <w:r w:rsidR="008B74EB" w:rsidRPr="00F678F1">
        <w:t xml:space="preserve">liquid </w:t>
      </w:r>
      <w:r w:rsidRPr="00F678F1">
        <w:t>chromatograph (</w:t>
      </w:r>
      <w:r w:rsidR="008B74EB" w:rsidRPr="00F678F1">
        <w:t xml:space="preserve">Mueller et al. </w:t>
      </w:r>
      <w:r w:rsidR="00A90682" w:rsidRPr="00F678F1">
        <w:t>2011</w:t>
      </w:r>
      <w:r w:rsidRPr="00F678F1">
        <w:t xml:space="preserve">) equipped with a UV detector (215 nm wavelength). </w:t>
      </w:r>
      <w:r w:rsidR="00C912EC" w:rsidRPr="00F678F1">
        <w:t>Shikimate accumulation in plant tissue (mg shikimate per kg POAAN fresh weight) was quantified and plotted over harvest intervals (DAT)</w:t>
      </w:r>
      <w:r w:rsidR="000E7FFD" w:rsidRPr="00F678F1">
        <w:t xml:space="preserve"> with</w:t>
      </w:r>
      <w:r w:rsidR="00C912EC" w:rsidRPr="00F678F1">
        <w:t xml:space="preserve"> error bars representing standard error of the mean for each biotype at each harvest </w:t>
      </w:r>
      <w:r w:rsidR="000E7FFD" w:rsidRPr="00F678F1">
        <w:t>interval</w:t>
      </w:r>
      <w:r w:rsidR="00C912EC" w:rsidRPr="00F678F1">
        <w:t>.</w:t>
      </w:r>
    </w:p>
    <w:p w14:paraId="6C0E933C" w14:textId="055A1FDD" w:rsidR="008B7215" w:rsidRDefault="005A6552" w:rsidP="004C3D3C">
      <w:pPr>
        <w:spacing w:line="480" w:lineRule="auto"/>
        <w:ind w:firstLine="720"/>
        <w:contextualSpacing/>
      </w:pPr>
      <w:r>
        <w:rPr>
          <w:rStyle w:val="Heading3Char"/>
        </w:rPr>
        <w:t>Statistical Analyses of Greenhouse and Laboratory Experiments.</w:t>
      </w:r>
      <w:r>
        <w:t xml:space="preserve"> </w:t>
      </w:r>
      <w:bookmarkStart w:id="19" w:name="_Toc308873601"/>
      <w:r w:rsidR="00C33B17" w:rsidRPr="005A6552">
        <w:t xml:space="preserve">For all experiments, analysis of variance </w:t>
      </w:r>
      <w:r w:rsidR="00F571E4" w:rsidRPr="005A6552">
        <w:t xml:space="preserve">was performed using SAS to determine if data from both experimental runs could be combined. No significant interactions with experimental run were detected allowing data from each run to be combined and subjected to non-linear regression analysis in Prism (Prism 6.0 for Mac OS X, GraphPad Software, 2236 Avenida de la Playa, La Jolla, CA 92037). </w:t>
      </w:r>
      <w:r w:rsidR="00CA4FB3" w:rsidRPr="005A6552">
        <w:t>R</w:t>
      </w:r>
      <w:r w:rsidR="00F571E4" w:rsidRPr="005A6552">
        <w:t>esponses for resistant and susceptible POAAN compared using a global sums-of-squares F-test at α = 0.05.</w:t>
      </w:r>
      <w:bookmarkEnd w:id="19"/>
    </w:p>
    <w:p w14:paraId="04C74A65" w14:textId="77777777" w:rsidR="00D03E81" w:rsidRDefault="00CD5891" w:rsidP="004C3D3C">
      <w:pPr>
        <w:spacing w:line="480" w:lineRule="auto"/>
        <w:ind w:firstLine="720"/>
        <w:contextualSpacing/>
      </w:pPr>
      <w:r w:rsidRPr="00F678F1">
        <w:t xml:space="preserve">Control data </w:t>
      </w:r>
      <w:r w:rsidR="00123D7F" w:rsidRPr="00F678F1">
        <w:t xml:space="preserve">were </w:t>
      </w:r>
      <w:r w:rsidRPr="00F678F1">
        <w:t xml:space="preserve">analyzed using </w:t>
      </w:r>
      <w:r w:rsidR="00CE47FE" w:rsidRPr="00F678F1">
        <w:t xml:space="preserve">the following </w:t>
      </w:r>
      <w:r w:rsidRPr="00F678F1">
        <w:t xml:space="preserve">non-linear regression </w:t>
      </w:r>
      <w:r w:rsidR="008955FB" w:rsidRPr="00F678F1">
        <w:t>equation</w:t>
      </w:r>
      <w:r w:rsidR="00CE47FE" w:rsidRPr="00F678F1">
        <w:t>:</w:t>
      </w:r>
    </w:p>
    <w:p w14:paraId="36D8E78E" w14:textId="77777777" w:rsidR="008B7215" w:rsidRPr="00F678F1" w:rsidRDefault="008B7215" w:rsidP="004C3D3C">
      <w:pPr>
        <w:spacing w:line="480" w:lineRule="auto"/>
        <w:ind w:firstLine="720"/>
        <w:contextualSpacing/>
      </w:pPr>
    </w:p>
    <w:p w14:paraId="62EC284A" w14:textId="040FD753" w:rsidR="003F0F10" w:rsidRDefault="00D03E81" w:rsidP="004C3D3C">
      <w:pPr>
        <w:tabs>
          <w:tab w:val="left" w:pos="2160"/>
          <w:tab w:val="left" w:pos="7830"/>
        </w:tabs>
        <w:spacing w:line="480" w:lineRule="auto"/>
        <w:ind w:firstLine="720"/>
        <w:contextualSpacing/>
      </w:pPr>
      <w:r w:rsidRPr="00F678F1">
        <w:tab/>
      </w:r>
      <w:r w:rsidR="009047A9" w:rsidRPr="00F678F1">
        <w:t>Y=Bottom + (Top – Bottom)/(1 + 10</w:t>
      </w:r>
      <w:r w:rsidR="009047A9" w:rsidRPr="00F678F1">
        <w:rPr>
          <w:vertAlign w:val="superscript"/>
        </w:rPr>
        <w:t>((</w:t>
      </w:r>
      <w:r w:rsidR="006F7BDE" w:rsidRPr="00F678F1">
        <w:rPr>
          <w:vertAlign w:val="superscript"/>
        </w:rPr>
        <w:t>Rate</w:t>
      </w:r>
      <w:r w:rsidR="009047A9" w:rsidRPr="00F678F1">
        <w:rPr>
          <w:vertAlign w:val="superscript"/>
        </w:rPr>
        <w:t>50 – X) *</w:t>
      </w:r>
      <w:r w:rsidR="00CE47FE" w:rsidRPr="00F678F1">
        <w:rPr>
          <w:vertAlign w:val="superscript"/>
        </w:rPr>
        <w:t>K</w:t>
      </w:r>
      <w:r w:rsidR="009047A9" w:rsidRPr="00F678F1">
        <w:rPr>
          <w:vertAlign w:val="superscript"/>
        </w:rPr>
        <w:t>)</w:t>
      </w:r>
      <w:r w:rsidR="009047A9" w:rsidRPr="00F678F1">
        <w:t>)</w:t>
      </w:r>
      <w:r w:rsidRPr="00F678F1">
        <w:tab/>
      </w:r>
      <w:r w:rsidR="003F0F10" w:rsidRPr="00F678F1">
        <w:t>[1]</w:t>
      </w:r>
    </w:p>
    <w:p w14:paraId="7C20B040" w14:textId="77777777" w:rsidR="008B7215" w:rsidRPr="00F678F1" w:rsidRDefault="008B7215" w:rsidP="004C3D3C">
      <w:pPr>
        <w:tabs>
          <w:tab w:val="left" w:pos="2160"/>
          <w:tab w:val="left" w:pos="7830"/>
        </w:tabs>
        <w:spacing w:line="480" w:lineRule="auto"/>
        <w:ind w:firstLine="720"/>
        <w:contextualSpacing/>
      </w:pPr>
    </w:p>
    <w:p w14:paraId="1EA8A350" w14:textId="22F37EFA" w:rsidR="00CD5891" w:rsidRPr="00F678F1" w:rsidRDefault="00CE47FE" w:rsidP="004C3D3C">
      <w:pPr>
        <w:spacing w:line="480" w:lineRule="auto"/>
        <w:contextualSpacing/>
      </w:pPr>
      <w:r w:rsidRPr="00F678F1">
        <w:t>In this equation,</w:t>
      </w:r>
      <w:r w:rsidR="00CD5891" w:rsidRPr="00F678F1">
        <w:t xml:space="preserve"> </w:t>
      </w:r>
      <w:r w:rsidR="006F7BDE" w:rsidRPr="00F678F1">
        <w:t>Rate</w:t>
      </w:r>
      <w:r w:rsidR="00CD5891" w:rsidRPr="00F678F1">
        <w:t xml:space="preserve">50 </w:t>
      </w:r>
      <w:r w:rsidR="00123D7F" w:rsidRPr="00F678F1">
        <w:t>represents</w:t>
      </w:r>
      <w:r w:rsidRPr="00F678F1">
        <w:t xml:space="preserve"> the </w:t>
      </w:r>
      <w:r w:rsidR="003F2F8F" w:rsidRPr="00F678F1">
        <w:t xml:space="preserve">herbicide </w:t>
      </w:r>
      <w:r w:rsidR="00CD5891" w:rsidRPr="00F678F1">
        <w:t>rate</w:t>
      </w:r>
      <w:r w:rsidRPr="00F678F1">
        <w:t xml:space="preserve"> (X)</w:t>
      </w:r>
      <w:r w:rsidR="00CD5891" w:rsidRPr="00F678F1">
        <w:t xml:space="preserve"> at which 50% control </w:t>
      </w:r>
      <w:r w:rsidRPr="00F678F1">
        <w:t xml:space="preserve">was </w:t>
      </w:r>
      <w:r w:rsidR="00CD5891" w:rsidRPr="00F678F1">
        <w:t>reached</w:t>
      </w:r>
      <w:r w:rsidR="0079727C" w:rsidRPr="00F678F1">
        <w:t xml:space="preserve"> (IC</w:t>
      </w:r>
      <w:r w:rsidR="0079727C" w:rsidRPr="00F678F1">
        <w:rPr>
          <w:vertAlign w:val="subscript"/>
        </w:rPr>
        <w:t>50</w:t>
      </w:r>
      <w:r w:rsidR="0079727C" w:rsidRPr="00F678F1">
        <w:t xml:space="preserve"> value)</w:t>
      </w:r>
      <w:r w:rsidR="00CD5891" w:rsidRPr="00F678F1">
        <w:t xml:space="preserve">. Bottom and Top </w:t>
      </w:r>
      <w:r w:rsidR="00CA4FB3" w:rsidRPr="00F678F1">
        <w:t xml:space="preserve">represent </w:t>
      </w:r>
      <w:r w:rsidR="00CD5891" w:rsidRPr="00F678F1">
        <w:t xml:space="preserve">asymptotes </w:t>
      </w:r>
      <w:r w:rsidR="0079727C" w:rsidRPr="00F678F1">
        <w:t xml:space="preserve">that </w:t>
      </w:r>
      <w:r w:rsidR="00CD5891" w:rsidRPr="00F678F1">
        <w:t xml:space="preserve">were </w:t>
      </w:r>
      <w:r w:rsidR="003D496E" w:rsidRPr="00F678F1">
        <w:t>constrained to</w:t>
      </w:r>
      <w:r w:rsidR="00CD5891" w:rsidRPr="00F678F1">
        <w:t xml:space="preserve"> 0 and 100</w:t>
      </w:r>
      <w:r w:rsidR="00016EFC" w:rsidRPr="00F678F1">
        <w:t>%</w:t>
      </w:r>
      <w:r w:rsidRPr="00F678F1">
        <w:t>,</w:t>
      </w:r>
      <w:r w:rsidR="003D496E" w:rsidRPr="00F678F1">
        <w:t xml:space="preserve"> respectively</w:t>
      </w:r>
      <w:r w:rsidR="00123D7F" w:rsidRPr="00F678F1">
        <w:t>,</w:t>
      </w:r>
      <w:r w:rsidR="0079727C" w:rsidRPr="00F678F1">
        <w:t xml:space="preserve"> as control could only range from 0 to 100%. K represents</w:t>
      </w:r>
      <w:r w:rsidR="00123D7F" w:rsidRPr="00F678F1">
        <w:t xml:space="preserve"> the slope of the </w:t>
      </w:r>
      <w:r w:rsidR="00E637F8" w:rsidRPr="00F678F1">
        <w:t>best-fit</w:t>
      </w:r>
      <w:r w:rsidR="00123D7F" w:rsidRPr="00F678F1">
        <w:t xml:space="preserve"> line to model the response of resistant and susceptible biotypes to increasing rates of </w:t>
      </w:r>
      <w:r w:rsidR="003F2F8F" w:rsidRPr="00F678F1">
        <w:t>herbicide</w:t>
      </w:r>
      <w:r w:rsidR="00123D7F" w:rsidRPr="00F678F1">
        <w:t>.</w:t>
      </w:r>
      <w:r w:rsidR="000744F2" w:rsidRPr="00F678F1">
        <w:t xml:space="preserve"> Best-fit parameters for modeled responses were compared using a global sums-of-squares F-test at α = 0.05.</w:t>
      </w:r>
    </w:p>
    <w:p w14:paraId="69C572C9" w14:textId="6EC44837" w:rsidR="003211B3" w:rsidRDefault="000744F2" w:rsidP="004C3D3C">
      <w:pPr>
        <w:spacing w:line="480" w:lineRule="auto"/>
        <w:ind w:firstLine="720"/>
        <w:contextualSpacing/>
        <w:rPr>
          <w:bCs/>
        </w:rPr>
      </w:pPr>
      <w:r w:rsidRPr="00F678F1">
        <w:rPr>
          <w:bCs/>
        </w:rPr>
        <w:t>All b</w:t>
      </w:r>
      <w:r w:rsidR="001D3DF1" w:rsidRPr="00F678F1">
        <w:rPr>
          <w:bCs/>
        </w:rPr>
        <w:t xml:space="preserve">iomass data </w:t>
      </w:r>
      <w:r w:rsidR="00123D7F" w:rsidRPr="00F678F1">
        <w:rPr>
          <w:bCs/>
        </w:rPr>
        <w:t xml:space="preserve">were </w:t>
      </w:r>
      <w:r w:rsidR="001D3DF1" w:rsidRPr="00F678F1">
        <w:rPr>
          <w:bCs/>
        </w:rPr>
        <w:t xml:space="preserve">analyzed using </w:t>
      </w:r>
      <w:r w:rsidR="00CE47FE" w:rsidRPr="00F678F1">
        <w:rPr>
          <w:bCs/>
        </w:rPr>
        <w:t xml:space="preserve">the following </w:t>
      </w:r>
      <w:r w:rsidR="001D3DF1" w:rsidRPr="00F678F1">
        <w:rPr>
          <w:bCs/>
        </w:rPr>
        <w:t>exponential decay non-linear regression equation</w:t>
      </w:r>
      <w:r w:rsidR="003F0F10" w:rsidRPr="00F678F1">
        <w:rPr>
          <w:bCs/>
        </w:rPr>
        <w:t xml:space="preserve">: </w:t>
      </w:r>
    </w:p>
    <w:p w14:paraId="449931BA" w14:textId="77777777" w:rsidR="008B7215" w:rsidRPr="00F678F1" w:rsidRDefault="008B7215" w:rsidP="004C3D3C">
      <w:pPr>
        <w:spacing w:line="480" w:lineRule="auto"/>
        <w:ind w:firstLine="720"/>
        <w:contextualSpacing/>
        <w:rPr>
          <w:bCs/>
        </w:rPr>
      </w:pPr>
    </w:p>
    <w:p w14:paraId="2DCCBEFE" w14:textId="7B13679A" w:rsidR="003F0F10" w:rsidRDefault="000744F2" w:rsidP="004C3D3C">
      <w:pPr>
        <w:tabs>
          <w:tab w:val="left" w:pos="7830"/>
        </w:tabs>
        <w:spacing w:line="480" w:lineRule="auto"/>
        <w:ind w:firstLine="2160"/>
        <w:contextualSpacing/>
        <w:rPr>
          <w:bCs/>
        </w:rPr>
      </w:pPr>
      <w:r w:rsidRPr="00F678F1">
        <w:rPr>
          <w:bCs/>
        </w:rPr>
        <w:t>Y=(Y0 - Plateau)*exp(-K*X) + Plateau</w:t>
      </w:r>
      <w:r w:rsidR="00D03E81" w:rsidRPr="00F678F1">
        <w:rPr>
          <w:bCs/>
        </w:rPr>
        <w:t xml:space="preserve"> </w:t>
      </w:r>
      <w:r w:rsidR="00D03E81" w:rsidRPr="00F678F1">
        <w:rPr>
          <w:bCs/>
        </w:rPr>
        <w:tab/>
      </w:r>
      <w:r w:rsidR="003F0F10" w:rsidRPr="00F678F1">
        <w:rPr>
          <w:bCs/>
        </w:rPr>
        <w:t>[2]</w:t>
      </w:r>
    </w:p>
    <w:p w14:paraId="44159851" w14:textId="77777777" w:rsidR="008B7215" w:rsidRPr="00F678F1" w:rsidRDefault="008B7215" w:rsidP="004C3D3C">
      <w:pPr>
        <w:tabs>
          <w:tab w:val="left" w:pos="7830"/>
        </w:tabs>
        <w:spacing w:line="480" w:lineRule="auto"/>
        <w:ind w:firstLine="2160"/>
        <w:contextualSpacing/>
        <w:rPr>
          <w:bCs/>
        </w:rPr>
      </w:pPr>
    </w:p>
    <w:p w14:paraId="190FF347" w14:textId="4C396DDB" w:rsidR="000D60BA" w:rsidRPr="00F678F1" w:rsidRDefault="00CE47FE" w:rsidP="004C3D3C">
      <w:pPr>
        <w:spacing w:line="480" w:lineRule="auto"/>
        <w:ind w:firstLine="720"/>
        <w:contextualSpacing/>
        <w:rPr>
          <w:bCs/>
        </w:rPr>
      </w:pPr>
      <w:r w:rsidRPr="00F678F1">
        <w:rPr>
          <w:bCs/>
        </w:rPr>
        <w:t xml:space="preserve">In this equation, </w:t>
      </w:r>
      <w:r w:rsidR="000744F2" w:rsidRPr="00F678F1">
        <w:rPr>
          <w:bCs/>
        </w:rPr>
        <w:t>Y0</w:t>
      </w:r>
      <w:r w:rsidR="00123D7F" w:rsidRPr="00F678F1">
        <w:rPr>
          <w:bCs/>
        </w:rPr>
        <w:t xml:space="preserve"> and Plateau were constrained to 100 and 0, respectively</w:t>
      </w:r>
      <w:r w:rsidR="0079727C" w:rsidRPr="00F678F1">
        <w:rPr>
          <w:bCs/>
        </w:rPr>
        <w:t xml:space="preserve">, as dry biomass only ranged from 0 to 100% of the non-treated control regardless of </w:t>
      </w:r>
      <w:r w:rsidR="003F2F8F" w:rsidRPr="00F678F1">
        <w:rPr>
          <w:bCs/>
        </w:rPr>
        <w:t xml:space="preserve">herbicide </w:t>
      </w:r>
      <w:r w:rsidR="0079727C" w:rsidRPr="00F678F1">
        <w:rPr>
          <w:bCs/>
        </w:rPr>
        <w:t>rate</w:t>
      </w:r>
      <w:r w:rsidR="00123D7F" w:rsidRPr="00F678F1">
        <w:rPr>
          <w:bCs/>
        </w:rPr>
        <w:t>. K represent</w:t>
      </w:r>
      <w:r w:rsidR="0079727C" w:rsidRPr="00F678F1">
        <w:rPr>
          <w:bCs/>
        </w:rPr>
        <w:t>ed</w:t>
      </w:r>
      <w:r w:rsidR="00123D7F" w:rsidRPr="00F678F1">
        <w:rPr>
          <w:bCs/>
        </w:rPr>
        <w:t xml:space="preserve"> the slope of the best-fit line to model the response of each biotype to increasing rates of </w:t>
      </w:r>
      <w:r w:rsidR="003F2F8F" w:rsidRPr="00F678F1">
        <w:rPr>
          <w:bCs/>
        </w:rPr>
        <w:t xml:space="preserve">herbicide </w:t>
      </w:r>
      <w:r w:rsidR="00123D7F" w:rsidRPr="00F678F1">
        <w:rPr>
          <w:bCs/>
        </w:rPr>
        <w:t>(X).</w:t>
      </w:r>
      <w:r w:rsidR="000744F2" w:rsidRPr="00F678F1">
        <w:rPr>
          <w:bCs/>
        </w:rPr>
        <w:t xml:space="preserve"> </w:t>
      </w:r>
      <w:r w:rsidR="00123D7F" w:rsidRPr="00F678F1">
        <w:rPr>
          <w:bCs/>
        </w:rPr>
        <w:t>Th</w:t>
      </w:r>
      <w:r w:rsidR="007E7969" w:rsidRPr="00F678F1">
        <w:rPr>
          <w:bCs/>
        </w:rPr>
        <w:t>e</w:t>
      </w:r>
      <w:r w:rsidR="00B962D2" w:rsidRPr="00F678F1">
        <w:rPr>
          <w:bCs/>
        </w:rPr>
        <w:t xml:space="preserve"> </w:t>
      </w:r>
      <w:r w:rsidR="003F2F8F" w:rsidRPr="00F678F1">
        <w:t xml:space="preserve">herbicide </w:t>
      </w:r>
      <w:r w:rsidR="00B962D2" w:rsidRPr="00F678F1">
        <w:t xml:space="preserve">rate required to </w:t>
      </w:r>
      <w:r w:rsidR="000744F2" w:rsidRPr="00F678F1">
        <w:t xml:space="preserve">reduce </w:t>
      </w:r>
      <w:r w:rsidR="00290A03" w:rsidRPr="00F678F1">
        <w:t xml:space="preserve">resistant and susceptible biotype </w:t>
      </w:r>
      <w:r w:rsidR="000744F2" w:rsidRPr="00F678F1">
        <w:t>dry biomass to 50% of the non-treated</w:t>
      </w:r>
      <w:r w:rsidR="0079727C" w:rsidRPr="00F678F1">
        <w:t xml:space="preserve"> (GR</w:t>
      </w:r>
      <w:r w:rsidR="0079727C" w:rsidRPr="00F678F1">
        <w:rPr>
          <w:vertAlign w:val="subscript"/>
        </w:rPr>
        <w:t>50</w:t>
      </w:r>
      <w:r w:rsidR="0079727C" w:rsidRPr="00F678F1">
        <w:t xml:space="preserve"> value)</w:t>
      </w:r>
      <w:r w:rsidR="00290A03" w:rsidRPr="00F678F1">
        <w:t xml:space="preserve"> is expressed in the rate units of the X-axis and is calculated through</w:t>
      </w:r>
      <w:r w:rsidR="000744F2" w:rsidRPr="00F678F1">
        <w:t xml:space="preserve"> </w:t>
      </w:r>
      <w:r w:rsidR="00290A03" w:rsidRPr="00F678F1">
        <w:rPr>
          <w:bCs/>
        </w:rPr>
        <w:t>ln(2)/K</w:t>
      </w:r>
      <w:r w:rsidR="00290A03" w:rsidRPr="00F678F1">
        <w:t xml:space="preserve"> in Prism</w:t>
      </w:r>
      <w:r w:rsidR="007E7969" w:rsidRPr="00F678F1">
        <w:rPr>
          <w:bCs/>
        </w:rPr>
        <w:t>.</w:t>
      </w:r>
      <w:r w:rsidR="007E7969" w:rsidRPr="00F678F1">
        <w:t xml:space="preserve"> </w:t>
      </w:r>
      <w:r w:rsidR="000744F2" w:rsidRPr="00F678F1">
        <w:t>Best-fit parameters for modeled responses were compared using a global sums-of-squares F-test at α = 0.05.</w:t>
      </w:r>
    </w:p>
    <w:p w14:paraId="151DDBA2" w14:textId="77777777" w:rsidR="008B7215" w:rsidRDefault="001D3DF1" w:rsidP="004C3D3C">
      <w:pPr>
        <w:spacing w:line="480" w:lineRule="auto"/>
        <w:ind w:firstLine="720"/>
        <w:contextualSpacing/>
      </w:pPr>
      <w:r w:rsidRPr="00F678F1">
        <w:rPr>
          <w:bCs/>
        </w:rPr>
        <w:t>Shikimate accumulation</w:t>
      </w:r>
      <w:r w:rsidR="00705838" w:rsidRPr="00F678F1">
        <w:rPr>
          <w:bCs/>
        </w:rPr>
        <w:t xml:space="preserve"> </w:t>
      </w:r>
      <w:r w:rsidR="00B25917" w:rsidRPr="00F678F1">
        <w:rPr>
          <w:bCs/>
        </w:rPr>
        <w:t xml:space="preserve">data </w:t>
      </w:r>
      <w:r w:rsidR="00123D7F" w:rsidRPr="00F678F1">
        <w:rPr>
          <w:bCs/>
        </w:rPr>
        <w:t xml:space="preserve">were </w:t>
      </w:r>
      <w:r w:rsidR="00705838" w:rsidRPr="00F678F1">
        <w:rPr>
          <w:bCs/>
        </w:rPr>
        <w:t>analyzed using</w:t>
      </w:r>
      <w:r w:rsidR="008955FB" w:rsidRPr="00F678F1">
        <w:rPr>
          <w:bCs/>
        </w:rPr>
        <w:t xml:space="preserve"> </w:t>
      </w:r>
      <w:r w:rsidR="00123D7F" w:rsidRPr="00F678F1">
        <w:rPr>
          <w:bCs/>
        </w:rPr>
        <w:t>the following</w:t>
      </w:r>
      <w:r w:rsidR="00123D7F" w:rsidRPr="00F678F1">
        <w:t xml:space="preserve"> </w:t>
      </w:r>
      <w:r w:rsidR="00705838" w:rsidRPr="00F678F1">
        <w:t xml:space="preserve">one-phase </w:t>
      </w:r>
      <w:r w:rsidR="00123D7F" w:rsidRPr="00F678F1">
        <w:t xml:space="preserve">exponential </w:t>
      </w:r>
      <w:r w:rsidR="00705838" w:rsidRPr="00F678F1">
        <w:t>association</w:t>
      </w:r>
      <w:r w:rsidR="008955FB" w:rsidRPr="00F678F1">
        <w:t xml:space="preserve"> non-linear regression</w:t>
      </w:r>
      <w:r w:rsidR="00705838" w:rsidRPr="00F678F1">
        <w:t xml:space="preserve"> equation</w:t>
      </w:r>
      <w:r w:rsidR="008B7215">
        <w:t>:</w:t>
      </w:r>
    </w:p>
    <w:p w14:paraId="5D5FD6CD" w14:textId="06DCD639" w:rsidR="00123D7F" w:rsidRPr="00F678F1" w:rsidRDefault="00123D7F" w:rsidP="004C3D3C">
      <w:pPr>
        <w:spacing w:line="480" w:lineRule="auto"/>
        <w:ind w:firstLine="720"/>
        <w:contextualSpacing/>
      </w:pPr>
    </w:p>
    <w:p w14:paraId="5374E1D0" w14:textId="327A8871" w:rsidR="00123D7F" w:rsidRDefault="00D03E81" w:rsidP="004C3D3C">
      <w:pPr>
        <w:tabs>
          <w:tab w:val="left" w:pos="2160"/>
          <w:tab w:val="left" w:pos="7830"/>
        </w:tabs>
        <w:spacing w:line="480" w:lineRule="auto"/>
        <w:ind w:firstLine="720"/>
        <w:contextualSpacing/>
      </w:pPr>
      <w:r w:rsidRPr="00F678F1">
        <w:tab/>
      </w:r>
      <w:r w:rsidR="00123D7F" w:rsidRPr="00F678F1">
        <w:t xml:space="preserve">Y=Y0 + (Plateau-Y0)*(1-exp(-K*x)) </w:t>
      </w:r>
      <w:r w:rsidRPr="00F678F1">
        <w:tab/>
      </w:r>
      <w:r w:rsidR="00123D7F" w:rsidRPr="00F678F1">
        <w:t>[3]</w:t>
      </w:r>
    </w:p>
    <w:p w14:paraId="6F7A27CF" w14:textId="77777777" w:rsidR="008B7215" w:rsidRPr="00F678F1" w:rsidRDefault="008B7215" w:rsidP="004C3D3C">
      <w:pPr>
        <w:tabs>
          <w:tab w:val="left" w:pos="2160"/>
          <w:tab w:val="left" w:pos="7830"/>
        </w:tabs>
        <w:spacing w:line="480" w:lineRule="auto"/>
        <w:ind w:firstLine="720"/>
        <w:contextualSpacing/>
      </w:pPr>
    </w:p>
    <w:p w14:paraId="55141589" w14:textId="54E8170E" w:rsidR="00C056AA" w:rsidRPr="00F678F1" w:rsidRDefault="00123D7F" w:rsidP="004C3D3C">
      <w:pPr>
        <w:spacing w:line="480" w:lineRule="auto"/>
        <w:contextualSpacing/>
      </w:pPr>
      <w:r w:rsidRPr="00F678F1">
        <w:t>Parameters are similar to equation 2 except that Y0 and Plateau were not constrained</w:t>
      </w:r>
      <w:r w:rsidR="0079727C" w:rsidRPr="00F678F1">
        <w:t>, and X represented days after glyphosate treatment at 420 g ha</w:t>
      </w:r>
      <w:r w:rsidR="0079727C" w:rsidRPr="00F678F1">
        <w:rPr>
          <w:vertAlign w:val="superscript"/>
        </w:rPr>
        <w:t>-1</w:t>
      </w:r>
      <w:r w:rsidRPr="00F678F1">
        <w:t>. This allowed the maximum shikimate concentration accumulated in each biotype to be calculated</w:t>
      </w:r>
      <w:r w:rsidR="0079727C" w:rsidRPr="00F678F1">
        <w:t xml:space="preserve"> (i.e., Plateau)</w:t>
      </w:r>
      <w:r w:rsidRPr="00F678F1">
        <w:t xml:space="preserve">. </w:t>
      </w:r>
      <w:r w:rsidR="000744F2" w:rsidRPr="00F678F1">
        <w:t>Best-fit parameters for these equations were also compared using a global sums-of-squares F-test at α = 0.05</w:t>
      </w:r>
      <w:r w:rsidR="00016EFC" w:rsidRPr="00F678F1">
        <w:t>.</w:t>
      </w:r>
    </w:p>
    <w:p w14:paraId="0563BA51" w14:textId="77777777" w:rsidR="000550C5" w:rsidRPr="00F678F1" w:rsidRDefault="000550C5" w:rsidP="004C3D3C">
      <w:pPr>
        <w:spacing w:line="480" w:lineRule="auto"/>
        <w:contextualSpacing/>
      </w:pPr>
    </w:p>
    <w:p w14:paraId="7E8B1364" w14:textId="77777777" w:rsidR="00C056AA" w:rsidRPr="004C3D3C" w:rsidRDefault="00C056AA" w:rsidP="004C3D3C">
      <w:pPr>
        <w:pStyle w:val="Heading2"/>
        <w:spacing w:line="480" w:lineRule="auto"/>
        <w:contextualSpacing/>
        <w:rPr>
          <w:sz w:val="24"/>
          <w:szCs w:val="24"/>
        </w:rPr>
      </w:pPr>
      <w:bookmarkStart w:id="20" w:name="_Toc294435749"/>
      <w:bookmarkStart w:id="21" w:name="_Toc308873602"/>
      <w:r w:rsidRPr="004C3D3C">
        <w:rPr>
          <w:sz w:val="24"/>
          <w:szCs w:val="24"/>
        </w:rPr>
        <w:t>Confirming Resistance in the Field</w:t>
      </w:r>
      <w:bookmarkEnd w:id="20"/>
      <w:bookmarkEnd w:id="21"/>
    </w:p>
    <w:p w14:paraId="51E485FC" w14:textId="65A6A971" w:rsidR="00CA4FB3" w:rsidRPr="00F678F1" w:rsidRDefault="0079727C" w:rsidP="004C3D3C">
      <w:pPr>
        <w:spacing w:line="480" w:lineRule="auto"/>
        <w:ind w:firstLine="720"/>
        <w:contextualSpacing/>
      </w:pPr>
      <w:r w:rsidRPr="00F678F1">
        <w:rPr>
          <w:rFonts w:eastAsiaTheme="minorHAnsi"/>
        </w:rPr>
        <w:t>E</w:t>
      </w:r>
      <w:r w:rsidR="00C056AA" w:rsidRPr="00F678F1">
        <w:rPr>
          <w:rFonts w:eastAsiaTheme="minorHAnsi"/>
        </w:rPr>
        <w:t>xperiments were conducted at Lambert Acres Golf Course evaluating the response of POAAN to applications of prodiamine and glyphosate in the field. Trials were conducted on a hybrid bermudagrass (</w:t>
      </w:r>
      <w:r w:rsidR="00C056AA" w:rsidRPr="00F678F1">
        <w:rPr>
          <w:rFonts w:eastAsiaTheme="minorHAnsi"/>
          <w:i/>
        </w:rPr>
        <w:t>C. dactylon</w:t>
      </w:r>
      <w:r w:rsidR="00C056AA" w:rsidRPr="00F678F1">
        <w:rPr>
          <w:rFonts w:eastAsiaTheme="minorHAnsi"/>
        </w:rPr>
        <w:t xml:space="preserve"> x </w:t>
      </w:r>
      <w:r w:rsidR="00C056AA" w:rsidRPr="00F678F1">
        <w:rPr>
          <w:rFonts w:eastAsiaTheme="minorHAnsi"/>
          <w:i/>
        </w:rPr>
        <w:t>C. transvaalensis</w:t>
      </w:r>
      <w:r w:rsidR="00C056AA" w:rsidRPr="00F678F1">
        <w:rPr>
          <w:rFonts w:eastAsiaTheme="minorHAnsi"/>
        </w:rPr>
        <w:t xml:space="preserve"> Burtt-Davey) golf course </w:t>
      </w:r>
      <w:r w:rsidRPr="00F678F1">
        <w:rPr>
          <w:rFonts w:eastAsiaTheme="minorHAnsi"/>
        </w:rPr>
        <w:t xml:space="preserve">rough </w:t>
      </w:r>
      <w:r w:rsidR="00C056AA" w:rsidRPr="00F678F1">
        <w:rPr>
          <w:rFonts w:eastAsiaTheme="minorHAnsi"/>
        </w:rPr>
        <w:t xml:space="preserve">established upon a Dewey silty clay loam (fine, kaolinitic, thermic typic Paleudults). Irrigation was supplied only via rainfall and no supplemental nutrition was applied during the trial. Herbicide treatments included prodiamine </w:t>
      </w:r>
      <w:r w:rsidR="00C056AA" w:rsidRPr="00F678F1">
        <w:rPr>
          <w:rStyle w:val="bodychar"/>
          <w:rFonts w:eastAsia="?????? Pro W3"/>
        </w:rPr>
        <w:t xml:space="preserve">(Barricade 65 WG. </w:t>
      </w:r>
      <w:r w:rsidR="00C056AA" w:rsidRPr="00F678F1">
        <w:t>Syngenta Professional Products. Greensboro, NC)</w:t>
      </w:r>
      <w:r w:rsidR="00C056AA" w:rsidRPr="00F678F1">
        <w:rPr>
          <w:rFonts w:eastAsiaTheme="minorHAnsi"/>
        </w:rPr>
        <w:t xml:space="preserve"> at 1120 g ha</w:t>
      </w:r>
      <w:r w:rsidR="00C056AA" w:rsidRPr="00F678F1">
        <w:rPr>
          <w:rFonts w:eastAsiaTheme="minorHAnsi"/>
          <w:vertAlign w:val="superscript"/>
        </w:rPr>
        <w:t>-1</w:t>
      </w:r>
      <w:r w:rsidR="00C056AA" w:rsidRPr="00F678F1">
        <w:rPr>
          <w:rFonts w:eastAsiaTheme="minorHAnsi"/>
        </w:rPr>
        <w:t xml:space="preserve"> and glyphosate (</w:t>
      </w:r>
      <w:r w:rsidR="00C056AA" w:rsidRPr="00F678F1">
        <w:t xml:space="preserve">Roundup Promax, Monsanto </w:t>
      </w:r>
      <w:r w:rsidR="00CA4FB3" w:rsidRPr="00F678F1">
        <w:t>Company</w:t>
      </w:r>
      <w:r w:rsidR="00C056AA" w:rsidRPr="00F678F1">
        <w:t>, St. Louis</w:t>
      </w:r>
      <w:r w:rsidR="00CA4FB3" w:rsidRPr="00F678F1">
        <w:t>,</w:t>
      </w:r>
      <w:r w:rsidR="00C056AA" w:rsidRPr="00F678F1">
        <w:t xml:space="preserve"> </w:t>
      </w:r>
      <w:r w:rsidR="00CA4FB3" w:rsidRPr="00F678F1">
        <w:t>MO</w:t>
      </w:r>
      <w:r w:rsidR="00C056AA" w:rsidRPr="00F678F1">
        <w:rPr>
          <w:rFonts w:eastAsiaTheme="minorHAnsi"/>
        </w:rPr>
        <w:t>) at 840 g ha</w:t>
      </w:r>
      <w:r w:rsidR="00C056AA" w:rsidRPr="00F678F1">
        <w:rPr>
          <w:rFonts w:eastAsiaTheme="minorHAnsi"/>
          <w:vertAlign w:val="superscript"/>
        </w:rPr>
        <w:t>-1</w:t>
      </w:r>
      <w:r w:rsidR="00C056AA" w:rsidRPr="00F678F1">
        <w:rPr>
          <w:rFonts w:eastAsiaTheme="minorHAnsi"/>
        </w:rPr>
        <w:t>, and the combination of those two herbicides at those rates. A non-treated check was included for comparison and used as a reference for the quantity of POAAN plants that would theoretically be present if no herbicide treatments were applied. All treatments were applied to 1.2 x 3.</w:t>
      </w:r>
      <w:r w:rsidR="00016EFC" w:rsidRPr="00F678F1">
        <w:rPr>
          <w:rFonts w:eastAsiaTheme="minorHAnsi"/>
        </w:rPr>
        <w:t>0-</w:t>
      </w:r>
      <w:r w:rsidR="00C056AA" w:rsidRPr="00F678F1">
        <w:rPr>
          <w:rFonts w:eastAsiaTheme="minorHAnsi"/>
        </w:rPr>
        <w:t>m plots with a CO</w:t>
      </w:r>
      <w:r w:rsidR="00C056AA" w:rsidRPr="00F678F1">
        <w:rPr>
          <w:rFonts w:eastAsiaTheme="minorHAnsi"/>
          <w:vertAlign w:val="subscript"/>
        </w:rPr>
        <w:t>2</w:t>
      </w:r>
      <w:r w:rsidR="00C056AA" w:rsidRPr="00F678F1">
        <w:rPr>
          <w:rFonts w:eastAsiaTheme="minorHAnsi"/>
        </w:rPr>
        <w:t>-pressurized boom sprayer calibrated to deliver 281 L ha</w:t>
      </w:r>
      <w:r w:rsidR="00C056AA" w:rsidRPr="00F678F1">
        <w:rPr>
          <w:rFonts w:eastAsiaTheme="minorHAnsi"/>
          <w:vertAlign w:val="superscript"/>
        </w:rPr>
        <w:t>-1</w:t>
      </w:r>
      <w:r w:rsidR="00C056AA" w:rsidRPr="00F678F1">
        <w:rPr>
          <w:rFonts w:eastAsiaTheme="minorHAnsi"/>
        </w:rPr>
        <w:t xml:space="preserve"> using 8002 flat-fan nozzles (Teejet flat-fan spray nozzles, Wheaton, IL). All plots receiving prodiamine (i.e., prodiamine alone or prodiamine + glyphosate) were treated on </w:t>
      </w:r>
      <w:r w:rsidR="00C056AA" w:rsidRPr="00F678F1">
        <w:t xml:space="preserve">19 August 2014. </w:t>
      </w:r>
      <w:r w:rsidR="00C056AA" w:rsidRPr="00F678F1">
        <w:rPr>
          <w:rFonts w:eastAsiaTheme="minorHAnsi"/>
        </w:rPr>
        <w:t xml:space="preserve">The site received 2.5 cm of rainfall within 72 hours of prodiamine treatment. </w:t>
      </w:r>
      <w:r w:rsidR="00C056AA" w:rsidRPr="00F678F1">
        <w:t xml:space="preserve">Glyphosate applications were made to plots receiving glyphosate alone or prodiamine + glyphosate on 4 February 2015. </w:t>
      </w:r>
    </w:p>
    <w:p w14:paraId="4DE76D04" w14:textId="45BF4DE2" w:rsidR="00236E6D" w:rsidRPr="00F678F1" w:rsidRDefault="00C056AA" w:rsidP="004C3D3C">
      <w:pPr>
        <w:spacing w:line="480" w:lineRule="auto"/>
        <w:ind w:firstLine="720"/>
        <w:contextualSpacing/>
      </w:pPr>
      <w:r w:rsidRPr="00F678F1">
        <w:t xml:space="preserve">The experiment was arranged in a randomized complete block design with four replications. </w:t>
      </w:r>
      <w:r w:rsidRPr="00F678F1">
        <w:rPr>
          <w:rFonts w:eastAsiaTheme="minorHAnsi"/>
        </w:rPr>
        <w:t>All POAAN plants within each 1.2 x 3.</w:t>
      </w:r>
      <w:r w:rsidR="00016EFC" w:rsidRPr="00F678F1">
        <w:rPr>
          <w:rFonts w:eastAsiaTheme="minorHAnsi"/>
        </w:rPr>
        <w:t>0-</w:t>
      </w:r>
      <w:r w:rsidRPr="00F678F1">
        <w:rPr>
          <w:rFonts w:eastAsiaTheme="minorHAnsi"/>
        </w:rPr>
        <w:t>m plot were counted. A 1-m</w:t>
      </w:r>
      <w:r w:rsidRPr="00F678F1">
        <w:rPr>
          <w:rFonts w:eastAsiaTheme="minorHAnsi"/>
          <w:vertAlign w:val="superscript"/>
        </w:rPr>
        <w:t>2</w:t>
      </w:r>
      <w:r w:rsidRPr="00F678F1">
        <w:rPr>
          <w:rFonts w:eastAsiaTheme="minorHAnsi"/>
        </w:rPr>
        <w:t xml:space="preserve"> grid with one hundred 100-cm</w:t>
      </w:r>
      <w:r w:rsidRPr="00F678F1">
        <w:rPr>
          <w:rFonts w:eastAsiaTheme="minorHAnsi"/>
          <w:vertAlign w:val="superscript"/>
        </w:rPr>
        <w:t>2</w:t>
      </w:r>
      <w:r w:rsidRPr="00F678F1">
        <w:rPr>
          <w:rFonts w:eastAsiaTheme="minorHAnsi"/>
        </w:rPr>
        <w:t xml:space="preserve"> square sections were used to assist in counting. Count data were collected from 30 March 2015 to 13 April 2015.</w:t>
      </w:r>
    </w:p>
    <w:p w14:paraId="36E36DF3" w14:textId="77777777" w:rsidR="006B24F4" w:rsidRDefault="006B24F4">
      <w:pPr>
        <w:rPr>
          <w:b/>
          <w:bCs/>
          <w:caps/>
          <w:sz w:val="28"/>
          <w:szCs w:val="28"/>
        </w:rPr>
      </w:pPr>
      <w:bookmarkStart w:id="22" w:name="_Toc308873603"/>
      <w:r>
        <w:br w:type="page"/>
      </w:r>
    </w:p>
    <w:p w14:paraId="065CB785" w14:textId="4D39A107" w:rsidR="00F678F1" w:rsidRPr="00F678F1" w:rsidRDefault="00F678F1" w:rsidP="004C3D3C">
      <w:pPr>
        <w:pStyle w:val="StyleHeading1Centered"/>
        <w:spacing w:line="480" w:lineRule="auto"/>
        <w:contextualSpacing/>
      </w:pPr>
      <w:r w:rsidRPr="00F678F1">
        <w:t>CHAPTER 3</w:t>
      </w:r>
      <w:bookmarkEnd w:id="22"/>
    </w:p>
    <w:p w14:paraId="424E15CF" w14:textId="2DF91D52" w:rsidR="00236E6D" w:rsidRPr="00F678F1" w:rsidRDefault="00F97F15" w:rsidP="004C3D3C">
      <w:pPr>
        <w:pStyle w:val="StyleHeading1Centered"/>
        <w:spacing w:line="480" w:lineRule="auto"/>
        <w:contextualSpacing/>
      </w:pPr>
      <w:bookmarkStart w:id="23" w:name="_Toc308873604"/>
      <w:r w:rsidRPr="00F678F1">
        <w:t>Results and Discussion</w:t>
      </w:r>
      <w:bookmarkEnd w:id="23"/>
    </w:p>
    <w:p w14:paraId="48A77A7E" w14:textId="77777777" w:rsidR="00236E6D" w:rsidRPr="00F678F1" w:rsidRDefault="00236E6D" w:rsidP="004C3D3C">
      <w:pPr>
        <w:numPr>
          <w:ilvl w:val="12"/>
          <w:numId w:val="0"/>
        </w:numPr>
        <w:spacing w:line="480" w:lineRule="auto"/>
        <w:contextualSpacing/>
      </w:pPr>
      <w:r w:rsidRPr="00F678F1">
        <w:rPr>
          <w:b/>
          <w:bCs/>
        </w:rPr>
        <w:tab/>
      </w:r>
    </w:p>
    <w:p w14:paraId="654DBA4D" w14:textId="77777777" w:rsidR="006B24F4" w:rsidRDefault="00F97F15" w:rsidP="004C3D3C">
      <w:pPr>
        <w:pStyle w:val="Heading2"/>
        <w:spacing w:line="480" w:lineRule="auto"/>
        <w:contextualSpacing/>
        <w:rPr>
          <w:sz w:val="24"/>
          <w:szCs w:val="24"/>
        </w:rPr>
      </w:pPr>
      <w:bookmarkStart w:id="24" w:name="_Toc308873605"/>
      <w:r w:rsidRPr="004C3D3C">
        <w:rPr>
          <w:sz w:val="24"/>
          <w:szCs w:val="24"/>
        </w:rPr>
        <w:t xml:space="preserve">Determining </w:t>
      </w:r>
      <w:r w:rsidR="00085242" w:rsidRPr="004C3D3C">
        <w:rPr>
          <w:sz w:val="24"/>
          <w:szCs w:val="24"/>
        </w:rPr>
        <w:t xml:space="preserve">the Percentage of Plants with Putative Resistance to </w:t>
      </w:r>
    </w:p>
    <w:p w14:paraId="5C131AE0" w14:textId="71F10EFC" w:rsidR="00F97F15" w:rsidRPr="004C3D3C" w:rsidRDefault="00085242" w:rsidP="004C3D3C">
      <w:pPr>
        <w:pStyle w:val="Heading2"/>
        <w:spacing w:line="480" w:lineRule="auto"/>
        <w:contextualSpacing/>
        <w:rPr>
          <w:sz w:val="24"/>
          <w:szCs w:val="24"/>
        </w:rPr>
      </w:pPr>
      <w:r w:rsidRPr="004C3D3C">
        <w:rPr>
          <w:sz w:val="24"/>
          <w:szCs w:val="24"/>
        </w:rPr>
        <w:t>Prodiamine and Glyphosate</w:t>
      </w:r>
      <w:bookmarkEnd w:id="24"/>
    </w:p>
    <w:p w14:paraId="7C8939B1" w14:textId="571BBE47" w:rsidR="00DF0153" w:rsidRPr="00F678F1" w:rsidRDefault="00F97F15" w:rsidP="004C3D3C">
      <w:pPr>
        <w:spacing w:line="480" w:lineRule="auto"/>
        <w:contextualSpacing/>
        <w:rPr>
          <w:rFonts w:eastAsiaTheme="majorEastAsia"/>
          <w:bCs/>
        </w:rPr>
      </w:pPr>
      <w:r w:rsidRPr="00F678F1">
        <w:t xml:space="preserve"> </w:t>
      </w:r>
      <w:r w:rsidRPr="00F678F1">
        <w:tab/>
        <w:t xml:space="preserve">Eighty-one of the 100 </w:t>
      </w:r>
      <w:r w:rsidRPr="00F678F1">
        <w:rPr>
          <w:rFonts w:eastAsiaTheme="majorEastAsia"/>
          <w:bCs/>
        </w:rPr>
        <w:t xml:space="preserve">POAAN plants harvested from the field site were </w:t>
      </w:r>
      <w:r w:rsidR="0079727C" w:rsidRPr="00F678F1">
        <w:rPr>
          <w:rFonts w:eastAsiaTheme="majorEastAsia"/>
          <w:bCs/>
        </w:rPr>
        <w:t xml:space="preserve">deemed </w:t>
      </w:r>
      <w:r w:rsidRPr="00F678F1">
        <w:rPr>
          <w:rFonts w:eastAsiaTheme="majorEastAsia"/>
          <w:bCs/>
        </w:rPr>
        <w:t xml:space="preserve">resistant to both glyphosate and prodiamine, and only a single plant was susceptible to both herbicides (Table 1).  A total of 96 of the 100 POAAN plants sampled were </w:t>
      </w:r>
      <w:r w:rsidR="0079727C" w:rsidRPr="00F678F1">
        <w:rPr>
          <w:rFonts w:eastAsiaTheme="majorEastAsia"/>
          <w:bCs/>
        </w:rPr>
        <w:t xml:space="preserve">classified as </w:t>
      </w:r>
      <w:r w:rsidRPr="00F678F1">
        <w:rPr>
          <w:rFonts w:eastAsiaTheme="majorEastAsia"/>
          <w:bCs/>
        </w:rPr>
        <w:t xml:space="preserve">glyphosate resistant, 15 of which were prodiamine susceptible. Conversely, 84 of the 100 plants sampled were prodiamine resistant, </w:t>
      </w:r>
      <w:r w:rsidR="00F93E5C" w:rsidRPr="00F678F1">
        <w:rPr>
          <w:rFonts w:eastAsiaTheme="majorEastAsia"/>
          <w:bCs/>
        </w:rPr>
        <w:t xml:space="preserve">three </w:t>
      </w:r>
      <w:r w:rsidRPr="00F678F1">
        <w:rPr>
          <w:rFonts w:eastAsiaTheme="majorEastAsia"/>
          <w:bCs/>
        </w:rPr>
        <w:t xml:space="preserve">of which were glyphosate susceptible. </w:t>
      </w:r>
      <w:r w:rsidR="00DF0153" w:rsidRPr="00F678F1">
        <w:rPr>
          <w:rFonts w:eastAsiaTheme="majorEastAsia"/>
          <w:bCs/>
        </w:rPr>
        <w:t>These responses suggest that the sampled POAAN population was resistant to both prodiamine and glyphosate; however, resistance must be confirmed from seed in progeny.</w:t>
      </w:r>
    </w:p>
    <w:p w14:paraId="72584B05" w14:textId="77777777" w:rsidR="00DF0153" w:rsidRPr="00F678F1" w:rsidRDefault="00DF0153" w:rsidP="004C3D3C">
      <w:pPr>
        <w:spacing w:line="480" w:lineRule="auto"/>
        <w:contextualSpacing/>
        <w:rPr>
          <w:rFonts w:eastAsiaTheme="majorEastAsia"/>
          <w:bCs/>
        </w:rPr>
      </w:pPr>
    </w:p>
    <w:p w14:paraId="5DEF6335" w14:textId="21D11684" w:rsidR="000550C5" w:rsidRPr="008B7215" w:rsidRDefault="00FD6283" w:rsidP="004C3D3C">
      <w:pPr>
        <w:pStyle w:val="Heading2"/>
        <w:spacing w:line="480" w:lineRule="auto"/>
        <w:contextualSpacing/>
        <w:rPr>
          <w:rFonts w:eastAsiaTheme="majorEastAsia"/>
          <w:sz w:val="24"/>
          <w:szCs w:val="24"/>
        </w:rPr>
      </w:pPr>
      <w:bookmarkStart w:id="25" w:name="_Toc308873606"/>
      <w:r w:rsidRPr="008B7215">
        <w:rPr>
          <w:rStyle w:val="Heading3Char"/>
          <w:b/>
          <w:i w:val="0"/>
          <w:sz w:val="24"/>
          <w:szCs w:val="24"/>
        </w:rPr>
        <w:t>Confirming Resistance in the Glasshouse</w:t>
      </w:r>
      <w:bookmarkEnd w:id="25"/>
    </w:p>
    <w:p w14:paraId="45B17F30" w14:textId="35B635E2" w:rsidR="00F97F15" w:rsidRPr="00F678F1" w:rsidRDefault="00B041CD" w:rsidP="004C3D3C">
      <w:pPr>
        <w:pStyle w:val="Heading3"/>
        <w:contextualSpacing/>
        <w:rPr>
          <w:b w:val="0"/>
          <w:i w:val="0"/>
        </w:rPr>
      </w:pPr>
      <w:bookmarkStart w:id="26" w:name="_Toc294435754"/>
      <w:bookmarkStart w:id="27" w:name="_Toc301519633"/>
      <w:r w:rsidRPr="00F678F1">
        <w:tab/>
      </w:r>
      <w:bookmarkStart w:id="28" w:name="_Toc308873607"/>
      <w:r w:rsidR="00F97F15" w:rsidRPr="00F678F1">
        <w:t xml:space="preserve">Prodiamine </w:t>
      </w:r>
      <w:bookmarkEnd w:id="26"/>
      <w:r w:rsidR="00F97F15" w:rsidRPr="00F678F1">
        <w:t>Resistance</w:t>
      </w:r>
      <w:r w:rsidR="004C341A" w:rsidRPr="00F678F1">
        <w:t xml:space="preserve">. </w:t>
      </w:r>
      <w:r w:rsidR="00F97F15" w:rsidRPr="00F678F1">
        <w:rPr>
          <w:b w:val="0"/>
          <w:i w:val="0"/>
        </w:rPr>
        <w:t xml:space="preserve">Control of the resistant and susceptible biotypes varied in response to increasing rates of prodiamine (Figure 1; Table 2). </w:t>
      </w:r>
      <w:r w:rsidR="0079727C" w:rsidRPr="00F678F1">
        <w:rPr>
          <w:b w:val="0"/>
          <w:i w:val="0"/>
        </w:rPr>
        <w:t>N</w:t>
      </w:r>
      <w:r w:rsidR="000C6391" w:rsidRPr="00F678F1">
        <w:rPr>
          <w:b w:val="0"/>
          <w:i w:val="0"/>
        </w:rPr>
        <w:t xml:space="preserve">on-linear </w:t>
      </w:r>
      <w:r w:rsidR="00F97F15" w:rsidRPr="00F678F1">
        <w:rPr>
          <w:b w:val="0"/>
          <w:i w:val="0"/>
        </w:rPr>
        <w:t>regression curves fit control data collected on the resistant and susceptible biotypes</w:t>
      </w:r>
      <w:r w:rsidR="00DF0153" w:rsidRPr="00F678F1">
        <w:rPr>
          <w:b w:val="0"/>
          <w:i w:val="0"/>
        </w:rPr>
        <w:t xml:space="preserve"> </w:t>
      </w:r>
      <w:r w:rsidR="00946A70" w:rsidRPr="00F678F1">
        <w:rPr>
          <w:b w:val="0"/>
          <w:i w:val="0"/>
        </w:rPr>
        <w:t>and</w:t>
      </w:r>
      <w:r w:rsidR="0079727C" w:rsidRPr="00F678F1">
        <w:rPr>
          <w:b w:val="0"/>
          <w:i w:val="0"/>
        </w:rPr>
        <w:t xml:space="preserve"> </w:t>
      </w:r>
      <w:r w:rsidR="00F97F15" w:rsidRPr="00F678F1">
        <w:rPr>
          <w:b w:val="0"/>
          <w:i w:val="0"/>
        </w:rPr>
        <w:t xml:space="preserve">were significantly different from </w:t>
      </w:r>
      <w:r w:rsidR="004977F5" w:rsidRPr="00F678F1">
        <w:rPr>
          <w:b w:val="0"/>
          <w:i w:val="0"/>
        </w:rPr>
        <w:t xml:space="preserve">one </w:t>
      </w:r>
      <w:r w:rsidR="00F97F15" w:rsidRPr="00F678F1">
        <w:rPr>
          <w:b w:val="0"/>
          <w:i w:val="0"/>
        </w:rPr>
        <w:t>another (P &lt; 0.0001). Concentrations of prodiamine to control the resistant and susceptible biotypes 50</w:t>
      </w:r>
      <w:r w:rsidR="00D66A48" w:rsidRPr="00F678F1">
        <w:rPr>
          <w:b w:val="0"/>
          <w:i w:val="0"/>
        </w:rPr>
        <w:t>% were</w:t>
      </w:r>
      <w:r w:rsidR="00F97F15" w:rsidRPr="00F678F1">
        <w:rPr>
          <w:b w:val="0"/>
          <w:i w:val="0"/>
        </w:rPr>
        <w:t xml:space="preserve"> </w:t>
      </w:r>
      <w:r w:rsidR="000C6391" w:rsidRPr="00F678F1">
        <w:rPr>
          <w:b w:val="0"/>
          <w:i w:val="0"/>
        </w:rPr>
        <w:t xml:space="preserve">4117 </w:t>
      </w:r>
      <w:r w:rsidR="00F97F15" w:rsidRPr="00F678F1">
        <w:rPr>
          <w:b w:val="0"/>
          <w:i w:val="0"/>
        </w:rPr>
        <w:t xml:space="preserve">and </w:t>
      </w:r>
      <w:r w:rsidR="000C6391" w:rsidRPr="00F678F1">
        <w:rPr>
          <w:b w:val="0"/>
          <w:i w:val="0"/>
        </w:rPr>
        <w:t>13</w:t>
      </w:r>
      <w:r w:rsidR="00946A70" w:rsidRPr="00F678F1">
        <w:rPr>
          <w:b w:val="0"/>
          <w:i w:val="0"/>
        </w:rPr>
        <w:t xml:space="preserve">2 </w:t>
      </w:r>
      <w:r w:rsidR="00F97F15" w:rsidRPr="00F678F1">
        <w:rPr>
          <w:b w:val="0"/>
          <w:i w:val="0"/>
        </w:rPr>
        <w:t>g ha</w:t>
      </w:r>
      <w:r w:rsidR="00F97F15" w:rsidRPr="00F678F1">
        <w:rPr>
          <w:b w:val="0"/>
          <w:i w:val="0"/>
          <w:vertAlign w:val="superscript"/>
        </w:rPr>
        <w:t>-1</w:t>
      </w:r>
      <w:r w:rsidR="00F97F15" w:rsidRPr="00F678F1">
        <w:rPr>
          <w:b w:val="0"/>
          <w:i w:val="0"/>
        </w:rPr>
        <w:t xml:space="preserve">, respectively. This response indicates that progeny of the resistant biotype harvested from our field site were approximately </w:t>
      </w:r>
      <w:r w:rsidR="00DA6C6A" w:rsidRPr="00F678F1">
        <w:rPr>
          <w:b w:val="0"/>
          <w:i w:val="0"/>
        </w:rPr>
        <w:t xml:space="preserve">31 </w:t>
      </w:r>
      <w:r w:rsidR="00F97F15" w:rsidRPr="00F678F1">
        <w:rPr>
          <w:b w:val="0"/>
          <w:i w:val="0"/>
        </w:rPr>
        <w:t>times less sensitive to prodiamine than a known susceptible population.</w:t>
      </w:r>
      <w:r w:rsidR="00DA6C6A" w:rsidRPr="00F678F1">
        <w:rPr>
          <w:b w:val="0"/>
          <w:i w:val="0"/>
        </w:rPr>
        <w:t xml:space="preserve"> </w:t>
      </w:r>
      <w:r w:rsidR="00F97F15" w:rsidRPr="00F678F1">
        <w:rPr>
          <w:b w:val="0"/>
          <w:i w:val="0"/>
        </w:rPr>
        <w:t>These results are similar to research conducted by Cutulle et al. (2009) who identified a biotype of POAAN 26 times less sensitive to prodiamine than a known susceptible. Previous dose-response studies conducted by Brosnan et al. (2014) with the POAAN population studied herein also support the conclusion that POAAN from our field site is resistant to prodiamine.</w:t>
      </w:r>
      <w:bookmarkEnd w:id="27"/>
      <w:bookmarkEnd w:id="28"/>
    </w:p>
    <w:p w14:paraId="43BDC16B" w14:textId="15851FD2" w:rsidR="000550C5" w:rsidRPr="00F678F1" w:rsidRDefault="00F97F15" w:rsidP="006B24F4">
      <w:pPr>
        <w:spacing w:line="480" w:lineRule="auto"/>
        <w:contextualSpacing/>
      </w:pPr>
      <w:bookmarkStart w:id="29" w:name="_Toc294435755"/>
      <w:r w:rsidRPr="00F678F1">
        <w:tab/>
      </w:r>
      <w:bookmarkEnd w:id="29"/>
      <w:r w:rsidRPr="00F678F1">
        <w:t xml:space="preserve">Dry biomass data were similar to control assessments in that </w:t>
      </w:r>
      <w:r w:rsidR="00DA6C6A" w:rsidRPr="00F678F1">
        <w:t xml:space="preserve">exponential decay </w:t>
      </w:r>
      <w:r w:rsidRPr="00F678F1">
        <w:t xml:space="preserve">non-linear regression curves modeling reductions in biomass for the resistant and susceptible biotypes were significantly different from one another (P &lt; 0.0001) (Figure 2; Table 3). </w:t>
      </w:r>
      <w:r w:rsidR="00DA6C6A" w:rsidRPr="00F678F1">
        <w:t xml:space="preserve">Concentrations of prodiamine necessary to reduce </w:t>
      </w:r>
      <w:r w:rsidR="00946A70" w:rsidRPr="00F678F1">
        <w:t xml:space="preserve">dry </w:t>
      </w:r>
      <w:r w:rsidR="00DA6C6A" w:rsidRPr="00F678F1">
        <w:t>biomass for the resistant and susceptible biotypes by 50% (</w:t>
      </w:r>
      <w:r w:rsidR="00946A70" w:rsidRPr="00F678F1">
        <w:t>GR</w:t>
      </w:r>
      <w:r w:rsidR="00946A70" w:rsidRPr="00F678F1">
        <w:rPr>
          <w:vertAlign w:val="subscript"/>
        </w:rPr>
        <w:t>50</w:t>
      </w:r>
      <w:r w:rsidR="00DA6C6A" w:rsidRPr="00F678F1">
        <w:t xml:space="preserve"> values) were 1006 and </w:t>
      </w:r>
      <w:r w:rsidR="00946A70" w:rsidRPr="00F678F1">
        <w:t>45</w:t>
      </w:r>
      <w:r w:rsidR="00DA6C6A" w:rsidRPr="00F678F1">
        <w:t xml:space="preserve"> g ha</w:t>
      </w:r>
      <w:r w:rsidR="00DA6C6A" w:rsidRPr="00F678F1">
        <w:rPr>
          <w:vertAlign w:val="superscript"/>
        </w:rPr>
        <w:t>-1</w:t>
      </w:r>
      <w:r w:rsidR="00DA6C6A" w:rsidRPr="00F678F1">
        <w:t>, respectively</w:t>
      </w:r>
      <w:r w:rsidRPr="00F678F1">
        <w:t xml:space="preserve"> (Figure 2).</w:t>
      </w:r>
      <w:r w:rsidRPr="00F678F1" w:rsidDel="00370AFD">
        <w:t xml:space="preserve"> </w:t>
      </w:r>
    </w:p>
    <w:p w14:paraId="220A4DAD" w14:textId="2A3DEEC1" w:rsidR="00F97F15" w:rsidRPr="00F678F1" w:rsidRDefault="00B041CD" w:rsidP="006B24F4">
      <w:pPr>
        <w:pStyle w:val="Heading3"/>
        <w:contextualSpacing/>
        <w:rPr>
          <w:b w:val="0"/>
          <w:i w:val="0"/>
          <w:szCs w:val="24"/>
        </w:rPr>
      </w:pPr>
      <w:bookmarkStart w:id="30" w:name="_Toc294435756"/>
      <w:bookmarkStart w:id="31" w:name="_Toc301519634"/>
      <w:r w:rsidRPr="00F678F1">
        <w:tab/>
      </w:r>
      <w:bookmarkStart w:id="32" w:name="_Toc308873608"/>
      <w:r w:rsidR="00F97F15" w:rsidRPr="00F678F1">
        <w:t xml:space="preserve">Glyphosate </w:t>
      </w:r>
      <w:bookmarkEnd w:id="30"/>
      <w:r w:rsidR="00F97F15" w:rsidRPr="00F678F1">
        <w:t>Resistance</w:t>
      </w:r>
      <w:r w:rsidR="00D537BE" w:rsidRPr="00F678F1">
        <w:t>.</w:t>
      </w:r>
      <w:r w:rsidR="00D537BE" w:rsidRPr="00F678F1">
        <w:rPr>
          <w:b w:val="0"/>
          <w:i w:val="0"/>
          <w:szCs w:val="24"/>
        </w:rPr>
        <w:t xml:space="preserve"> </w:t>
      </w:r>
      <w:r w:rsidR="00F97F15" w:rsidRPr="00F678F1">
        <w:rPr>
          <w:b w:val="0"/>
          <w:i w:val="0"/>
          <w:szCs w:val="24"/>
        </w:rPr>
        <w:t xml:space="preserve">Significant differences in POAAN control were observed 21 days after treating progeny of resistant and susceptible biotypes to increasing rates of glyphosate (Figure 3, Table 4). </w:t>
      </w:r>
      <w:r w:rsidR="00946A70" w:rsidRPr="00F678F1">
        <w:rPr>
          <w:b w:val="0"/>
          <w:i w:val="0"/>
          <w:szCs w:val="24"/>
        </w:rPr>
        <w:t>N</w:t>
      </w:r>
      <w:r w:rsidR="00DA6C6A" w:rsidRPr="00F678F1">
        <w:rPr>
          <w:b w:val="0"/>
          <w:i w:val="0"/>
          <w:szCs w:val="24"/>
        </w:rPr>
        <w:t>on-linear r</w:t>
      </w:r>
      <w:r w:rsidR="00F97F15" w:rsidRPr="00F678F1">
        <w:rPr>
          <w:b w:val="0"/>
          <w:i w:val="0"/>
          <w:szCs w:val="24"/>
        </w:rPr>
        <w:t xml:space="preserve">egression curves fit control data collected on the resistant and susceptible biotypes </w:t>
      </w:r>
      <w:r w:rsidR="00946A70" w:rsidRPr="00F678F1">
        <w:rPr>
          <w:b w:val="0"/>
          <w:i w:val="0"/>
          <w:szCs w:val="24"/>
        </w:rPr>
        <w:t xml:space="preserve">and </w:t>
      </w:r>
      <w:r w:rsidR="00F97F15" w:rsidRPr="00F678F1">
        <w:rPr>
          <w:b w:val="0"/>
          <w:i w:val="0"/>
          <w:szCs w:val="24"/>
        </w:rPr>
        <w:t>were significantly different from</w:t>
      </w:r>
      <w:r w:rsidR="00507234" w:rsidRPr="00F678F1">
        <w:rPr>
          <w:b w:val="0"/>
          <w:i w:val="0"/>
          <w:szCs w:val="24"/>
        </w:rPr>
        <w:t xml:space="preserve"> one</w:t>
      </w:r>
      <w:r w:rsidR="00F97F15" w:rsidRPr="00F678F1">
        <w:rPr>
          <w:b w:val="0"/>
          <w:i w:val="0"/>
          <w:szCs w:val="24"/>
        </w:rPr>
        <w:t xml:space="preserve"> another (P &lt; 0.0001). Concentrations of glyphosate to control the resistant and susceptible biotypes 50% were </w:t>
      </w:r>
      <w:r w:rsidR="00DA6C6A" w:rsidRPr="00F678F1">
        <w:rPr>
          <w:b w:val="0"/>
          <w:i w:val="0"/>
          <w:szCs w:val="24"/>
        </w:rPr>
        <w:t xml:space="preserve">3908 </w:t>
      </w:r>
      <w:r w:rsidR="00F97F15" w:rsidRPr="00F678F1">
        <w:rPr>
          <w:b w:val="0"/>
          <w:i w:val="0"/>
          <w:szCs w:val="24"/>
        </w:rPr>
        <w:t xml:space="preserve">and </w:t>
      </w:r>
      <w:r w:rsidR="00DA6C6A" w:rsidRPr="00F678F1">
        <w:rPr>
          <w:b w:val="0"/>
          <w:i w:val="0"/>
          <w:szCs w:val="24"/>
        </w:rPr>
        <w:t>393</w:t>
      </w:r>
      <w:r w:rsidR="00946A70" w:rsidRPr="00F678F1">
        <w:rPr>
          <w:b w:val="0"/>
          <w:i w:val="0"/>
          <w:szCs w:val="24"/>
        </w:rPr>
        <w:t xml:space="preserve"> </w:t>
      </w:r>
      <w:r w:rsidR="00F97F15" w:rsidRPr="00F678F1">
        <w:rPr>
          <w:b w:val="0"/>
          <w:i w:val="0"/>
          <w:szCs w:val="24"/>
        </w:rPr>
        <w:t>g ha</w:t>
      </w:r>
      <w:r w:rsidR="00F97F15" w:rsidRPr="00F678F1">
        <w:rPr>
          <w:b w:val="0"/>
          <w:i w:val="0"/>
          <w:szCs w:val="24"/>
          <w:vertAlign w:val="superscript"/>
        </w:rPr>
        <w:t>-1</w:t>
      </w:r>
      <w:r w:rsidR="00F97F15" w:rsidRPr="00F678F1">
        <w:rPr>
          <w:b w:val="0"/>
          <w:i w:val="0"/>
          <w:szCs w:val="24"/>
        </w:rPr>
        <w:t xml:space="preserve">, respectively. This response indicates that progeny of the resistant biotype harvested from our field site were approximately </w:t>
      </w:r>
      <w:r w:rsidR="00946A70" w:rsidRPr="00F678F1">
        <w:rPr>
          <w:b w:val="0"/>
          <w:i w:val="0"/>
          <w:szCs w:val="24"/>
        </w:rPr>
        <w:t>10</w:t>
      </w:r>
      <w:r w:rsidR="00DA6C6A" w:rsidRPr="00F678F1">
        <w:rPr>
          <w:b w:val="0"/>
          <w:i w:val="0"/>
          <w:szCs w:val="24"/>
        </w:rPr>
        <w:t xml:space="preserve"> </w:t>
      </w:r>
      <w:r w:rsidR="00F97F15" w:rsidRPr="00F678F1">
        <w:rPr>
          <w:b w:val="0"/>
          <w:i w:val="0"/>
          <w:szCs w:val="24"/>
        </w:rPr>
        <w:t>times less sensitive to glyphosate than a known susceptible population. Brosnan et al. (2012) reported similar findings (12x resistance) with a different glyphosate resistant POAAN biotype in Humboldt, TN (Brosnan et al. 2012).</w:t>
      </w:r>
      <w:r w:rsidR="00E12D4F" w:rsidRPr="00F678F1">
        <w:rPr>
          <w:b w:val="0"/>
          <w:i w:val="0"/>
          <w:szCs w:val="24"/>
        </w:rPr>
        <w:t xml:space="preserve"> </w:t>
      </w:r>
      <w:r w:rsidR="00713C16" w:rsidRPr="00F678F1">
        <w:rPr>
          <w:b w:val="0"/>
          <w:i w:val="0"/>
          <w:szCs w:val="24"/>
        </w:rPr>
        <w:t xml:space="preserve">Binkholder et al. (2011) </w:t>
      </w:r>
      <w:r w:rsidR="00036FDA" w:rsidRPr="00F678F1">
        <w:rPr>
          <w:b w:val="0"/>
          <w:i w:val="0"/>
          <w:szCs w:val="24"/>
        </w:rPr>
        <w:t xml:space="preserve">and Cross et al. (2015) </w:t>
      </w:r>
      <w:r w:rsidR="00713C16" w:rsidRPr="00F678F1">
        <w:rPr>
          <w:b w:val="0"/>
          <w:i w:val="0"/>
          <w:szCs w:val="24"/>
        </w:rPr>
        <w:t xml:space="preserve">reported </w:t>
      </w:r>
      <w:r w:rsidR="00036FDA" w:rsidRPr="00F678F1">
        <w:rPr>
          <w:b w:val="0"/>
          <w:i w:val="0"/>
          <w:szCs w:val="24"/>
        </w:rPr>
        <w:t xml:space="preserve">lower levels of </w:t>
      </w:r>
      <w:r w:rsidR="00713C16" w:rsidRPr="00F678F1">
        <w:rPr>
          <w:b w:val="0"/>
          <w:i w:val="0"/>
          <w:szCs w:val="24"/>
        </w:rPr>
        <w:t>(</w:t>
      </w:r>
      <w:r w:rsidR="00036FDA" w:rsidRPr="00F678F1">
        <w:rPr>
          <w:b w:val="0"/>
          <w:i w:val="0"/>
          <w:szCs w:val="24"/>
        </w:rPr>
        <w:t xml:space="preserve">4.4 to </w:t>
      </w:r>
      <w:r w:rsidR="00713C16" w:rsidRPr="00F678F1">
        <w:rPr>
          <w:b w:val="0"/>
          <w:i w:val="0"/>
          <w:szCs w:val="24"/>
        </w:rPr>
        <w:t>5.2x</w:t>
      </w:r>
      <w:r w:rsidR="00A47EAB" w:rsidRPr="00F678F1">
        <w:rPr>
          <w:b w:val="0"/>
          <w:i w:val="0"/>
          <w:szCs w:val="24"/>
        </w:rPr>
        <w:t>) resistant</w:t>
      </w:r>
      <w:r w:rsidR="008B74EB" w:rsidRPr="00F678F1">
        <w:rPr>
          <w:b w:val="0"/>
          <w:i w:val="0"/>
          <w:szCs w:val="24"/>
        </w:rPr>
        <w:t xml:space="preserve"> </w:t>
      </w:r>
      <w:r w:rsidR="00713C16" w:rsidRPr="00F678F1">
        <w:rPr>
          <w:b w:val="0"/>
          <w:i w:val="0"/>
          <w:szCs w:val="24"/>
        </w:rPr>
        <w:t>POAAN biotype</w:t>
      </w:r>
      <w:r w:rsidR="00036FDA" w:rsidRPr="00F678F1">
        <w:rPr>
          <w:b w:val="0"/>
          <w:i w:val="0"/>
          <w:szCs w:val="24"/>
        </w:rPr>
        <w:t>s.</w:t>
      </w:r>
      <w:bookmarkEnd w:id="31"/>
      <w:bookmarkEnd w:id="32"/>
    </w:p>
    <w:p w14:paraId="280AEBBB" w14:textId="5D3C7109" w:rsidR="00254DC5" w:rsidRPr="00F678F1" w:rsidRDefault="00F97F15" w:rsidP="004C3D3C">
      <w:pPr>
        <w:spacing w:line="480" w:lineRule="auto"/>
        <w:contextualSpacing/>
      </w:pPr>
      <w:r w:rsidRPr="00F678F1">
        <w:rPr>
          <w:bCs/>
        </w:rPr>
        <w:tab/>
      </w:r>
      <w:r w:rsidRPr="00F678F1">
        <w:t xml:space="preserve">Dry biomass data </w:t>
      </w:r>
      <w:r w:rsidR="00036FDA" w:rsidRPr="00F678F1">
        <w:t>supported assessments of control as</w:t>
      </w:r>
      <w:r w:rsidRPr="00F678F1">
        <w:t xml:space="preserve"> approximately </w:t>
      </w:r>
      <w:r w:rsidR="00816FF9" w:rsidRPr="00F678F1">
        <w:t xml:space="preserve">8.5 </w:t>
      </w:r>
      <w:r w:rsidRPr="00F678F1">
        <w:t>times more glyphosate (</w:t>
      </w:r>
      <w:r w:rsidR="00816FF9" w:rsidRPr="00F678F1">
        <w:t xml:space="preserve">1940 </w:t>
      </w:r>
      <w:r w:rsidRPr="00F678F1">
        <w:t>g ha</w:t>
      </w:r>
      <w:r w:rsidRPr="00F678F1">
        <w:rPr>
          <w:vertAlign w:val="superscript"/>
        </w:rPr>
        <w:t>-1</w:t>
      </w:r>
      <w:r w:rsidRPr="00F678F1">
        <w:t>) was required to reduce dry biomass of the resistant population by 50% compared to a known glyphosate susceptible population (</w:t>
      </w:r>
      <w:r w:rsidR="00816FF9" w:rsidRPr="00F678F1">
        <w:t xml:space="preserve">229 </w:t>
      </w:r>
      <w:r w:rsidRPr="00F678F1">
        <w:t>g ha</w:t>
      </w:r>
      <w:r w:rsidRPr="00F678F1">
        <w:rPr>
          <w:vertAlign w:val="superscript"/>
        </w:rPr>
        <w:t>-1</w:t>
      </w:r>
      <w:r w:rsidRPr="00F678F1">
        <w:t xml:space="preserve">; Figure 4, Table 5). </w:t>
      </w:r>
      <w:r w:rsidR="00254DC5" w:rsidRPr="00F678F1">
        <w:t>These results are similar to reports by Binkholder et al. (2011)</w:t>
      </w:r>
      <w:r w:rsidR="00D04640" w:rsidRPr="00F678F1">
        <w:t>,</w:t>
      </w:r>
      <w:r w:rsidR="00254DC5" w:rsidRPr="00F678F1">
        <w:t xml:space="preserve"> Brosnan et al. (2012)</w:t>
      </w:r>
      <w:r w:rsidR="00D04640" w:rsidRPr="00F678F1">
        <w:t>, and</w:t>
      </w:r>
      <w:r w:rsidR="00254DC5" w:rsidRPr="00F678F1">
        <w:t xml:space="preserve"> Cross et al. (2015)</w:t>
      </w:r>
      <w:r w:rsidR="00D04640" w:rsidRPr="00F678F1">
        <w:t>.</w:t>
      </w:r>
      <w:r w:rsidR="00254DC5" w:rsidRPr="00F678F1">
        <w:t xml:space="preserve"> </w:t>
      </w:r>
    </w:p>
    <w:p w14:paraId="0052AE75" w14:textId="0DBEC6EA" w:rsidR="00F97F15" w:rsidRPr="00F678F1" w:rsidRDefault="00254DC5" w:rsidP="004C3D3C">
      <w:pPr>
        <w:spacing w:line="480" w:lineRule="auto"/>
        <w:contextualSpacing/>
      </w:pPr>
      <w:r w:rsidRPr="00F678F1">
        <w:tab/>
      </w:r>
      <w:r w:rsidR="00D04640" w:rsidRPr="00F678F1">
        <w:t>Shikimic acid accumulation studies also suggest a high level of resistance in this POAAN biotype. G</w:t>
      </w:r>
      <w:r w:rsidR="00F97F15" w:rsidRPr="00F678F1">
        <w:t>lyphosate susceptible plants accumulated 50% more shikimic acid 6 DAT than those resistant to glyphosate (Figure 5, Table 6).</w:t>
      </w:r>
      <w:r w:rsidR="00816FF9" w:rsidRPr="00F678F1">
        <w:t xml:space="preserve"> </w:t>
      </w:r>
      <w:r w:rsidR="005D480C" w:rsidRPr="00F678F1">
        <w:t>Glyphosate-</w:t>
      </w:r>
      <w:r w:rsidR="00946A70" w:rsidRPr="00F678F1">
        <w:t xml:space="preserve">resistant POAAN accumulated a maximum of </w:t>
      </w:r>
      <w:r w:rsidR="00816FF9" w:rsidRPr="00F678F1">
        <w:t xml:space="preserve">394 </w:t>
      </w:r>
      <w:r w:rsidR="004C7C4F" w:rsidRPr="00F678F1">
        <w:rPr>
          <w:color w:val="000000"/>
        </w:rPr>
        <w:t>mg</w:t>
      </w:r>
      <w:r w:rsidR="005D480C" w:rsidRPr="00F678F1">
        <w:rPr>
          <w:color w:val="000000"/>
        </w:rPr>
        <w:t xml:space="preserve"> kg</w:t>
      </w:r>
      <w:r w:rsidR="005D480C" w:rsidRPr="00F678F1">
        <w:rPr>
          <w:color w:val="000000"/>
          <w:vertAlign w:val="superscript"/>
        </w:rPr>
        <w:t>-1</w:t>
      </w:r>
      <w:r w:rsidR="00946A70" w:rsidRPr="00F678F1">
        <w:t xml:space="preserve"> shikimic acid at 6 DAT compared to </w:t>
      </w:r>
      <w:r w:rsidR="00816FF9" w:rsidRPr="00F678F1">
        <w:t xml:space="preserve">898 </w:t>
      </w:r>
      <w:r w:rsidR="004C7C4F" w:rsidRPr="00F678F1">
        <w:rPr>
          <w:color w:val="000000"/>
        </w:rPr>
        <w:t>mg</w:t>
      </w:r>
      <w:r w:rsidR="005D480C" w:rsidRPr="00F678F1">
        <w:rPr>
          <w:color w:val="000000"/>
        </w:rPr>
        <w:t xml:space="preserve"> kg</w:t>
      </w:r>
      <w:r w:rsidR="005D480C" w:rsidRPr="00F678F1">
        <w:rPr>
          <w:color w:val="000000"/>
          <w:vertAlign w:val="superscript"/>
        </w:rPr>
        <w:t>-1</w:t>
      </w:r>
      <w:r w:rsidR="00946A70" w:rsidRPr="00F678F1">
        <w:t xml:space="preserve"> for those susceptible glyphosate</w:t>
      </w:r>
      <w:r w:rsidR="00816FF9" w:rsidRPr="00F678F1">
        <w:t>.</w:t>
      </w:r>
      <w:r w:rsidR="00F97F15" w:rsidRPr="00F678F1">
        <w:t xml:space="preserve"> Similarly, Brosnan et al. (2012)</w:t>
      </w:r>
      <w:r w:rsidR="00D04640" w:rsidRPr="00F678F1">
        <w:t xml:space="preserve"> and Cross et al. (2015)</w:t>
      </w:r>
      <w:r w:rsidR="00F97F15" w:rsidRPr="00F678F1">
        <w:t xml:space="preserve"> reported shikimate concentrations to be 50% </w:t>
      </w:r>
      <w:r w:rsidR="00FB1BBE" w:rsidRPr="00F678F1">
        <w:t>lower</w:t>
      </w:r>
      <w:r w:rsidR="00F97F15" w:rsidRPr="00F678F1">
        <w:t xml:space="preserve"> in a glyphosate resistant POAAN biotype from Humboldt, TN at 3 and 6 DAT. </w:t>
      </w:r>
      <w:r w:rsidR="007F70DB" w:rsidRPr="00F678F1">
        <w:t xml:space="preserve"> </w:t>
      </w:r>
    </w:p>
    <w:p w14:paraId="1CADADF8" w14:textId="2176AA61" w:rsidR="00B041CD" w:rsidRPr="00F678F1" w:rsidRDefault="00611211" w:rsidP="004C3D3C">
      <w:pPr>
        <w:spacing w:line="480" w:lineRule="auto"/>
        <w:contextualSpacing/>
        <w:rPr>
          <w:b/>
          <w:bCs/>
          <w:i/>
          <w:szCs w:val="26"/>
        </w:rPr>
      </w:pPr>
      <w:r w:rsidRPr="00F678F1">
        <w:tab/>
      </w:r>
      <w:bookmarkStart w:id="33" w:name="_Toc294435759"/>
    </w:p>
    <w:p w14:paraId="0F5EDB37" w14:textId="607308C1" w:rsidR="00F97F15" w:rsidRPr="004C3D3C" w:rsidRDefault="00F97F15" w:rsidP="004C3D3C">
      <w:pPr>
        <w:pStyle w:val="Heading2"/>
        <w:spacing w:line="480" w:lineRule="auto"/>
        <w:contextualSpacing/>
        <w:rPr>
          <w:sz w:val="24"/>
          <w:szCs w:val="24"/>
        </w:rPr>
      </w:pPr>
      <w:bookmarkStart w:id="34" w:name="_Toc308873609"/>
      <w:r w:rsidRPr="004C3D3C">
        <w:rPr>
          <w:sz w:val="24"/>
          <w:szCs w:val="24"/>
        </w:rPr>
        <w:t>Confirming Resistance in the Field</w:t>
      </w:r>
      <w:bookmarkEnd w:id="33"/>
      <w:bookmarkEnd w:id="34"/>
    </w:p>
    <w:p w14:paraId="450C79DD" w14:textId="09864D69" w:rsidR="00F97F15" w:rsidRPr="00F678F1" w:rsidRDefault="00F97F15" w:rsidP="004C3D3C">
      <w:pPr>
        <w:spacing w:line="480" w:lineRule="auto"/>
        <w:ind w:firstLine="720"/>
        <w:contextualSpacing/>
        <w:rPr>
          <w:rFonts w:eastAsiaTheme="majorEastAsia"/>
          <w:bCs/>
          <w:szCs w:val="26"/>
        </w:rPr>
      </w:pPr>
      <w:r w:rsidRPr="00F678F1">
        <w:t>No significant differences were detected in annual bluegrass counts among plots treated with prodiamine, glyphosate, prodiamine + glyphosate, or left non-treated (Table 7). Non-treated plots averaged 515 plants per m</w:t>
      </w:r>
      <w:r w:rsidRPr="00F678F1">
        <w:rPr>
          <w:vertAlign w:val="superscript"/>
        </w:rPr>
        <w:t xml:space="preserve">2 </w:t>
      </w:r>
      <w:r w:rsidRPr="00F678F1">
        <w:t>compared to 559 to 611 plants per m</w:t>
      </w:r>
      <w:r w:rsidRPr="00F678F1">
        <w:rPr>
          <w:vertAlign w:val="superscript"/>
        </w:rPr>
        <w:t xml:space="preserve">2 </w:t>
      </w:r>
      <w:r w:rsidRPr="00F678F1">
        <w:t xml:space="preserve">for those treated </w:t>
      </w:r>
      <w:r w:rsidR="00732C04" w:rsidRPr="00F678F1">
        <w:t>with prodiamine</w:t>
      </w:r>
      <w:r w:rsidRPr="00F678F1">
        <w:t xml:space="preserve">, glyphosate, or prodiamine + glyphosate. </w:t>
      </w:r>
    </w:p>
    <w:p w14:paraId="0D508780" w14:textId="3823B2D3" w:rsidR="004F5C1C" w:rsidRPr="00F678F1" w:rsidRDefault="004F5C1C" w:rsidP="004C3D3C">
      <w:pPr>
        <w:spacing w:line="480" w:lineRule="auto"/>
        <w:contextualSpacing/>
        <w:rPr>
          <w:b/>
          <w:bCs/>
          <w:iCs/>
          <w:sz w:val="28"/>
          <w:szCs w:val="28"/>
        </w:rPr>
      </w:pPr>
    </w:p>
    <w:p w14:paraId="5A47C0C5" w14:textId="77777777" w:rsidR="006B24F4" w:rsidRDefault="006B24F4">
      <w:pPr>
        <w:rPr>
          <w:b/>
          <w:bCs/>
          <w:caps/>
          <w:sz w:val="28"/>
          <w:szCs w:val="28"/>
        </w:rPr>
      </w:pPr>
      <w:bookmarkStart w:id="35" w:name="_Toc308873610"/>
      <w:r>
        <w:br w:type="page"/>
      </w:r>
    </w:p>
    <w:p w14:paraId="781049AE" w14:textId="5D2E74E8" w:rsidR="00F678F1" w:rsidRPr="00F678F1" w:rsidRDefault="00F678F1" w:rsidP="004C3D3C">
      <w:pPr>
        <w:pStyle w:val="StyleHeading1Centered"/>
        <w:spacing w:line="480" w:lineRule="auto"/>
        <w:contextualSpacing/>
      </w:pPr>
      <w:r w:rsidRPr="00F678F1">
        <w:t>CHAPTER 4</w:t>
      </w:r>
      <w:bookmarkEnd w:id="35"/>
    </w:p>
    <w:p w14:paraId="23933290" w14:textId="23E79558" w:rsidR="00036FDA" w:rsidRPr="00A760C8" w:rsidRDefault="00036FDA" w:rsidP="004C3D3C">
      <w:pPr>
        <w:pStyle w:val="StyleHeading1Centered"/>
        <w:spacing w:line="480" w:lineRule="auto"/>
        <w:contextualSpacing/>
      </w:pPr>
      <w:bookmarkStart w:id="36" w:name="_Toc308873611"/>
      <w:r w:rsidRPr="00F678F1">
        <w:t>Conclusion</w:t>
      </w:r>
      <w:bookmarkEnd w:id="36"/>
    </w:p>
    <w:p w14:paraId="149B442D" w14:textId="77777777" w:rsidR="00036FDA" w:rsidRPr="00F678F1" w:rsidRDefault="00036FDA" w:rsidP="004C3D3C">
      <w:pPr>
        <w:spacing w:line="480" w:lineRule="auto"/>
        <w:ind w:firstLine="720"/>
        <w:contextualSpacing/>
      </w:pPr>
    </w:p>
    <w:p w14:paraId="7D4D3C4F" w14:textId="057C0417" w:rsidR="00C0541D" w:rsidRPr="00F678F1" w:rsidRDefault="00F97F15" w:rsidP="004C3D3C">
      <w:pPr>
        <w:spacing w:line="480" w:lineRule="auto"/>
        <w:ind w:firstLine="720"/>
        <w:contextualSpacing/>
        <w:rPr>
          <w:rStyle w:val="Heading2Char"/>
          <w:b w:val="0"/>
          <w:sz w:val="24"/>
          <w:szCs w:val="24"/>
        </w:rPr>
      </w:pPr>
      <w:r w:rsidRPr="00F678F1">
        <w:rPr>
          <w:rStyle w:val="Heading2Char"/>
          <w:b w:val="0"/>
          <w:sz w:val="24"/>
          <w:szCs w:val="24"/>
        </w:rPr>
        <w:t xml:space="preserve">Results of </w:t>
      </w:r>
      <w:r w:rsidR="00685B9A" w:rsidRPr="00F678F1">
        <w:rPr>
          <w:rStyle w:val="Heading2Char"/>
          <w:b w:val="0"/>
          <w:sz w:val="24"/>
          <w:szCs w:val="24"/>
        </w:rPr>
        <w:t xml:space="preserve">our </w:t>
      </w:r>
      <w:r w:rsidRPr="00F678F1">
        <w:rPr>
          <w:rStyle w:val="Heading2Char"/>
          <w:b w:val="0"/>
          <w:sz w:val="24"/>
          <w:szCs w:val="24"/>
        </w:rPr>
        <w:t>research indicate that the POAAN biotype at Lambert Acres Golf Course has evolved resistance to both prodiamine and glyphosate. This marks the second occurrence of POAAN evolving multiple-resistance in managed turf and the first instance of a POAAN population evolving resistance to both a PRE and POST herbicide.</w:t>
      </w:r>
    </w:p>
    <w:p w14:paraId="11C620A3" w14:textId="55F52103" w:rsidR="00C0541D" w:rsidRPr="00F678F1" w:rsidRDefault="00F97F15" w:rsidP="004C3D3C">
      <w:pPr>
        <w:spacing w:line="480" w:lineRule="auto"/>
        <w:ind w:firstLine="720"/>
        <w:contextualSpacing/>
        <w:rPr>
          <w:color w:val="000000"/>
        </w:rPr>
      </w:pPr>
      <w:r w:rsidRPr="00F678F1">
        <w:rPr>
          <w:color w:val="000000"/>
        </w:rPr>
        <w:t>One limitation of this research effort is that we did not identify the mechanisms conferring resistance to glyphosate or prodiamine in our POAAN population.</w:t>
      </w:r>
      <w:r w:rsidR="00E90AC9" w:rsidRPr="00F678F1">
        <w:rPr>
          <w:color w:val="000000"/>
        </w:rPr>
        <w:t xml:space="preserve"> </w:t>
      </w:r>
      <w:r w:rsidR="0062252B" w:rsidRPr="00F678F1">
        <w:t xml:space="preserve">Glyphosate resistance can be conferred through target site mutations, amplified expression of </w:t>
      </w:r>
      <w:r w:rsidR="007A60FE" w:rsidRPr="00F678F1">
        <w:t>5-enolpyruvylshikimate-3-phosphate synthase (</w:t>
      </w:r>
      <w:r w:rsidR="0062252B" w:rsidRPr="00F678F1">
        <w:t>EPSPS</w:t>
      </w:r>
      <w:r w:rsidR="007A60FE" w:rsidRPr="00F678F1">
        <w:t>)</w:t>
      </w:r>
      <w:r w:rsidR="0062252B" w:rsidRPr="00F678F1">
        <w:t xml:space="preserve">, altered translocation, </w:t>
      </w:r>
      <w:r w:rsidR="00A6431A" w:rsidRPr="00F678F1">
        <w:t xml:space="preserve">sequestration into the vacuole, reduced absorption, </w:t>
      </w:r>
      <w:r w:rsidR="00685B9A" w:rsidRPr="00F678F1">
        <w:rPr>
          <w:color w:val="000000"/>
        </w:rPr>
        <w:t xml:space="preserve">mutations reducing </w:t>
      </w:r>
      <w:r w:rsidR="00BF67A2" w:rsidRPr="00F678F1">
        <w:rPr>
          <w:color w:val="000000"/>
        </w:rPr>
        <w:t>EPSPS enzyme sensitivity to glyphosate, and the introduction of genes into plants that confer</w:t>
      </w:r>
      <w:r w:rsidR="00685B9A" w:rsidRPr="00F678F1">
        <w:rPr>
          <w:color w:val="000000"/>
        </w:rPr>
        <w:t xml:space="preserve"> enhanced</w:t>
      </w:r>
      <w:r w:rsidR="00BF67A2" w:rsidRPr="00F678F1">
        <w:rPr>
          <w:color w:val="000000"/>
        </w:rPr>
        <w:t xml:space="preserve"> glyphosate metabolism</w:t>
      </w:r>
      <w:r w:rsidR="007A60FE" w:rsidRPr="00F678F1">
        <w:rPr>
          <w:color w:val="000000"/>
        </w:rPr>
        <w:t xml:space="preserve"> (</w:t>
      </w:r>
      <w:r w:rsidR="00FB104A" w:rsidRPr="00F678F1">
        <w:rPr>
          <w:color w:val="000000"/>
        </w:rPr>
        <w:t xml:space="preserve">Baerson et al. 2002, </w:t>
      </w:r>
      <w:r w:rsidR="007A60FE" w:rsidRPr="00F678F1">
        <w:t>Pline-Srnic 2006</w:t>
      </w:r>
      <w:r w:rsidR="00906D47" w:rsidRPr="00F678F1">
        <w:t>,</w:t>
      </w:r>
      <w:r w:rsidR="00906D47" w:rsidRPr="00A760C8">
        <w:rPr>
          <w:sz w:val="30"/>
          <w:szCs w:val="30"/>
        </w:rPr>
        <w:t xml:space="preserve"> </w:t>
      </w:r>
      <w:r w:rsidR="00906D47" w:rsidRPr="00F678F1">
        <w:t>Mohseni-Moghadam et al. 2013</w:t>
      </w:r>
      <w:r w:rsidR="0045059C" w:rsidRPr="00F678F1">
        <w:t>, Sammons and Gaines 2014</w:t>
      </w:r>
      <w:r w:rsidR="007A60FE" w:rsidRPr="00F678F1">
        <w:t>)</w:t>
      </w:r>
      <w:r w:rsidR="00BF67A2" w:rsidRPr="00F678F1">
        <w:rPr>
          <w:color w:val="000000"/>
        </w:rPr>
        <w:t>.</w:t>
      </w:r>
      <w:r w:rsidR="006553DE" w:rsidRPr="00F678F1">
        <w:rPr>
          <w:color w:val="000000"/>
        </w:rPr>
        <w:t xml:space="preserve"> </w:t>
      </w:r>
      <w:r w:rsidR="00A556CB" w:rsidRPr="00F678F1">
        <w:t>Recently,</w:t>
      </w:r>
      <w:r w:rsidR="00B43C86" w:rsidRPr="00F678F1">
        <w:t xml:space="preserve"> </w:t>
      </w:r>
      <w:r w:rsidR="00A556CB" w:rsidRPr="00F678F1">
        <w:t xml:space="preserve">Cross et al. (2015) </w:t>
      </w:r>
      <w:r w:rsidR="00B43C86" w:rsidRPr="00F678F1">
        <w:t xml:space="preserve">confirmed </w:t>
      </w:r>
      <w:r w:rsidR="00A556CB" w:rsidRPr="00F678F1">
        <w:t>glyphosate resistance</w:t>
      </w:r>
      <w:r w:rsidR="00036FDA" w:rsidRPr="00F678F1">
        <w:t xml:space="preserve"> in a POAAN biotype was</w:t>
      </w:r>
      <w:r w:rsidR="00A556CB" w:rsidRPr="00F678F1">
        <w:t xml:space="preserve"> associated with </w:t>
      </w:r>
      <w:r w:rsidR="00B43C86" w:rsidRPr="00F678F1">
        <w:t>a Pro</w:t>
      </w:r>
      <w:r w:rsidR="00B43C86" w:rsidRPr="00F678F1">
        <w:rPr>
          <w:vertAlign w:val="subscript"/>
        </w:rPr>
        <w:t>106</w:t>
      </w:r>
      <w:r w:rsidR="00B43C86" w:rsidRPr="00F678F1">
        <w:t xml:space="preserve"> to Ala substitution </w:t>
      </w:r>
      <w:r w:rsidR="007D7537" w:rsidRPr="00F678F1">
        <w:t>on EPSPS</w:t>
      </w:r>
      <w:r w:rsidR="00B43C86" w:rsidRPr="00F678F1">
        <w:t>.</w:t>
      </w:r>
      <w:r w:rsidR="004B2670" w:rsidRPr="00F678F1">
        <w:t xml:space="preserve"> </w:t>
      </w:r>
      <w:r w:rsidR="0003200E" w:rsidRPr="00F678F1">
        <w:t>Glyphosate resistance has also been documented to be conferred through</w:t>
      </w:r>
      <w:r w:rsidR="00F60E10" w:rsidRPr="00F678F1">
        <w:t xml:space="preserve"> </w:t>
      </w:r>
      <w:r w:rsidR="0003200E" w:rsidRPr="00F678F1">
        <w:t>substitutions at</w:t>
      </w:r>
      <w:r w:rsidR="00F60E10" w:rsidRPr="00F678F1">
        <w:t xml:space="preserve"> Gly</w:t>
      </w:r>
      <w:r w:rsidR="00F60E10" w:rsidRPr="00F678F1">
        <w:rPr>
          <w:vertAlign w:val="subscript"/>
        </w:rPr>
        <w:t>101</w:t>
      </w:r>
      <w:r w:rsidR="00F60E10" w:rsidRPr="00F678F1">
        <w:t xml:space="preserve"> and Thr</w:t>
      </w:r>
      <w:r w:rsidR="00F60E10" w:rsidRPr="00F678F1">
        <w:rPr>
          <w:vertAlign w:val="subscript"/>
        </w:rPr>
        <w:t>102</w:t>
      </w:r>
      <w:r w:rsidR="0003200E" w:rsidRPr="00F678F1">
        <w:t xml:space="preserve">; </w:t>
      </w:r>
      <w:r w:rsidR="004B2670" w:rsidRPr="00F678F1">
        <w:t xml:space="preserve">however, </w:t>
      </w:r>
      <w:r w:rsidR="0003200E" w:rsidRPr="00F678F1">
        <w:t xml:space="preserve">substitutions at these locations, while they confer resistance, the substitutions also decrease the </w:t>
      </w:r>
      <w:r w:rsidR="00C0541D" w:rsidRPr="00F678F1">
        <w:t xml:space="preserve">functionality </w:t>
      </w:r>
      <w:r w:rsidR="0003200E" w:rsidRPr="00F678F1">
        <w:t xml:space="preserve">of EPSP synthase causing a decrease in efficiency of the shikimate pathway in plants with these substitutions </w:t>
      </w:r>
      <w:r w:rsidR="00C0541D" w:rsidRPr="00F678F1">
        <w:t xml:space="preserve">(Eschenburg et al. 2002; Funke et al. 2009; Powles and Yu 2010). </w:t>
      </w:r>
    </w:p>
    <w:p w14:paraId="14FC3974" w14:textId="2B211471" w:rsidR="00BF67A2" w:rsidRPr="00F678F1" w:rsidRDefault="001B7A90" w:rsidP="004C3D3C">
      <w:pPr>
        <w:spacing w:line="480" w:lineRule="auto"/>
        <w:ind w:firstLine="720"/>
        <w:contextualSpacing/>
        <w:rPr>
          <w:color w:val="000000"/>
        </w:rPr>
      </w:pPr>
      <w:r w:rsidRPr="00F678F1">
        <w:t>Resistance to prodiamine is typically the r</w:t>
      </w:r>
      <w:r w:rsidRPr="00F678F1">
        <w:rPr>
          <w:color w:val="000000"/>
        </w:rPr>
        <w:t xml:space="preserve">esult of target site mutations on </w:t>
      </w:r>
      <w:r w:rsidRPr="00A760C8">
        <w:rPr>
          <w:rFonts w:eastAsiaTheme="minorHAnsi"/>
        </w:rPr>
        <w:t>α</w:t>
      </w:r>
      <w:r w:rsidRPr="00F678F1">
        <w:rPr>
          <w:color w:val="000000"/>
        </w:rPr>
        <w:t>-tubulin. Several researchers have confirmed that</w:t>
      </w:r>
      <w:r w:rsidR="00C124F3" w:rsidRPr="00F678F1">
        <w:rPr>
          <w:color w:val="000000"/>
        </w:rPr>
        <w:t xml:space="preserve"> a </w:t>
      </w:r>
      <w:r w:rsidR="0095085A" w:rsidRPr="00F678F1">
        <w:rPr>
          <w:color w:val="000000"/>
        </w:rPr>
        <w:t>Thr</w:t>
      </w:r>
      <w:r w:rsidRPr="00F678F1">
        <w:rPr>
          <w:color w:val="000000"/>
        </w:rPr>
        <w:t>-</w:t>
      </w:r>
      <w:r w:rsidR="00BF67A2" w:rsidRPr="00F678F1">
        <w:rPr>
          <w:color w:val="000000"/>
        </w:rPr>
        <w:t>to</w:t>
      </w:r>
      <w:r w:rsidRPr="00F678F1">
        <w:rPr>
          <w:color w:val="000000"/>
        </w:rPr>
        <w:t>-</w:t>
      </w:r>
      <w:r w:rsidR="0095085A" w:rsidRPr="00F678F1">
        <w:rPr>
          <w:color w:val="000000"/>
        </w:rPr>
        <w:t>Ile</w:t>
      </w:r>
      <w:r w:rsidR="00BF67A2" w:rsidRPr="00F678F1">
        <w:rPr>
          <w:color w:val="000000"/>
        </w:rPr>
        <w:t xml:space="preserve"> substitution at amino acid residue 239</w:t>
      </w:r>
      <w:r w:rsidR="004707CE" w:rsidRPr="00F678F1">
        <w:rPr>
          <w:color w:val="000000"/>
        </w:rPr>
        <w:t xml:space="preserve"> of </w:t>
      </w:r>
      <w:r w:rsidR="004707CE" w:rsidRPr="00A760C8">
        <w:rPr>
          <w:rFonts w:eastAsiaTheme="minorHAnsi"/>
        </w:rPr>
        <w:t>α</w:t>
      </w:r>
      <w:r w:rsidR="004707CE" w:rsidRPr="00F678F1">
        <w:rPr>
          <w:color w:val="000000"/>
        </w:rPr>
        <w:t xml:space="preserve">-tubulin </w:t>
      </w:r>
      <w:r w:rsidR="00BF67A2" w:rsidRPr="00F678F1">
        <w:rPr>
          <w:color w:val="000000"/>
        </w:rPr>
        <w:t xml:space="preserve">can </w:t>
      </w:r>
      <w:r w:rsidR="00C124F3" w:rsidRPr="00F678F1">
        <w:rPr>
          <w:color w:val="000000"/>
        </w:rPr>
        <w:t xml:space="preserve">confer </w:t>
      </w:r>
      <w:r w:rsidR="00BF67A2" w:rsidRPr="00F678F1">
        <w:rPr>
          <w:color w:val="000000"/>
        </w:rPr>
        <w:t>resistance to dinitroaniline herbicides</w:t>
      </w:r>
      <w:r w:rsidR="00C124F3" w:rsidRPr="00F678F1">
        <w:rPr>
          <w:color w:val="000000"/>
        </w:rPr>
        <w:t xml:space="preserve"> such as prodiamine</w:t>
      </w:r>
      <w:r w:rsidR="00BF67A2" w:rsidRPr="00F678F1">
        <w:rPr>
          <w:color w:val="000000"/>
        </w:rPr>
        <w:t xml:space="preserve"> (Darmency et al. 2011</w:t>
      </w:r>
      <w:r w:rsidR="004707CE" w:rsidRPr="00F678F1">
        <w:rPr>
          <w:rFonts w:eastAsiaTheme="minorHAnsi"/>
        </w:rPr>
        <w:t>, Morrissette et al. 2004</w:t>
      </w:r>
      <w:r w:rsidR="00275E5B" w:rsidRPr="00F678F1">
        <w:rPr>
          <w:rFonts w:eastAsiaTheme="minorHAnsi"/>
        </w:rPr>
        <w:t>, Anthony et al.1998</w:t>
      </w:r>
      <w:r w:rsidR="00BF67A2" w:rsidRPr="00F678F1">
        <w:rPr>
          <w:color w:val="000000"/>
        </w:rPr>
        <w:t>).</w:t>
      </w:r>
      <w:r w:rsidR="00C124F3" w:rsidRPr="00F678F1">
        <w:rPr>
          <w:color w:val="000000"/>
        </w:rPr>
        <w:t xml:space="preserve"> </w:t>
      </w:r>
      <w:r w:rsidR="007D7537" w:rsidRPr="00F678F1">
        <w:rPr>
          <w:rFonts w:eastAsiaTheme="minorHAnsi"/>
        </w:rPr>
        <w:t xml:space="preserve">Dinitroaniline herbicide </w:t>
      </w:r>
      <w:r w:rsidR="00292D2E" w:rsidRPr="00F678F1">
        <w:rPr>
          <w:rFonts w:eastAsiaTheme="minorHAnsi"/>
        </w:rPr>
        <w:t xml:space="preserve">resistance has also been conferred </w:t>
      </w:r>
      <w:r w:rsidR="007D7537" w:rsidRPr="00F678F1">
        <w:rPr>
          <w:rFonts w:eastAsiaTheme="minorHAnsi"/>
        </w:rPr>
        <w:t>in a</w:t>
      </w:r>
      <w:r w:rsidR="00292D2E" w:rsidRPr="00F678F1">
        <w:rPr>
          <w:rFonts w:eastAsiaTheme="minorHAnsi"/>
          <w:i/>
        </w:rPr>
        <w:t xml:space="preserve"> Chlamydomonas reinhardtii</w:t>
      </w:r>
      <w:r w:rsidR="00292D2E" w:rsidRPr="00F678F1">
        <w:rPr>
          <w:rFonts w:eastAsiaTheme="minorHAnsi"/>
        </w:rPr>
        <w:t xml:space="preserve"> mutant through </w:t>
      </w:r>
      <w:r w:rsidR="00D504D9" w:rsidRPr="00F678F1">
        <w:rPr>
          <w:rFonts w:eastAsiaTheme="minorHAnsi"/>
        </w:rPr>
        <w:t>a tyrosine</w:t>
      </w:r>
      <w:r w:rsidR="00292D2E" w:rsidRPr="00F678F1">
        <w:rPr>
          <w:rFonts w:eastAsiaTheme="minorHAnsi"/>
        </w:rPr>
        <w:t xml:space="preserve"> </w:t>
      </w:r>
      <w:r w:rsidR="00D504D9" w:rsidRPr="00F678F1">
        <w:rPr>
          <w:rFonts w:eastAsiaTheme="minorHAnsi"/>
        </w:rPr>
        <w:t xml:space="preserve">to histidine substitution </w:t>
      </w:r>
      <w:r w:rsidR="00292D2E" w:rsidRPr="00F678F1">
        <w:rPr>
          <w:rFonts w:eastAsiaTheme="minorHAnsi"/>
        </w:rPr>
        <w:t>at position 24</w:t>
      </w:r>
      <w:r w:rsidR="007D7537" w:rsidRPr="00F678F1">
        <w:rPr>
          <w:rFonts w:eastAsiaTheme="minorHAnsi"/>
        </w:rPr>
        <w:t xml:space="preserve"> on</w:t>
      </w:r>
      <w:r w:rsidR="00DF2240" w:rsidRPr="00A760C8">
        <w:rPr>
          <w:rFonts w:eastAsiaTheme="minorHAnsi"/>
        </w:rPr>
        <w:t xml:space="preserve"> α</w:t>
      </w:r>
      <w:r w:rsidR="00DF2240" w:rsidRPr="00F678F1">
        <w:rPr>
          <w:color w:val="000000"/>
        </w:rPr>
        <w:t>-tubulin</w:t>
      </w:r>
      <w:r w:rsidR="00292D2E" w:rsidRPr="00F678F1">
        <w:rPr>
          <w:rFonts w:eastAsiaTheme="minorHAnsi"/>
        </w:rPr>
        <w:t xml:space="preserve"> (Anthony et al. 1999). </w:t>
      </w:r>
      <w:r w:rsidR="00864BDA" w:rsidRPr="00F678F1">
        <w:t xml:space="preserve">Genetic characterization of POAAN from Lambert Acres Golf Course should be conducted to determine if resistance to glyphosate and prodiamine is the result of target site mutations on EPSPS or </w:t>
      </w:r>
      <w:r w:rsidR="0006427B" w:rsidRPr="00A760C8">
        <w:rPr>
          <w:rFonts w:eastAsiaTheme="minorHAnsi"/>
        </w:rPr>
        <w:t>α</w:t>
      </w:r>
      <w:r w:rsidR="0006427B" w:rsidRPr="00F678F1">
        <w:rPr>
          <w:color w:val="000000"/>
        </w:rPr>
        <w:t>-tubulin</w:t>
      </w:r>
      <w:r w:rsidR="00864BDA" w:rsidRPr="00F678F1">
        <w:t>.</w:t>
      </w:r>
      <w:r w:rsidR="00DF2240" w:rsidRPr="00F678F1">
        <w:t xml:space="preserve"> </w:t>
      </w:r>
      <w:r w:rsidRPr="00F678F1">
        <w:rPr>
          <w:color w:val="000000"/>
        </w:rPr>
        <w:t>Future research should explore the mechanisms conferring resistance to glyphosate and prodiamine in POAAN collected from Lambert Acres Golf Course.</w:t>
      </w:r>
    </w:p>
    <w:p w14:paraId="059A885C" w14:textId="4BE90E3B" w:rsidR="00236E6D" w:rsidRDefault="00F97F15" w:rsidP="004C3D3C">
      <w:pPr>
        <w:spacing w:line="480" w:lineRule="auto"/>
        <w:ind w:firstLine="720"/>
        <w:contextualSpacing/>
      </w:pPr>
      <w:r>
        <w:rPr>
          <w:color w:val="000000"/>
        </w:rPr>
        <w:t xml:space="preserve"> </w:t>
      </w:r>
    </w:p>
    <w:p w14:paraId="7B3942EB" w14:textId="77777777" w:rsidR="00236E6D" w:rsidRDefault="00236E6D" w:rsidP="004C3D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rPr>
      </w:pPr>
    </w:p>
    <w:p w14:paraId="5EC92968" w14:textId="77777777" w:rsidR="00236E6D" w:rsidRDefault="00236E6D" w:rsidP="004C3D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rPr>
      </w:pPr>
    </w:p>
    <w:p w14:paraId="66465452" w14:textId="77777777" w:rsidR="00236E6D" w:rsidRDefault="00236E6D" w:rsidP="004C3D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sz w:val="28"/>
          <w:szCs w:val="28"/>
        </w:rPr>
      </w:pPr>
    </w:p>
    <w:p w14:paraId="331DA9F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40DB92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D84D9E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CA8000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41604A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BBD5B0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A59E5C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5D19D2C"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58787B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B6E2C1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C9DE8BD" w14:textId="77777777" w:rsidR="008F60C3" w:rsidRDefault="008F60C3" w:rsidP="007D538B">
      <w:r>
        <w:br w:type="page"/>
      </w:r>
    </w:p>
    <w:p w14:paraId="10F65C9A" w14:textId="77777777" w:rsidR="008F60C3" w:rsidRDefault="008F60C3" w:rsidP="007D538B"/>
    <w:p w14:paraId="564B2D6D" w14:textId="77777777" w:rsidR="008F60C3" w:rsidRDefault="008F60C3" w:rsidP="007D538B"/>
    <w:p w14:paraId="1D1A9241" w14:textId="77777777" w:rsidR="008F60C3" w:rsidRDefault="008F60C3" w:rsidP="007D538B"/>
    <w:p w14:paraId="1F69916C" w14:textId="77777777" w:rsidR="008F60C3" w:rsidRDefault="008F60C3" w:rsidP="007D538B"/>
    <w:p w14:paraId="2FFC8C7D" w14:textId="77777777" w:rsidR="008F60C3" w:rsidRDefault="008F60C3" w:rsidP="007D538B"/>
    <w:p w14:paraId="06A6705B" w14:textId="77777777" w:rsidR="008F60C3" w:rsidRDefault="008F60C3" w:rsidP="007D538B"/>
    <w:p w14:paraId="3A30F779" w14:textId="77777777" w:rsidR="008F60C3" w:rsidRDefault="008F60C3" w:rsidP="007D538B"/>
    <w:p w14:paraId="0392C171" w14:textId="77777777" w:rsidR="008F60C3" w:rsidRDefault="008F60C3" w:rsidP="007D538B"/>
    <w:p w14:paraId="3013AF6B" w14:textId="77777777" w:rsidR="008F60C3" w:rsidRDefault="008F60C3" w:rsidP="007D538B"/>
    <w:p w14:paraId="7E3D6B84" w14:textId="77777777" w:rsidR="008F60C3" w:rsidRDefault="008F60C3" w:rsidP="007D538B"/>
    <w:p w14:paraId="1552AA61" w14:textId="77777777" w:rsidR="008F60C3" w:rsidRDefault="008F60C3" w:rsidP="007D538B"/>
    <w:p w14:paraId="1F5F15CB" w14:textId="77777777" w:rsidR="00236E6D" w:rsidRDefault="003D712C" w:rsidP="000166A9">
      <w:pPr>
        <w:pStyle w:val="StyleHeading1Centered"/>
      </w:pPr>
      <w:bookmarkStart w:id="37" w:name="_Toc299892316"/>
      <w:bookmarkStart w:id="38" w:name="_Toc308873612"/>
      <w:r>
        <w:t>Literature Cited</w:t>
      </w:r>
      <w:bookmarkEnd w:id="37"/>
      <w:bookmarkEnd w:id="38"/>
    </w:p>
    <w:p w14:paraId="1DD3DC53" w14:textId="77777777"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rsidR="008865B6">
        <w:t xml:space="preserve"> </w:t>
      </w:r>
    </w:p>
    <w:p w14:paraId="63B80BE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ACABA1" w14:textId="77777777" w:rsidR="003D712C" w:rsidRPr="00917211" w:rsidRDefault="003D712C" w:rsidP="003D712C">
      <w:pPr>
        <w:tabs>
          <w:tab w:val="left" w:pos="810"/>
        </w:tabs>
        <w:ind w:left="720" w:hanging="720"/>
      </w:pPr>
      <w:r w:rsidRPr="00224414">
        <w:t xml:space="preserve">Anonymous (2012) Barricade 4FL Herbicide Label. Syngenta Professional Products. </w:t>
      </w:r>
      <w:r w:rsidRPr="00917211">
        <w:t>Greensboro, NC. pp.1-32</w:t>
      </w:r>
    </w:p>
    <w:p w14:paraId="494100C0" w14:textId="77777777" w:rsidR="003D712C" w:rsidRPr="00917211" w:rsidRDefault="003D712C" w:rsidP="003D712C">
      <w:pPr>
        <w:tabs>
          <w:tab w:val="left" w:pos="810"/>
        </w:tabs>
        <w:ind w:left="720" w:hanging="720"/>
      </w:pPr>
    </w:p>
    <w:p w14:paraId="3990EAE4" w14:textId="68C44BE2" w:rsidR="00A536A9" w:rsidRDefault="00917211" w:rsidP="00A536A9">
      <w:pPr>
        <w:tabs>
          <w:tab w:val="left" w:pos="810"/>
        </w:tabs>
        <w:ind w:left="720" w:hanging="720"/>
        <w:rPr>
          <w:rFonts w:eastAsiaTheme="minorHAnsi"/>
        </w:rPr>
      </w:pPr>
      <w:r w:rsidRPr="00A536A9">
        <w:rPr>
          <w:color w:val="262626"/>
        </w:rPr>
        <w:t>Anthony RG, Waldin TR, Ray JA, Bright SWJ, and Hussey PJ (1998) Herbicide resistance caused by spontaneous mutation of the cytoskeletal protein tubulin. Nature 393(6682):260–263</w:t>
      </w:r>
    </w:p>
    <w:p w14:paraId="1AC8674E" w14:textId="77777777" w:rsidR="00A536A9" w:rsidRDefault="00A536A9" w:rsidP="00A536A9">
      <w:pPr>
        <w:tabs>
          <w:tab w:val="left" w:pos="810"/>
        </w:tabs>
        <w:ind w:left="720" w:hanging="720"/>
        <w:rPr>
          <w:rFonts w:eastAsiaTheme="minorHAnsi"/>
        </w:rPr>
      </w:pPr>
    </w:p>
    <w:p w14:paraId="2D0A897F" w14:textId="4D9FFB23" w:rsidR="00C0131C" w:rsidRPr="00A536A9" w:rsidRDefault="00917211" w:rsidP="00A536A9">
      <w:pPr>
        <w:tabs>
          <w:tab w:val="left" w:pos="810"/>
        </w:tabs>
        <w:ind w:left="720" w:hanging="720"/>
        <w:rPr>
          <w:rFonts w:eastAsiaTheme="minorHAnsi"/>
        </w:rPr>
      </w:pPr>
      <w:r w:rsidRPr="00A536A9">
        <w:rPr>
          <w:rFonts w:eastAsiaTheme="minorHAnsi"/>
        </w:rPr>
        <w:t>Anthony RG</w:t>
      </w:r>
      <w:r w:rsidR="00A536A9" w:rsidRPr="00A536A9">
        <w:t xml:space="preserve">, and Hussey </w:t>
      </w:r>
      <w:r w:rsidR="00A536A9">
        <w:t>P</w:t>
      </w:r>
      <w:r w:rsidR="00A536A9" w:rsidRPr="002E1A70">
        <w:t>J</w:t>
      </w:r>
      <w:r w:rsidR="00A536A9" w:rsidRPr="00A536A9">
        <w:t xml:space="preserve"> </w:t>
      </w:r>
      <w:r w:rsidR="00A536A9">
        <w:t>(</w:t>
      </w:r>
      <w:r w:rsidR="00A536A9" w:rsidRPr="00A536A9">
        <w:t xml:space="preserve">1999) Double mutation in </w:t>
      </w:r>
      <w:r w:rsidR="00A536A9" w:rsidRPr="00A536A9">
        <w:rPr>
          <w:i/>
        </w:rPr>
        <w:t>Eleusine indica</w:t>
      </w:r>
      <w:r w:rsidR="00A536A9" w:rsidRPr="00A536A9">
        <w:t xml:space="preserve"> α-tubulin</w:t>
      </w:r>
      <w:r w:rsidR="00A536A9">
        <w:t xml:space="preserve"> </w:t>
      </w:r>
      <w:r w:rsidR="00A536A9" w:rsidRPr="00A536A9">
        <w:t>increases the resistance of transgenic maize calli to dinitroaniline and</w:t>
      </w:r>
      <w:r w:rsidR="00A536A9">
        <w:t xml:space="preserve"> </w:t>
      </w:r>
      <w:r w:rsidR="00A536A9" w:rsidRPr="00A536A9">
        <w:t>phosphorothioamidate herbicides. Plant J. 18:669-674</w:t>
      </w:r>
    </w:p>
    <w:p w14:paraId="4A790BA4" w14:textId="77777777" w:rsidR="00A536A9" w:rsidRPr="00A536A9" w:rsidRDefault="00A536A9" w:rsidP="00A536A9">
      <w:pPr>
        <w:widowControl w:val="0"/>
        <w:autoSpaceDE w:val="0"/>
        <w:autoSpaceDN w:val="0"/>
        <w:adjustRightInd w:val="0"/>
        <w:rPr>
          <w:rFonts w:eastAsiaTheme="minorHAnsi"/>
        </w:rPr>
      </w:pPr>
    </w:p>
    <w:p w14:paraId="04160B46" w14:textId="762555CF" w:rsidR="00FB104A" w:rsidRDefault="00DF2240" w:rsidP="00FB104A">
      <w:pPr>
        <w:tabs>
          <w:tab w:val="left" w:pos="810"/>
        </w:tabs>
        <w:ind w:left="720" w:hanging="720"/>
      </w:pPr>
      <w:r>
        <w:t>Baerson SR, Rodriquez</w:t>
      </w:r>
      <w:r w:rsidRPr="00DF2240">
        <w:t xml:space="preserve"> </w:t>
      </w:r>
      <w:r>
        <w:t>DJ, Tran</w:t>
      </w:r>
      <w:r w:rsidRPr="00DF2240">
        <w:t xml:space="preserve"> </w:t>
      </w:r>
      <w:r>
        <w:t>M, Feng</w:t>
      </w:r>
      <w:r w:rsidRPr="00DF2240">
        <w:t xml:space="preserve"> </w:t>
      </w:r>
      <w:r>
        <w:t xml:space="preserve">Y, </w:t>
      </w:r>
      <w:r w:rsidRPr="00DF2240">
        <w:t xml:space="preserve">Biest </w:t>
      </w:r>
      <w:r>
        <w:t>NA</w:t>
      </w:r>
      <w:r w:rsidRPr="00DF2240">
        <w:t xml:space="preserve">, and </w:t>
      </w:r>
      <w:r>
        <w:t xml:space="preserve">Dill </w:t>
      </w:r>
      <w:r w:rsidRPr="00DF2240">
        <w:t>G</w:t>
      </w:r>
      <w:r>
        <w:t>M (2002)</w:t>
      </w:r>
      <w:r w:rsidRPr="00DF2240">
        <w:t xml:space="preserve"> Glyphosate-resistant goosegrass. Identification of a mutation in the target enzyme 5-enolpyruvylshikimate-3-phosphate synthase. Pl</w:t>
      </w:r>
      <w:r w:rsidR="005B58DC">
        <w:t>ant Physiol. 129:1265–1275</w:t>
      </w:r>
    </w:p>
    <w:p w14:paraId="16AD8BFD" w14:textId="77777777" w:rsidR="00FB104A" w:rsidRPr="00FB104A" w:rsidRDefault="00FB104A" w:rsidP="00FB104A">
      <w:pPr>
        <w:tabs>
          <w:tab w:val="left" w:pos="810"/>
        </w:tabs>
        <w:ind w:left="720" w:hanging="720"/>
      </w:pPr>
    </w:p>
    <w:p w14:paraId="5DC6A79B" w14:textId="7F8F06F3" w:rsidR="003D712C" w:rsidRPr="00224414" w:rsidRDefault="003D712C" w:rsidP="003D712C">
      <w:pPr>
        <w:tabs>
          <w:tab w:val="left" w:pos="810"/>
        </w:tabs>
        <w:ind w:left="720" w:hanging="720"/>
      </w:pPr>
      <w:r w:rsidRPr="00A536A9">
        <w:t>Beard JB, Rieke PE, Turgeon AJ, and Vargas JM (1978) Annual bluegrass (Poa annua L.) description, adaptation, culture</w:t>
      </w:r>
      <w:r w:rsidRPr="00224414">
        <w:t xml:space="preserve"> and control. Res. Rep. 352. Michigan</w:t>
      </w:r>
    </w:p>
    <w:p w14:paraId="2918C7B1" w14:textId="77777777" w:rsidR="003D712C" w:rsidRPr="00224414" w:rsidRDefault="003D712C" w:rsidP="003D712C">
      <w:pPr>
        <w:tabs>
          <w:tab w:val="left" w:pos="810"/>
        </w:tabs>
        <w:ind w:left="720" w:hanging="720"/>
      </w:pPr>
    </w:p>
    <w:p w14:paraId="36B197BC" w14:textId="77777777" w:rsidR="003D712C" w:rsidRPr="00224414" w:rsidRDefault="003D712C" w:rsidP="003D712C">
      <w:pPr>
        <w:tabs>
          <w:tab w:val="left" w:pos="810"/>
        </w:tabs>
        <w:ind w:left="720" w:hanging="720"/>
      </w:pPr>
      <w:r w:rsidRPr="00224414">
        <w:t>Binkholder KM, Fresenburg BS, Teuton TC, Xi Xiong, and Smeda RJ (2011) Selection of Glyphosate-Resistant Annual Bluegrass (Poa annua) on a Golf Course. Weed Sci. 59:286-289</w:t>
      </w:r>
    </w:p>
    <w:p w14:paraId="5616D73F" w14:textId="77777777" w:rsidR="003D712C" w:rsidRPr="00224414" w:rsidRDefault="003D712C" w:rsidP="003D712C">
      <w:pPr>
        <w:tabs>
          <w:tab w:val="left" w:pos="810"/>
        </w:tabs>
        <w:ind w:left="720" w:hanging="720"/>
      </w:pPr>
    </w:p>
    <w:p w14:paraId="454C5E75" w14:textId="0D7245FC" w:rsidR="003D712C" w:rsidRPr="00224414" w:rsidRDefault="003D712C" w:rsidP="003D712C">
      <w:pPr>
        <w:tabs>
          <w:tab w:val="left" w:pos="810"/>
        </w:tabs>
        <w:ind w:left="720" w:hanging="720"/>
      </w:pPr>
      <w:r w:rsidRPr="00224414">
        <w:t>Brosnan JT, Breeden GK, Vargas JJ, and Grier L (2015) A Biotype of Annual Bluegrass (Poa annua L.) in Tennessee is Resistant to Inhibitors of ALS and Photosystem II</w:t>
      </w:r>
      <w:r>
        <w:t>.</w:t>
      </w:r>
      <w:r w:rsidRPr="000E749B">
        <w:t xml:space="preserve"> </w:t>
      </w:r>
      <w:r>
        <w:t>Weed Sci. 63</w:t>
      </w:r>
      <w:r w:rsidRPr="000E749B">
        <w:t>:321-328</w:t>
      </w:r>
    </w:p>
    <w:p w14:paraId="1DD08ECA" w14:textId="77777777" w:rsidR="003D712C" w:rsidRPr="00224414" w:rsidRDefault="003D712C" w:rsidP="003D712C">
      <w:pPr>
        <w:tabs>
          <w:tab w:val="left" w:pos="810"/>
        </w:tabs>
        <w:ind w:left="720" w:hanging="720"/>
      </w:pPr>
    </w:p>
    <w:p w14:paraId="65029E84" w14:textId="73F386F9" w:rsidR="003D712C" w:rsidRDefault="003D712C" w:rsidP="003D712C">
      <w:pPr>
        <w:tabs>
          <w:tab w:val="left" w:pos="810"/>
        </w:tabs>
        <w:ind w:left="720" w:hanging="720"/>
      </w:pPr>
      <w:r>
        <w:t xml:space="preserve">Brosnan JT, Breeden GK, and Mueller TC (2012) </w:t>
      </w:r>
      <w:r w:rsidRPr="00DD29FF">
        <w:t>A Glyphosate-Resistant Biotype of Annual Bluegrass in Tennessee</w:t>
      </w:r>
      <w:r>
        <w:t>. Weed Sci.</w:t>
      </w:r>
      <w:r w:rsidRPr="00DD29FF">
        <w:t xml:space="preserve"> 60:97–100</w:t>
      </w:r>
    </w:p>
    <w:p w14:paraId="30882491" w14:textId="77777777" w:rsidR="003D712C" w:rsidRDefault="003D712C" w:rsidP="003D712C">
      <w:pPr>
        <w:tabs>
          <w:tab w:val="left" w:pos="810"/>
        </w:tabs>
        <w:ind w:left="720" w:hanging="720"/>
      </w:pPr>
    </w:p>
    <w:p w14:paraId="71EF96C1" w14:textId="77777777" w:rsidR="003D712C" w:rsidRPr="00224414" w:rsidRDefault="003D712C" w:rsidP="003D712C">
      <w:pPr>
        <w:tabs>
          <w:tab w:val="left" w:pos="810"/>
        </w:tabs>
        <w:ind w:left="720" w:hanging="720"/>
      </w:pPr>
      <w:r w:rsidRPr="00224414">
        <w:t>Brosnan JT, Breeden GK, McCullough PE, Henry GM (2012) PRE and POST control of annual bluegrass (Poa annua) with indaziflam. Weed Tech. 26:48–53</w:t>
      </w:r>
    </w:p>
    <w:p w14:paraId="0F776047" w14:textId="77777777" w:rsidR="003D712C" w:rsidRPr="00224414" w:rsidRDefault="003D712C" w:rsidP="003D712C">
      <w:pPr>
        <w:tabs>
          <w:tab w:val="left" w:pos="810"/>
        </w:tabs>
        <w:ind w:left="720" w:hanging="720"/>
      </w:pPr>
    </w:p>
    <w:p w14:paraId="71B54880" w14:textId="77777777" w:rsidR="003D712C" w:rsidRDefault="003D712C" w:rsidP="003D712C">
      <w:pPr>
        <w:tabs>
          <w:tab w:val="left" w:pos="810"/>
        </w:tabs>
        <w:ind w:left="720" w:hanging="720"/>
      </w:pPr>
      <w:r w:rsidRPr="00224414">
        <w:t>Brosnan JT, Reasor EH, Vargas JJ, Breeden GK, Kopsell DA, Cutulle MA, Mueller TC (2014) A putative prodiamine-resistant annual bluegrass (</w:t>
      </w:r>
      <w:r w:rsidRPr="00224414">
        <w:rPr>
          <w:i/>
        </w:rPr>
        <w:t>Poa annua</w:t>
      </w:r>
      <w:r w:rsidRPr="00224414">
        <w:t>) population is controlled by indaziflam. Weed Sci. 62:138-144</w:t>
      </w:r>
    </w:p>
    <w:p w14:paraId="3CDEE87A" w14:textId="77777777" w:rsidR="00DC46EB" w:rsidRDefault="00DC46EB" w:rsidP="003D712C">
      <w:pPr>
        <w:tabs>
          <w:tab w:val="left" w:pos="810"/>
        </w:tabs>
        <w:ind w:left="720" w:hanging="720"/>
      </w:pPr>
    </w:p>
    <w:p w14:paraId="5624AFE6" w14:textId="608DE1A9" w:rsidR="003D712C" w:rsidRPr="00224414" w:rsidRDefault="003D712C" w:rsidP="003D712C">
      <w:pPr>
        <w:tabs>
          <w:tab w:val="left" w:pos="810"/>
        </w:tabs>
        <w:ind w:left="720" w:hanging="720"/>
      </w:pPr>
      <w:r w:rsidRPr="00224414">
        <w:t>Cross RB, McCarty LB, Tharayil N, Whitwell T, Bridges Jr WC (2013) Detecting annual bluegrass resistance to ALS-inhibiting herbicides using a rapid diagnostic assay. Weed Sci. 61</w:t>
      </w:r>
      <w:r>
        <w:t>:</w:t>
      </w:r>
      <w:r w:rsidRPr="00224414">
        <w:t>384-389</w:t>
      </w:r>
    </w:p>
    <w:p w14:paraId="587CE85D" w14:textId="77777777" w:rsidR="003D712C" w:rsidRDefault="003D712C" w:rsidP="003D712C">
      <w:pPr>
        <w:tabs>
          <w:tab w:val="left" w:pos="810"/>
        </w:tabs>
        <w:ind w:left="720" w:hanging="720"/>
      </w:pPr>
    </w:p>
    <w:p w14:paraId="4AEB2182" w14:textId="77777777" w:rsidR="003D712C" w:rsidRPr="00224414" w:rsidRDefault="003D712C" w:rsidP="003D712C">
      <w:pPr>
        <w:tabs>
          <w:tab w:val="left" w:pos="810"/>
        </w:tabs>
        <w:ind w:left="720" w:hanging="720"/>
      </w:pPr>
      <w:r w:rsidRPr="00224414">
        <w:t>Cutulle MA, McElroy JS, Millwood RW, Sorochan JC, and Stewart CN Jr (2009).  Selection of bioassay method influences detection of annual bluegrass resistance to mitotic-inhibiting herbicides. Crop Sci. 49:1088-1095</w:t>
      </w:r>
    </w:p>
    <w:p w14:paraId="39715D61" w14:textId="77777777" w:rsidR="003D712C" w:rsidRPr="00224414" w:rsidRDefault="003D712C" w:rsidP="003D712C">
      <w:pPr>
        <w:tabs>
          <w:tab w:val="left" w:pos="810"/>
        </w:tabs>
        <w:ind w:left="720" w:hanging="720"/>
      </w:pPr>
    </w:p>
    <w:p w14:paraId="4D183452" w14:textId="77777777" w:rsidR="003D712C" w:rsidRDefault="003D712C" w:rsidP="003D712C">
      <w:pPr>
        <w:tabs>
          <w:tab w:val="left" w:pos="810"/>
        </w:tabs>
        <w:ind w:left="720" w:hanging="720"/>
      </w:pPr>
      <w:r>
        <w:t xml:space="preserve">Darmency H, Picard JC, Wang T (2011) Fitness costs linked to dinitroaniline resistance mutation in </w:t>
      </w:r>
      <w:r w:rsidRPr="00D95B3B">
        <w:rPr>
          <w:i/>
        </w:rPr>
        <w:t>Setaria.</w:t>
      </w:r>
      <w:r>
        <w:t xml:space="preserve"> Heredity 107:80–86</w:t>
      </w:r>
    </w:p>
    <w:p w14:paraId="349BFEB6" w14:textId="77777777" w:rsidR="003D712C" w:rsidRDefault="003D712C" w:rsidP="003D712C">
      <w:pPr>
        <w:tabs>
          <w:tab w:val="left" w:pos="810"/>
        </w:tabs>
        <w:ind w:left="720" w:hanging="720"/>
      </w:pPr>
    </w:p>
    <w:p w14:paraId="0908F235" w14:textId="5BEF953A" w:rsidR="004B2670" w:rsidRDefault="004B2670" w:rsidP="004B2670">
      <w:pPr>
        <w:tabs>
          <w:tab w:val="left" w:pos="810"/>
        </w:tabs>
        <w:ind w:left="720" w:hanging="720"/>
      </w:pPr>
      <w:r w:rsidRPr="004B2670">
        <w:t>Eschenburg S, Healy ML, Priestman MA, Lushington GH, Schönbrunn E (2002) How the mutation glycine96 to alanine confers glyphosate insensitivity to 5-enolpyruvylshikimate-3-phosphate synthase from Escherichia coli. Planta 216:129–135</w:t>
      </w:r>
    </w:p>
    <w:p w14:paraId="6FC1CD4F" w14:textId="77777777" w:rsidR="004B2670" w:rsidRPr="004B2670" w:rsidRDefault="004B2670" w:rsidP="004B2670">
      <w:pPr>
        <w:tabs>
          <w:tab w:val="left" w:pos="810"/>
        </w:tabs>
        <w:ind w:left="720" w:hanging="720"/>
      </w:pPr>
    </w:p>
    <w:p w14:paraId="5F876C8C" w14:textId="229E18BC" w:rsidR="003D712C" w:rsidRPr="00224414" w:rsidRDefault="003D712C" w:rsidP="004B2670">
      <w:pPr>
        <w:tabs>
          <w:tab w:val="left" w:pos="810"/>
        </w:tabs>
        <w:ind w:left="720" w:hanging="720"/>
      </w:pPr>
      <w:r w:rsidRPr="00224414">
        <w:t xml:space="preserve">Ellis, W. M. 1973. The breeding system and variation in populations of </w:t>
      </w:r>
      <w:r w:rsidRPr="00224414">
        <w:rPr>
          <w:i/>
        </w:rPr>
        <w:t>Poa annua</w:t>
      </w:r>
      <w:r w:rsidRPr="00224414">
        <w:t xml:space="preserve"> L. Evolution. 27:656-662</w:t>
      </w:r>
    </w:p>
    <w:p w14:paraId="695C2E4B" w14:textId="77777777" w:rsidR="003D712C" w:rsidRPr="00224414" w:rsidRDefault="003D712C" w:rsidP="003D712C">
      <w:pPr>
        <w:tabs>
          <w:tab w:val="left" w:pos="810"/>
        </w:tabs>
        <w:ind w:left="720" w:hanging="720"/>
      </w:pPr>
    </w:p>
    <w:p w14:paraId="1E0AB970" w14:textId="38C426AE" w:rsidR="004B2670" w:rsidRDefault="004B2670" w:rsidP="004B2670">
      <w:pPr>
        <w:tabs>
          <w:tab w:val="left" w:pos="810"/>
        </w:tabs>
        <w:ind w:left="720" w:hanging="720"/>
      </w:pPr>
      <w:r w:rsidRPr="004B2670">
        <w:t>Funke T, Yang Y, Han H, Healy-Fried M, Olesen S, Becker A, Schönbrunn E (2009) Structural</w:t>
      </w:r>
      <w:r>
        <w:t xml:space="preserve"> </w:t>
      </w:r>
      <w:r w:rsidRPr="004B2670">
        <w:t>basis of glyphosate resistance resulting from the double mutation Thr197 → Ile and Pro101 → Ser in 5-enolpyruvylshikimate-3-phosphate synthase from Escherichia coli. J Biol Chem 284:9854–9860</w:t>
      </w:r>
    </w:p>
    <w:p w14:paraId="339D2112" w14:textId="77777777" w:rsidR="004B2670" w:rsidRPr="004B2670" w:rsidRDefault="004B2670" w:rsidP="004B2670">
      <w:pPr>
        <w:tabs>
          <w:tab w:val="left" w:pos="810"/>
        </w:tabs>
        <w:ind w:left="720" w:hanging="720"/>
      </w:pPr>
    </w:p>
    <w:p w14:paraId="1068E19E" w14:textId="2627A5DC" w:rsidR="003D712C" w:rsidRPr="00224414" w:rsidRDefault="003D712C" w:rsidP="004B2670">
      <w:pPr>
        <w:tabs>
          <w:tab w:val="left" w:pos="810"/>
        </w:tabs>
        <w:ind w:left="720" w:hanging="720"/>
      </w:pPr>
      <w:r w:rsidRPr="00224414">
        <w:t>Gressel J, Levy A (2006) Agriculture: the selector of improbable mutations. Proc. Natl. Acad. Sci. 103:12215–12216</w:t>
      </w:r>
    </w:p>
    <w:p w14:paraId="22A4333B" w14:textId="77777777" w:rsidR="003D712C" w:rsidRPr="00224414" w:rsidRDefault="003D712C" w:rsidP="003D712C">
      <w:pPr>
        <w:tabs>
          <w:tab w:val="left" w:pos="810"/>
        </w:tabs>
        <w:ind w:left="720" w:hanging="720"/>
      </w:pPr>
    </w:p>
    <w:p w14:paraId="104E2731" w14:textId="68E8F03C" w:rsidR="003D712C" w:rsidRPr="00224414" w:rsidRDefault="003D712C" w:rsidP="003D712C">
      <w:pPr>
        <w:tabs>
          <w:tab w:val="left" w:pos="810"/>
        </w:tabs>
        <w:ind w:left="720" w:hanging="720"/>
      </w:pPr>
      <w:r w:rsidRPr="00224414">
        <w:t>Heap I (</w:t>
      </w:r>
      <w:r w:rsidR="0044726E" w:rsidRPr="00224414">
        <w:t>201</w:t>
      </w:r>
      <w:r w:rsidR="0044726E">
        <w:t>5</w:t>
      </w:r>
      <w:r w:rsidRPr="00224414">
        <w:t xml:space="preserve">) International survey of herbicide resistant weeds. http://www.weedscience.org. Accessed: 30 </w:t>
      </w:r>
      <w:r w:rsidR="0044726E" w:rsidRPr="00224414">
        <w:t>Ju</w:t>
      </w:r>
      <w:r w:rsidR="0044726E">
        <w:t>ly</w:t>
      </w:r>
      <w:r w:rsidR="0044726E" w:rsidRPr="00224414">
        <w:t xml:space="preserve"> 201</w:t>
      </w:r>
      <w:r w:rsidR="0044726E">
        <w:t>5</w:t>
      </w:r>
    </w:p>
    <w:p w14:paraId="21424497" w14:textId="77777777" w:rsidR="003D712C" w:rsidRDefault="003D712C" w:rsidP="003D712C">
      <w:pPr>
        <w:tabs>
          <w:tab w:val="left" w:pos="810"/>
        </w:tabs>
        <w:ind w:left="720" w:hanging="720"/>
      </w:pPr>
    </w:p>
    <w:p w14:paraId="064E1AC4" w14:textId="77777777" w:rsidR="003D712C" w:rsidRPr="00164E5D" w:rsidRDefault="003D712C" w:rsidP="003D712C">
      <w:pPr>
        <w:tabs>
          <w:tab w:val="left" w:pos="810"/>
        </w:tabs>
        <w:ind w:left="720" w:hanging="720"/>
        <w:rPr>
          <w:rFonts w:eastAsia="?????? Pro W3"/>
        </w:rPr>
      </w:pPr>
      <w:r>
        <w:rPr>
          <w:rStyle w:val="bodychar"/>
          <w:rFonts w:eastAsia="?????? Pro W3"/>
        </w:rPr>
        <w:t xml:space="preserve">Hoagland DR, and </w:t>
      </w:r>
      <w:r w:rsidRPr="00164E5D">
        <w:rPr>
          <w:rStyle w:val="bodychar"/>
          <w:rFonts w:eastAsia="?????? Pro W3"/>
        </w:rPr>
        <w:t xml:space="preserve">Arnon </w:t>
      </w:r>
      <w:r>
        <w:rPr>
          <w:rStyle w:val="bodychar"/>
          <w:rFonts w:eastAsia="?????? Pro W3"/>
        </w:rPr>
        <w:t xml:space="preserve">DI (1950) The water culture method for growing plants without </w:t>
      </w:r>
      <w:r w:rsidRPr="00164E5D">
        <w:rPr>
          <w:rStyle w:val="bodychar"/>
          <w:rFonts w:eastAsia="?????? Pro W3"/>
        </w:rPr>
        <w:t>soil. Circ. 347. California Agric.</w:t>
      </w:r>
      <w:r>
        <w:rPr>
          <w:rStyle w:val="bodychar"/>
          <w:rFonts w:eastAsia="?????? Pro W3"/>
        </w:rPr>
        <w:t xml:space="preserve"> </w:t>
      </w:r>
      <w:r w:rsidRPr="00164E5D">
        <w:rPr>
          <w:rStyle w:val="bodychar"/>
          <w:rFonts w:eastAsia="?????? Pro W3"/>
        </w:rPr>
        <w:t>Exp. Stn., Berkeley, CA</w:t>
      </w:r>
    </w:p>
    <w:p w14:paraId="7D6596BC" w14:textId="77777777" w:rsidR="003D712C" w:rsidRDefault="003D712C" w:rsidP="003D712C">
      <w:pPr>
        <w:tabs>
          <w:tab w:val="left" w:pos="810"/>
        </w:tabs>
        <w:ind w:left="720" w:hanging="720"/>
      </w:pPr>
    </w:p>
    <w:p w14:paraId="3D5499B7" w14:textId="77777777" w:rsidR="003D712C" w:rsidRPr="00224414" w:rsidRDefault="003D712C" w:rsidP="003D712C">
      <w:pPr>
        <w:tabs>
          <w:tab w:val="left" w:pos="810"/>
        </w:tabs>
        <w:ind w:left="720" w:hanging="720"/>
      </w:pPr>
      <w:r w:rsidRPr="00224414">
        <w:t>Isgrigg J III, Yelverton FH, Brownie C, and Warren LS Jr. (2002) Dinitroaniline resistant annual bluegrass in North Carolina. Weed Sci. 50:86-90</w:t>
      </w:r>
    </w:p>
    <w:p w14:paraId="7199DF37" w14:textId="77777777" w:rsidR="003D712C" w:rsidRPr="00224414" w:rsidRDefault="003D712C" w:rsidP="003D712C">
      <w:pPr>
        <w:tabs>
          <w:tab w:val="left" w:pos="810"/>
        </w:tabs>
        <w:ind w:left="720" w:hanging="720"/>
      </w:pPr>
    </w:p>
    <w:p w14:paraId="371523BD" w14:textId="77777777" w:rsidR="003D712C" w:rsidRPr="00224414" w:rsidRDefault="003D712C" w:rsidP="003D712C">
      <w:pPr>
        <w:tabs>
          <w:tab w:val="left" w:pos="810"/>
        </w:tabs>
        <w:ind w:left="720" w:hanging="720"/>
      </w:pPr>
      <w:r w:rsidRPr="00224414">
        <w:t>Kelly ST, Coats GE, Luthe DS (1999) Mode of resistance of triazine-resistant annual bluegrass (</w:t>
      </w:r>
      <w:r w:rsidRPr="00224414">
        <w:rPr>
          <w:i/>
        </w:rPr>
        <w:t>Poa annua</w:t>
      </w:r>
      <w:r w:rsidRPr="00224414">
        <w:t>). Weed Tech. 13:747-752</w:t>
      </w:r>
    </w:p>
    <w:p w14:paraId="14FECC26" w14:textId="39249734" w:rsidR="005B58DC" w:rsidRDefault="005B58DC" w:rsidP="005B58DC">
      <w:pPr>
        <w:tabs>
          <w:tab w:val="left" w:pos="810"/>
        </w:tabs>
        <w:ind w:left="720" w:hanging="720"/>
      </w:pPr>
    </w:p>
    <w:p w14:paraId="078CB2FD" w14:textId="12F930E2" w:rsidR="00DB54C1" w:rsidRDefault="00DB54C1" w:rsidP="005B58DC">
      <w:pPr>
        <w:tabs>
          <w:tab w:val="left" w:pos="810"/>
        </w:tabs>
        <w:ind w:left="720" w:hanging="720"/>
      </w:pPr>
      <w:r>
        <w:t>Mannlerof M, Tuvesson S, Steen P, and Tenning P (1997)</w:t>
      </w:r>
      <w:r w:rsidRPr="00DB54C1">
        <w:t xml:space="preserve"> Transgenic</w:t>
      </w:r>
      <w:r>
        <w:t xml:space="preserve"> S</w:t>
      </w:r>
      <w:r w:rsidRPr="00DB54C1">
        <w:t>ugar beet tolerant to glyphosate. Euphytica</w:t>
      </w:r>
      <w:r>
        <w:t xml:space="preserve"> 94:</w:t>
      </w:r>
      <w:r w:rsidRPr="00DB54C1">
        <w:t>83-91</w:t>
      </w:r>
    </w:p>
    <w:p w14:paraId="0D8290A5" w14:textId="77777777" w:rsidR="00DB54C1" w:rsidRDefault="00DB54C1" w:rsidP="00DB54C1">
      <w:pPr>
        <w:tabs>
          <w:tab w:val="left" w:pos="810"/>
        </w:tabs>
        <w:ind w:left="720" w:hanging="720"/>
      </w:pPr>
    </w:p>
    <w:p w14:paraId="09A29E7E" w14:textId="3BBB5519" w:rsidR="003D712C" w:rsidRPr="00224414" w:rsidRDefault="003D712C" w:rsidP="00DB54C1">
      <w:pPr>
        <w:tabs>
          <w:tab w:val="left" w:pos="810"/>
        </w:tabs>
        <w:ind w:left="720" w:hanging="720"/>
      </w:pPr>
      <w:r w:rsidRPr="00224414">
        <w:t>McElroy JS, Flessner ML, Wang ZY, Dane F, Walker RH, Wehtje GR (</w:t>
      </w:r>
      <w:r w:rsidRPr="00224414">
        <w:rPr>
          <w:bCs/>
        </w:rPr>
        <w:t>2013) A Trp</w:t>
      </w:r>
      <w:r w:rsidRPr="00224414">
        <w:rPr>
          <w:bCs/>
          <w:vertAlign w:val="subscript"/>
        </w:rPr>
        <w:t>574</w:t>
      </w:r>
      <w:r w:rsidRPr="00224414">
        <w:rPr>
          <w:bCs/>
        </w:rPr>
        <w:t xml:space="preserve"> to leu amino acid substitution in the ALS gene of annual bluegrass (</w:t>
      </w:r>
      <w:r w:rsidRPr="00224414">
        <w:rPr>
          <w:bCs/>
          <w:i/>
          <w:iCs/>
        </w:rPr>
        <w:t>Poa annua</w:t>
      </w:r>
      <w:r w:rsidRPr="00224414">
        <w:rPr>
          <w:bCs/>
        </w:rPr>
        <w:t xml:space="preserve">) is associated with resistance to ALS-inhibiting herbicides. </w:t>
      </w:r>
      <w:r w:rsidRPr="00224414">
        <w:rPr>
          <w:iCs/>
        </w:rPr>
        <w:t>Weed Sci.</w:t>
      </w:r>
      <w:r w:rsidRPr="00224414">
        <w:rPr>
          <w:i/>
          <w:iCs/>
        </w:rPr>
        <w:t xml:space="preserve"> </w:t>
      </w:r>
      <w:r w:rsidRPr="00224414">
        <w:t>61:21-25</w:t>
      </w:r>
    </w:p>
    <w:p w14:paraId="0803B78D" w14:textId="77777777" w:rsidR="00906D47" w:rsidRDefault="00906D47" w:rsidP="00906D47">
      <w:pPr>
        <w:tabs>
          <w:tab w:val="left" w:pos="810"/>
        </w:tabs>
        <w:ind w:left="720" w:hanging="720"/>
      </w:pPr>
    </w:p>
    <w:p w14:paraId="17F75EFC" w14:textId="134007DA" w:rsidR="00906D47" w:rsidRPr="00906D47" w:rsidRDefault="00906D47" w:rsidP="00906D47">
      <w:pPr>
        <w:tabs>
          <w:tab w:val="left" w:pos="810"/>
        </w:tabs>
        <w:ind w:left="720" w:hanging="720"/>
      </w:pPr>
      <w:r w:rsidRPr="00906D47">
        <w:t>Mohseni-Moghadam</w:t>
      </w:r>
      <w:r>
        <w:t xml:space="preserve"> M</w:t>
      </w:r>
      <w:r w:rsidRPr="00906D47">
        <w:t>, Schroeder</w:t>
      </w:r>
      <w:r>
        <w:t xml:space="preserve"> J</w:t>
      </w:r>
      <w:r w:rsidRPr="00906D47">
        <w:t>, and Ashigh</w:t>
      </w:r>
      <w:r>
        <w:t xml:space="preserve"> J (2013) </w:t>
      </w:r>
      <w:r w:rsidRPr="00906D47">
        <w:t>Mechanism of Resistance and Inheritance in Glyphosate Resistant Palmer amaranth (Amaranthus palmeri) Populations from New Mexico, USA</w:t>
      </w:r>
      <w:r>
        <w:t xml:space="preserve">. </w:t>
      </w:r>
      <w:r w:rsidRPr="00906D47">
        <w:t>Weed Sci</w:t>
      </w:r>
      <w:r>
        <w:t xml:space="preserve">. </w:t>
      </w:r>
      <w:r w:rsidRPr="00906D47">
        <w:t>61:517–525</w:t>
      </w:r>
    </w:p>
    <w:p w14:paraId="3EA6ED9D" w14:textId="77777777" w:rsidR="003D712C" w:rsidRDefault="003D712C" w:rsidP="003D712C">
      <w:pPr>
        <w:tabs>
          <w:tab w:val="left" w:pos="810"/>
        </w:tabs>
        <w:ind w:left="720" w:hanging="720"/>
      </w:pPr>
    </w:p>
    <w:p w14:paraId="5955799A" w14:textId="7CD4FE6D" w:rsidR="00766732" w:rsidRDefault="00766732" w:rsidP="003D712C">
      <w:pPr>
        <w:tabs>
          <w:tab w:val="left" w:pos="810"/>
        </w:tabs>
        <w:ind w:left="720" w:hanging="720"/>
        <w:rPr>
          <w:rFonts w:eastAsiaTheme="minorHAnsi"/>
        </w:rPr>
      </w:pPr>
      <w:r w:rsidRPr="00766732">
        <w:rPr>
          <w:rFonts w:eastAsiaTheme="minorHAnsi"/>
        </w:rPr>
        <w:t>Morrissette NS, Mitra A, Sept D, Sibley LD (2004) Dinitroanilines bind α-tubulin to disrupt microtubules. Mol Biol Cell 15(4):1960–1968</w:t>
      </w:r>
    </w:p>
    <w:p w14:paraId="3685529B" w14:textId="77777777" w:rsidR="00906D47" w:rsidRDefault="00906D47" w:rsidP="003D712C">
      <w:pPr>
        <w:tabs>
          <w:tab w:val="left" w:pos="810"/>
        </w:tabs>
        <w:ind w:left="720" w:hanging="720"/>
      </w:pPr>
    </w:p>
    <w:p w14:paraId="67A52F21" w14:textId="7E2843DE" w:rsidR="00A90682" w:rsidRDefault="00A90682" w:rsidP="00A90682">
      <w:pPr>
        <w:tabs>
          <w:tab w:val="left" w:pos="810"/>
        </w:tabs>
        <w:ind w:left="720" w:hanging="720"/>
      </w:pPr>
      <w:r w:rsidRPr="00A90682">
        <w:t>Mueller</w:t>
      </w:r>
      <w:r>
        <w:t xml:space="preserve"> TC, </w:t>
      </w:r>
      <w:r w:rsidRPr="00A90682">
        <w:t>Barnett</w:t>
      </w:r>
      <w:r>
        <w:t xml:space="preserve"> KA, </w:t>
      </w:r>
      <w:r w:rsidRPr="00A90682">
        <w:t>Brosnan</w:t>
      </w:r>
      <w:r>
        <w:t xml:space="preserve"> JT</w:t>
      </w:r>
      <w:r w:rsidRPr="00A90682">
        <w:t>, and Steckel</w:t>
      </w:r>
      <w:r>
        <w:t xml:space="preserve"> LE (2011)</w:t>
      </w:r>
      <w:r w:rsidRPr="00A90682">
        <w:rPr>
          <w:rFonts w:ascii="Times New Roman" w:hAnsi="Times New Roman" w:cs="Times New Roman"/>
          <w:sz w:val="29"/>
          <w:szCs w:val="29"/>
        </w:rPr>
        <w:t xml:space="preserve"> </w:t>
      </w:r>
      <w:r w:rsidRPr="00A90682">
        <w:t>Glyphosate-Resistant Goosegrass (</w:t>
      </w:r>
      <w:r w:rsidRPr="00A90682">
        <w:rPr>
          <w:i/>
        </w:rPr>
        <w:t>Eleusine indica</w:t>
      </w:r>
      <w:r w:rsidRPr="00A90682">
        <w:t>) Confirmed in Tennessee</w:t>
      </w:r>
      <w:r>
        <w:t>.</w:t>
      </w:r>
      <w:r w:rsidRPr="00A90682">
        <w:rPr>
          <w:rFonts w:ascii="Times New Roman" w:hAnsi="Times New Roman" w:cs="Times New Roman"/>
        </w:rPr>
        <w:t xml:space="preserve"> </w:t>
      </w:r>
      <w:r>
        <w:t>Weed Sci. 59(4):562-566</w:t>
      </w:r>
    </w:p>
    <w:p w14:paraId="470DFA07" w14:textId="77777777" w:rsidR="00A90682" w:rsidRDefault="00A90682" w:rsidP="00A90682">
      <w:pPr>
        <w:tabs>
          <w:tab w:val="left" w:pos="810"/>
        </w:tabs>
        <w:ind w:left="720" w:hanging="720"/>
      </w:pPr>
    </w:p>
    <w:p w14:paraId="24F66F76" w14:textId="3F27009B" w:rsidR="003D712C" w:rsidRPr="00224414" w:rsidRDefault="003D712C" w:rsidP="003D712C">
      <w:pPr>
        <w:tabs>
          <w:tab w:val="left" w:pos="810"/>
        </w:tabs>
        <w:ind w:left="720" w:hanging="720"/>
      </w:pPr>
      <w:r>
        <w:t>Mueller TC, Ellis</w:t>
      </w:r>
      <w:r w:rsidRPr="00EB530E">
        <w:t xml:space="preserve"> </w:t>
      </w:r>
      <w:r>
        <w:t>AT, Beeler</w:t>
      </w:r>
      <w:r w:rsidRPr="00EB530E">
        <w:t xml:space="preserve"> </w:t>
      </w:r>
      <w:r>
        <w:t>JE, Sharma</w:t>
      </w:r>
      <w:r w:rsidRPr="00EB530E">
        <w:t xml:space="preserve"> </w:t>
      </w:r>
      <w:r>
        <w:t>SD, and Singh</w:t>
      </w:r>
      <w:r w:rsidRPr="00EB530E">
        <w:t xml:space="preserve"> </w:t>
      </w:r>
      <w:r>
        <w:t>M (2008) Shikimate accumulation in nine weedy species following glyphosate application. Weed Res. 48:455–460</w:t>
      </w:r>
    </w:p>
    <w:p w14:paraId="1D1ECA07" w14:textId="77777777" w:rsidR="003D712C" w:rsidRDefault="003D712C" w:rsidP="003D712C">
      <w:pPr>
        <w:tabs>
          <w:tab w:val="left" w:pos="810"/>
        </w:tabs>
        <w:ind w:left="720" w:hanging="720"/>
      </w:pPr>
    </w:p>
    <w:p w14:paraId="41391EF2" w14:textId="44140CF7" w:rsidR="003D712C" w:rsidRPr="00224414" w:rsidRDefault="003D712C" w:rsidP="003D712C">
      <w:pPr>
        <w:tabs>
          <w:tab w:val="left" w:pos="810"/>
        </w:tabs>
        <w:ind w:left="720" w:hanging="720"/>
      </w:pPr>
      <w:r w:rsidRPr="00224414">
        <w:t>Mueller TC, Massey JH, Hayes RM, Main CL &amp; Stewart CN (2003) Shikimate accumulates in both glyphosate</w:t>
      </w:r>
      <w:r w:rsidR="00396B51">
        <w:t>-</w:t>
      </w:r>
      <w:r w:rsidRPr="00224414">
        <w:t>sensitive and glyphosate-resistant horseweed (Conyza canadensis L Cronq.). J. Agric. Food Chem. 51:680–684</w:t>
      </w:r>
    </w:p>
    <w:p w14:paraId="476510CA" w14:textId="77777777" w:rsidR="003D712C" w:rsidRPr="00224414" w:rsidRDefault="003D712C" w:rsidP="003D712C">
      <w:pPr>
        <w:tabs>
          <w:tab w:val="left" w:pos="810"/>
        </w:tabs>
        <w:ind w:left="720" w:hanging="720"/>
      </w:pPr>
    </w:p>
    <w:p w14:paraId="0B41FE49" w14:textId="499049A8" w:rsidR="003D712C" w:rsidRPr="00224414" w:rsidRDefault="003D712C" w:rsidP="003D712C">
      <w:pPr>
        <w:tabs>
          <w:tab w:val="left" w:pos="810"/>
        </w:tabs>
        <w:ind w:left="720" w:hanging="720"/>
      </w:pPr>
      <w:r w:rsidRPr="00224414">
        <w:t>Perry DH, McElroy JS, Dane F, van Santen E, and Walker RH (2012) Triazine-Resistant Annual Bluegrass (Poa annua) Populations with Ser264 Mutation Are Resistant to Amicarbazone. Weed Sci. 60:355-359</w:t>
      </w:r>
    </w:p>
    <w:p w14:paraId="7DC4F562" w14:textId="77777777" w:rsidR="003D712C" w:rsidRDefault="003D712C" w:rsidP="003D712C">
      <w:pPr>
        <w:tabs>
          <w:tab w:val="left" w:pos="810"/>
        </w:tabs>
        <w:ind w:left="720" w:hanging="720"/>
      </w:pPr>
    </w:p>
    <w:p w14:paraId="080699A8" w14:textId="77777777" w:rsidR="003D712C" w:rsidRDefault="003D712C" w:rsidP="003D712C">
      <w:pPr>
        <w:tabs>
          <w:tab w:val="left" w:pos="810"/>
        </w:tabs>
        <w:ind w:left="720" w:hanging="720"/>
      </w:pPr>
      <w:r w:rsidRPr="00471760">
        <w:t>Pline-Srnic</w:t>
      </w:r>
      <w:r>
        <w:t xml:space="preserve"> W (2006) </w:t>
      </w:r>
      <w:r w:rsidRPr="00471760">
        <w:t>Physiological Mechanisms of Glyphosate Resistance</w:t>
      </w:r>
      <w:r>
        <w:t>. Weed Technol. 20:</w:t>
      </w:r>
      <w:r w:rsidRPr="00471760">
        <w:t>290-300</w:t>
      </w:r>
    </w:p>
    <w:p w14:paraId="004168A0" w14:textId="77777777" w:rsidR="003D712C" w:rsidRPr="00224414" w:rsidRDefault="003D712C" w:rsidP="003D712C">
      <w:pPr>
        <w:tabs>
          <w:tab w:val="left" w:pos="810"/>
        </w:tabs>
        <w:ind w:left="720" w:hanging="720"/>
      </w:pPr>
    </w:p>
    <w:p w14:paraId="7597E605" w14:textId="77777777" w:rsidR="004B2670" w:rsidRDefault="004B2670" w:rsidP="004B2670">
      <w:pPr>
        <w:tabs>
          <w:tab w:val="left" w:pos="810"/>
        </w:tabs>
        <w:ind w:left="720" w:hanging="720"/>
      </w:pPr>
      <w:r w:rsidRPr="004B2670">
        <w:t>Powles SB, Yu Q (2010) Evolution in action: plants resistant to herbicides. Annu Rev Plant Biol 61:317-347</w:t>
      </w:r>
    </w:p>
    <w:p w14:paraId="6D950B83" w14:textId="77777777" w:rsidR="004B2670" w:rsidRPr="004B2670" w:rsidRDefault="004B2670" w:rsidP="004B2670">
      <w:pPr>
        <w:tabs>
          <w:tab w:val="left" w:pos="810"/>
        </w:tabs>
        <w:ind w:left="720" w:hanging="720"/>
      </w:pPr>
    </w:p>
    <w:p w14:paraId="68576424" w14:textId="5A12C049" w:rsidR="003D712C" w:rsidRPr="00224414" w:rsidRDefault="003D712C" w:rsidP="004B2670">
      <w:pPr>
        <w:tabs>
          <w:tab w:val="left" w:pos="810"/>
        </w:tabs>
        <w:ind w:left="720" w:hanging="720"/>
      </w:pPr>
      <w:r w:rsidRPr="00224414">
        <w:t xml:space="preserve">Saari LL, Cotterman JC, Thill DC (1994) Resistance to acetolactate synthase inhibiting herbicides. Pages 83–139 </w:t>
      </w:r>
      <w:r w:rsidRPr="00224414">
        <w:rPr>
          <w:i/>
        </w:rPr>
        <w:t>In</w:t>
      </w:r>
      <w:r w:rsidRPr="00224414">
        <w:t xml:space="preserve"> S. B. Powles and J.A.M. Holtum, eds. Herbicide Resistance in Plants: Biology and Biochemistry. Ann Arbor, MI: Lewis</w:t>
      </w:r>
    </w:p>
    <w:p w14:paraId="7BA9A4C0" w14:textId="77777777" w:rsidR="003D712C" w:rsidRDefault="003D712C" w:rsidP="003D712C">
      <w:pPr>
        <w:tabs>
          <w:tab w:val="left" w:pos="810"/>
        </w:tabs>
        <w:ind w:left="720" w:hanging="720"/>
      </w:pPr>
    </w:p>
    <w:p w14:paraId="33EF46E1" w14:textId="232C2042" w:rsidR="0045059C" w:rsidRPr="0045059C" w:rsidRDefault="0045059C" w:rsidP="0045059C">
      <w:pPr>
        <w:tabs>
          <w:tab w:val="left" w:pos="810"/>
        </w:tabs>
        <w:ind w:left="720" w:hanging="720"/>
      </w:pPr>
      <w:r w:rsidRPr="0045059C">
        <w:t>Sammons DR, Gaines TA (2014) Glyphosate resistance: state of knowled</w:t>
      </w:r>
      <w:r>
        <w:t>ge. Pest Manag Sci 70:1367–1377</w:t>
      </w:r>
    </w:p>
    <w:p w14:paraId="6224FB02" w14:textId="77777777" w:rsidR="0045059C" w:rsidRPr="00224414" w:rsidRDefault="0045059C" w:rsidP="003D712C">
      <w:pPr>
        <w:tabs>
          <w:tab w:val="left" w:pos="810"/>
        </w:tabs>
        <w:ind w:left="720" w:hanging="720"/>
      </w:pPr>
    </w:p>
    <w:p w14:paraId="362242A7" w14:textId="77777777" w:rsidR="003D712C" w:rsidRPr="00224414" w:rsidRDefault="003D712C" w:rsidP="003D712C">
      <w:pPr>
        <w:tabs>
          <w:tab w:val="left" w:pos="810"/>
        </w:tabs>
        <w:ind w:left="720" w:hanging="720"/>
      </w:pPr>
      <w:r w:rsidRPr="00224414">
        <w:t>Shaner, DL (1991) Physiological effects of the imidazolinone herbicides. Pages 129–138 in D. L. Shaner and S. L. O’Connor, eds. The Imidazolinone Herbicides. Ann Arbor, MI: Lewis</w:t>
      </w:r>
    </w:p>
    <w:p w14:paraId="5B63BF88" w14:textId="77777777" w:rsidR="003D712C" w:rsidRPr="00224414" w:rsidRDefault="003D712C" w:rsidP="003D712C">
      <w:pPr>
        <w:tabs>
          <w:tab w:val="left" w:pos="810"/>
        </w:tabs>
        <w:ind w:left="720" w:hanging="720"/>
      </w:pPr>
    </w:p>
    <w:p w14:paraId="1CB7AD75" w14:textId="77777777" w:rsidR="003D712C" w:rsidRPr="00224414" w:rsidRDefault="003D712C" w:rsidP="003D712C">
      <w:pPr>
        <w:tabs>
          <w:tab w:val="left" w:pos="810"/>
        </w:tabs>
        <w:ind w:left="720" w:hanging="720"/>
      </w:pPr>
      <w:r w:rsidRPr="00224414">
        <w:t>Toler JE, Willis TG, Estes AG, and McCarty LB (2007) Postemergent Annual Bluegrass Control in Dormant Nonoverseeded Bermudagrass Turf. Hort. Sci. 42:670–672</w:t>
      </w:r>
    </w:p>
    <w:p w14:paraId="4D862E4E" w14:textId="77777777" w:rsidR="003D712C" w:rsidRPr="00224414" w:rsidRDefault="003D712C" w:rsidP="003D712C">
      <w:pPr>
        <w:tabs>
          <w:tab w:val="left" w:pos="810"/>
        </w:tabs>
        <w:ind w:left="720" w:hanging="720"/>
      </w:pPr>
    </w:p>
    <w:p w14:paraId="2FAB4725" w14:textId="77777777" w:rsidR="003D712C" w:rsidRPr="00224414" w:rsidRDefault="003D712C" w:rsidP="003D712C">
      <w:pPr>
        <w:tabs>
          <w:tab w:val="left" w:pos="810"/>
        </w:tabs>
        <w:ind w:left="720" w:hanging="720"/>
      </w:pPr>
      <w:r w:rsidRPr="00224414">
        <w:t>Tranel PJ, Wright TR (2002) Resistance of weeds to ALS-inhibiting herbicides: what have we learned? Weed Sci. 50:700–712</w:t>
      </w:r>
    </w:p>
    <w:p w14:paraId="0531C399" w14:textId="77777777" w:rsidR="00842CA2" w:rsidRDefault="00842CA2" w:rsidP="003D712C">
      <w:pPr>
        <w:tabs>
          <w:tab w:val="left" w:pos="810"/>
        </w:tabs>
        <w:ind w:left="720" w:hanging="720"/>
      </w:pPr>
    </w:p>
    <w:p w14:paraId="03D2A10B" w14:textId="77777777" w:rsidR="003D712C" w:rsidRPr="00224414" w:rsidRDefault="003D712C" w:rsidP="003D712C">
      <w:pPr>
        <w:tabs>
          <w:tab w:val="left" w:pos="810"/>
        </w:tabs>
        <w:ind w:left="720" w:hanging="720"/>
      </w:pPr>
      <w:r w:rsidRPr="00224414">
        <w:t xml:space="preserve">Watschke TL, Long FW, Duich JM (1979) Control of </w:t>
      </w:r>
      <w:r w:rsidRPr="00224414">
        <w:rPr>
          <w:i/>
        </w:rPr>
        <w:t>Poa annua</w:t>
      </w:r>
      <w:r w:rsidRPr="00224414">
        <w:t xml:space="preserve"> by suppression of seedheads with growth regulators. Weed Sci. 27:224-231</w:t>
      </w:r>
    </w:p>
    <w:p w14:paraId="2E840BC1" w14:textId="77777777" w:rsidR="00236E6D" w:rsidRDefault="00236E6D" w:rsidP="008234C0">
      <w:pPr>
        <w:rPr>
          <w:b/>
          <w:bCs/>
          <w:sz w:val="28"/>
          <w:szCs w:val="28"/>
        </w:rPr>
      </w:pPr>
      <w:r>
        <w:br w:type="page"/>
      </w:r>
    </w:p>
    <w:p w14:paraId="1AC3B8F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19BAB0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BFC25F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34893E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25FAAD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B2AA9D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EC3825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D6D060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A8CDEA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946C20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A8D5449" w14:textId="77777777" w:rsidR="00236E6D" w:rsidRDefault="00236E6D" w:rsidP="000166A9">
      <w:pPr>
        <w:pStyle w:val="StyleHeading1Centered"/>
      </w:pPr>
      <w:bookmarkStart w:id="39" w:name="_Toc299892317"/>
      <w:bookmarkStart w:id="40" w:name="_Toc308873613"/>
      <w:r>
        <w:t>APPENDIX</w:t>
      </w:r>
      <w:bookmarkEnd w:id="39"/>
      <w:bookmarkEnd w:id="40"/>
    </w:p>
    <w:p w14:paraId="08398DD8" w14:textId="275D5EA3" w:rsidR="00210602" w:rsidRDefault="001421A6" w:rsidP="00B962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br w:type="page"/>
      </w:r>
    </w:p>
    <w:p w14:paraId="10B498C3" w14:textId="4C9012E8" w:rsidR="00507764" w:rsidRDefault="001421A6" w:rsidP="00D03E81">
      <w:pPr>
        <w:pStyle w:val="TableHeading"/>
      </w:pPr>
      <w:bookmarkStart w:id="41" w:name="_Toc294189063"/>
      <w:bookmarkStart w:id="42" w:name="_Toc294190603"/>
      <w:bookmarkStart w:id="43" w:name="_Toc294435767"/>
      <w:bookmarkStart w:id="44" w:name="_Toc294635522"/>
      <w:bookmarkStart w:id="45" w:name="_Toc299892318"/>
      <w:bookmarkStart w:id="46" w:name="_Toc301519639"/>
      <w:bookmarkStart w:id="47" w:name="_Toc301775827"/>
      <w:bookmarkStart w:id="48" w:name="_Toc301776053"/>
      <w:bookmarkStart w:id="49" w:name="_Toc308873614"/>
      <w:r w:rsidRPr="000F2351">
        <w:t>Table 1. Response of annual bluegrass (</w:t>
      </w:r>
      <w:r w:rsidRPr="00184453">
        <w:rPr>
          <w:i/>
        </w:rPr>
        <w:t>Poa annua</w:t>
      </w:r>
      <w:r w:rsidRPr="000F2351">
        <w:t xml:space="preserve"> L.) biotypes harvested from Lambert Acres Golf Club (Alcoa</w:t>
      </w:r>
      <w:r w:rsidR="001B7A90">
        <w:t>, TN</w:t>
      </w:r>
      <w:r w:rsidRPr="000F2351">
        <w:t>) to applications of glyphosate at 840 g ha</w:t>
      </w:r>
      <w:r w:rsidRPr="00184453">
        <w:rPr>
          <w:vertAlign w:val="superscript"/>
        </w:rPr>
        <w:t>-1</w:t>
      </w:r>
      <w:r w:rsidRPr="000F2351">
        <w:t xml:space="preserve"> and exposure to prodiamine at 0.04 mM in hydroponic culture during April 2014</w:t>
      </w:r>
      <w:bookmarkEnd w:id="41"/>
      <w:r w:rsidRPr="000F2351">
        <w:t xml:space="preserve"> in a glasshouse at the University of Tennessee (Knoxville, TN).</w:t>
      </w:r>
      <w:bookmarkEnd w:id="42"/>
      <w:bookmarkEnd w:id="43"/>
      <w:bookmarkEnd w:id="44"/>
      <w:bookmarkEnd w:id="45"/>
      <w:bookmarkEnd w:id="46"/>
      <w:bookmarkEnd w:id="47"/>
      <w:bookmarkEnd w:id="48"/>
      <w:bookmarkEnd w:id="49"/>
    </w:p>
    <w:tbl>
      <w:tblPr>
        <w:tblStyle w:val="TableGrid"/>
        <w:tblpPr w:leftFromText="180" w:rightFromText="180" w:vertAnchor="page" w:horzAnchor="page" w:tblpX="1549" w:tblpY="3781"/>
        <w:tblW w:w="0" w:type="auto"/>
        <w:tblLook w:val="04A0" w:firstRow="1" w:lastRow="0" w:firstColumn="1" w:lastColumn="0" w:noHBand="0" w:noVBand="1"/>
      </w:tblPr>
      <w:tblGrid>
        <w:gridCol w:w="2718"/>
        <w:gridCol w:w="2790"/>
        <w:gridCol w:w="2790"/>
        <w:gridCol w:w="1278"/>
      </w:tblGrid>
      <w:tr w:rsidR="001B7A90" w:rsidRPr="00C72B51" w14:paraId="3A4ABEEE" w14:textId="77777777" w:rsidTr="001B7A90">
        <w:trPr>
          <w:trHeight w:val="1104"/>
        </w:trPr>
        <w:tc>
          <w:tcPr>
            <w:tcW w:w="2718" w:type="dxa"/>
            <w:vAlign w:val="bottom"/>
          </w:tcPr>
          <w:p w14:paraId="2D0E1CEC" w14:textId="058CFDAB" w:rsidR="001B7A90" w:rsidRPr="00794307" w:rsidRDefault="001B7A90" w:rsidP="001B7A90">
            <w:pPr>
              <w:spacing w:line="480" w:lineRule="auto"/>
              <w:jc w:val="center"/>
              <w:rPr>
                <w:rFonts w:ascii="Arial" w:hAnsi="Arial" w:cs="Arial"/>
              </w:rPr>
            </w:pPr>
          </w:p>
        </w:tc>
        <w:tc>
          <w:tcPr>
            <w:tcW w:w="2790" w:type="dxa"/>
            <w:vAlign w:val="bottom"/>
          </w:tcPr>
          <w:p w14:paraId="11784F6C" w14:textId="77777777" w:rsidR="001B7A90" w:rsidRPr="00794307" w:rsidRDefault="001B7A90" w:rsidP="001B7A90">
            <w:pPr>
              <w:spacing w:line="480" w:lineRule="auto"/>
              <w:ind w:left="720" w:hanging="720"/>
              <w:jc w:val="center"/>
              <w:rPr>
                <w:rFonts w:ascii="Arial" w:hAnsi="Arial" w:cs="Arial"/>
                <w:b/>
              </w:rPr>
            </w:pPr>
            <w:r w:rsidRPr="00794307">
              <w:rPr>
                <w:rFonts w:ascii="Arial" w:hAnsi="Arial" w:cs="Arial"/>
                <w:b/>
              </w:rPr>
              <w:t>Prodiamine Resistant</w:t>
            </w:r>
            <w:r w:rsidRPr="00794307">
              <w:rPr>
                <w:rFonts w:ascii="Arial" w:hAnsi="Arial" w:cs="Arial"/>
                <w:b/>
                <w:vertAlign w:val="superscript"/>
              </w:rPr>
              <w:t>†</w:t>
            </w:r>
          </w:p>
        </w:tc>
        <w:tc>
          <w:tcPr>
            <w:tcW w:w="2790" w:type="dxa"/>
            <w:vAlign w:val="bottom"/>
          </w:tcPr>
          <w:p w14:paraId="4F8B92DD" w14:textId="77777777" w:rsidR="001B7A90" w:rsidRPr="00794307" w:rsidRDefault="001B7A90" w:rsidP="001B7A90">
            <w:pPr>
              <w:tabs>
                <w:tab w:val="center" w:pos="4680"/>
                <w:tab w:val="right" w:pos="9360"/>
              </w:tabs>
              <w:spacing w:line="480" w:lineRule="auto"/>
              <w:jc w:val="center"/>
              <w:rPr>
                <w:rFonts w:ascii="Arial" w:hAnsi="Arial" w:cs="Arial"/>
                <w:b/>
              </w:rPr>
            </w:pPr>
            <w:r w:rsidRPr="00794307">
              <w:rPr>
                <w:rFonts w:ascii="Arial" w:hAnsi="Arial" w:cs="Arial"/>
                <w:b/>
              </w:rPr>
              <w:t>Prodiamine Susceptible</w:t>
            </w:r>
          </w:p>
        </w:tc>
        <w:tc>
          <w:tcPr>
            <w:tcW w:w="1278" w:type="dxa"/>
            <w:vAlign w:val="bottom"/>
          </w:tcPr>
          <w:p w14:paraId="388DFDB4" w14:textId="77777777" w:rsidR="001B7A90" w:rsidRPr="00794307" w:rsidRDefault="001B7A90" w:rsidP="001B7A90">
            <w:pPr>
              <w:tabs>
                <w:tab w:val="center" w:pos="4680"/>
                <w:tab w:val="right" w:pos="9360"/>
              </w:tabs>
              <w:spacing w:line="480" w:lineRule="auto"/>
              <w:jc w:val="center"/>
              <w:rPr>
                <w:rFonts w:ascii="Arial" w:hAnsi="Arial" w:cs="Arial"/>
                <w:b/>
              </w:rPr>
            </w:pPr>
            <w:r w:rsidRPr="00794307">
              <w:rPr>
                <w:rFonts w:ascii="Arial" w:hAnsi="Arial" w:cs="Arial"/>
                <w:b/>
              </w:rPr>
              <w:t>Total</w:t>
            </w:r>
          </w:p>
        </w:tc>
      </w:tr>
      <w:tr w:rsidR="001B7A90" w:rsidRPr="00C72B51" w14:paraId="5042F442" w14:textId="77777777" w:rsidTr="001B7A90">
        <w:trPr>
          <w:trHeight w:val="1104"/>
        </w:trPr>
        <w:tc>
          <w:tcPr>
            <w:tcW w:w="2718" w:type="dxa"/>
            <w:vAlign w:val="bottom"/>
          </w:tcPr>
          <w:p w14:paraId="608B7073" w14:textId="77777777" w:rsidR="001B7A90" w:rsidRPr="00794307" w:rsidRDefault="001B7A90" w:rsidP="001B7A90">
            <w:pPr>
              <w:tabs>
                <w:tab w:val="center" w:pos="4680"/>
                <w:tab w:val="right" w:pos="9360"/>
              </w:tabs>
              <w:spacing w:line="480" w:lineRule="auto"/>
              <w:jc w:val="center"/>
              <w:rPr>
                <w:rFonts w:ascii="Arial" w:hAnsi="Arial" w:cs="Arial"/>
                <w:b/>
              </w:rPr>
            </w:pPr>
            <w:r w:rsidRPr="00794307">
              <w:rPr>
                <w:rFonts w:ascii="Arial" w:hAnsi="Arial" w:cs="Arial"/>
                <w:b/>
              </w:rPr>
              <w:t>Glyphosate Resistant</w:t>
            </w:r>
            <w:r w:rsidRPr="00794307">
              <w:rPr>
                <w:rFonts w:ascii="Arial" w:hAnsi="Arial" w:cs="Arial"/>
                <w:b/>
                <w:vertAlign w:val="superscript"/>
              </w:rPr>
              <w:t>‡</w:t>
            </w:r>
          </w:p>
        </w:tc>
        <w:tc>
          <w:tcPr>
            <w:tcW w:w="2790" w:type="dxa"/>
            <w:vAlign w:val="bottom"/>
          </w:tcPr>
          <w:p w14:paraId="6065CA43" w14:textId="77777777" w:rsidR="001B7A90" w:rsidRPr="00794307" w:rsidRDefault="001B7A90" w:rsidP="001B7A90">
            <w:pPr>
              <w:spacing w:line="480" w:lineRule="auto"/>
              <w:jc w:val="center"/>
              <w:rPr>
                <w:rFonts w:ascii="Arial" w:hAnsi="Arial" w:cs="Arial"/>
              </w:rPr>
            </w:pPr>
            <w:r w:rsidRPr="00794307">
              <w:rPr>
                <w:rFonts w:ascii="Arial" w:hAnsi="Arial" w:cs="Arial"/>
              </w:rPr>
              <w:t>81</w:t>
            </w:r>
          </w:p>
        </w:tc>
        <w:tc>
          <w:tcPr>
            <w:tcW w:w="2790" w:type="dxa"/>
            <w:vAlign w:val="bottom"/>
          </w:tcPr>
          <w:p w14:paraId="3C0D480D" w14:textId="77777777" w:rsidR="001B7A90" w:rsidRPr="00794307" w:rsidRDefault="001B7A90" w:rsidP="001B7A90">
            <w:pPr>
              <w:spacing w:line="480" w:lineRule="auto"/>
              <w:jc w:val="center"/>
              <w:rPr>
                <w:rFonts w:ascii="Arial" w:hAnsi="Arial" w:cs="Arial"/>
              </w:rPr>
            </w:pPr>
            <w:r w:rsidRPr="00794307">
              <w:rPr>
                <w:rFonts w:ascii="Arial" w:hAnsi="Arial" w:cs="Arial"/>
              </w:rPr>
              <w:t>15</w:t>
            </w:r>
          </w:p>
        </w:tc>
        <w:tc>
          <w:tcPr>
            <w:tcW w:w="1278" w:type="dxa"/>
            <w:vAlign w:val="bottom"/>
          </w:tcPr>
          <w:p w14:paraId="64920126" w14:textId="77777777" w:rsidR="001B7A90" w:rsidRPr="00794307" w:rsidRDefault="001B7A90" w:rsidP="001B7A90">
            <w:pPr>
              <w:spacing w:line="480" w:lineRule="auto"/>
              <w:jc w:val="center"/>
              <w:rPr>
                <w:rFonts w:ascii="Arial" w:hAnsi="Arial" w:cs="Arial"/>
              </w:rPr>
            </w:pPr>
            <w:r w:rsidRPr="00794307">
              <w:rPr>
                <w:rFonts w:ascii="Arial" w:hAnsi="Arial" w:cs="Arial"/>
              </w:rPr>
              <w:t>96</w:t>
            </w:r>
          </w:p>
        </w:tc>
      </w:tr>
      <w:tr w:rsidR="001B7A90" w:rsidRPr="00C72B51" w14:paraId="29370442" w14:textId="77777777" w:rsidTr="001B7A90">
        <w:trPr>
          <w:trHeight w:val="1104"/>
        </w:trPr>
        <w:tc>
          <w:tcPr>
            <w:tcW w:w="2718" w:type="dxa"/>
            <w:vAlign w:val="bottom"/>
          </w:tcPr>
          <w:p w14:paraId="33A15F92" w14:textId="77777777" w:rsidR="001B7A90" w:rsidRPr="00794307" w:rsidRDefault="001B7A90" w:rsidP="001B7A90">
            <w:pPr>
              <w:tabs>
                <w:tab w:val="center" w:pos="4680"/>
                <w:tab w:val="right" w:pos="9360"/>
              </w:tabs>
              <w:spacing w:line="480" w:lineRule="auto"/>
              <w:jc w:val="center"/>
              <w:rPr>
                <w:rFonts w:ascii="Arial" w:hAnsi="Arial" w:cs="Arial"/>
                <w:b/>
              </w:rPr>
            </w:pPr>
            <w:r w:rsidRPr="00794307">
              <w:rPr>
                <w:rFonts w:ascii="Arial" w:hAnsi="Arial" w:cs="Arial"/>
                <w:b/>
              </w:rPr>
              <w:t>Glyphosate Susceptible</w:t>
            </w:r>
          </w:p>
        </w:tc>
        <w:tc>
          <w:tcPr>
            <w:tcW w:w="2790" w:type="dxa"/>
            <w:vAlign w:val="bottom"/>
          </w:tcPr>
          <w:p w14:paraId="50DC247A" w14:textId="77777777" w:rsidR="001B7A90" w:rsidRPr="00794307" w:rsidRDefault="001B7A90" w:rsidP="001B7A90">
            <w:pPr>
              <w:spacing w:line="480" w:lineRule="auto"/>
              <w:jc w:val="center"/>
              <w:rPr>
                <w:rFonts w:ascii="Arial" w:hAnsi="Arial" w:cs="Arial"/>
              </w:rPr>
            </w:pPr>
            <w:r w:rsidRPr="00794307">
              <w:rPr>
                <w:rFonts w:ascii="Arial" w:hAnsi="Arial" w:cs="Arial"/>
              </w:rPr>
              <w:t>3</w:t>
            </w:r>
          </w:p>
        </w:tc>
        <w:tc>
          <w:tcPr>
            <w:tcW w:w="2790" w:type="dxa"/>
            <w:vAlign w:val="bottom"/>
          </w:tcPr>
          <w:p w14:paraId="28703E41" w14:textId="77777777" w:rsidR="001B7A90" w:rsidRPr="00794307" w:rsidRDefault="001B7A90" w:rsidP="001B7A90">
            <w:pPr>
              <w:spacing w:line="480" w:lineRule="auto"/>
              <w:jc w:val="center"/>
              <w:rPr>
                <w:rFonts w:ascii="Arial" w:hAnsi="Arial" w:cs="Arial"/>
              </w:rPr>
            </w:pPr>
            <w:r w:rsidRPr="00794307">
              <w:rPr>
                <w:rFonts w:ascii="Arial" w:hAnsi="Arial" w:cs="Arial"/>
              </w:rPr>
              <w:t>1</w:t>
            </w:r>
          </w:p>
        </w:tc>
        <w:tc>
          <w:tcPr>
            <w:tcW w:w="1278" w:type="dxa"/>
            <w:vAlign w:val="bottom"/>
          </w:tcPr>
          <w:p w14:paraId="75110699" w14:textId="77777777" w:rsidR="001B7A90" w:rsidRPr="00794307" w:rsidRDefault="001B7A90" w:rsidP="001B7A90">
            <w:pPr>
              <w:spacing w:line="480" w:lineRule="auto"/>
              <w:jc w:val="center"/>
              <w:rPr>
                <w:rFonts w:ascii="Arial" w:hAnsi="Arial" w:cs="Arial"/>
              </w:rPr>
            </w:pPr>
            <w:r w:rsidRPr="00794307">
              <w:rPr>
                <w:rFonts w:ascii="Arial" w:hAnsi="Arial" w:cs="Arial"/>
              </w:rPr>
              <w:t>4</w:t>
            </w:r>
          </w:p>
        </w:tc>
      </w:tr>
      <w:tr w:rsidR="001B7A90" w:rsidRPr="00C72B51" w14:paraId="229910D6" w14:textId="77777777" w:rsidTr="001B7A90">
        <w:trPr>
          <w:trHeight w:val="1104"/>
        </w:trPr>
        <w:tc>
          <w:tcPr>
            <w:tcW w:w="2718" w:type="dxa"/>
            <w:vAlign w:val="bottom"/>
          </w:tcPr>
          <w:p w14:paraId="3EAB2860" w14:textId="77777777" w:rsidR="001B7A90" w:rsidRPr="00794307" w:rsidRDefault="001B7A90" w:rsidP="001B7A90">
            <w:pPr>
              <w:spacing w:line="480" w:lineRule="auto"/>
              <w:jc w:val="center"/>
              <w:rPr>
                <w:rFonts w:ascii="Arial" w:hAnsi="Arial" w:cs="Arial"/>
              </w:rPr>
            </w:pPr>
            <w:r w:rsidRPr="00794307">
              <w:rPr>
                <w:rFonts w:ascii="Arial" w:hAnsi="Arial" w:cs="Arial"/>
              </w:rPr>
              <w:t>Total</w:t>
            </w:r>
          </w:p>
        </w:tc>
        <w:tc>
          <w:tcPr>
            <w:tcW w:w="2790" w:type="dxa"/>
            <w:vAlign w:val="bottom"/>
          </w:tcPr>
          <w:p w14:paraId="4738C0E4" w14:textId="77777777" w:rsidR="001B7A90" w:rsidRPr="00794307" w:rsidRDefault="001B7A90" w:rsidP="001B7A90">
            <w:pPr>
              <w:spacing w:line="480" w:lineRule="auto"/>
              <w:jc w:val="center"/>
              <w:rPr>
                <w:rFonts w:ascii="Arial" w:hAnsi="Arial" w:cs="Arial"/>
              </w:rPr>
            </w:pPr>
            <w:r w:rsidRPr="00794307">
              <w:rPr>
                <w:rFonts w:ascii="Arial" w:hAnsi="Arial" w:cs="Arial"/>
              </w:rPr>
              <w:t>84</w:t>
            </w:r>
          </w:p>
        </w:tc>
        <w:tc>
          <w:tcPr>
            <w:tcW w:w="2790" w:type="dxa"/>
            <w:vAlign w:val="bottom"/>
          </w:tcPr>
          <w:p w14:paraId="674CD8BF" w14:textId="77777777" w:rsidR="001B7A90" w:rsidRPr="00794307" w:rsidRDefault="001B7A90" w:rsidP="001B7A90">
            <w:pPr>
              <w:spacing w:line="480" w:lineRule="auto"/>
              <w:jc w:val="center"/>
              <w:rPr>
                <w:rFonts w:ascii="Arial" w:hAnsi="Arial" w:cs="Arial"/>
              </w:rPr>
            </w:pPr>
            <w:r w:rsidRPr="00794307">
              <w:rPr>
                <w:rFonts w:ascii="Arial" w:hAnsi="Arial" w:cs="Arial"/>
              </w:rPr>
              <w:t>16</w:t>
            </w:r>
          </w:p>
        </w:tc>
        <w:tc>
          <w:tcPr>
            <w:tcW w:w="1278" w:type="dxa"/>
            <w:vAlign w:val="bottom"/>
          </w:tcPr>
          <w:p w14:paraId="0A240323" w14:textId="77777777" w:rsidR="001B7A90" w:rsidRPr="00794307" w:rsidRDefault="001B7A90" w:rsidP="001B7A90">
            <w:pPr>
              <w:spacing w:line="480" w:lineRule="auto"/>
              <w:jc w:val="center"/>
              <w:rPr>
                <w:rFonts w:ascii="Arial" w:hAnsi="Arial" w:cs="Arial"/>
              </w:rPr>
            </w:pPr>
            <w:r w:rsidRPr="00794307">
              <w:rPr>
                <w:rFonts w:ascii="Arial" w:hAnsi="Arial" w:cs="Arial"/>
              </w:rPr>
              <w:t>100</w:t>
            </w:r>
          </w:p>
        </w:tc>
      </w:tr>
      <w:tr w:rsidR="001B7A90" w:rsidRPr="00C72B51" w14:paraId="4223A63D" w14:textId="77777777" w:rsidTr="001B7A90">
        <w:trPr>
          <w:trHeight w:val="1104"/>
        </w:trPr>
        <w:tc>
          <w:tcPr>
            <w:tcW w:w="9576" w:type="dxa"/>
            <w:gridSpan w:val="4"/>
            <w:vAlign w:val="bottom"/>
          </w:tcPr>
          <w:p w14:paraId="6527A148" w14:textId="77777777" w:rsidR="001B7A90" w:rsidRPr="00794307" w:rsidRDefault="001B7A90" w:rsidP="001B7A90">
            <w:pPr>
              <w:spacing w:line="480" w:lineRule="auto"/>
              <w:rPr>
                <w:rFonts w:ascii="Arial" w:hAnsi="Arial" w:cs="Arial"/>
              </w:rPr>
            </w:pPr>
            <w:r w:rsidRPr="00794307">
              <w:rPr>
                <w:rFonts w:ascii="Arial" w:hAnsi="Arial" w:cs="Arial"/>
                <w:vertAlign w:val="superscript"/>
              </w:rPr>
              <w:t xml:space="preserve">† </w:t>
            </w:r>
            <w:r w:rsidRPr="00794307">
              <w:rPr>
                <w:rFonts w:ascii="Arial" w:hAnsi="Arial" w:cs="Arial"/>
              </w:rPr>
              <w:t>Prodiamine resistance screen: plants with root growth &gt; 5 cm in length were deemed resistant to prodiamine, while those with root growth ≤ 5 cm in length were deemed susceptible.</w:t>
            </w:r>
          </w:p>
          <w:p w14:paraId="3C632232" w14:textId="77777777" w:rsidR="001B7A90" w:rsidRPr="00794307" w:rsidRDefault="001B7A90" w:rsidP="001B7A90">
            <w:pPr>
              <w:spacing w:line="480" w:lineRule="auto"/>
              <w:rPr>
                <w:rFonts w:ascii="Arial" w:hAnsi="Arial" w:cs="Arial"/>
              </w:rPr>
            </w:pPr>
            <w:r w:rsidRPr="00794307">
              <w:rPr>
                <w:rFonts w:ascii="Arial" w:hAnsi="Arial" w:cs="Arial"/>
                <w:vertAlign w:val="superscript"/>
              </w:rPr>
              <w:t xml:space="preserve">‡ </w:t>
            </w:r>
            <w:r w:rsidRPr="00794307">
              <w:rPr>
                <w:rFonts w:ascii="Arial" w:hAnsi="Arial" w:cs="Arial"/>
              </w:rPr>
              <w:t xml:space="preserve"> Glyphosate resistance screen: plants controlled ≤ 30% at 3 weeks after treatment were deemed glyphosate resistant, while those controlled ≥ 70% were deemed susceptible to glyphosate.</w:t>
            </w:r>
          </w:p>
        </w:tc>
      </w:tr>
    </w:tbl>
    <w:p w14:paraId="088BB939" w14:textId="77777777" w:rsidR="006B792E" w:rsidRDefault="006B792E" w:rsidP="00507764"/>
    <w:p w14:paraId="0039C1DE" w14:textId="77777777" w:rsidR="006B792E" w:rsidRDefault="006B792E" w:rsidP="00507764"/>
    <w:p w14:paraId="42CF0F21" w14:textId="77777777" w:rsidR="006B792E" w:rsidRDefault="006B792E" w:rsidP="00507764"/>
    <w:p w14:paraId="1C8448A6" w14:textId="77777777" w:rsidR="006B792E" w:rsidRDefault="006B792E" w:rsidP="00507764"/>
    <w:p w14:paraId="19E3BA22" w14:textId="77777777" w:rsidR="006B792E" w:rsidRDefault="006B792E" w:rsidP="00507764"/>
    <w:p w14:paraId="50687C2C" w14:textId="77777777" w:rsidR="006B792E" w:rsidRDefault="006B792E" w:rsidP="00507764"/>
    <w:p w14:paraId="53708B4F" w14:textId="77777777" w:rsidR="006B792E" w:rsidRDefault="006B792E" w:rsidP="00507764"/>
    <w:p w14:paraId="1F9D420C" w14:textId="77777777" w:rsidR="006B792E" w:rsidRDefault="006B792E" w:rsidP="00507764"/>
    <w:p w14:paraId="7B553D1D" w14:textId="77777777" w:rsidR="00507764" w:rsidRDefault="00507764" w:rsidP="00507764"/>
    <w:p w14:paraId="51097186" w14:textId="77777777" w:rsidR="00817DCE" w:rsidRDefault="00817DCE">
      <w:pPr>
        <w:rPr>
          <w:b/>
          <w:bCs/>
          <w:sz w:val="20"/>
          <w:szCs w:val="20"/>
        </w:rPr>
      </w:pPr>
      <w:bookmarkStart w:id="50" w:name="_Toc293653776"/>
      <w:bookmarkStart w:id="51" w:name="_Toc294190605"/>
      <w:bookmarkStart w:id="52" w:name="_Toc294435769"/>
      <w:bookmarkStart w:id="53" w:name="_Toc295553700"/>
      <w:r>
        <w:br w:type="page"/>
      </w:r>
    </w:p>
    <w:p w14:paraId="6805502D" w14:textId="213E2CA9" w:rsidR="001421A6" w:rsidRDefault="006C1736" w:rsidP="00184453">
      <w:pPr>
        <w:pStyle w:val="FigureHeading"/>
      </w:pPr>
      <w:bookmarkStart w:id="54" w:name="_Toc299892319"/>
      <w:bookmarkStart w:id="55" w:name="_Toc301519640"/>
      <w:bookmarkStart w:id="56" w:name="_Toc301775828"/>
      <w:bookmarkStart w:id="57" w:name="_Toc301776146"/>
      <w:bookmarkStart w:id="58" w:name="_Toc308873615"/>
      <w:r w:rsidRPr="006C1736">
        <w:drawing>
          <wp:inline distT="0" distB="0" distL="0" distR="0" wp14:anchorId="694422F0" wp14:editId="75FD3F54">
            <wp:extent cx="5942075" cy="3886768"/>
            <wp:effectExtent l="0" t="0" r="1905" b="0"/>
            <wp:docPr id="2" name="Picture 2" descr="Macintosh HD:Users:Shane:Dropbox:Graphs:Control data Prodiam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hane:Dropbox:Graphs:Control data Prodiamine.jp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942075" cy="3886768"/>
                    </a:xfrm>
                    <a:prstGeom prst="rect">
                      <a:avLst/>
                    </a:prstGeom>
                    <a:noFill/>
                    <a:ln>
                      <a:noFill/>
                    </a:ln>
                  </pic:spPr>
                </pic:pic>
              </a:graphicData>
            </a:graphic>
          </wp:inline>
        </w:drawing>
      </w:r>
      <w:r w:rsidR="001421A6" w:rsidRPr="005109A5">
        <w:t>Figure 1. E</w:t>
      </w:r>
      <w:bookmarkEnd w:id="50"/>
      <w:r w:rsidR="001421A6" w:rsidRPr="005109A5">
        <w:t>ffect of prodiamine treatment on control of prodiamine resistant and susceptible annual bluegrass (</w:t>
      </w:r>
      <w:r w:rsidR="001421A6" w:rsidRPr="005109A5">
        <w:rPr>
          <w:i/>
        </w:rPr>
        <w:t>Poa annua</w:t>
      </w:r>
      <w:r w:rsidR="001421A6" w:rsidRPr="005109A5">
        <w:t xml:space="preserve"> L.) 35 days after treatment (DAT) with prodiamine at 0, 105, 210, 420, 840, 1680, 3360, and 6720 g ha</w:t>
      </w:r>
      <w:r w:rsidR="001421A6" w:rsidRPr="005109A5">
        <w:rPr>
          <w:vertAlign w:val="superscript"/>
        </w:rPr>
        <w:t>-1</w:t>
      </w:r>
      <w:r w:rsidR="001421A6" w:rsidRPr="005109A5">
        <w:t xml:space="preserve"> during spring 2015 in a glasshouse </w:t>
      </w:r>
      <w:r w:rsidR="00294DD0">
        <w:t>at the University of Tennessee (</w:t>
      </w:r>
      <w:r w:rsidR="001421A6" w:rsidRPr="005109A5">
        <w:t>Knoxville, TN</w:t>
      </w:r>
      <w:r w:rsidR="00294DD0">
        <w:t>)</w:t>
      </w:r>
      <w:r w:rsidR="001421A6" w:rsidRPr="005109A5">
        <w:t xml:space="preserve">. Prodiamine rates resulting in 50% annual bluegrass control for the resistant and susceptible biotypes were </w:t>
      </w:r>
      <w:r w:rsidR="00DE3A32">
        <w:t>4117</w:t>
      </w:r>
      <w:r w:rsidR="00DE3A32" w:rsidRPr="005109A5">
        <w:t xml:space="preserve"> </w:t>
      </w:r>
      <w:r w:rsidR="001421A6" w:rsidRPr="005109A5">
        <w:t xml:space="preserve">and </w:t>
      </w:r>
      <w:r w:rsidR="00DE3A32">
        <w:t>13</w:t>
      </w:r>
      <w:r w:rsidR="00294DD0">
        <w:t>2</w:t>
      </w:r>
      <w:r w:rsidR="00DE3A32" w:rsidRPr="005109A5">
        <w:t xml:space="preserve"> </w:t>
      </w:r>
      <w:r w:rsidR="001421A6" w:rsidRPr="005109A5">
        <w:t>g ha</w:t>
      </w:r>
      <w:r w:rsidR="001421A6" w:rsidRPr="005109A5">
        <w:rPr>
          <w:vertAlign w:val="superscript"/>
        </w:rPr>
        <w:t>-</w:t>
      </w:r>
      <w:r w:rsidR="001421A6" w:rsidRPr="005109A5">
        <w:rPr>
          <w:rFonts w:eastAsiaTheme="minorHAnsi"/>
          <w:vertAlign w:val="superscript"/>
        </w:rPr>
        <w:t>1</w:t>
      </w:r>
      <w:r w:rsidR="001421A6" w:rsidRPr="005109A5">
        <w:t>, respectively.</w:t>
      </w:r>
      <w:bookmarkEnd w:id="51"/>
      <w:bookmarkEnd w:id="52"/>
      <w:bookmarkEnd w:id="53"/>
      <w:r w:rsidR="00294DD0">
        <w:t xml:space="preserve"> Error bars represent standard error of the mean.</w:t>
      </w:r>
      <w:bookmarkEnd w:id="54"/>
      <w:bookmarkEnd w:id="55"/>
      <w:bookmarkEnd w:id="56"/>
      <w:bookmarkEnd w:id="57"/>
      <w:bookmarkEnd w:id="58"/>
    </w:p>
    <w:p w14:paraId="27A53435" w14:textId="77777777" w:rsidR="00AE185C" w:rsidRDefault="00AE185C" w:rsidP="00794307"/>
    <w:p w14:paraId="4EC7330E" w14:textId="77777777" w:rsidR="001421A6" w:rsidRDefault="001421A6" w:rsidP="000F2351">
      <w:pPr>
        <w:pStyle w:val="TableHeading"/>
      </w:pPr>
      <w:bookmarkStart w:id="59" w:name="_Toc294635523"/>
    </w:p>
    <w:p w14:paraId="4AFE8311" w14:textId="77777777" w:rsidR="001421A6" w:rsidRDefault="001421A6" w:rsidP="000F2351">
      <w:pPr>
        <w:pStyle w:val="TableHeading"/>
      </w:pPr>
    </w:p>
    <w:p w14:paraId="5D506CDA" w14:textId="7EE06058" w:rsidR="00507764" w:rsidRDefault="00507764" w:rsidP="00AC7C01">
      <w:pPr>
        <w:pStyle w:val="Caption"/>
        <w:rPr>
          <w:rFonts w:ascii="Times New Roman" w:eastAsiaTheme="majorEastAsia" w:hAnsi="Times New Roman" w:cstheme="majorBidi"/>
          <w:sz w:val="24"/>
          <w:szCs w:val="26"/>
        </w:rPr>
      </w:pPr>
    </w:p>
    <w:p w14:paraId="30BE0595" w14:textId="77777777" w:rsidR="006B792E" w:rsidRDefault="006B792E" w:rsidP="00AC7C01">
      <w:pPr>
        <w:pStyle w:val="Caption"/>
      </w:pPr>
    </w:p>
    <w:p w14:paraId="04E8E80B" w14:textId="77777777" w:rsidR="006B792E" w:rsidRDefault="006B792E" w:rsidP="00AC7C01">
      <w:pPr>
        <w:pStyle w:val="Caption"/>
      </w:pPr>
    </w:p>
    <w:p w14:paraId="761AA956" w14:textId="77777777" w:rsidR="006B792E" w:rsidRDefault="006B792E" w:rsidP="00AC7C01">
      <w:pPr>
        <w:pStyle w:val="Caption"/>
      </w:pPr>
    </w:p>
    <w:p w14:paraId="77DF430C" w14:textId="77777777" w:rsidR="006B792E" w:rsidRDefault="006B792E" w:rsidP="00AC7C01">
      <w:pPr>
        <w:pStyle w:val="Caption"/>
      </w:pPr>
    </w:p>
    <w:p w14:paraId="4B1C1879" w14:textId="037D111B" w:rsidR="006B792E" w:rsidRDefault="006B792E" w:rsidP="00AC7C01">
      <w:pPr>
        <w:pStyle w:val="Caption"/>
      </w:pPr>
    </w:p>
    <w:p w14:paraId="0FE3B034" w14:textId="77777777" w:rsidR="006B792E" w:rsidRDefault="006B792E" w:rsidP="00AC7C01">
      <w:pPr>
        <w:pStyle w:val="Caption"/>
      </w:pPr>
    </w:p>
    <w:p w14:paraId="2CEB70FE" w14:textId="77777777" w:rsidR="006B792E" w:rsidRDefault="006B792E" w:rsidP="00AC7C01">
      <w:pPr>
        <w:pStyle w:val="Caption"/>
      </w:pPr>
    </w:p>
    <w:p w14:paraId="77E8CA88" w14:textId="56C67DE8" w:rsidR="001F2916" w:rsidRDefault="001F2916">
      <w:pPr>
        <w:rPr>
          <w:b/>
          <w:bCs/>
          <w:sz w:val="20"/>
          <w:szCs w:val="20"/>
        </w:rPr>
      </w:pPr>
    </w:p>
    <w:p w14:paraId="2BE0732A" w14:textId="754D9A53" w:rsidR="001421A6" w:rsidRPr="005109A5" w:rsidRDefault="001421A6" w:rsidP="00B43A0E">
      <w:pPr>
        <w:pStyle w:val="TableHeading"/>
        <w:rPr>
          <w:vertAlign w:val="superscript"/>
        </w:rPr>
      </w:pPr>
      <w:bookmarkStart w:id="60" w:name="_Toc299892320"/>
      <w:bookmarkStart w:id="61" w:name="_Toc301519641"/>
      <w:bookmarkStart w:id="62" w:name="_Toc301775829"/>
      <w:bookmarkStart w:id="63" w:name="_Toc301776054"/>
      <w:bookmarkStart w:id="64" w:name="_Toc308873616"/>
      <w:r w:rsidRPr="005109A5">
        <w:t xml:space="preserve">Table 2. </w:t>
      </w:r>
      <w:r w:rsidR="00294DD0">
        <w:t>N</w:t>
      </w:r>
      <w:r w:rsidR="00DE3A32">
        <w:t>on-linear</w:t>
      </w:r>
      <w:r w:rsidRPr="005109A5">
        <w:t xml:space="preserve"> regression equations modeling changes in annual bluegrass (</w:t>
      </w:r>
      <w:r w:rsidRPr="005109A5">
        <w:rPr>
          <w:i/>
        </w:rPr>
        <w:t>Poa annua</w:t>
      </w:r>
      <w:r w:rsidRPr="005109A5">
        <w:t xml:space="preserve"> L.) control with increasing rates of prodiamine applied to resistant and susceptible biotypes in a glasshouse at the University of Tennessee (Knoxville, TN) in 2015. Prodiamine was applied at 0, 105, 210, 420, 840, 1680, 3360, and 6720 g ha</w:t>
      </w:r>
      <w:r w:rsidRPr="005109A5">
        <w:rPr>
          <w:vertAlign w:val="superscript"/>
        </w:rPr>
        <w:t>-1</w:t>
      </w:r>
      <w:r w:rsidRPr="00B962D2">
        <w:t>.</w:t>
      </w:r>
      <w:bookmarkEnd w:id="59"/>
      <w:bookmarkEnd w:id="60"/>
      <w:bookmarkEnd w:id="61"/>
      <w:bookmarkEnd w:id="62"/>
      <w:bookmarkEnd w:id="63"/>
      <w:bookmarkEnd w:id="64"/>
    </w:p>
    <w:p w14:paraId="3DA9A651" w14:textId="77777777" w:rsidR="001421A6" w:rsidRPr="004478AA" w:rsidRDefault="001421A6" w:rsidP="000F2351">
      <w:pPr>
        <w:pStyle w:val="FigureHeading"/>
      </w:pPr>
    </w:p>
    <w:tbl>
      <w:tblPr>
        <w:tblStyle w:val="TableGrid"/>
        <w:tblW w:w="0" w:type="auto"/>
        <w:tblLayout w:type="fixed"/>
        <w:tblLook w:val="04A0" w:firstRow="1" w:lastRow="0" w:firstColumn="1" w:lastColumn="0" w:noHBand="0" w:noVBand="1"/>
      </w:tblPr>
      <w:tblGrid>
        <w:gridCol w:w="1458"/>
        <w:gridCol w:w="5040"/>
        <w:gridCol w:w="1620"/>
      </w:tblGrid>
      <w:tr w:rsidR="00A0305E" w:rsidRPr="00EA76AE" w14:paraId="3761C539" w14:textId="77777777" w:rsidTr="00845E58">
        <w:tc>
          <w:tcPr>
            <w:tcW w:w="1458" w:type="dxa"/>
            <w:tcBorders>
              <w:top w:val="nil"/>
              <w:left w:val="nil"/>
              <w:bottom w:val="single" w:sz="4" w:space="0" w:color="auto"/>
              <w:right w:val="nil"/>
            </w:tcBorders>
            <w:vAlign w:val="center"/>
          </w:tcPr>
          <w:p w14:paraId="09EDDD8D" w14:textId="77777777" w:rsidR="00A0305E" w:rsidRPr="00EA76AE" w:rsidRDefault="00A0305E" w:rsidP="00845E58">
            <w:pPr>
              <w:tabs>
                <w:tab w:val="left" w:pos="4067"/>
              </w:tabs>
              <w:spacing w:line="480" w:lineRule="auto"/>
              <w:jc w:val="center"/>
              <w:rPr>
                <w:rFonts w:ascii="Arial" w:hAnsi="Arial"/>
                <w:b/>
              </w:rPr>
            </w:pPr>
            <w:r w:rsidRPr="00EA76AE">
              <w:rPr>
                <w:rFonts w:ascii="Arial" w:hAnsi="Arial"/>
                <w:b/>
              </w:rPr>
              <w:t>Biotype</w:t>
            </w:r>
          </w:p>
        </w:tc>
        <w:tc>
          <w:tcPr>
            <w:tcW w:w="5040" w:type="dxa"/>
            <w:tcBorders>
              <w:top w:val="nil"/>
              <w:left w:val="nil"/>
              <w:bottom w:val="single" w:sz="4" w:space="0" w:color="auto"/>
              <w:right w:val="nil"/>
            </w:tcBorders>
            <w:vAlign w:val="center"/>
          </w:tcPr>
          <w:p w14:paraId="055910D1" w14:textId="77777777" w:rsidR="00A0305E" w:rsidRPr="00EA76AE" w:rsidRDefault="00A0305E" w:rsidP="00845E58">
            <w:pPr>
              <w:tabs>
                <w:tab w:val="left" w:pos="4067"/>
              </w:tabs>
              <w:spacing w:line="480" w:lineRule="auto"/>
              <w:jc w:val="center"/>
              <w:rPr>
                <w:rFonts w:ascii="Arial" w:hAnsi="Arial"/>
                <w:b/>
              </w:rPr>
            </w:pPr>
            <w:r w:rsidRPr="00EA76AE">
              <w:rPr>
                <w:rFonts w:ascii="Arial" w:hAnsi="Arial"/>
                <w:b/>
              </w:rPr>
              <w:t>Regression Equation</w:t>
            </w:r>
          </w:p>
        </w:tc>
        <w:tc>
          <w:tcPr>
            <w:tcW w:w="1620" w:type="dxa"/>
            <w:tcBorders>
              <w:top w:val="nil"/>
              <w:left w:val="nil"/>
              <w:bottom w:val="single" w:sz="4" w:space="0" w:color="auto"/>
              <w:right w:val="nil"/>
            </w:tcBorders>
            <w:vAlign w:val="center"/>
          </w:tcPr>
          <w:p w14:paraId="44E6C3F1" w14:textId="77777777" w:rsidR="00A0305E" w:rsidRPr="00EA76AE" w:rsidRDefault="00A0305E" w:rsidP="00845E58">
            <w:pPr>
              <w:tabs>
                <w:tab w:val="left" w:pos="4067"/>
              </w:tabs>
              <w:spacing w:line="480" w:lineRule="auto"/>
              <w:jc w:val="center"/>
              <w:rPr>
                <w:rFonts w:ascii="Arial" w:hAnsi="Arial"/>
                <w:b/>
              </w:rPr>
            </w:pPr>
            <w:r w:rsidRPr="00EA76AE">
              <w:rPr>
                <w:rFonts w:ascii="Arial" w:hAnsi="Arial"/>
                <w:b/>
              </w:rPr>
              <w:t>P-value</w:t>
            </w:r>
          </w:p>
        </w:tc>
      </w:tr>
      <w:tr w:rsidR="00A0305E" w:rsidRPr="00EA76AE" w14:paraId="1DF614C6" w14:textId="77777777" w:rsidTr="00845E58">
        <w:tc>
          <w:tcPr>
            <w:tcW w:w="1458" w:type="dxa"/>
            <w:tcBorders>
              <w:left w:val="nil"/>
              <w:bottom w:val="nil"/>
              <w:right w:val="nil"/>
            </w:tcBorders>
            <w:vAlign w:val="center"/>
          </w:tcPr>
          <w:p w14:paraId="3CD7DF5E"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Resistant</w:t>
            </w:r>
          </w:p>
        </w:tc>
        <w:tc>
          <w:tcPr>
            <w:tcW w:w="5040" w:type="dxa"/>
            <w:tcBorders>
              <w:left w:val="nil"/>
              <w:bottom w:val="nil"/>
              <w:right w:val="nil"/>
            </w:tcBorders>
            <w:vAlign w:val="center"/>
          </w:tcPr>
          <w:p w14:paraId="40A0F3D0" w14:textId="1314BBFA" w:rsidR="00A0305E" w:rsidRPr="00EA76AE" w:rsidRDefault="00A0305E" w:rsidP="00845E58">
            <w:pPr>
              <w:tabs>
                <w:tab w:val="left" w:pos="4067"/>
              </w:tabs>
              <w:spacing w:line="480" w:lineRule="auto"/>
              <w:jc w:val="center"/>
              <w:rPr>
                <w:rFonts w:ascii="Arial" w:hAnsi="Arial"/>
              </w:rPr>
            </w:pPr>
            <w:r w:rsidRPr="00EA76AE">
              <w:rPr>
                <w:rFonts w:ascii="Arial" w:hAnsi="Arial"/>
              </w:rPr>
              <w:t>Y = 0 + (100 – 0)/(1 + 10</w:t>
            </w:r>
            <w:r>
              <w:rPr>
                <w:rFonts w:ascii="Arial" w:hAnsi="Arial"/>
                <w:vertAlign w:val="superscript"/>
              </w:rPr>
              <w:t>((4117</w:t>
            </w:r>
            <w:r w:rsidRPr="00EA76AE">
              <w:rPr>
                <w:rFonts w:ascii="Arial" w:hAnsi="Arial"/>
                <w:vertAlign w:val="superscript"/>
              </w:rPr>
              <w:t xml:space="preserve"> </w:t>
            </w:r>
            <w:r>
              <w:rPr>
                <w:rFonts w:ascii="Arial" w:hAnsi="Arial"/>
                <w:vertAlign w:val="superscript"/>
              </w:rPr>
              <w:t>– X) * 0.0001933</w:t>
            </w:r>
            <w:r w:rsidRPr="00EA76AE">
              <w:rPr>
                <w:rFonts w:ascii="Arial" w:hAnsi="Arial"/>
                <w:vertAlign w:val="superscript"/>
              </w:rPr>
              <w:t>)</w:t>
            </w:r>
            <w:r w:rsidRPr="00EA76AE">
              <w:rPr>
                <w:rFonts w:ascii="Arial" w:hAnsi="Arial"/>
              </w:rPr>
              <w:t>)</w:t>
            </w:r>
          </w:p>
        </w:tc>
        <w:tc>
          <w:tcPr>
            <w:tcW w:w="1620" w:type="dxa"/>
            <w:tcBorders>
              <w:left w:val="nil"/>
              <w:bottom w:val="nil"/>
              <w:right w:val="nil"/>
            </w:tcBorders>
            <w:vAlign w:val="center"/>
          </w:tcPr>
          <w:p w14:paraId="79B64428"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P&lt;0.0001</w:t>
            </w:r>
          </w:p>
        </w:tc>
      </w:tr>
      <w:tr w:rsidR="00A0305E" w:rsidRPr="00EA76AE" w14:paraId="093BED51" w14:textId="77777777" w:rsidTr="00845E58">
        <w:tc>
          <w:tcPr>
            <w:tcW w:w="1458" w:type="dxa"/>
            <w:tcBorders>
              <w:top w:val="nil"/>
              <w:left w:val="nil"/>
              <w:right w:val="nil"/>
            </w:tcBorders>
            <w:vAlign w:val="center"/>
          </w:tcPr>
          <w:p w14:paraId="0487BB50"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Susceptible</w:t>
            </w:r>
          </w:p>
        </w:tc>
        <w:tc>
          <w:tcPr>
            <w:tcW w:w="5040" w:type="dxa"/>
            <w:tcBorders>
              <w:top w:val="nil"/>
              <w:left w:val="nil"/>
              <w:right w:val="nil"/>
            </w:tcBorders>
            <w:vAlign w:val="center"/>
          </w:tcPr>
          <w:p w14:paraId="66299532" w14:textId="635FC0FB" w:rsidR="00A0305E" w:rsidRPr="00EA76AE" w:rsidRDefault="00A0305E" w:rsidP="00845E58">
            <w:pPr>
              <w:tabs>
                <w:tab w:val="left" w:pos="4067"/>
              </w:tabs>
              <w:spacing w:line="480" w:lineRule="auto"/>
              <w:jc w:val="center"/>
              <w:rPr>
                <w:rFonts w:ascii="Arial" w:hAnsi="Arial"/>
              </w:rPr>
            </w:pPr>
            <w:r w:rsidRPr="00EA76AE">
              <w:rPr>
                <w:rFonts w:ascii="Arial" w:hAnsi="Arial"/>
              </w:rPr>
              <w:t>Y = 0 + (100 – 0)/(1 + 10</w:t>
            </w:r>
            <w:r>
              <w:rPr>
                <w:rFonts w:ascii="Arial" w:hAnsi="Arial"/>
                <w:vertAlign w:val="superscript"/>
              </w:rPr>
              <w:t>((131.6</w:t>
            </w:r>
            <w:r w:rsidRPr="00EA76AE">
              <w:rPr>
                <w:rFonts w:ascii="Arial" w:hAnsi="Arial"/>
                <w:vertAlign w:val="superscript"/>
              </w:rPr>
              <w:t xml:space="preserve"> – X) * 0.00</w:t>
            </w:r>
            <w:r>
              <w:rPr>
                <w:rFonts w:ascii="Arial" w:hAnsi="Arial"/>
                <w:vertAlign w:val="superscript"/>
              </w:rPr>
              <w:t>6701</w:t>
            </w:r>
            <w:r w:rsidRPr="00EA76AE">
              <w:rPr>
                <w:rFonts w:ascii="Arial" w:hAnsi="Arial"/>
                <w:vertAlign w:val="superscript"/>
              </w:rPr>
              <w:t>)</w:t>
            </w:r>
            <w:r w:rsidRPr="00EA76AE">
              <w:rPr>
                <w:rFonts w:ascii="Arial" w:hAnsi="Arial"/>
              </w:rPr>
              <w:t>)</w:t>
            </w:r>
          </w:p>
        </w:tc>
        <w:tc>
          <w:tcPr>
            <w:tcW w:w="1620" w:type="dxa"/>
            <w:tcBorders>
              <w:top w:val="nil"/>
              <w:left w:val="nil"/>
              <w:right w:val="nil"/>
            </w:tcBorders>
            <w:vAlign w:val="center"/>
          </w:tcPr>
          <w:p w14:paraId="644D94A6"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P&lt;0.0001</w:t>
            </w:r>
          </w:p>
        </w:tc>
      </w:tr>
    </w:tbl>
    <w:p w14:paraId="77AF3CF1" w14:textId="2D9AB1D7" w:rsidR="00AC7C01" w:rsidRDefault="001421A6" w:rsidP="001421A6">
      <w:r>
        <w:br w:type="page"/>
      </w:r>
      <w:bookmarkStart w:id="65" w:name="_Toc293653777"/>
      <w:bookmarkStart w:id="66" w:name="_Toc294189104"/>
      <w:bookmarkStart w:id="67" w:name="_Toc294190644"/>
      <w:bookmarkStart w:id="68" w:name="_Toc294435808"/>
      <w:bookmarkStart w:id="69" w:name="_Toc295553701"/>
    </w:p>
    <w:p w14:paraId="639A1DD3" w14:textId="77777777" w:rsidR="00A61E5A" w:rsidRDefault="00A61E5A" w:rsidP="00AC7C01">
      <w:pPr>
        <w:pStyle w:val="Caption"/>
      </w:pPr>
    </w:p>
    <w:p w14:paraId="48EB9A1A" w14:textId="77777777" w:rsidR="006C1736" w:rsidRDefault="006C1736" w:rsidP="00B43A0E">
      <w:pPr>
        <w:pStyle w:val="FigureHeading"/>
      </w:pPr>
      <w:bookmarkStart w:id="70" w:name="_Toc299892321"/>
      <w:bookmarkStart w:id="71" w:name="_Toc301519642"/>
      <w:bookmarkStart w:id="72" w:name="_Toc301775830"/>
      <w:bookmarkStart w:id="73" w:name="_Toc301776147"/>
      <w:r w:rsidRPr="006C1736">
        <w:drawing>
          <wp:inline distT="0" distB="0" distL="0" distR="0" wp14:anchorId="3AB6C5BC" wp14:editId="2A884E01">
            <wp:extent cx="5943600" cy="42729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hane:Dropbox:Shane Breeden-Brosnan:Data for Analysis:graphs:Prodiamine Biomass data.jpg"/>
                    <pic:cNvPicPr>
                      <a:picLocks noChangeAspect="1" noChangeArrowheads="1"/>
                    </pic:cNvPicPr>
                  </pic:nvPicPr>
                  <pic:blipFill>
                    <a:blip r:embed="rId13" cstate="print">
                      <a:extLst>
                        <a:ext uri="{28A0092B-C50C-407E-A947-70E740481C1C}">
                          <a14:useLocalDpi xmlns:a14="http://schemas.microsoft.com/office/drawing/2010/main"/>
                        </a:ext>
                      </a:extLst>
                    </a:blip>
                    <a:stretch>
                      <a:fillRect/>
                    </a:stretch>
                  </pic:blipFill>
                  <pic:spPr bwMode="auto">
                    <a:xfrm>
                      <a:off x="0" y="0"/>
                      <a:ext cx="5943600" cy="4272903"/>
                    </a:xfrm>
                    <a:prstGeom prst="rect">
                      <a:avLst/>
                    </a:prstGeom>
                    <a:noFill/>
                    <a:ln>
                      <a:noFill/>
                    </a:ln>
                  </pic:spPr>
                </pic:pic>
              </a:graphicData>
            </a:graphic>
          </wp:inline>
        </w:drawing>
      </w:r>
    </w:p>
    <w:p w14:paraId="0DB4671C" w14:textId="1183C1C6" w:rsidR="00294DD0" w:rsidRDefault="001421A6" w:rsidP="00B43A0E">
      <w:pPr>
        <w:pStyle w:val="FigureHeading"/>
      </w:pPr>
      <w:bookmarkStart w:id="74" w:name="_Toc308873617"/>
      <w:r w:rsidRPr="006A2095">
        <w:t>Figure 2.</w:t>
      </w:r>
      <w:r w:rsidRPr="00F36573">
        <w:t xml:space="preserve"> </w:t>
      </w:r>
      <w:bookmarkEnd w:id="65"/>
      <w:r w:rsidRPr="006A2095">
        <w:t xml:space="preserve">Effect of prodiamine treatment on </w:t>
      </w:r>
      <w:r w:rsidR="00294DD0">
        <w:t xml:space="preserve">dry </w:t>
      </w:r>
      <w:r>
        <w:t>biomass</w:t>
      </w:r>
      <w:r w:rsidRPr="006A2095">
        <w:t xml:space="preserve"> of </w:t>
      </w:r>
      <w:r>
        <w:t>prodiamine resistant and susceptible annual bluegrass (</w:t>
      </w:r>
      <w:r w:rsidRPr="001B27AC">
        <w:rPr>
          <w:i/>
        </w:rPr>
        <w:t>Poa annua</w:t>
      </w:r>
      <w:r>
        <w:t xml:space="preserve"> L.) </w:t>
      </w:r>
      <w:r w:rsidRPr="006A2095">
        <w:t xml:space="preserve">35 </w:t>
      </w:r>
      <w:r>
        <w:t>days after treatment (</w:t>
      </w:r>
      <w:r w:rsidRPr="006A2095">
        <w:t>DAT</w:t>
      </w:r>
      <w:r>
        <w:t>)</w:t>
      </w:r>
      <w:r w:rsidRPr="006A2095">
        <w:t xml:space="preserve"> with </w:t>
      </w:r>
      <w:r>
        <w:t xml:space="preserve">prodiamine at </w:t>
      </w:r>
      <w:r w:rsidRPr="006A2095">
        <w:t>0, 105, 210, 420, 840, 1680, 3360, and 6720 g ha</w:t>
      </w:r>
      <w:r w:rsidRPr="00F54B84">
        <w:rPr>
          <w:vertAlign w:val="superscript"/>
        </w:rPr>
        <w:t>-1</w:t>
      </w:r>
      <w:r w:rsidRPr="006A2095">
        <w:t xml:space="preserve"> during spring 2015 in</w:t>
      </w:r>
      <w:r>
        <w:t xml:space="preserve"> a glasshouse </w:t>
      </w:r>
      <w:r w:rsidR="00294DD0">
        <w:t>at the University of Tennessee</w:t>
      </w:r>
      <w:r w:rsidR="00294DD0" w:rsidRPr="006A2095">
        <w:t xml:space="preserve"> </w:t>
      </w:r>
      <w:r w:rsidR="00294DD0">
        <w:t>(</w:t>
      </w:r>
      <w:r w:rsidRPr="006A2095">
        <w:t>Knoxville, TN</w:t>
      </w:r>
      <w:r w:rsidR="00294DD0">
        <w:t>)</w:t>
      </w:r>
      <w:r w:rsidRPr="00BB1AF7">
        <w:t xml:space="preserve">. </w:t>
      </w:r>
      <w:r>
        <w:t xml:space="preserve">Prodiamine rates resulting in 50% annual bluegrass </w:t>
      </w:r>
      <w:r w:rsidR="00294DD0">
        <w:t xml:space="preserve">dry </w:t>
      </w:r>
      <w:r>
        <w:t xml:space="preserve">biomass reduction </w:t>
      </w:r>
      <w:r w:rsidR="00DE3A32" w:rsidRPr="005109A5">
        <w:t xml:space="preserve">for the resistant and susceptible biotypes were </w:t>
      </w:r>
      <w:r w:rsidR="00DE3A32">
        <w:t>1006</w:t>
      </w:r>
      <w:r w:rsidR="00DE3A32" w:rsidRPr="005109A5">
        <w:t xml:space="preserve"> and </w:t>
      </w:r>
      <w:r w:rsidR="00DE3A32">
        <w:t>4</w:t>
      </w:r>
      <w:r w:rsidR="00294DD0">
        <w:t xml:space="preserve">5 </w:t>
      </w:r>
      <w:r w:rsidR="00DE3A32" w:rsidRPr="005109A5">
        <w:t>g ha</w:t>
      </w:r>
      <w:r w:rsidR="00DE3A32" w:rsidRPr="005109A5">
        <w:rPr>
          <w:vertAlign w:val="superscript"/>
        </w:rPr>
        <w:t>-</w:t>
      </w:r>
      <w:r w:rsidR="00DE3A32" w:rsidRPr="005109A5">
        <w:rPr>
          <w:rFonts w:eastAsiaTheme="minorHAnsi"/>
          <w:vertAlign w:val="superscript"/>
        </w:rPr>
        <w:t>1</w:t>
      </w:r>
      <w:r w:rsidR="00DE3A32" w:rsidRPr="005109A5">
        <w:t>, respectively.</w:t>
      </w:r>
      <w:r w:rsidR="00122A09">
        <w:t xml:space="preserve"> </w:t>
      </w:r>
      <w:r w:rsidR="00294DD0">
        <w:t>Error bars represent standard error of the mean.</w:t>
      </w:r>
      <w:bookmarkEnd w:id="70"/>
      <w:bookmarkEnd w:id="71"/>
      <w:bookmarkEnd w:id="72"/>
      <w:bookmarkEnd w:id="73"/>
      <w:bookmarkEnd w:id="74"/>
    </w:p>
    <w:p w14:paraId="2B178C50" w14:textId="3D4CD208" w:rsidR="001421A6" w:rsidRPr="00A05077" w:rsidRDefault="001421A6" w:rsidP="00184453">
      <w:pPr>
        <w:pStyle w:val="FigureHeading"/>
      </w:pPr>
      <w:bookmarkStart w:id="75" w:name="_Toc294635524"/>
      <w:bookmarkEnd w:id="66"/>
      <w:bookmarkEnd w:id="67"/>
      <w:bookmarkEnd w:id="68"/>
      <w:bookmarkEnd w:id="69"/>
    </w:p>
    <w:p w14:paraId="416EACFC" w14:textId="6A691911" w:rsidR="001421A6" w:rsidRDefault="001421A6" w:rsidP="000F2351">
      <w:pPr>
        <w:pStyle w:val="TableHeading"/>
      </w:pPr>
    </w:p>
    <w:p w14:paraId="4DEF03CE" w14:textId="77777777" w:rsidR="001421A6" w:rsidRDefault="001421A6" w:rsidP="000F2351">
      <w:pPr>
        <w:pStyle w:val="TableHeading"/>
      </w:pPr>
    </w:p>
    <w:p w14:paraId="6571E1E1" w14:textId="77777777" w:rsidR="001421A6" w:rsidRDefault="001421A6" w:rsidP="000F2351">
      <w:pPr>
        <w:pStyle w:val="TableHeading"/>
      </w:pPr>
    </w:p>
    <w:p w14:paraId="5CF37218" w14:textId="77777777" w:rsidR="001421A6" w:rsidRDefault="001421A6" w:rsidP="000F2351">
      <w:pPr>
        <w:pStyle w:val="TableHeading"/>
      </w:pPr>
    </w:p>
    <w:p w14:paraId="3F98B28C" w14:textId="6A2AA362" w:rsidR="001F2916" w:rsidRDefault="001F2916">
      <w:pPr>
        <w:rPr>
          <w:b/>
          <w:bCs/>
          <w:sz w:val="20"/>
          <w:szCs w:val="20"/>
        </w:rPr>
      </w:pPr>
    </w:p>
    <w:p w14:paraId="5EF1A178" w14:textId="77777777" w:rsidR="00536FA3" w:rsidRDefault="00536FA3">
      <w:pPr>
        <w:rPr>
          <w:b/>
          <w:bCs/>
          <w:sz w:val="20"/>
          <w:szCs w:val="20"/>
        </w:rPr>
      </w:pPr>
      <w:r>
        <w:br w:type="page"/>
      </w:r>
    </w:p>
    <w:p w14:paraId="2A771B58" w14:textId="46F81DA9" w:rsidR="00A61E5A" w:rsidRPr="00794307" w:rsidRDefault="001421A6" w:rsidP="003211B3">
      <w:pPr>
        <w:pStyle w:val="TableHeading"/>
      </w:pPr>
      <w:bookmarkStart w:id="76" w:name="_Toc299892322"/>
      <w:bookmarkStart w:id="77" w:name="_Toc301519643"/>
      <w:bookmarkStart w:id="78" w:name="_Toc301775831"/>
      <w:bookmarkStart w:id="79" w:name="_Toc301776055"/>
      <w:bookmarkStart w:id="80" w:name="_Toc308873618"/>
      <w:r w:rsidRPr="005109A5">
        <w:t xml:space="preserve">Table 3. </w:t>
      </w:r>
      <w:r w:rsidR="00294DD0">
        <w:t>N</w:t>
      </w:r>
      <w:r w:rsidR="00DE3A32">
        <w:t xml:space="preserve">on-linear </w:t>
      </w:r>
      <w:r w:rsidRPr="005109A5">
        <w:t>regression equations modeling changes in annual bluegrass (</w:t>
      </w:r>
      <w:r w:rsidRPr="005109A5">
        <w:rPr>
          <w:i/>
        </w:rPr>
        <w:t>Poa annua</w:t>
      </w:r>
      <w:r w:rsidRPr="005109A5">
        <w:t xml:space="preserve"> L.) dry biomass with increasing rates of prodiamine applied to resistant and susceptible biotypes in a glasshouse at the University of Tennessee (Knoxville, TN) in 2015. Prodiamine was applied at 0, 105, 210, 420, 840, 1680, 3360, and 6720 g ha</w:t>
      </w:r>
      <w:r w:rsidRPr="005109A5">
        <w:rPr>
          <w:vertAlign w:val="superscript"/>
        </w:rPr>
        <w:t>-1</w:t>
      </w:r>
      <w:r w:rsidRPr="00B962D2">
        <w:t>.</w:t>
      </w:r>
      <w:bookmarkEnd w:id="75"/>
      <w:bookmarkEnd w:id="76"/>
      <w:bookmarkEnd w:id="77"/>
      <w:bookmarkEnd w:id="78"/>
      <w:bookmarkEnd w:id="79"/>
      <w:bookmarkEnd w:id="80"/>
      <w:r w:rsidR="00F70980" w:rsidRPr="00F70980">
        <w:t xml:space="preserve"> </w:t>
      </w:r>
    </w:p>
    <w:p w14:paraId="6A07FA23" w14:textId="77777777" w:rsidR="001421A6" w:rsidRDefault="001421A6" w:rsidP="001421A6">
      <w:pPr>
        <w:spacing w:line="480" w:lineRule="auto"/>
        <w:ind w:firstLine="720"/>
      </w:pPr>
    </w:p>
    <w:tbl>
      <w:tblPr>
        <w:tblStyle w:val="TableGrid"/>
        <w:tblW w:w="0" w:type="auto"/>
        <w:tblLayout w:type="fixed"/>
        <w:tblLook w:val="04A0" w:firstRow="1" w:lastRow="0" w:firstColumn="1" w:lastColumn="0" w:noHBand="0" w:noVBand="1"/>
      </w:tblPr>
      <w:tblGrid>
        <w:gridCol w:w="1458"/>
        <w:gridCol w:w="5040"/>
        <w:gridCol w:w="1620"/>
      </w:tblGrid>
      <w:tr w:rsidR="00A0305E" w:rsidRPr="004749A9" w14:paraId="43451137" w14:textId="77777777" w:rsidTr="00845E58">
        <w:tc>
          <w:tcPr>
            <w:tcW w:w="1458" w:type="dxa"/>
            <w:tcBorders>
              <w:top w:val="nil"/>
              <w:left w:val="nil"/>
              <w:bottom w:val="single" w:sz="4" w:space="0" w:color="auto"/>
              <w:right w:val="nil"/>
            </w:tcBorders>
            <w:vAlign w:val="center"/>
          </w:tcPr>
          <w:p w14:paraId="578B7DE4" w14:textId="77777777" w:rsidR="00A0305E" w:rsidRPr="00E178D7" w:rsidRDefault="00A0305E" w:rsidP="00845E58">
            <w:pPr>
              <w:tabs>
                <w:tab w:val="left" w:pos="4067"/>
              </w:tabs>
              <w:spacing w:line="480" w:lineRule="auto"/>
              <w:jc w:val="center"/>
              <w:rPr>
                <w:rFonts w:ascii="Arial" w:hAnsi="Arial"/>
                <w:b/>
              </w:rPr>
            </w:pPr>
            <w:r w:rsidRPr="00E178D7">
              <w:rPr>
                <w:rFonts w:ascii="Arial" w:hAnsi="Arial"/>
                <w:b/>
              </w:rPr>
              <w:t>Biotype</w:t>
            </w:r>
          </w:p>
        </w:tc>
        <w:tc>
          <w:tcPr>
            <w:tcW w:w="5040" w:type="dxa"/>
            <w:tcBorders>
              <w:top w:val="nil"/>
              <w:left w:val="nil"/>
              <w:bottom w:val="single" w:sz="4" w:space="0" w:color="auto"/>
              <w:right w:val="nil"/>
            </w:tcBorders>
            <w:vAlign w:val="center"/>
          </w:tcPr>
          <w:p w14:paraId="1D69710B" w14:textId="77777777" w:rsidR="00A0305E" w:rsidRPr="004D0AB6" w:rsidRDefault="00A0305E" w:rsidP="00845E58">
            <w:pPr>
              <w:tabs>
                <w:tab w:val="left" w:pos="4067"/>
              </w:tabs>
              <w:spacing w:line="480" w:lineRule="auto"/>
              <w:jc w:val="center"/>
              <w:rPr>
                <w:rFonts w:ascii="Arial" w:hAnsi="Arial"/>
                <w:b/>
              </w:rPr>
            </w:pPr>
            <w:r w:rsidRPr="004D0AB6">
              <w:rPr>
                <w:rFonts w:ascii="Arial" w:hAnsi="Arial"/>
                <w:b/>
              </w:rPr>
              <w:t>Regression Equation</w:t>
            </w:r>
          </w:p>
        </w:tc>
        <w:tc>
          <w:tcPr>
            <w:tcW w:w="1620" w:type="dxa"/>
            <w:tcBorders>
              <w:top w:val="nil"/>
              <w:left w:val="nil"/>
              <w:bottom w:val="single" w:sz="4" w:space="0" w:color="auto"/>
              <w:right w:val="nil"/>
            </w:tcBorders>
            <w:vAlign w:val="center"/>
          </w:tcPr>
          <w:p w14:paraId="712264F8" w14:textId="77777777" w:rsidR="00A0305E" w:rsidRPr="004749A9" w:rsidRDefault="00A0305E" w:rsidP="00845E58">
            <w:pPr>
              <w:tabs>
                <w:tab w:val="left" w:pos="4067"/>
              </w:tabs>
              <w:spacing w:line="480" w:lineRule="auto"/>
              <w:jc w:val="center"/>
              <w:rPr>
                <w:rFonts w:ascii="Arial" w:hAnsi="Arial"/>
                <w:b/>
              </w:rPr>
            </w:pPr>
            <w:r w:rsidRPr="004749A9">
              <w:rPr>
                <w:rFonts w:ascii="Arial" w:hAnsi="Arial"/>
                <w:b/>
              </w:rPr>
              <w:t>P-value</w:t>
            </w:r>
          </w:p>
        </w:tc>
      </w:tr>
      <w:tr w:rsidR="00A0305E" w:rsidRPr="00EA76AE" w14:paraId="1074EFB0" w14:textId="77777777" w:rsidTr="00845E58">
        <w:tc>
          <w:tcPr>
            <w:tcW w:w="1458" w:type="dxa"/>
            <w:tcBorders>
              <w:left w:val="nil"/>
              <w:bottom w:val="nil"/>
              <w:right w:val="nil"/>
            </w:tcBorders>
            <w:vAlign w:val="center"/>
          </w:tcPr>
          <w:p w14:paraId="4BB23FA6"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Resistant</w:t>
            </w:r>
          </w:p>
        </w:tc>
        <w:tc>
          <w:tcPr>
            <w:tcW w:w="5040" w:type="dxa"/>
            <w:tcBorders>
              <w:left w:val="nil"/>
              <w:bottom w:val="nil"/>
              <w:right w:val="nil"/>
            </w:tcBorders>
            <w:vAlign w:val="center"/>
          </w:tcPr>
          <w:p w14:paraId="1040A6E3" w14:textId="0D938517" w:rsidR="00A0305E" w:rsidRPr="00EA76AE" w:rsidRDefault="00A0305E" w:rsidP="00845E58">
            <w:pPr>
              <w:tabs>
                <w:tab w:val="left" w:pos="4067"/>
              </w:tabs>
              <w:spacing w:line="480" w:lineRule="auto"/>
              <w:jc w:val="center"/>
              <w:rPr>
                <w:rFonts w:ascii="Arial" w:hAnsi="Arial"/>
              </w:rPr>
            </w:pPr>
            <w:r w:rsidRPr="00EA76AE">
              <w:rPr>
                <w:rFonts w:ascii="Arial" w:hAnsi="Arial"/>
              </w:rPr>
              <w:t>Y = (100 – 0)</w:t>
            </w:r>
            <w:r>
              <w:rPr>
                <w:rFonts w:ascii="Arial" w:hAnsi="Arial"/>
              </w:rPr>
              <w:t>*exp</w:t>
            </w:r>
            <w:r w:rsidRPr="00EA76AE">
              <w:rPr>
                <w:rFonts w:ascii="Arial" w:hAnsi="Arial"/>
              </w:rPr>
              <w:t>(–</w:t>
            </w:r>
            <w:r>
              <w:rPr>
                <w:rFonts w:ascii="Arial" w:hAnsi="Arial"/>
              </w:rPr>
              <w:t>0.0006890*X) + 0</w:t>
            </w:r>
          </w:p>
        </w:tc>
        <w:tc>
          <w:tcPr>
            <w:tcW w:w="1620" w:type="dxa"/>
            <w:tcBorders>
              <w:left w:val="nil"/>
              <w:bottom w:val="nil"/>
              <w:right w:val="nil"/>
            </w:tcBorders>
            <w:vAlign w:val="center"/>
          </w:tcPr>
          <w:p w14:paraId="1B4F154E"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P&lt;0.0001</w:t>
            </w:r>
          </w:p>
        </w:tc>
      </w:tr>
      <w:tr w:rsidR="00A0305E" w:rsidRPr="00EA76AE" w14:paraId="274E826A" w14:textId="77777777" w:rsidTr="00845E58">
        <w:tc>
          <w:tcPr>
            <w:tcW w:w="1458" w:type="dxa"/>
            <w:tcBorders>
              <w:top w:val="nil"/>
              <w:left w:val="nil"/>
              <w:right w:val="nil"/>
            </w:tcBorders>
            <w:vAlign w:val="center"/>
          </w:tcPr>
          <w:p w14:paraId="711BDADF"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Susceptible</w:t>
            </w:r>
          </w:p>
        </w:tc>
        <w:tc>
          <w:tcPr>
            <w:tcW w:w="5040" w:type="dxa"/>
            <w:tcBorders>
              <w:top w:val="nil"/>
              <w:left w:val="nil"/>
              <w:right w:val="nil"/>
            </w:tcBorders>
            <w:vAlign w:val="center"/>
          </w:tcPr>
          <w:p w14:paraId="54A89618" w14:textId="198970A1" w:rsidR="00A0305E" w:rsidRPr="00EA76AE" w:rsidRDefault="00A0305E" w:rsidP="00845E58">
            <w:pPr>
              <w:tabs>
                <w:tab w:val="left" w:pos="4067"/>
              </w:tabs>
              <w:spacing w:line="480" w:lineRule="auto"/>
              <w:jc w:val="center"/>
              <w:rPr>
                <w:rFonts w:ascii="Arial" w:hAnsi="Arial"/>
              </w:rPr>
            </w:pPr>
            <w:r w:rsidRPr="00EA76AE">
              <w:rPr>
                <w:rFonts w:ascii="Arial" w:hAnsi="Arial"/>
              </w:rPr>
              <w:t>Y = (100 – 0)</w:t>
            </w:r>
            <w:r>
              <w:rPr>
                <w:rFonts w:ascii="Arial" w:hAnsi="Arial"/>
              </w:rPr>
              <w:t>*exp</w:t>
            </w:r>
            <w:r w:rsidRPr="00EA76AE">
              <w:rPr>
                <w:rFonts w:ascii="Arial" w:hAnsi="Arial"/>
              </w:rPr>
              <w:t>(–</w:t>
            </w:r>
            <w:r>
              <w:rPr>
                <w:rFonts w:ascii="Arial" w:hAnsi="Arial"/>
              </w:rPr>
              <w:t>0.0154300*X) + 0</w:t>
            </w:r>
          </w:p>
        </w:tc>
        <w:tc>
          <w:tcPr>
            <w:tcW w:w="1620" w:type="dxa"/>
            <w:tcBorders>
              <w:top w:val="nil"/>
              <w:left w:val="nil"/>
              <w:right w:val="nil"/>
            </w:tcBorders>
            <w:vAlign w:val="center"/>
          </w:tcPr>
          <w:p w14:paraId="629304F0" w14:textId="77777777" w:rsidR="00A0305E" w:rsidRPr="00EA76AE" w:rsidRDefault="00A0305E" w:rsidP="00845E58">
            <w:pPr>
              <w:tabs>
                <w:tab w:val="left" w:pos="4067"/>
              </w:tabs>
              <w:spacing w:line="480" w:lineRule="auto"/>
              <w:jc w:val="center"/>
              <w:rPr>
                <w:rFonts w:ascii="Arial" w:hAnsi="Arial"/>
              </w:rPr>
            </w:pPr>
            <w:r w:rsidRPr="00EA76AE">
              <w:rPr>
                <w:rFonts w:ascii="Arial" w:hAnsi="Arial"/>
              </w:rPr>
              <w:t>P&lt;0.0001</w:t>
            </w:r>
          </w:p>
        </w:tc>
      </w:tr>
    </w:tbl>
    <w:p w14:paraId="4F13FB0A" w14:textId="77777777" w:rsidR="001421A6" w:rsidRDefault="001421A6" w:rsidP="001421A6">
      <w:r>
        <w:br w:type="page"/>
      </w:r>
    </w:p>
    <w:p w14:paraId="218FE8D6" w14:textId="7FA2DF53" w:rsidR="001421A6" w:rsidRDefault="001421A6" w:rsidP="000F2351">
      <w:pPr>
        <w:pStyle w:val="FigureHeading"/>
      </w:pPr>
      <w:bookmarkStart w:id="81" w:name="_Toc293653778"/>
      <w:bookmarkStart w:id="82" w:name="_Toc294190683"/>
      <w:bookmarkStart w:id="83" w:name="_Toc294435847"/>
      <w:bookmarkStart w:id="84" w:name="_Toc295553702"/>
    </w:p>
    <w:p w14:paraId="26C412EF" w14:textId="77777777" w:rsidR="006C1736" w:rsidRDefault="006C1736" w:rsidP="00B43A0E">
      <w:pPr>
        <w:pStyle w:val="FigureHeading"/>
      </w:pPr>
      <w:bookmarkStart w:id="85" w:name="_Toc299892323"/>
      <w:bookmarkStart w:id="86" w:name="_Toc301519644"/>
      <w:bookmarkStart w:id="87" w:name="_Toc301775832"/>
      <w:bookmarkStart w:id="88" w:name="_Toc301776148"/>
      <w:r w:rsidRPr="006C1736">
        <w:drawing>
          <wp:inline distT="0" distB="0" distL="0" distR="0" wp14:anchorId="17EF8C4D" wp14:editId="13EAF26F">
            <wp:extent cx="5943600" cy="4232816"/>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hane:Dropbox:Shane Breeden-Brosnan:Data for Analysis:graphs:glyphosate control data.jpg"/>
                    <pic:cNvPicPr>
                      <a:picLocks noChangeAspect="1" noChangeArrowheads="1"/>
                    </pic:cNvPicPr>
                  </pic:nvPicPr>
                  <pic:blipFill>
                    <a:blip r:embed="rId14" cstate="print">
                      <a:extLst>
                        <a:ext uri="{28A0092B-C50C-407E-A947-70E740481C1C}">
                          <a14:useLocalDpi xmlns:a14="http://schemas.microsoft.com/office/drawing/2010/main"/>
                        </a:ext>
                      </a:extLst>
                    </a:blip>
                    <a:stretch>
                      <a:fillRect/>
                    </a:stretch>
                  </pic:blipFill>
                  <pic:spPr bwMode="auto">
                    <a:xfrm>
                      <a:off x="0" y="0"/>
                      <a:ext cx="5943600" cy="4232816"/>
                    </a:xfrm>
                    <a:prstGeom prst="rect">
                      <a:avLst/>
                    </a:prstGeom>
                    <a:noFill/>
                    <a:ln>
                      <a:noFill/>
                    </a:ln>
                  </pic:spPr>
                </pic:pic>
              </a:graphicData>
            </a:graphic>
          </wp:inline>
        </w:drawing>
      </w:r>
    </w:p>
    <w:p w14:paraId="62FD4D45" w14:textId="4B17120C" w:rsidR="00294DD0" w:rsidRDefault="001421A6" w:rsidP="00B43A0E">
      <w:pPr>
        <w:pStyle w:val="FigureHeading"/>
      </w:pPr>
      <w:bookmarkStart w:id="89" w:name="_Toc308873619"/>
      <w:r w:rsidRPr="006A2095">
        <w:t xml:space="preserve">Figure 3. </w:t>
      </w:r>
      <w:bookmarkEnd w:id="81"/>
      <w:r w:rsidRPr="006A2095">
        <w:t xml:space="preserve">Effect of </w:t>
      </w:r>
      <w:r>
        <w:t>glyphosate</w:t>
      </w:r>
      <w:r w:rsidRPr="006A2095">
        <w:t xml:space="preserve"> treatment on control of </w:t>
      </w:r>
      <w:r>
        <w:t>glyphosate resistant and susceptible annual bluegrass (</w:t>
      </w:r>
      <w:r w:rsidRPr="001B27AC">
        <w:rPr>
          <w:i/>
        </w:rPr>
        <w:t>Poa annua</w:t>
      </w:r>
      <w:r>
        <w:t xml:space="preserve"> L.)</w:t>
      </w:r>
      <w:r w:rsidRPr="006A2095">
        <w:t xml:space="preserve"> 35 </w:t>
      </w:r>
      <w:r>
        <w:t>days after treatment (</w:t>
      </w:r>
      <w:r w:rsidRPr="006A2095">
        <w:t>DAT</w:t>
      </w:r>
      <w:r>
        <w:t>)</w:t>
      </w:r>
      <w:r w:rsidRPr="006A2095">
        <w:t xml:space="preserve"> with </w:t>
      </w:r>
      <w:r>
        <w:t xml:space="preserve">glyphosate at </w:t>
      </w:r>
      <w:r w:rsidRPr="006A2095">
        <w:t>0, 105, 210, 420, 840, 1680, 3360, and 6720 g ha</w:t>
      </w:r>
      <w:r w:rsidRPr="00D85225">
        <w:rPr>
          <w:vertAlign w:val="superscript"/>
        </w:rPr>
        <w:t>-1</w:t>
      </w:r>
      <w:r w:rsidRPr="006A2095">
        <w:t xml:space="preserve"> during spring 2015 in</w:t>
      </w:r>
      <w:r>
        <w:t xml:space="preserve"> a glasshouse </w:t>
      </w:r>
      <w:r w:rsidR="00294DD0">
        <w:t>at the University of Tennessee (</w:t>
      </w:r>
      <w:r w:rsidRPr="006A2095">
        <w:t>Knoxville, TN</w:t>
      </w:r>
      <w:r w:rsidR="00294DD0">
        <w:t>)</w:t>
      </w:r>
      <w:r w:rsidRPr="006A2095">
        <w:t xml:space="preserve">. </w:t>
      </w:r>
      <w:r>
        <w:t xml:space="preserve">Glyphosate rates resulting in 50% annual bluegrass control </w:t>
      </w:r>
      <w:r w:rsidRPr="006A2095">
        <w:t xml:space="preserve">for the </w:t>
      </w:r>
      <w:r>
        <w:t>resistant</w:t>
      </w:r>
      <w:r w:rsidRPr="006A2095">
        <w:t xml:space="preserve"> and</w:t>
      </w:r>
      <w:r>
        <w:t xml:space="preserve"> susceptible</w:t>
      </w:r>
      <w:r w:rsidRPr="006A2095">
        <w:t xml:space="preserve"> </w:t>
      </w:r>
      <w:r w:rsidRPr="00F54B84">
        <w:t xml:space="preserve">biotypes were </w:t>
      </w:r>
      <w:r w:rsidR="00DE3A32">
        <w:t>3908</w:t>
      </w:r>
      <w:r w:rsidR="00DE3A32" w:rsidRPr="006A2095">
        <w:t xml:space="preserve"> </w:t>
      </w:r>
      <w:r w:rsidRPr="006A2095">
        <w:t>and</w:t>
      </w:r>
      <w:r w:rsidRPr="00F54B84">
        <w:t xml:space="preserve"> </w:t>
      </w:r>
      <w:r w:rsidR="00A82E38">
        <w:t>393</w:t>
      </w:r>
      <w:r w:rsidR="00A82E38" w:rsidRPr="006A2095">
        <w:t xml:space="preserve"> </w:t>
      </w:r>
      <w:r w:rsidRPr="00F54B84">
        <w:t>g ha</w:t>
      </w:r>
      <w:r w:rsidRPr="00D85225">
        <w:rPr>
          <w:vertAlign w:val="superscript"/>
        </w:rPr>
        <w:t>-1</w:t>
      </w:r>
      <w:r w:rsidRPr="00F54B84">
        <w:t>, respectively</w:t>
      </w:r>
      <w:r w:rsidRPr="006A2095">
        <w:t>.</w:t>
      </w:r>
      <w:bookmarkEnd w:id="82"/>
      <w:bookmarkEnd w:id="83"/>
      <w:bookmarkEnd w:id="84"/>
      <w:r w:rsidR="009259C4">
        <w:t xml:space="preserve"> </w:t>
      </w:r>
      <w:r w:rsidR="00294DD0">
        <w:t>Error bars represent standard error of the mean.</w:t>
      </w:r>
      <w:bookmarkEnd w:id="85"/>
      <w:bookmarkEnd w:id="86"/>
      <w:bookmarkEnd w:id="87"/>
      <w:bookmarkEnd w:id="88"/>
      <w:bookmarkEnd w:id="89"/>
    </w:p>
    <w:p w14:paraId="406CB059" w14:textId="6256A509" w:rsidR="001421A6" w:rsidRDefault="001421A6" w:rsidP="00184453">
      <w:pPr>
        <w:pStyle w:val="FigureHeading"/>
      </w:pPr>
    </w:p>
    <w:p w14:paraId="63B028F0" w14:textId="77777777" w:rsidR="00294DD0" w:rsidRDefault="00294DD0" w:rsidP="00184453">
      <w:pPr>
        <w:pStyle w:val="FigureHeading"/>
      </w:pPr>
    </w:p>
    <w:p w14:paraId="781F7AAB" w14:textId="77777777" w:rsidR="00294DD0" w:rsidRPr="006A2095" w:rsidRDefault="00294DD0" w:rsidP="00184453">
      <w:pPr>
        <w:pStyle w:val="FigureHeading"/>
      </w:pPr>
    </w:p>
    <w:p w14:paraId="288BAF8E" w14:textId="74FC118B" w:rsidR="001F2916" w:rsidRDefault="001F2916">
      <w:pPr>
        <w:rPr>
          <w:b/>
          <w:bCs/>
          <w:sz w:val="20"/>
          <w:szCs w:val="20"/>
        </w:rPr>
      </w:pPr>
      <w:bookmarkStart w:id="90" w:name="_Toc294635525"/>
      <w:r>
        <w:br w:type="page"/>
      </w:r>
    </w:p>
    <w:p w14:paraId="652849BE" w14:textId="1A12E7CC" w:rsidR="001421A6" w:rsidRDefault="001421A6" w:rsidP="000F2351">
      <w:pPr>
        <w:pStyle w:val="TableHeading"/>
        <w:rPr>
          <w:vertAlign w:val="superscript"/>
        </w:rPr>
      </w:pPr>
      <w:bookmarkStart w:id="91" w:name="_Toc299892324"/>
      <w:bookmarkStart w:id="92" w:name="_Toc301519645"/>
      <w:bookmarkStart w:id="93" w:name="_Toc301775833"/>
      <w:bookmarkStart w:id="94" w:name="_Toc301776056"/>
      <w:bookmarkStart w:id="95" w:name="_Toc308873620"/>
      <w:r w:rsidRPr="005109A5">
        <w:t xml:space="preserve">Table 4. </w:t>
      </w:r>
      <w:r w:rsidR="00294DD0">
        <w:t>N</w:t>
      </w:r>
      <w:r w:rsidR="00A82E38">
        <w:t>on-linear</w:t>
      </w:r>
      <w:r w:rsidRPr="005109A5">
        <w:t xml:space="preserve"> regression equations modeling changes in annual bluegrass (</w:t>
      </w:r>
      <w:r w:rsidRPr="005109A5">
        <w:rPr>
          <w:i/>
        </w:rPr>
        <w:t>Poa annua</w:t>
      </w:r>
      <w:r w:rsidRPr="005109A5">
        <w:t xml:space="preserve"> L.) control with increasing rates of glyphosate applied to resistant and susceptible biotypes in a glasshouse at the University of Tennessee (Knoxville, TN) in 2015. Glyphosate was applied at 0, 105, 210, 420, 840, 1680, 3360, and 6720 g ha</w:t>
      </w:r>
      <w:r w:rsidRPr="005109A5">
        <w:rPr>
          <w:vertAlign w:val="superscript"/>
        </w:rPr>
        <w:t>-1</w:t>
      </w:r>
      <w:r w:rsidRPr="00B962D2">
        <w:t>.</w:t>
      </w:r>
      <w:bookmarkEnd w:id="90"/>
      <w:bookmarkEnd w:id="91"/>
      <w:bookmarkEnd w:id="92"/>
      <w:bookmarkEnd w:id="93"/>
      <w:bookmarkEnd w:id="94"/>
      <w:bookmarkEnd w:id="95"/>
      <w:r w:rsidR="009259C4" w:rsidRPr="009259C4">
        <w:t xml:space="preserve"> </w:t>
      </w:r>
    </w:p>
    <w:p w14:paraId="1EF34E85" w14:textId="77777777" w:rsidR="001421A6" w:rsidRDefault="001421A6" w:rsidP="001421A6"/>
    <w:p w14:paraId="7717F7B7" w14:textId="77777777" w:rsidR="001421A6" w:rsidRDefault="001421A6" w:rsidP="001421A6"/>
    <w:tbl>
      <w:tblPr>
        <w:tblStyle w:val="TableGrid"/>
        <w:tblW w:w="0" w:type="auto"/>
        <w:tblLayout w:type="fixed"/>
        <w:tblLook w:val="04A0" w:firstRow="1" w:lastRow="0" w:firstColumn="1" w:lastColumn="0" w:noHBand="0" w:noVBand="1"/>
      </w:tblPr>
      <w:tblGrid>
        <w:gridCol w:w="1458"/>
        <w:gridCol w:w="5040"/>
        <w:gridCol w:w="1620"/>
      </w:tblGrid>
      <w:tr w:rsidR="00A0305E" w:rsidRPr="004749A9" w14:paraId="44FBA34A" w14:textId="77777777" w:rsidTr="004749A9">
        <w:tc>
          <w:tcPr>
            <w:tcW w:w="1458" w:type="dxa"/>
            <w:tcBorders>
              <w:top w:val="nil"/>
              <w:left w:val="nil"/>
              <w:bottom w:val="single" w:sz="4" w:space="0" w:color="auto"/>
              <w:right w:val="nil"/>
            </w:tcBorders>
            <w:vAlign w:val="center"/>
          </w:tcPr>
          <w:p w14:paraId="1614AA74" w14:textId="77777777" w:rsidR="00A0305E" w:rsidRPr="004749A9" w:rsidRDefault="00A0305E" w:rsidP="00E253F2">
            <w:pPr>
              <w:tabs>
                <w:tab w:val="left" w:pos="4067"/>
              </w:tabs>
              <w:spacing w:line="480" w:lineRule="auto"/>
              <w:jc w:val="center"/>
              <w:rPr>
                <w:rFonts w:ascii="Arial" w:hAnsi="Arial"/>
                <w:b/>
              </w:rPr>
            </w:pPr>
            <w:r w:rsidRPr="004749A9">
              <w:rPr>
                <w:rFonts w:ascii="Arial" w:hAnsi="Arial"/>
                <w:b/>
              </w:rPr>
              <w:t>Biotype</w:t>
            </w:r>
          </w:p>
        </w:tc>
        <w:tc>
          <w:tcPr>
            <w:tcW w:w="5040" w:type="dxa"/>
            <w:tcBorders>
              <w:top w:val="nil"/>
              <w:left w:val="nil"/>
              <w:bottom w:val="single" w:sz="4" w:space="0" w:color="auto"/>
              <w:right w:val="nil"/>
            </w:tcBorders>
            <w:vAlign w:val="center"/>
          </w:tcPr>
          <w:p w14:paraId="31DBD24C" w14:textId="77777777" w:rsidR="00A0305E" w:rsidRPr="004749A9" w:rsidRDefault="00A0305E" w:rsidP="00845E58">
            <w:pPr>
              <w:tabs>
                <w:tab w:val="left" w:pos="4067"/>
              </w:tabs>
              <w:spacing w:line="480" w:lineRule="auto"/>
              <w:jc w:val="center"/>
              <w:rPr>
                <w:rFonts w:ascii="Arial" w:hAnsi="Arial"/>
                <w:b/>
              </w:rPr>
            </w:pPr>
            <w:r w:rsidRPr="004749A9">
              <w:rPr>
                <w:rFonts w:ascii="Arial" w:hAnsi="Arial"/>
                <w:b/>
              </w:rPr>
              <w:t>Regression Equation</w:t>
            </w:r>
          </w:p>
        </w:tc>
        <w:tc>
          <w:tcPr>
            <w:tcW w:w="1620" w:type="dxa"/>
            <w:tcBorders>
              <w:top w:val="nil"/>
              <w:left w:val="nil"/>
              <w:bottom w:val="single" w:sz="4" w:space="0" w:color="auto"/>
              <w:right w:val="nil"/>
            </w:tcBorders>
            <w:vAlign w:val="center"/>
          </w:tcPr>
          <w:p w14:paraId="591F8340" w14:textId="77777777" w:rsidR="00A0305E" w:rsidRPr="004749A9" w:rsidRDefault="00A0305E" w:rsidP="00E178D7">
            <w:pPr>
              <w:tabs>
                <w:tab w:val="left" w:pos="4067"/>
              </w:tabs>
              <w:spacing w:line="480" w:lineRule="auto"/>
              <w:jc w:val="center"/>
              <w:rPr>
                <w:rFonts w:ascii="Arial" w:hAnsi="Arial"/>
                <w:b/>
              </w:rPr>
            </w:pPr>
            <w:r w:rsidRPr="004749A9">
              <w:rPr>
                <w:rFonts w:ascii="Arial" w:hAnsi="Arial"/>
                <w:b/>
              </w:rPr>
              <w:t>P-value</w:t>
            </w:r>
          </w:p>
        </w:tc>
      </w:tr>
      <w:tr w:rsidR="00A0305E" w:rsidRPr="004749A9" w14:paraId="1D64F339" w14:textId="77777777" w:rsidTr="004749A9">
        <w:tc>
          <w:tcPr>
            <w:tcW w:w="1458" w:type="dxa"/>
            <w:tcBorders>
              <w:left w:val="nil"/>
              <w:bottom w:val="nil"/>
              <w:right w:val="nil"/>
            </w:tcBorders>
            <w:vAlign w:val="center"/>
          </w:tcPr>
          <w:p w14:paraId="04B42D7F" w14:textId="77777777" w:rsidR="00A0305E" w:rsidRPr="004749A9" w:rsidRDefault="00A0305E" w:rsidP="00E253F2">
            <w:pPr>
              <w:tabs>
                <w:tab w:val="left" w:pos="4067"/>
              </w:tabs>
              <w:spacing w:line="480" w:lineRule="auto"/>
              <w:jc w:val="center"/>
              <w:rPr>
                <w:rFonts w:ascii="Arial" w:hAnsi="Arial"/>
              </w:rPr>
            </w:pPr>
            <w:r w:rsidRPr="004749A9">
              <w:rPr>
                <w:rFonts w:ascii="Arial" w:hAnsi="Arial"/>
              </w:rPr>
              <w:t>Resistant</w:t>
            </w:r>
          </w:p>
        </w:tc>
        <w:tc>
          <w:tcPr>
            <w:tcW w:w="5040" w:type="dxa"/>
            <w:tcBorders>
              <w:left w:val="nil"/>
              <w:bottom w:val="nil"/>
              <w:right w:val="nil"/>
            </w:tcBorders>
            <w:vAlign w:val="center"/>
          </w:tcPr>
          <w:p w14:paraId="0F420BED" w14:textId="36F8A499" w:rsidR="00A0305E" w:rsidRPr="004749A9" w:rsidRDefault="00A0305E" w:rsidP="00E253F2">
            <w:pPr>
              <w:tabs>
                <w:tab w:val="left" w:pos="4067"/>
              </w:tabs>
              <w:spacing w:line="480" w:lineRule="auto"/>
              <w:jc w:val="center"/>
              <w:rPr>
                <w:rFonts w:ascii="Arial" w:hAnsi="Arial"/>
              </w:rPr>
            </w:pPr>
            <w:r w:rsidRPr="004749A9">
              <w:rPr>
                <w:rFonts w:ascii="Arial" w:hAnsi="Arial"/>
              </w:rPr>
              <w:t>Y = 0 + (100 – 0)/(1 + 10</w:t>
            </w:r>
            <w:r w:rsidRPr="004749A9">
              <w:rPr>
                <w:rFonts w:ascii="Arial" w:hAnsi="Arial"/>
                <w:vertAlign w:val="superscript"/>
              </w:rPr>
              <w:t>((3908 – X) * 0.0004599)</w:t>
            </w:r>
            <w:r w:rsidRPr="004749A9">
              <w:rPr>
                <w:rFonts w:ascii="Arial" w:hAnsi="Arial"/>
              </w:rPr>
              <w:t>)</w:t>
            </w:r>
          </w:p>
        </w:tc>
        <w:tc>
          <w:tcPr>
            <w:tcW w:w="1620" w:type="dxa"/>
            <w:tcBorders>
              <w:left w:val="nil"/>
              <w:bottom w:val="nil"/>
              <w:right w:val="nil"/>
            </w:tcBorders>
            <w:vAlign w:val="center"/>
          </w:tcPr>
          <w:p w14:paraId="73D02BB5" w14:textId="77777777" w:rsidR="00A0305E" w:rsidRPr="004749A9" w:rsidRDefault="00A0305E" w:rsidP="00845E58">
            <w:pPr>
              <w:tabs>
                <w:tab w:val="left" w:pos="4067"/>
              </w:tabs>
              <w:spacing w:line="480" w:lineRule="auto"/>
              <w:jc w:val="center"/>
              <w:rPr>
                <w:rFonts w:ascii="Arial" w:hAnsi="Arial"/>
              </w:rPr>
            </w:pPr>
            <w:r w:rsidRPr="004749A9">
              <w:rPr>
                <w:rFonts w:ascii="Arial" w:hAnsi="Arial"/>
              </w:rPr>
              <w:t>P&lt;0.0001</w:t>
            </w:r>
          </w:p>
        </w:tc>
      </w:tr>
      <w:tr w:rsidR="00A0305E" w:rsidRPr="004749A9" w14:paraId="33E15586" w14:textId="77777777" w:rsidTr="004749A9">
        <w:tc>
          <w:tcPr>
            <w:tcW w:w="1458" w:type="dxa"/>
            <w:tcBorders>
              <w:top w:val="nil"/>
              <w:left w:val="nil"/>
              <w:right w:val="nil"/>
            </w:tcBorders>
            <w:vAlign w:val="center"/>
          </w:tcPr>
          <w:p w14:paraId="44D396F1" w14:textId="77777777" w:rsidR="00A0305E" w:rsidRPr="004749A9" w:rsidRDefault="00A0305E" w:rsidP="00E253F2">
            <w:pPr>
              <w:tabs>
                <w:tab w:val="left" w:pos="4067"/>
              </w:tabs>
              <w:spacing w:line="480" w:lineRule="auto"/>
              <w:jc w:val="center"/>
              <w:rPr>
                <w:rFonts w:ascii="Arial" w:hAnsi="Arial"/>
              </w:rPr>
            </w:pPr>
            <w:r w:rsidRPr="004749A9">
              <w:rPr>
                <w:rFonts w:ascii="Arial" w:hAnsi="Arial"/>
              </w:rPr>
              <w:t>Susceptible</w:t>
            </w:r>
          </w:p>
        </w:tc>
        <w:tc>
          <w:tcPr>
            <w:tcW w:w="5040" w:type="dxa"/>
            <w:tcBorders>
              <w:top w:val="nil"/>
              <w:left w:val="nil"/>
              <w:right w:val="nil"/>
            </w:tcBorders>
            <w:vAlign w:val="center"/>
          </w:tcPr>
          <w:p w14:paraId="04526F1A" w14:textId="418BE1E8" w:rsidR="00A0305E" w:rsidRPr="004749A9" w:rsidRDefault="00A0305E" w:rsidP="00845E58">
            <w:pPr>
              <w:tabs>
                <w:tab w:val="left" w:pos="4067"/>
              </w:tabs>
              <w:spacing w:line="480" w:lineRule="auto"/>
              <w:jc w:val="center"/>
              <w:rPr>
                <w:rFonts w:ascii="Arial" w:hAnsi="Arial"/>
              </w:rPr>
            </w:pPr>
            <w:r w:rsidRPr="004749A9">
              <w:rPr>
                <w:rFonts w:ascii="Arial" w:hAnsi="Arial"/>
              </w:rPr>
              <w:t>Y = 0 + (100 – 0)/(1 + 10</w:t>
            </w:r>
            <w:r w:rsidRPr="004749A9">
              <w:rPr>
                <w:rFonts w:ascii="Arial" w:hAnsi="Arial"/>
                <w:vertAlign w:val="superscript"/>
              </w:rPr>
              <w:t>((393.2 – X) * 0.0033730)</w:t>
            </w:r>
            <w:r w:rsidRPr="004749A9">
              <w:rPr>
                <w:rFonts w:ascii="Arial" w:hAnsi="Arial"/>
              </w:rPr>
              <w:t>)</w:t>
            </w:r>
          </w:p>
        </w:tc>
        <w:tc>
          <w:tcPr>
            <w:tcW w:w="1620" w:type="dxa"/>
            <w:tcBorders>
              <w:top w:val="nil"/>
              <w:left w:val="nil"/>
              <w:right w:val="nil"/>
            </w:tcBorders>
            <w:vAlign w:val="center"/>
          </w:tcPr>
          <w:p w14:paraId="697CD9DC" w14:textId="77777777" w:rsidR="00A0305E" w:rsidRPr="004749A9" w:rsidRDefault="00A0305E" w:rsidP="00E178D7">
            <w:pPr>
              <w:tabs>
                <w:tab w:val="left" w:pos="4067"/>
              </w:tabs>
              <w:spacing w:line="480" w:lineRule="auto"/>
              <w:jc w:val="center"/>
              <w:rPr>
                <w:rFonts w:ascii="Arial" w:hAnsi="Arial"/>
              </w:rPr>
            </w:pPr>
            <w:r w:rsidRPr="004749A9">
              <w:rPr>
                <w:rFonts w:ascii="Arial" w:hAnsi="Arial"/>
              </w:rPr>
              <w:t>P&lt;0.0001</w:t>
            </w:r>
          </w:p>
        </w:tc>
      </w:tr>
    </w:tbl>
    <w:p w14:paraId="6D87188B" w14:textId="77777777" w:rsidR="001421A6" w:rsidRDefault="001421A6" w:rsidP="001421A6">
      <w:r>
        <w:br w:type="page"/>
      </w:r>
    </w:p>
    <w:p w14:paraId="22E714C6" w14:textId="77777777" w:rsidR="001F4029" w:rsidRDefault="001F4029" w:rsidP="001421A6"/>
    <w:p w14:paraId="71BA2DC5" w14:textId="77777777" w:rsidR="006C1736" w:rsidRDefault="006C1736" w:rsidP="00B43A0E">
      <w:pPr>
        <w:pStyle w:val="FigureHeading"/>
      </w:pPr>
      <w:bookmarkStart w:id="96" w:name="_Toc293653779"/>
      <w:bookmarkStart w:id="97" w:name="_Toc294190723"/>
      <w:bookmarkStart w:id="98" w:name="_Toc294435887"/>
      <w:bookmarkStart w:id="99" w:name="_Toc295553703"/>
      <w:bookmarkStart w:id="100" w:name="_Toc299892325"/>
      <w:bookmarkStart w:id="101" w:name="_Toc301519646"/>
      <w:bookmarkStart w:id="102" w:name="_Toc301775834"/>
      <w:bookmarkStart w:id="103" w:name="_Toc301776149"/>
      <w:r w:rsidRPr="006C1736">
        <w:drawing>
          <wp:inline distT="0" distB="0" distL="0" distR="0" wp14:anchorId="2B9CBD8C" wp14:editId="50F9C2F1">
            <wp:extent cx="5943600" cy="4584884"/>
            <wp:effectExtent l="0" t="0" r="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ane:Dropbox:Shane Breeden-Brosnan:Data for Analysis:graphs:Glyphosate biomass data.jpg"/>
                    <pic:cNvPicPr>
                      <a:picLocks noChangeAspect="1" noChangeArrowheads="1"/>
                    </pic:cNvPicPr>
                  </pic:nvPicPr>
                  <pic:blipFill>
                    <a:blip r:embed="rId15" cstate="print">
                      <a:extLst>
                        <a:ext uri="{28A0092B-C50C-407E-A947-70E740481C1C}">
                          <a14:useLocalDpi xmlns:a14="http://schemas.microsoft.com/office/drawing/2010/main"/>
                        </a:ext>
                      </a:extLst>
                    </a:blip>
                    <a:stretch>
                      <a:fillRect/>
                    </a:stretch>
                  </pic:blipFill>
                  <pic:spPr bwMode="auto">
                    <a:xfrm>
                      <a:off x="0" y="0"/>
                      <a:ext cx="5943600" cy="4584884"/>
                    </a:xfrm>
                    <a:prstGeom prst="rect">
                      <a:avLst/>
                    </a:prstGeom>
                    <a:noFill/>
                    <a:ln>
                      <a:noFill/>
                    </a:ln>
                  </pic:spPr>
                </pic:pic>
              </a:graphicData>
            </a:graphic>
          </wp:inline>
        </w:drawing>
      </w:r>
    </w:p>
    <w:p w14:paraId="699AF4CD" w14:textId="0E7AD089" w:rsidR="00B43A0E" w:rsidRDefault="001421A6" w:rsidP="00B43A0E">
      <w:pPr>
        <w:pStyle w:val="FigureHeading"/>
      </w:pPr>
      <w:bookmarkStart w:id="104" w:name="_Toc308873621"/>
      <w:r w:rsidRPr="000F2351">
        <w:t xml:space="preserve">Figure 4. </w:t>
      </w:r>
      <w:bookmarkEnd w:id="96"/>
      <w:r w:rsidRPr="000F2351">
        <w:t xml:space="preserve">Effect of glyphosate treatment on </w:t>
      </w:r>
      <w:r w:rsidR="00294DD0">
        <w:t>dry biomass</w:t>
      </w:r>
      <w:r w:rsidR="00294DD0" w:rsidRPr="000F2351">
        <w:t xml:space="preserve"> </w:t>
      </w:r>
      <w:r w:rsidRPr="000F2351">
        <w:t>of glyphosate resistant and susceptible annual bluegrass (</w:t>
      </w:r>
      <w:r w:rsidRPr="00184453">
        <w:rPr>
          <w:i/>
        </w:rPr>
        <w:t>Poa annua</w:t>
      </w:r>
      <w:r w:rsidRPr="000F2351">
        <w:t xml:space="preserve"> L.) 35 days after treatment (DAT) with glyphosate at 0, 105, 210, 420, 840, 1680, 3360, and 6720 g ha</w:t>
      </w:r>
      <w:r w:rsidRPr="00184453">
        <w:rPr>
          <w:vertAlign w:val="superscript"/>
        </w:rPr>
        <w:t>-1</w:t>
      </w:r>
      <w:r w:rsidRPr="000F2351">
        <w:t xml:space="preserve"> during spring 2015 in a glasshouse </w:t>
      </w:r>
      <w:r w:rsidR="00294DD0">
        <w:t>at the University of Tennessee (</w:t>
      </w:r>
      <w:r w:rsidRPr="000F2351">
        <w:t>Knoxville, TN</w:t>
      </w:r>
      <w:r w:rsidR="00294DD0">
        <w:t>)</w:t>
      </w:r>
      <w:r w:rsidRPr="000F2351">
        <w:t xml:space="preserve">. Glyphosate rates resulting in 50% annual bluegrass </w:t>
      </w:r>
      <w:r w:rsidR="00294DD0">
        <w:t xml:space="preserve">dry </w:t>
      </w:r>
      <w:r w:rsidRPr="000F2351">
        <w:t xml:space="preserve">biomass reduction for the resistant and susceptible biotypes were </w:t>
      </w:r>
      <w:r w:rsidR="00A82E38" w:rsidRPr="000F2351">
        <w:t xml:space="preserve">1940 </w:t>
      </w:r>
      <w:r w:rsidRPr="000F2351">
        <w:t xml:space="preserve">and </w:t>
      </w:r>
      <w:r w:rsidR="00A82E38" w:rsidRPr="000F2351">
        <w:t xml:space="preserve">229 </w:t>
      </w:r>
      <w:r w:rsidRPr="000F2351">
        <w:t>g ha</w:t>
      </w:r>
      <w:r w:rsidRPr="00184453">
        <w:rPr>
          <w:vertAlign w:val="superscript"/>
        </w:rPr>
        <w:t>-</w:t>
      </w:r>
      <w:r w:rsidRPr="00184453">
        <w:rPr>
          <w:rFonts w:eastAsiaTheme="minorHAnsi"/>
          <w:vertAlign w:val="superscript"/>
        </w:rPr>
        <w:t>1</w:t>
      </w:r>
      <w:r w:rsidRPr="000F2351">
        <w:t>, respectively.</w:t>
      </w:r>
      <w:bookmarkEnd w:id="97"/>
      <w:bookmarkEnd w:id="98"/>
      <w:bookmarkEnd w:id="99"/>
      <w:r w:rsidR="00F70980" w:rsidRPr="000F2351">
        <w:t xml:space="preserve"> </w:t>
      </w:r>
      <w:r w:rsidR="00B43A0E">
        <w:t>Error bars represent standard error of the mean.</w:t>
      </w:r>
      <w:bookmarkEnd w:id="100"/>
      <w:bookmarkEnd w:id="101"/>
      <w:bookmarkEnd w:id="102"/>
      <w:bookmarkEnd w:id="103"/>
      <w:bookmarkEnd w:id="104"/>
    </w:p>
    <w:p w14:paraId="4EDA9126" w14:textId="42AC8DBD" w:rsidR="001421A6" w:rsidRPr="000F2351" w:rsidRDefault="001421A6" w:rsidP="00184453">
      <w:pPr>
        <w:pStyle w:val="FigureHeading"/>
      </w:pPr>
      <w:bookmarkStart w:id="105" w:name="_Toc294635527"/>
    </w:p>
    <w:p w14:paraId="31FF3905" w14:textId="446F384C" w:rsidR="001421A6" w:rsidRDefault="001421A6" w:rsidP="000F2351">
      <w:pPr>
        <w:pStyle w:val="TableHeading"/>
      </w:pPr>
    </w:p>
    <w:p w14:paraId="273B42F8" w14:textId="77777777" w:rsidR="001421A6" w:rsidRDefault="001421A6" w:rsidP="000F2351">
      <w:pPr>
        <w:pStyle w:val="TableHeading"/>
      </w:pPr>
    </w:p>
    <w:p w14:paraId="33F80CEC" w14:textId="667AFAD6" w:rsidR="00EF5D8A" w:rsidRDefault="00EF5D8A">
      <w:pPr>
        <w:rPr>
          <w:rFonts w:ascii="Times New Roman" w:eastAsiaTheme="majorEastAsia" w:hAnsi="Times New Roman" w:cstheme="majorBidi"/>
          <w:b/>
          <w:bCs/>
          <w:szCs w:val="26"/>
        </w:rPr>
      </w:pPr>
    </w:p>
    <w:p w14:paraId="6E26BBF5" w14:textId="77777777" w:rsidR="00F70980" w:rsidRDefault="00F70980">
      <w:pPr>
        <w:rPr>
          <w:b/>
          <w:bCs/>
          <w:sz w:val="20"/>
          <w:szCs w:val="20"/>
        </w:rPr>
      </w:pPr>
      <w:r>
        <w:br w:type="page"/>
      </w:r>
    </w:p>
    <w:p w14:paraId="447ADA47" w14:textId="46406857" w:rsidR="001421A6" w:rsidRDefault="001421A6" w:rsidP="00B43A0E">
      <w:pPr>
        <w:pStyle w:val="TableHeading"/>
      </w:pPr>
      <w:bookmarkStart w:id="106" w:name="_Toc299892326"/>
      <w:bookmarkStart w:id="107" w:name="_Toc301519647"/>
      <w:bookmarkStart w:id="108" w:name="_Toc301775835"/>
      <w:bookmarkStart w:id="109" w:name="_Toc301776057"/>
      <w:bookmarkStart w:id="110" w:name="_Toc308873622"/>
      <w:r w:rsidRPr="000F2351">
        <w:t xml:space="preserve">Table 5. </w:t>
      </w:r>
      <w:r w:rsidR="00B43A0E">
        <w:t>N</w:t>
      </w:r>
      <w:r w:rsidR="00A82E38" w:rsidRPr="000F2351">
        <w:t>on-linear</w:t>
      </w:r>
      <w:r w:rsidRPr="000F2351">
        <w:t xml:space="preserve"> regression equations modeling changes in annual bluegrass (</w:t>
      </w:r>
      <w:r w:rsidRPr="00184453">
        <w:rPr>
          <w:i/>
        </w:rPr>
        <w:t>Poa annua</w:t>
      </w:r>
      <w:r w:rsidRPr="000F2351">
        <w:t xml:space="preserve"> L.) dry biomass with increasing rates of glyphosate applied to resistant and susceptible biotypes in a glasshouse at the University of Tennessee (Knoxville, TN) in 2015. Glyphosate was applied at 0, 105, 210, 420, 840, 1680, 3360, and 6720 g ha</w:t>
      </w:r>
      <w:r w:rsidRPr="00184453">
        <w:rPr>
          <w:vertAlign w:val="superscript"/>
        </w:rPr>
        <w:t>-1</w:t>
      </w:r>
      <w:r w:rsidRPr="000F2351">
        <w:t>.</w:t>
      </w:r>
      <w:bookmarkEnd w:id="105"/>
      <w:bookmarkEnd w:id="106"/>
      <w:bookmarkEnd w:id="107"/>
      <w:bookmarkEnd w:id="108"/>
      <w:bookmarkEnd w:id="109"/>
      <w:bookmarkEnd w:id="110"/>
      <w:r w:rsidR="00F70980" w:rsidRPr="000F2351">
        <w:t xml:space="preserve"> </w:t>
      </w:r>
    </w:p>
    <w:p w14:paraId="22179F84" w14:textId="77777777" w:rsidR="00253444" w:rsidRDefault="00253444" w:rsidP="00B43A0E">
      <w:pPr>
        <w:pStyle w:val="TableHeading"/>
      </w:pPr>
    </w:p>
    <w:tbl>
      <w:tblPr>
        <w:tblStyle w:val="TableGrid"/>
        <w:tblW w:w="0" w:type="auto"/>
        <w:tblLayout w:type="fixed"/>
        <w:tblLook w:val="04A0" w:firstRow="1" w:lastRow="0" w:firstColumn="1" w:lastColumn="0" w:noHBand="0" w:noVBand="1"/>
      </w:tblPr>
      <w:tblGrid>
        <w:gridCol w:w="1368"/>
        <w:gridCol w:w="5400"/>
        <w:gridCol w:w="1350"/>
      </w:tblGrid>
      <w:tr w:rsidR="00A0305E" w:rsidRPr="000B5C53" w14:paraId="1E6CDA50" w14:textId="77777777" w:rsidTr="004A096A">
        <w:tc>
          <w:tcPr>
            <w:tcW w:w="1368" w:type="dxa"/>
            <w:tcBorders>
              <w:top w:val="nil"/>
              <w:left w:val="nil"/>
              <w:bottom w:val="single" w:sz="4" w:space="0" w:color="auto"/>
              <w:right w:val="nil"/>
            </w:tcBorders>
            <w:vAlign w:val="bottom"/>
          </w:tcPr>
          <w:p w14:paraId="2F32DA71" w14:textId="77777777" w:rsidR="00A0305E" w:rsidRPr="004A096A" w:rsidRDefault="00A0305E" w:rsidP="008D5386">
            <w:pPr>
              <w:tabs>
                <w:tab w:val="left" w:pos="4067"/>
              </w:tabs>
              <w:spacing w:line="480" w:lineRule="auto"/>
              <w:jc w:val="center"/>
              <w:rPr>
                <w:rFonts w:ascii="Arial" w:hAnsi="Arial"/>
                <w:b/>
              </w:rPr>
            </w:pPr>
            <w:r w:rsidRPr="004A096A">
              <w:rPr>
                <w:rFonts w:ascii="Arial" w:hAnsi="Arial"/>
                <w:b/>
              </w:rPr>
              <w:t>Biotype</w:t>
            </w:r>
          </w:p>
        </w:tc>
        <w:tc>
          <w:tcPr>
            <w:tcW w:w="5400" w:type="dxa"/>
            <w:tcBorders>
              <w:top w:val="nil"/>
              <w:left w:val="nil"/>
              <w:bottom w:val="single" w:sz="4" w:space="0" w:color="auto"/>
              <w:right w:val="nil"/>
            </w:tcBorders>
            <w:vAlign w:val="bottom"/>
          </w:tcPr>
          <w:p w14:paraId="4CF2EC34" w14:textId="77777777" w:rsidR="00A0305E" w:rsidRPr="004A096A" w:rsidRDefault="00A0305E" w:rsidP="008D5386">
            <w:pPr>
              <w:tabs>
                <w:tab w:val="left" w:pos="4067"/>
              </w:tabs>
              <w:spacing w:line="480" w:lineRule="auto"/>
              <w:jc w:val="center"/>
              <w:rPr>
                <w:rFonts w:ascii="Arial" w:hAnsi="Arial"/>
                <w:b/>
              </w:rPr>
            </w:pPr>
            <w:r w:rsidRPr="004A096A">
              <w:rPr>
                <w:rFonts w:ascii="Arial" w:hAnsi="Arial"/>
                <w:b/>
              </w:rPr>
              <w:t>Regression Equation</w:t>
            </w:r>
          </w:p>
        </w:tc>
        <w:tc>
          <w:tcPr>
            <w:tcW w:w="1350" w:type="dxa"/>
            <w:tcBorders>
              <w:top w:val="nil"/>
              <w:left w:val="nil"/>
              <w:bottom w:val="single" w:sz="4" w:space="0" w:color="auto"/>
              <w:right w:val="nil"/>
            </w:tcBorders>
            <w:vAlign w:val="bottom"/>
          </w:tcPr>
          <w:p w14:paraId="1E5C67DA" w14:textId="77777777" w:rsidR="00A0305E" w:rsidRPr="004A096A" w:rsidRDefault="00A0305E" w:rsidP="008D5386">
            <w:pPr>
              <w:tabs>
                <w:tab w:val="left" w:pos="4067"/>
              </w:tabs>
              <w:spacing w:line="480" w:lineRule="auto"/>
              <w:jc w:val="center"/>
              <w:rPr>
                <w:rFonts w:ascii="Arial" w:hAnsi="Arial"/>
                <w:b/>
              </w:rPr>
            </w:pPr>
            <w:r w:rsidRPr="004A096A">
              <w:rPr>
                <w:rFonts w:ascii="Arial" w:hAnsi="Arial"/>
                <w:b/>
              </w:rPr>
              <w:t>P-value</w:t>
            </w:r>
          </w:p>
        </w:tc>
      </w:tr>
      <w:tr w:rsidR="00A0305E" w:rsidRPr="000B5C53" w14:paraId="04AEFD72" w14:textId="77777777" w:rsidTr="004A096A">
        <w:tc>
          <w:tcPr>
            <w:tcW w:w="1368" w:type="dxa"/>
            <w:tcBorders>
              <w:left w:val="nil"/>
              <w:bottom w:val="nil"/>
              <w:right w:val="nil"/>
            </w:tcBorders>
            <w:vAlign w:val="bottom"/>
          </w:tcPr>
          <w:p w14:paraId="50FFFA84" w14:textId="77777777" w:rsidR="00A0305E" w:rsidRPr="000B5C53" w:rsidRDefault="00A0305E" w:rsidP="008D5386">
            <w:pPr>
              <w:tabs>
                <w:tab w:val="left" w:pos="4067"/>
              </w:tabs>
              <w:spacing w:line="480" w:lineRule="auto"/>
              <w:jc w:val="center"/>
            </w:pPr>
            <w:r>
              <w:t>Resistant</w:t>
            </w:r>
          </w:p>
        </w:tc>
        <w:tc>
          <w:tcPr>
            <w:tcW w:w="5400" w:type="dxa"/>
            <w:tcBorders>
              <w:left w:val="nil"/>
              <w:bottom w:val="nil"/>
              <w:right w:val="nil"/>
            </w:tcBorders>
            <w:vAlign w:val="bottom"/>
          </w:tcPr>
          <w:p w14:paraId="073A706D" w14:textId="687CC2C6" w:rsidR="00A0305E" w:rsidRPr="008D5386" w:rsidRDefault="00A0305E" w:rsidP="008D5386">
            <w:pPr>
              <w:tabs>
                <w:tab w:val="left" w:pos="4067"/>
              </w:tabs>
              <w:spacing w:line="480" w:lineRule="auto"/>
              <w:jc w:val="center"/>
              <w:rPr>
                <w:rFonts w:ascii="Arial" w:hAnsi="Arial"/>
              </w:rPr>
            </w:pPr>
            <w:r w:rsidRPr="00283362">
              <w:rPr>
                <w:rFonts w:ascii="Arial" w:hAnsi="Arial"/>
              </w:rPr>
              <w:t>Y</w:t>
            </w:r>
            <w:r>
              <w:rPr>
                <w:rFonts w:ascii="Arial" w:hAnsi="Arial"/>
              </w:rPr>
              <w:t xml:space="preserve"> = (100</w:t>
            </w:r>
            <w:r w:rsidRPr="00283362">
              <w:rPr>
                <w:rFonts w:ascii="Arial" w:hAnsi="Arial"/>
              </w:rPr>
              <w:t xml:space="preserve"> – </w:t>
            </w:r>
            <w:r>
              <w:rPr>
                <w:rFonts w:ascii="Arial" w:hAnsi="Arial"/>
              </w:rPr>
              <w:t>0) * exp(–0.0003573 * X) + 0</w:t>
            </w:r>
          </w:p>
        </w:tc>
        <w:tc>
          <w:tcPr>
            <w:tcW w:w="1350" w:type="dxa"/>
            <w:tcBorders>
              <w:left w:val="nil"/>
              <w:bottom w:val="nil"/>
              <w:right w:val="nil"/>
            </w:tcBorders>
            <w:vAlign w:val="bottom"/>
          </w:tcPr>
          <w:p w14:paraId="67F7AA3C" w14:textId="77777777" w:rsidR="00A0305E" w:rsidRPr="000B5C53" w:rsidRDefault="00A0305E" w:rsidP="008D5386">
            <w:pPr>
              <w:tabs>
                <w:tab w:val="left" w:pos="4067"/>
              </w:tabs>
              <w:spacing w:line="480" w:lineRule="auto"/>
              <w:jc w:val="center"/>
            </w:pPr>
            <w:r>
              <w:t>P&lt;0.0001</w:t>
            </w:r>
          </w:p>
        </w:tc>
      </w:tr>
      <w:tr w:rsidR="00A0305E" w:rsidRPr="000B5C53" w14:paraId="59BF85B1" w14:textId="77777777" w:rsidTr="004A096A">
        <w:tc>
          <w:tcPr>
            <w:tcW w:w="1368" w:type="dxa"/>
            <w:tcBorders>
              <w:top w:val="nil"/>
              <w:left w:val="nil"/>
              <w:right w:val="nil"/>
            </w:tcBorders>
            <w:vAlign w:val="bottom"/>
          </w:tcPr>
          <w:p w14:paraId="483DA8D3" w14:textId="77777777" w:rsidR="00A0305E" w:rsidRPr="000B5C53" w:rsidRDefault="00A0305E" w:rsidP="008D5386">
            <w:pPr>
              <w:tabs>
                <w:tab w:val="left" w:pos="4067"/>
              </w:tabs>
              <w:spacing w:line="480" w:lineRule="auto"/>
              <w:jc w:val="center"/>
            </w:pPr>
            <w:r>
              <w:t>Susceptible</w:t>
            </w:r>
          </w:p>
        </w:tc>
        <w:tc>
          <w:tcPr>
            <w:tcW w:w="5400" w:type="dxa"/>
            <w:tcBorders>
              <w:top w:val="nil"/>
              <w:left w:val="nil"/>
              <w:right w:val="nil"/>
            </w:tcBorders>
            <w:vAlign w:val="bottom"/>
          </w:tcPr>
          <w:p w14:paraId="00827927" w14:textId="72F2D25A" w:rsidR="00A0305E" w:rsidRPr="008D5386" w:rsidRDefault="00A0305E" w:rsidP="008D5386">
            <w:pPr>
              <w:tabs>
                <w:tab w:val="left" w:pos="4067"/>
              </w:tabs>
              <w:spacing w:line="480" w:lineRule="auto"/>
              <w:jc w:val="center"/>
              <w:rPr>
                <w:rFonts w:ascii="Arial" w:hAnsi="Arial"/>
              </w:rPr>
            </w:pPr>
            <w:r w:rsidRPr="00283362">
              <w:rPr>
                <w:rFonts w:ascii="Arial" w:hAnsi="Arial"/>
              </w:rPr>
              <w:t>Y</w:t>
            </w:r>
            <w:r>
              <w:rPr>
                <w:rFonts w:ascii="Arial" w:hAnsi="Arial"/>
              </w:rPr>
              <w:t xml:space="preserve"> = (100</w:t>
            </w:r>
            <w:r w:rsidRPr="00283362">
              <w:rPr>
                <w:rFonts w:ascii="Arial" w:hAnsi="Arial"/>
              </w:rPr>
              <w:t xml:space="preserve"> – </w:t>
            </w:r>
            <w:r>
              <w:rPr>
                <w:rFonts w:ascii="Arial" w:hAnsi="Arial"/>
              </w:rPr>
              <w:t>0) * exp(–0.003028 * X) + 0</w:t>
            </w:r>
          </w:p>
        </w:tc>
        <w:tc>
          <w:tcPr>
            <w:tcW w:w="1350" w:type="dxa"/>
            <w:tcBorders>
              <w:top w:val="nil"/>
              <w:left w:val="nil"/>
              <w:right w:val="nil"/>
            </w:tcBorders>
            <w:vAlign w:val="bottom"/>
          </w:tcPr>
          <w:p w14:paraId="286E801F" w14:textId="77777777" w:rsidR="00A0305E" w:rsidRPr="000B5C53" w:rsidRDefault="00A0305E" w:rsidP="008D5386">
            <w:pPr>
              <w:tabs>
                <w:tab w:val="left" w:pos="4067"/>
              </w:tabs>
              <w:spacing w:line="480" w:lineRule="auto"/>
              <w:jc w:val="center"/>
            </w:pPr>
            <w:r>
              <w:t>P&lt;0.0001</w:t>
            </w:r>
          </w:p>
        </w:tc>
      </w:tr>
    </w:tbl>
    <w:p w14:paraId="7F4F4CBD" w14:textId="77777777" w:rsidR="00253444" w:rsidRPr="00184453" w:rsidRDefault="00253444" w:rsidP="00B43A0E">
      <w:pPr>
        <w:pStyle w:val="TableHeading"/>
      </w:pPr>
    </w:p>
    <w:p w14:paraId="5A9876DE" w14:textId="77777777" w:rsidR="00A61E5A" w:rsidRPr="00794307" w:rsidRDefault="00A61E5A" w:rsidP="00794307"/>
    <w:p w14:paraId="3814BC12" w14:textId="77777777" w:rsidR="001421A6" w:rsidRDefault="001421A6" w:rsidP="000F2351">
      <w:pPr>
        <w:pStyle w:val="TableHeading"/>
        <w:rPr>
          <w:vertAlign w:val="superscript"/>
        </w:rPr>
      </w:pPr>
    </w:p>
    <w:p w14:paraId="72384298" w14:textId="77777777" w:rsidR="006C1736" w:rsidRDefault="001421A6" w:rsidP="00B43A0E">
      <w:pPr>
        <w:pStyle w:val="FigureHeading"/>
        <w:rPr>
          <w:noProof/>
        </w:rPr>
      </w:pPr>
      <w:r>
        <w:rPr>
          <w:noProof/>
        </w:rPr>
        <w:br w:type="page"/>
      </w:r>
      <w:bookmarkStart w:id="111" w:name="_Toc293653780"/>
      <w:bookmarkStart w:id="112" w:name="_Toc294189223"/>
      <w:bookmarkStart w:id="113" w:name="_Toc294190762"/>
      <w:bookmarkStart w:id="114" w:name="_Toc294435926"/>
      <w:bookmarkStart w:id="115" w:name="_Toc295553704"/>
      <w:bookmarkStart w:id="116" w:name="_Toc299892327"/>
      <w:bookmarkStart w:id="117" w:name="_Toc301519648"/>
      <w:bookmarkStart w:id="118" w:name="_Toc301775836"/>
      <w:bookmarkStart w:id="119" w:name="_Toc301776150"/>
      <w:r w:rsidR="006C1736" w:rsidRPr="006C1736">
        <w:rPr>
          <w:noProof/>
        </w:rPr>
        <w:drawing>
          <wp:inline distT="0" distB="0" distL="0" distR="0" wp14:anchorId="7DA2A401" wp14:editId="70A9F105">
            <wp:extent cx="5943600" cy="4080993"/>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hane:Dropbox:Shane Breeden-Brosnan:Data for Analysis:graphs:Shikimate 1.jpg"/>
                    <pic:cNvPicPr>
                      <a:picLocks noChangeAspect="1" noChangeArrowheads="1"/>
                    </pic:cNvPicPr>
                  </pic:nvPicPr>
                  <pic:blipFill>
                    <a:blip r:embed="rId16" cstate="print">
                      <a:extLst>
                        <a:ext uri="{28A0092B-C50C-407E-A947-70E740481C1C}">
                          <a14:useLocalDpi xmlns:a14="http://schemas.microsoft.com/office/drawing/2010/main"/>
                        </a:ext>
                      </a:extLst>
                    </a:blip>
                    <a:stretch>
                      <a:fillRect/>
                    </a:stretch>
                  </pic:blipFill>
                  <pic:spPr bwMode="auto">
                    <a:xfrm>
                      <a:off x="0" y="0"/>
                      <a:ext cx="5943600" cy="4080993"/>
                    </a:xfrm>
                    <a:prstGeom prst="rect">
                      <a:avLst/>
                    </a:prstGeom>
                    <a:noFill/>
                    <a:ln>
                      <a:noFill/>
                    </a:ln>
                  </pic:spPr>
                </pic:pic>
              </a:graphicData>
            </a:graphic>
          </wp:inline>
        </w:drawing>
      </w:r>
    </w:p>
    <w:p w14:paraId="07982D50" w14:textId="735FBD86" w:rsidR="001421A6" w:rsidRDefault="001421A6" w:rsidP="00B43A0E">
      <w:pPr>
        <w:pStyle w:val="FigureHeading"/>
      </w:pPr>
      <w:bookmarkStart w:id="120" w:name="_Toc308873623"/>
      <w:r w:rsidRPr="00F36573">
        <w:t xml:space="preserve">Figure 5. </w:t>
      </w:r>
      <w:bookmarkEnd w:id="111"/>
      <w:r w:rsidRPr="00C80CAD">
        <w:t>Shikimate concentrations (</w:t>
      </w:r>
      <w:r w:rsidR="004C7C4F">
        <w:t>mg</w:t>
      </w:r>
      <w:r w:rsidR="00A863D0">
        <w:t xml:space="preserve"> kg</w:t>
      </w:r>
      <w:r w:rsidR="00A863D0" w:rsidRPr="00E72BB2">
        <w:rPr>
          <w:vertAlign w:val="superscript"/>
        </w:rPr>
        <w:t>-1</w:t>
      </w:r>
      <w:r w:rsidRPr="00C80CAD">
        <w:t xml:space="preserve">) in </w:t>
      </w:r>
      <w:r>
        <w:t>glyphosate resistant and susceptible annual bluegrass (</w:t>
      </w:r>
      <w:r w:rsidRPr="004A25CB">
        <w:rPr>
          <w:i/>
        </w:rPr>
        <w:t>Poa annua</w:t>
      </w:r>
      <w:r>
        <w:t xml:space="preserve"> L.)</w:t>
      </w:r>
      <w:r w:rsidRPr="00C80CAD">
        <w:t xml:space="preserve"> </w:t>
      </w:r>
      <w:r>
        <w:t>following treatment with glyphosate a</w:t>
      </w:r>
      <w:r w:rsidRPr="00C80CAD">
        <w:t>t 420 g ha</w:t>
      </w:r>
      <w:r w:rsidRPr="00C80CAD">
        <w:rPr>
          <w:vertAlign w:val="superscript"/>
        </w:rPr>
        <w:t>-</w:t>
      </w:r>
      <w:r w:rsidRPr="006B58A7">
        <w:rPr>
          <w:vertAlign w:val="superscript"/>
        </w:rPr>
        <w:t>1</w:t>
      </w:r>
      <w:r w:rsidR="00A82E38" w:rsidRPr="009047A9">
        <w:t xml:space="preserve">. </w:t>
      </w:r>
      <w:r w:rsidRPr="009047A9">
        <w:t xml:space="preserve">Error bars represent standard error of the mean for each biotype at each timing. Shikimate concentrations in non-treated GR and SS plants were &lt; 200 </w:t>
      </w:r>
      <w:bookmarkEnd w:id="112"/>
      <w:r w:rsidR="004C7C4F">
        <w:t>mg</w:t>
      </w:r>
      <w:r w:rsidR="00A863D0">
        <w:t xml:space="preserve"> kg-1</w:t>
      </w:r>
      <w:r w:rsidRPr="009047A9">
        <w:t>.</w:t>
      </w:r>
      <w:bookmarkEnd w:id="113"/>
      <w:bookmarkEnd w:id="114"/>
      <w:bookmarkEnd w:id="115"/>
      <w:bookmarkEnd w:id="116"/>
      <w:r w:rsidR="00A05077" w:rsidRPr="009047A9">
        <w:t xml:space="preserve"> </w:t>
      </w:r>
      <w:bookmarkStart w:id="121" w:name="_Toc294635528"/>
      <w:r w:rsidR="008D5386">
        <w:t xml:space="preserve">Shikimate concentrations plateaued at 393.4 </w:t>
      </w:r>
      <w:r w:rsidR="004C7C4F">
        <w:t>mg</w:t>
      </w:r>
      <w:r w:rsidR="005D480C" w:rsidRPr="004C7C4F">
        <w:t xml:space="preserve"> kg</w:t>
      </w:r>
      <w:r w:rsidR="005D480C" w:rsidRPr="004C7C4F">
        <w:rPr>
          <w:vertAlign w:val="superscript"/>
        </w:rPr>
        <w:t>-1</w:t>
      </w:r>
      <w:r w:rsidR="008D5386">
        <w:t xml:space="preserve"> and 898.4 </w:t>
      </w:r>
      <w:r w:rsidR="004C7C4F">
        <w:t>mg</w:t>
      </w:r>
      <w:r w:rsidR="005D480C" w:rsidRPr="005D480C">
        <w:t xml:space="preserve"> kg</w:t>
      </w:r>
      <w:r w:rsidR="005D480C" w:rsidRPr="0036130C">
        <w:rPr>
          <w:vertAlign w:val="superscript"/>
        </w:rPr>
        <w:t>-1</w:t>
      </w:r>
      <w:r w:rsidR="008D5386">
        <w:t xml:space="preserve"> for resistant and susceptible POAAN biotypes respectively.</w:t>
      </w:r>
      <w:bookmarkEnd w:id="117"/>
      <w:bookmarkEnd w:id="118"/>
      <w:bookmarkEnd w:id="119"/>
      <w:bookmarkEnd w:id="120"/>
    </w:p>
    <w:p w14:paraId="740F0EB5" w14:textId="0F3300FD" w:rsidR="001421A6" w:rsidRDefault="001421A6" w:rsidP="000F2351">
      <w:pPr>
        <w:pStyle w:val="TableHeading"/>
      </w:pPr>
    </w:p>
    <w:p w14:paraId="00B41BE3" w14:textId="77777777" w:rsidR="001421A6" w:rsidRDefault="001421A6" w:rsidP="000F2351">
      <w:pPr>
        <w:pStyle w:val="TableHeading"/>
      </w:pPr>
    </w:p>
    <w:p w14:paraId="189E76C2" w14:textId="77777777" w:rsidR="001421A6" w:rsidRDefault="001421A6" w:rsidP="000F2351">
      <w:pPr>
        <w:pStyle w:val="TableHeading"/>
      </w:pPr>
    </w:p>
    <w:p w14:paraId="123EB929" w14:textId="77777777" w:rsidR="001421A6" w:rsidRDefault="001421A6" w:rsidP="000F2351">
      <w:pPr>
        <w:pStyle w:val="TableHeading"/>
      </w:pPr>
    </w:p>
    <w:p w14:paraId="0B522038" w14:textId="77777777" w:rsidR="001421A6" w:rsidRDefault="001421A6" w:rsidP="000F2351">
      <w:pPr>
        <w:pStyle w:val="TableHeading"/>
      </w:pPr>
    </w:p>
    <w:p w14:paraId="68AAB6A8" w14:textId="77777777" w:rsidR="001421A6" w:rsidRDefault="001421A6" w:rsidP="000F2351">
      <w:pPr>
        <w:pStyle w:val="TableHeading"/>
      </w:pPr>
    </w:p>
    <w:p w14:paraId="782E36F6" w14:textId="77777777" w:rsidR="001421A6" w:rsidRDefault="001421A6" w:rsidP="000F2351">
      <w:pPr>
        <w:pStyle w:val="TableHeading"/>
      </w:pPr>
    </w:p>
    <w:p w14:paraId="7FA70276" w14:textId="77777777" w:rsidR="00EF5D8A" w:rsidRDefault="00EF5D8A">
      <w:pPr>
        <w:rPr>
          <w:rFonts w:ascii="Times New Roman" w:eastAsiaTheme="majorEastAsia" w:hAnsi="Times New Roman" w:cstheme="majorBidi"/>
          <w:b/>
          <w:bCs/>
          <w:szCs w:val="26"/>
        </w:rPr>
      </w:pPr>
      <w:r>
        <w:rPr>
          <w:rFonts w:ascii="Times New Roman" w:eastAsiaTheme="majorEastAsia" w:hAnsi="Times New Roman" w:cstheme="majorBidi"/>
          <w:szCs w:val="26"/>
        </w:rPr>
        <w:br w:type="page"/>
      </w:r>
    </w:p>
    <w:p w14:paraId="79279BF2" w14:textId="79CF96B8" w:rsidR="001421A6" w:rsidRPr="003211B3" w:rsidRDefault="001421A6" w:rsidP="003211B3">
      <w:pPr>
        <w:pStyle w:val="TableHeading"/>
      </w:pPr>
      <w:bookmarkStart w:id="122" w:name="_Toc299892328"/>
      <w:bookmarkStart w:id="123" w:name="_Toc301519649"/>
      <w:bookmarkStart w:id="124" w:name="_Toc301775837"/>
      <w:bookmarkStart w:id="125" w:name="_Toc301776058"/>
      <w:bookmarkStart w:id="126" w:name="_Toc308873624"/>
      <w:r w:rsidRPr="005109A5">
        <w:t xml:space="preserve">Table 6. </w:t>
      </w:r>
      <w:r w:rsidR="00B43A0E">
        <w:t>N</w:t>
      </w:r>
      <w:r w:rsidR="00A82E38">
        <w:t>on-</w:t>
      </w:r>
      <w:r w:rsidR="00A82E38" w:rsidRPr="009047A9">
        <w:t xml:space="preserve">linear regression </w:t>
      </w:r>
      <w:r w:rsidRPr="009047A9">
        <w:t>equations modeling changes in glyphosate resistant and susceptible annual bluegrass (</w:t>
      </w:r>
      <w:r w:rsidRPr="009047A9">
        <w:rPr>
          <w:i/>
        </w:rPr>
        <w:t>Poa annua</w:t>
      </w:r>
      <w:r w:rsidRPr="009047A9">
        <w:t xml:space="preserve"> L.) shikimic acid accumulation following treatment with glyphosate at 420 g ha</w:t>
      </w:r>
      <w:r w:rsidRPr="009047A9">
        <w:rPr>
          <w:vertAlign w:val="superscript"/>
        </w:rPr>
        <w:t xml:space="preserve">-1 </w:t>
      </w:r>
      <w:r w:rsidRPr="009047A9">
        <w:t>in glasshouse at the University of Tennessee (Knoxville, TN) in 2015.</w:t>
      </w:r>
      <w:bookmarkEnd w:id="121"/>
      <w:bookmarkEnd w:id="122"/>
      <w:bookmarkEnd w:id="123"/>
      <w:bookmarkEnd w:id="124"/>
      <w:bookmarkEnd w:id="125"/>
      <w:bookmarkEnd w:id="126"/>
      <w:r w:rsidRPr="009047A9">
        <w:t xml:space="preserve"> </w:t>
      </w:r>
    </w:p>
    <w:p w14:paraId="4AB6253A" w14:textId="77777777" w:rsidR="001421A6" w:rsidRPr="003211B3" w:rsidRDefault="001421A6" w:rsidP="001421A6">
      <w:pPr>
        <w:spacing w:line="480" w:lineRule="auto"/>
        <w:rPr>
          <w:b/>
          <w:sz w:val="32"/>
        </w:rPr>
      </w:pPr>
    </w:p>
    <w:tbl>
      <w:tblPr>
        <w:tblStyle w:val="TableGrid"/>
        <w:tblW w:w="0" w:type="auto"/>
        <w:tblLayout w:type="fixed"/>
        <w:tblLook w:val="04A0" w:firstRow="1" w:lastRow="0" w:firstColumn="1" w:lastColumn="0" w:noHBand="0" w:noVBand="1"/>
      </w:tblPr>
      <w:tblGrid>
        <w:gridCol w:w="1368"/>
        <w:gridCol w:w="5400"/>
        <w:gridCol w:w="1350"/>
      </w:tblGrid>
      <w:tr w:rsidR="00A0305E" w:rsidRPr="004A096A" w14:paraId="331655C5" w14:textId="77777777" w:rsidTr="004A096A">
        <w:tc>
          <w:tcPr>
            <w:tcW w:w="1368" w:type="dxa"/>
            <w:tcBorders>
              <w:top w:val="nil"/>
              <w:left w:val="nil"/>
              <w:bottom w:val="single" w:sz="4" w:space="0" w:color="auto"/>
              <w:right w:val="nil"/>
            </w:tcBorders>
            <w:vAlign w:val="center"/>
          </w:tcPr>
          <w:p w14:paraId="79763CAE" w14:textId="4CB6E5BF" w:rsidR="00A0305E" w:rsidRPr="004A096A" w:rsidRDefault="00A0305E" w:rsidP="000B5C53">
            <w:pPr>
              <w:tabs>
                <w:tab w:val="left" w:pos="4067"/>
              </w:tabs>
              <w:spacing w:line="480" w:lineRule="auto"/>
              <w:jc w:val="center"/>
              <w:rPr>
                <w:rFonts w:ascii="Arial" w:hAnsi="Arial"/>
                <w:b/>
              </w:rPr>
            </w:pPr>
            <w:r w:rsidRPr="004A096A">
              <w:rPr>
                <w:rFonts w:ascii="Arial" w:hAnsi="Arial"/>
                <w:b/>
              </w:rPr>
              <w:t>Biotype</w:t>
            </w:r>
          </w:p>
        </w:tc>
        <w:tc>
          <w:tcPr>
            <w:tcW w:w="5400" w:type="dxa"/>
            <w:tcBorders>
              <w:top w:val="nil"/>
              <w:left w:val="nil"/>
              <w:bottom w:val="single" w:sz="4" w:space="0" w:color="auto"/>
              <w:right w:val="nil"/>
            </w:tcBorders>
            <w:vAlign w:val="center"/>
          </w:tcPr>
          <w:p w14:paraId="4802D4C6" w14:textId="1F98C01B" w:rsidR="00A0305E" w:rsidRPr="004A096A" w:rsidRDefault="00A0305E" w:rsidP="000B5C53">
            <w:pPr>
              <w:tabs>
                <w:tab w:val="left" w:pos="4067"/>
              </w:tabs>
              <w:spacing w:line="480" w:lineRule="auto"/>
              <w:jc w:val="center"/>
              <w:rPr>
                <w:rFonts w:ascii="Arial" w:hAnsi="Arial"/>
                <w:b/>
              </w:rPr>
            </w:pPr>
            <w:r w:rsidRPr="004A096A">
              <w:rPr>
                <w:rFonts w:ascii="Arial" w:hAnsi="Arial"/>
                <w:b/>
              </w:rPr>
              <w:t>Regression Equation</w:t>
            </w:r>
          </w:p>
        </w:tc>
        <w:tc>
          <w:tcPr>
            <w:tcW w:w="1350" w:type="dxa"/>
            <w:tcBorders>
              <w:top w:val="nil"/>
              <w:left w:val="nil"/>
              <w:bottom w:val="single" w:sz="4" w:space="0" w:color="auto"/>
              <w:right w:val="nil"/>
            </w:tcBorders>
            <w:vAlign w:val="center"/>
          </w:tcPr>
          <w:p w14:paraId="2FA9899F" w14:textId="420E9EFB" w:rsidR="00A0305E" w:rsidRPr="004A096A" w:rsidRDefault="00A0305E" w:rsidP="000B5C53">
            <w:pPr>
              <w:tabs>
                <w:tab w:val="left" w:pos="4067"/>
              </w:tabs>
              <w:spacing w:line="480" w:lineRule="auto"/>
              <w:jc w:val="center"/>
              <w:rPr>
                <w:rFonts w:ascii="Arial" w:hAnsi="Arial"/>
                <w:b/>
              </w:rPr>
            </w:pPr>
            <w:r w:rsidRPr="004A096A">
              <w:rPr>
                <w:rFonts w:ascii="Arial" w:hAnsi="Arial"/>
                <w:b/>
              </w:rPr>
              <w:t>P-value</w:t>
            </w:r>
          </w:p>
        </w:tc>
      </w:tr>
      <w:tr w:rsidR="00A0305E" w:rsidRPr="000B5C53" w14:paraId="5C03559C" w14:textId="77777777" w:rsidTr="004A096A">
        <w:tc>
          <w:tcPr>
            <w:tcW w:w="1368" w:type="dxa"/>
            <w:tcBorders>
              <w:left w:val="nil"/>
              <w:bottom w:val="nil"/>
              <w:right w:val="nil"/>
            </w:tcBorders>
            <w:vAlign w:val="center"/>
          </w:tcPr>
          <w:p w14:paraId="7AE5340A" w14:textId="01FF59F2" w:rsidR="00A0305E" w:rsidRPr="000B5C53" w:rsidRDefault="00A0305E" w:rsidP="000B5C53">
            <w:pPr>
              <w:tabs>
                <w:tab w:val="left" w:pos="4067"/>
              </w:tabs>
              <w:spacing w:line="480" w:lineRule="auto"/>
              <w:jc w:val="center"/>
            </w:pPr>
            <w:r>
              <w:t>Resistant</w:t>
            </w:r>
          </w:p>
        </w:tc>
        <w:tc>
          <w:tcPr>
            <w:tcW w:w="5400" w:type="dxa"/>
            <w:tcBorders>
              <w:left w:val="nil"/>
              <w:bottom w:val="nil"/>
              <w:right w:val="nil"/>
            </w:tcBorders>
            <w:vAlign w:val="center"/>
          </w:tcPr>
          <w:p w14:paraId="460A5CCB" w14:textId="31E88B1C" w:rsidR="00A0305E" w:rsidRPr="000B5C53" w:rsidRDefault="00A0305E" w:rsidP="000B5C53">
            <w:pPr>
              <w:tabs>
                <w:tab w:val="left" w:pos="4067"/>
              </w:tabs>
              <w:spacing w:line="480" w:lineRule="auto"/>
              <w:jc w:val="center"/>
            </w:pPr>
            <w:r w:rsidRPr="000B5C53">
              <w:t>Y = 141.1 + (393.4 – 141.1) *</w:t>
            </w:r>
            <w:r>
              <w:t xml:space="preserve"> (1 – exp(–0.7189 * x))</w:t>
            </w:r>
          </w:p>
        </w:tc>
        <w:tc>
          <w:tcPr>
            <w:tcW w:w="1350" w:type="dxa"/>
            <w:tcBorders>
              <w:left w:val="nil"/>
              <w:bottom w:val="nil"/>
              <w:right w:val="nil"/>
            </w:tcBorders>
            <w:vAlign w:val="center"/>
          </w:tcPr>
          <w:p w14:paraId="1696A6A6" w14:textId="3C2A45CC" w:rsidR="00A0305E" w:rsidRPr="000B5C53" w:rsidRDefault="00A0305E" w:rsidP="000B5C53">
            <w:pPr>
              <w:tabs>
                <w:tab w:val="left" w:pos="4067"/>
              </w:tabs>
              <w:spacing w:line="480" w:lineRule="auto"/>
              <w:jc w:val="center"/>
            </w:pPr>
            <w:r>
              <w:t>P&lt;0.0001</w:t>
            </w:r>
          </w:p>
        </w:tc>
      </w:tr>
      <w:tr w:rsidR="00A0305E" w:rsidRPr="000B5C53" w14:paraId="37296A03" w14:textId="77777777" w:rsidTr="004A096A">
        <w:tc>
          <w:tcPr>
            <w:tcW w:w="1368" w:type="dxa"/>
            <w:tcBorders>
              <w:top w:val="nil"/>
              <w:left w:val="nil"/>
              <w:right w:val="nil"/>
            </w:tcBorders>
            <w:vAlign w:val="center"/>
          </w:tcPr>
          <w:p w14:paraId="06F825EE" w14:textId="57D80C03" w:rsidR="00A0305E" w:rsidRPr="000B5C53" w:rsidRDefault="00A0305E" w:rsidP="000B5C53">
            <w:pPr>
              <w:tabs>
                <w:tab w:val="left" w:pos="4067"/>
              </w:tabs>
              <w:spacing w:line="480" w:lineRule="auto"/>
              <w:jc w:val="center"/>
            </w:pPr>
            <w:r>
              <w:t>Susceptible</w:t>
            </w:r>
          </w:p>
        </w:tc>
        <w:tc>
          <w:tcPr>
            <w:tcW w:w="5400" w:type="dxa"/>
            <w:tcBorders>
              <w:top w:val="nil"/>
              <w:left w:val="nil"/>
              <w:right w:val="nil"/>
            </w:tcBorders>
            <w:vAlign w:val="center"/>
          </w:tcPr>
          <w:p w14:paraId="78D3D048" w14:textId="0AA26A9F" w:rsidR="00A0305E" w:rsidRPr="000B5C53" w:rsidRDefault="00A0305E" w:rsidP="000B5C53">
            <w:pPr>
              <w:tabs>
                <w:tab w:val="left" w:pos="4067"/>
              </w:tabs>
              <w:spacing w:line="480" w:lineRule="auto"/>
              <w:jc w:val="center"/>
            </w:pPr>
            <w:r>
              <w:t>Y = 78.96 + (898.4 – 78.96) * (1 – exp(–0.3754 * x))</w:t>
            </w:r>
          </w:p>
        </w:tc>
        <w:tc>
          <w:tcPr>
            <w:tcW w:w="1350" w:type="dxa"/>
            <w:tcBorders>
              <w:top w:val="nil"/>
              <w:left w:val="nil"/>
              <w:right w:val="nil"/>
            </w:tcBorders>
            <w:vAlign w:val="center"/>
          </w:tcPr>
          <w:p w14:paraId="70EA5C87" w14:textId="1A596999" w:rsidR="00A0305E" w:rsidRPr="000B5C53" w:rsidRDefault="00A0305E" w:rsidP="000B5C53">
            <w:pPr>
              <w:tabs>
                <w:tab w:val="left" w:pos="4067"/>
              </w:tabs>
              <w:spacing w:line="480" w:lineRule="auto"/>
              <w:jc w:val="center"/>
            </w:pPr>
            <w:r>
              <w:t>P&lt;0.0001</w:t>
            </w:r>
          </w:p>
        </w:tc>
      </w:tr>
    </w:tbl>
    <w:p w14:paraId="48BEEFEC" w14:textId="77777777" w:rsidR="001421A6" w:rsidRDefault="001421A6" w:rsidP="001421A6">
      <w:pPr>
        <w:tabs>
          <w:tab w:val="left" w:pos="4067"/>
        </w:tabs>
        <w:rPr>
          <w:sz w:val="32"/>
        </w:rPr>
      </w:pPr>
      <w:r>
        <w:rPr>
          <w:sz w:val="32"/>
        </w:rPr>
        <w:tab/>
      </w:r>
    </w:p>
    <w:p w14:paraId="4F7F9EC7" w14:textId="77777777" w:rsidR="006B792E" w:rsidRDefault="006B792E" w:rsidP="00AC7C01">
      <w:pPr>
        <w:pStyle w:val="Caption"/>
      </w:pPr>
    </w:p>
    <w:p w14:paraId="71ABE2F7" w14:textId="77777777" w:rsidR="006B792E" w:rsidRDefault="006B792E" w:rsidP="00AC7C01">
      <w:pPr>
        <w:pStyle w:val="Caption"/>
      </w:pPr>
    </w:p>
    <w:p w14:paraId="6A2F1CF5" w14:textId="77777777" w:rsidR="006B792E" w:rsidRDefault="006B792E" w:rsidP="00AC7C01">
      <w:pPr>
        <w:pStyle w:val="Caption"/>
      </w:pPr>
    </w:p>
    <w:p w14:paraId="2C76CD54" w14:textId="77777777" w:rsidR="006B792E" w:rsidRDefault="006B792E" w:rsidP="00AC7C01">
      <w:pPr>
        <w:pStyle w:val="Caption"/>
      </w:pPr>
    </w:p>
    <w:p w14:paraId="13A4986E" w14:textId="77777777" w:rsidR="006B792E" w:rsidRDefault="006B792E" w:rsidP="00AC7C01">
      <w:pPr>
        <w:pStyle w:val="Caption"/>
      </w:pPr>
    </w:p>
    <w:p w14:paraId="2C787839" w14:textId="77777777" w:rsidR="006B792E" w:rsidRDefault="006B792E" w:rsidP="00AC7C01">
      <w:pPr>
        <w:pStyle w:val="Caption"/>
      </w:pPr>
    </w:p>
    <w:p w14:paraId="24A8E864" w14:textId="77777777" w:rsidR="006B792E" w:rsidRDefault="006B792E" w:rsidP="00AC7C01">
      <w:pPr>
        <w:pStyle w:val="Caption"/>
      </w:pPr>
    </w:p>
    <w:p w14:paraId="0721D282" w14:textId="77777777" w:rsidR="00F70980" w:rsidRDefault="00F70980" w:rsidP="00AC7C01">
      <w:pPr>
        <w:pStyle w:val="Caption"/>
      </w:pPr>
    </w:p>
    <w:p w14:paraId="7F1302BA" w14:textId="77777777" w:rsidR="00F70980" w:rsidRDefault="00F70980">
      <w:pPr>
        <w:rPr>
          <w:b/>
          <w:bCs/>
          <w:sz w:val="20"/>
          <w:szCs w:val="20"/>
        </w:rPr>
      </w:pPr>
      <w:r>
        <w:br w:type="page"/>
      </w:r>
    </w:p>
    <w:p w14:paraId="2AE2B3C6" w14:textId="37958B6F" w:rsidR="001421A6" w:rsidRDefault="001421A6" w:rsidP="00B43A0E">
      <w:pPr>
        <w:pStyle w:val="TableHeading"/>
      </w:pPr>
      <w:bookmarkStart w:id="127" w:name="_Toc299892329"/>
      <w:bookmarkStart w:id="128" w:name="_Toc301519650"/>
      <w:bookmarkStart w:id="129" w:name="_Toc301775838"/>
      <w:bookmarkStart w:id="130" w:name="_Toc301776059"/>
      <w:bookmarkStart w:id="131" w:name="_Toc308873625"/>
      <w:r w:rsidRPr="005109A5">
        <w:t>Table 7. Effect of prodiamine, glyphosate, and glyphosate + prodiamine applications on annual bluegrass (</w:t>
      </w:r>
      <w:r w:rsidRPr="005109A5">
        <w:rPr>
          <w:i/>
        </w:rPr>
        <w:t>Poa annua</w:t>
      </w:r>
      <w:r w:rsidRPr="005109A5">
        <w:t xml:space="preserve"> L., POAAN) survival during 30 March 2015 to 13 April 2015 at Lambert Acres Golf Club (Alcoa, TN). All prodiamine treatments were applied on 19 August 2014 and all glyphosate treatments were applied on 4 February 2015.</w:t>
      </w:r>
      <w:bookmarkEnd w:id="127"/>
      <w:bookmarkEnd w:id="128"/>
      <w:bookmarkEnd w:id="129"/>
      <w:bookmarkEnd w:id="130"/>
      <w:bookmarkEnd w:id="131"/>
    </w:p>
    <w:p w14:paraId="24493937" w14:textId="77777777" w:rsidR="00A61E5A" w:rsidRPr="00A61E5A" w:rsidRDefault="00A61E5A" w:rsidP="00794307"/>
    <w:p w14:paraId="56178247" w14:textId="77777777" w:rsidR="001421A6" w:rsidRDefault="001421A6" w:rsidP="000F2351">
      <w:pPr>
        <w:pStyle w:val="TableHeading"/>
      </w:pPr>
    </w:p>
    <w:p w14:paraId="5EEDC558" w14:textId="77777777" w:rsidR="001421A6" w:rsidRDefault="001421A6" w:rsidP="000F2351">
      <w:pPr>
        <w:pStyle w:val="TableHeading"/>
        <w:rPr>
          <w:vertAlign w:val="superscript"/>
        </w:rPr>
      </w:pPr>
    </w:p>
    <w:p w14:paraId="58AC9721" w14:textId="77777777" w:rsidR="00B43A0E" w:rsidRDefault="00B43A0E" w:rsidP="000F2351">
      <w:pPr>
        <w:pStyle w:val="TableHeading"/>
        <w:rPr>
          <w:vertAlign w:val="superscript"/>
        </w:rPr>
      </w:pPr>
    </w:p>
    <w:p w14:paraId="702EB3A3" w14:textId="77777777" w:rsidR="00B43A0E" w:rsidRDefault="00B43A0E" w:rsidP="000F2351">
      <w:pPr>
        <w:pStyle w:val="TableHeading"/>
        <w:rPr>
          <w:vertAlign w:val="superscript"/>
        </w:rPr>
      </w:pPr>
    </w:p>
    <w:p w14:paraId="4AAE6E93" w14:textId="77777777" w:rsidR="00B43A0E" w:rsidRPr="00794307" w:rsidRDefault="00B43A0E" w:rsidP="000F2351">
      <w:pPr>
        <w:pStyle w:val="TableHeading"/>
        <w:rPr>
          <w:vertAlign w:val="superscript"/>
        </w:rPr>
      </w:pPr>
    </w:p>
    <w:p w14:paraId="62B89BDB" w14:textId="354BB514" w:rsidR="001421A6" w:rsidRPr="00E71A20" w:rsidRDefault="001421A6" w:rsidP="000F2351">
      <w:pPr>
        <w:pStyle w:val="TableHeading"/>
        <w:rPr>
          <w:b w:val="0"/>
        </w:rPr>
      </w:pPr>
      <w:bookmarkStart w:id="132" w:name="_Toc299716075"/>
      <w:bookmarkStart w:id="133" w:name="_Toc299892330"/>
      <w:bookmarkStart w:id="134" w:name="_Toc301519651"/>
      <w:bookmarkStart w:id="135" w:name="_Toc301775839"/>
      <w:bookmarkStart w:id="136" w:name="_Toc301776060"/>
      <w:bookmarkStart w:id="137" w:name="_Toc297301817"/>
      <w:bookmarkStart w:id="138" w:name="_Toc297971061"/>
      <w:bookmarkStart w:id="139" w:name="_Toc297971859"/>
      <w:bookmarkStart w:id="140" w:name="_Toc308873626"/>
      <w:r w:rsidRPr="00E71A20">
        <w:rPr>
          <w:b w:val="0"/>
          <w:vertAlign w:val="superscript"/>
        </w:rPr>
        <w:t>a</w:t>
      </w:r>
      <w:r w:rsidRPr="00E71A20">
        <w:rPr>
          <w:b w:val="0"/>
        </w:rPr>
        <w:t>Abreviations: POAAN, annual bluegrass</w:t>
      </w:r>
      <w:bookmarkEnd w:id="132"/>
      <w:bookmarkEnd w:id="133"/>
      <w:bookmarkEnd w:id="134"/>
      <w:bookmarkEnd w:id="135"/>
      <w:bookmarkEnd w:id="136"/>
      <w:r w:rsidR="0036130C">
        <w:rPr>
          <w:b w:val="0"/>
        </w:rPr>
        <w:t>.</w:t>
      </w:r>
      <w:bookmarkEnd w:id="140"/>
      <w:r w:rsidR="00B43A0E" w:rsidRPr="00E71A20">
        <w:rPr>
          <w:b w:val="0"/>
        </w:rPr>
        <w:br/>
      </w:r>
      <w:r w:rsidRPr="00E71A20">
        <w:rPr>
          <w:b w:val="0"/>
        </w:rPr>
        <w:t xml:space="preserve"> </w:t>
      </w:r>
      <w:bookmarkEnd w:id="137"/>
      <w:bookmarkEnd w:id="138"/>
      <w:bookmarkEnd w:id="139"/>
    </w:p>
    <w:p w14:paraId="5F40070F" w14:textId="640EA4AE" w:rsidR="001421A6" w:rsidRPr="008234C0" w:rsidRDefault="00B43A0E" w:rsidP="001421A6">
      <w:pPr>
        <w:rPr>
          <w:sz w:val="20"/>
          <w:szCs w:val="20"/>
        </w:rPr>
      </w:pPr>
      <w:r w:rsidRPr="008234C0">
        <w:rPr>
          <w:sz w:val="20"/>
          <w:szCs w:val="20"/>
          <w:vertAlign w:val="superscript"/>
        </w:rPr>
        <w:t>b</w:t>
      </w:r>
      <w:r w:rsidR="001421A6" w:rsidRPr="008234C0">
        <w:rPr>
          <w:sz w:val="20"/>
          <w:szCs w:val="20"/>
        </w:rPr>
        <w:t xml:space="preserve">Means </w:t>
      </w:r>
      <w:r>
        <w:rPr>
          <w:sz w:val="20"/>
          <w:szCs w:val="20"/>
        </w:rPr>
        <w:t>sharing the same letter are not significantly different from one another according to Fisher’s protected LSD at the P &lt; 0.05 level.</w:t>
      </w:r>
    </w:p>
    <w:p w14:paraId="365BB6DF" w14:textId="77777777" w:rsidR="001421A6" w:rsidRPr="00687E77" w:rsidRDefault="001421A6" w:rsidP="001421A6">
      <w:pPr>
        <w:rPr>
          <w:sz w:val="32"/>
        </w:rPr>
      </w:pPr>
    </w:p>
    <w:tbl>
      <w:tblPr>
        <w:tblStyle w:val="TableGrid"/>
        <w:tblpPr w:leftFromText="180" w:rightFromText="180" w:vertAnchor="page" w:horzAnchor="page" w:tblpX="2484" w:tblpY="2881"/>
        <w:tblW w:w="0" w:type="auto"/>
        <w:tblCellMar>
          <w:left w:w="72" w:type="dxa"/>
          <w:right w:w="72" w:type="dxa"/>
        </w:tblCellMar>
        <w:tblLook w:val="04A0" w:firstRow="1" w:lastRow="0" w:firstColumn="1" w:lastColumn="0" w:noHBand="0" w:noVBand="1"/>
      </w:tblPr>
      <w:tblGrid>
        <w:gridCol w:w="3258"/>
        <w:gridCol w:w="1350"/>
        <w:gridCol w:w="2430"/>
      </w:tblGrid>
      <w:tr w:rsidR="00F70980" w:rsidRPr="00C72B51" w14:paraId="73A17C95" w14:textId="77777777" w:rsidTr="00E71A20">
        <w:tc>
          <w:tcPr>
            <w:tcW w:w="3258" w:type="dxa"/>
            <w:tcBorders>
              <w:top w:val="nil"/>
              <w:left w:val="nil"/>
              <w:bottom w:val="single" w:sz="4" w:space="0" w:color="auto"/>
              <w:right w:val="nil"/>
            </w:tcBorders>
            <w:vAlign w:val="center"/>
          </w:tcPr>
          <w:p w14:paraId="13CA54FB" w14:textId="2299905B" w:rsidR="00F70980" w:rsidRPr="00794307" w:rsidRDefault="00F70980" w:rsidP="00F70980">
            <w:pPr>
              <w:spacing w:line="360" w:lineRule="auto"/>
              <w:jc w:val="center"/>
              <w:rPr>
                <w:rFonts w:ascii="Arial" w:hAnsi="Arial" w:cs="Arial"/>
                <w:b/>
              </w:rPr>
            </w:pPr>
            <w:r w:rsidRPr="00794307">
              <w:rPr>
                <w:rFonts w:ascii="Arial" w:hAnsi="Arial" w:cs="Arial"/>
                <w:b/>
              </w:rPr>
              <w:t>Treatment</w:t>
            </w:r>
          </w:p>
        </w:tc>
        <w:tc>
          <w:tcPr>
            <w:tcW w:w="1350" w:type="dxa"/>
            <w:tcBorders>
              <w:top w:val="nil"/>
              <w:left w:val="nil"/>
              <w:bottom w:val="single" w:sz="4" w:space="0" w:color="auto"/>
              <w:right w:val="nil"/>
            </w:tcBorders>
            <w:vAlign w:val="center"/>
          </w:tcPr>
          <w:p w14:paraId="542ADA21" w14:textId="77777777" w:rsidR="00F70980" w:rsidRPr="00794307" w:rsidRDefault="00F70980" w:rsidP="004A096A">
            <w:pPr>
              <w:tabs>
                <w:tab w:val="left" w:pos="4067"/>
              </w:tabs>
              <w:spacing w:line="480" w:lineRule="auto"/>
              <w:jc w:val="center"/>
              <w:rPr>
                <w:rFonts w:ascii="Arial" w:hAnsi="Arial" w:cs="Arial"/>
                <w:b/>
              </w:rPr>
            </w:pPr>
            <w:r w:rsidRPr="00794307">
              <w:rPr>
                <w:rFonts w:ascii="Arial" w:hAnsi="Arial" w:cs="Arial"/>
                <w:b/>
              </w:rPr>
              <w:t>N</w:t>
            </w:r>
          </w:p>
        </w:tc>
        <w:tc>
          <w:tcPr>
            <w:tcW w:w="2430" w:type="dxa"/>
            <w:tcBorders>
              <w:top w:val="nil"/>
              <w:left w:val="nil"/>
              <w:bottom w:val="single" w:sz="4" w:space="0" w:color="auto"/>
              <w:right w:val="nil"/>
            </w:tcBorders>
            <w:vAlign w:val="center"/>
          </w:tcPr>
          <w:p w14:paraId="0AFEFFA1" w14:textId="57DA93C9" w:rsidR="00F70980" w:rsidRPr="00794307" w:rsidRDefault="00F70980" w:rsidP="00F70980">
            <w:pPr>
              <w:spacing w:line="360" w:lineRule="auto"/>
              <w:jc w:val="center"/>
              <w:rPr>
                <w:rFonts w:ascii="Arial" w:hAnsi="Arial" w:cs="Arial"/>
                <w:b/>
              </w:rPr>
            </w:pPr>
            <w:r w:rsidRPr="00794307">
              <w:rPr>
                <w:rFonts w:ascii="Arial" w:hAnsi="Arial" w:cs="Arial"/>
                <w:b/>
                <w:color w:val="000000"/>
              </w:rPr>
              <w:t>POAAN</w:t>
            </w:r>
            <w:r w:rsidR="00B43A0E">
              <w:rPr>
                <w:rFonts w:ascii="Arial" w:hAnsi="Arial" w:cs="Arial"/>
                <w:b/>
                <w:color w:val="000000"/>
                <w:vertAlign w:val="superscript"/>
              </w:rPr>
              <w:t>a</w:t>
            </w:r>
            <w:r w:rsidRPr="00794307">
              <w:rPr>
                <w:rFonts w:ascii="Arial" w:hAnsi="Arial" w:cs="Arial"/>
                <w:b/>
                <w:color w:val="000000"/>
              </w:rPr>
              <w:t xml:space="preserve"> Plants</w:t>
            </w:r>
            <w:r w:rsidRPr="00794307">
              <w:rPr>
                <w:rFonts w:ascii="Arial" w:hAnsi="Arial" w:cs="Arial"/>
                <w:b/>
              </w:rPr>
              <w:t xml:space="preserve"> m</w:t>
            </w:r>
            <w:r w:rsidRPr="00794307">
              <w:rPr>
                <w:rFonts w:ascii="Arial" w:hAnsi="Arial" w:cs="Arial"/>
                <w:b/>
                <w:vertAlign w:val="superscript"/>
              </w:rPr>
              <w:t>-2</w:t>
            </w:r>
          </w:p>
        </w:tc>
      </w:tr>
      <w:tr w:rsidR="00F70980" w:rsidRPr="00C72B51" w14:paraId="5FC951EA" w14:textId="77777777" w:rsidTr="00E71A20">
        <w:tc>
          <w:tcPr>
            <w:tcW w:w="3258" w:type="dxa"/>
            <w:tcBorders>
              <w:left w:val="nil"/>
              <w:bottom w:val="nil"/>
              <w:right w:val="nil"/>
            </w:tcBorders>
            <w:vAlign w:val="center"/>
          </w:tcPr>
          <w:p w14:paraId="153549B5" w14:textId="794DB5FD" w:rsidR="00F70980" w:rsidRPr="00794307" w:rsidRDefault="00F70980" w:rsidP="00F70980">
            <w:pPr>
              <w:spacing w:line="360" w:lineRule="auto"/>
              <w:jc w:val="center"/>
              <w:rPr>
                <w:rFonts w:ascii="Arial" w:hAnsi="Arial" w:cs="Arial"/>
              </w:rPr>
            </w:pPr>
            <w:r w:rsidRPr="00794307">
              <w:rPr>
                <w:rFonts w:ascii="Arial" w:hAnsi="Arial" w:cs="Arial"/>
              </w:rPr>
              <w:t>Non</w:t>
            </w:r>
            <w:r w:rsidR="0036130C">
              <w:rPr>
                <w:rFonts w:ascii="Arial" w:hAnsi="Arial" w:cs="Arial"/>
              </w:rPr>
              <w:t>-</w:t>
            </w:r>
            <w:r w:rsidRPr="00794307">
              <w:rPr>
                <w:rFonts w:ascii="Arial" w:hAnsi="Arial" w:cs="Arial"/>
              </w:rPr>
              <w:t>treated</w:t>
            </w:r>
          </w:p>
        </w:tc>
        <w:tc>
          <w:tcPr>
            <w:tcW w:w="1350" w:type="dxa"/>
            <w:tcBorders>
              <w:left w:val="nil"/>
              <w:bottom w:val="nil"/>
              <w:right w:val="nil"/>
            </w:tcBorders>
            <w:vAlign w:val="center"/>
          </w:tcPr>
          <w:p w14:paraId="385955AF" w14:textId="77777777" w:rsidR="00F70980" w:rsidRPr="00794307" w:rsidRDefault="00F70980" w:rsidP="00F70980">
            <w:pPr>
              <w:spacing w:line="360" w:lineRule="auto"/>
              <w:jc w:val="center"/>
              <w:rPr>
                <w:rFonts w:ascii="Arial" w:hAnsi="Arial" w:cs="Arial"/>
              </w:rPr>
            </w:pPr>
            <w:r w:rsidRPr="00794307">
              <w:rPr>
                <w:rFonts w:ascii="Arial" w:hAnsi="Arial" w:cs="Arial"/>
              </w:rPr>
              <w:t>8</w:t>
            </w:r>
          </w:p>
        </w:tc>
        <w:tc>
          <w:tcPr>
            <w:tcW w:w="2430" w:type="dxa"/>
            <w:tcBorders>
              <w:left w:val="nil"/>
              <w:bottom w:val="nil"/>
              <w:right w:val="nil"/>
            </w:tcBorders>
            <w:vAlign w:val="center"/>
          </w:tcPr>
          <w:p w14:paraId="5638E580" w14:textId="6347E376" w:rsidR="00F70980" w:rsidRPr="008234C0" w:rsidRDefault="00F70980" w:rsidP="00B61644">
            <w:pPr>
              <w:spacing w:line="360" w:lineRule="auto"/>
              <w:jc w:val="center"/>
              <w:rPr>
                <w:rFonts w:ascii="Arial" w:hAnsi="Arial" w:cs="Arial"/>
                <w:vertAlign w:val="superscript"/>
              </w:rPr>
            </w:pPr>
            <w:r w:rsidRPr="00794307">
              <w:rPr>
                <w:rFonts w:ascii="Arial" w:hAnsi="Arial" w:cs="Arial"/>
              </w:rPr>
              <w:t>515 a</w:t>
            </w:r>
            <w:r w:rsidR="00B43A0E">
              <w:rPr>
                <w:rFonts w:ascii="Arial" w:hAnsi="Arial" w:cs="Arial"/>
                <w:vertAlign w:val="superscript"/>
              </w:rPr>
              <w:t>b</w:t>
            </w:r>
          </w:p>
        </w:tc>
      </w:tr>
      <w:tr w:rsidR="00F70980" w:rsidRPr="00C72B51" w14:paraId="462210C1" w14:textId="77777777" w:rsidTr="00E71A20">
        <w:tc>
          <w:tcPr>
            <w:tcW w:w="3258" w:type="dxa"/>
            <w:tcBorders>
              <w:top w:val="nil"/>
              <w:left w:val="nil"/>
              <w:bottom w:val="nil"/>
              <w:right w:val="nil"/>
            </w:tcBorders>
            <w:vAlign w:val="center"/>
          </w:tcPr>
          <w:p w14:paraId="495865DC" w14:textId="77777777" w:rsidR="00F70980" w:rsidRPr="00794307" w:rsidRDefault="00F70980" w:rsidP="00F70980">
            <w:pPr>
              <w:spacing w:line="360" w:lineRule="auto"/>
              <w:jc w:val="center"/>
              <w:rPr>
                <w:rFonts w:ascii="Arial" w:hAnsi="Arial" w:cs="Arial"/>
              </w:rPr>
            </w:pPr>
            <w:r w:rsidRPr="00794307">
              <w:rPr>
                <w:rFonts w:ascii="Arial" w:hAnsi="Arial" w:cs="Arial"/>
              </w:rPr>
              <w:t>Prodiamine</w:t>
            </w:r>
          </w:p>
        </w:tc>
        <w:tc>
          <w:tcPr>
            <w:tcW w:w="1350" w:type="dxa"/>
            <w:tcBorders>
              <w:top w:val="nil"/>
              <w:left w:val="nil"/>
              <w:bottom w:val="nil"/>
              <w:right w:val="nil"/>
            </w:tcBorders>
            <w:vAlign w:val="center"/>
          </w:tcPr>
          <w:p w14:paraId="5F487951" w14:textId="77777777" w:rsidR="00F70980" w:rsidRPr="00794307" w:rsidRDefault="00F70980" w:rsidP="00F70980">
            <w:pPr>
              <w:spacing w:line="360" w:lineRule="auto"/>
              <w:jc w:val="center"/>
              <w:rPr>
                <w:rFonts w:ascii="Arial" w:hAnsi="Arial" w:cs="Arial"/>
              </w:rPr>
            </w:pPr>
            <w:r w:rsidRPr="00794307">
              <w:rPr>
                <w:rFonts w:ascii="Arial" w:hAnsi="Arial" w:cs="Arial"/>
              </w:rPr>
              <w:t>8</w:t>
            </w:r>
          </w:p>
        </w:tc>
        <w:tc>
          <w:tcPr>
            <w:tcW w:w="2430" w:type="dxa"/>
            <w:tcBorders>
              <w:top w:val="nil"/>
              <w:left w:val="nil"/>
              <w:bottom w:val="nil"/>
              <w:right w:val="nil"/>
            </w:tcBorders>
            <w:vAlign w:val="center"/>
          </w:tcPr>
          <w:p w14:paraId="7A6314CE" w14:textId="031037E1" w:rsidR="00F70980" w:rsidRPr="00794307" w:rsidRDefault="00F70980" w:rsidP="00F70980">
            <w:pPr>
              <w:spacing w:line="360" w:lineRule="auto"/>
              <w:jc w:val="center"/>
              <w:rPr>
                <w:rFonts w:ascii="Arial" w:hAnsi="Arial" w:cs="Arial"/>
              </w:rPr>
            </w:pPr>
            <w:r w:rsidRPr="00794307">
              <w:rPr>
                <w:rFonts w:ascii="Arial" w:hAnsi="Arial" w:cs="Arial"/>
              </w:rPr>
              <w:t>611 a</w:t>
            </w:r>
          </w:p>
        </w:tc>
      </w:tr>
      <w:tr w:rsidR="00F70980" w:rsidRPr="00C72B51" w14:paraId="268AFA08" w14:textId="77777777" w:rsidTr="00E71A20">
        <w:tc>
          <w:tcPr>
            <w:tcW w:w="3258" w:type="dxa"/>
            <w:tcBorders>
              <w:top w:val="nil"/>
              <w:left w:val="nil"/>
              <w:bottom w:val="nil"/>
              <w:right w:val="nil"/>
            </w:tcBorders>
            <w:vAlign w:val="center"/>
          </w:tcPr>
          <w:p w14:paraId="23E9A7F0" w14:textId="77777777" w:rsidR="00F70980" w:rsidRPr="00794307" w:rsidRDefault="00F70980" w:rsidP="00F70980">
            <w:pPr>
              <w:spacing w:line="360" w:lineRule="auto"/>
              <w:jc w:val="center"/>
              <w:rPr>
                <w:rFonts w:ascii="Arial" w:hAnsi="Arial" w:cs="Arial"/>
              </w:rPr>
            </w:pPr>
            <w:r w:rsidRPr="00794307">
              <w:rPr>
                <w:rFonts w:ascii="Arial" w:hAnsi="Arial" w:cs="Arial"/>
              </w:rPr>
              <w:t>Glyphosate</w:t>
            </w:r>
          </w:p>
        </w:tc>
        <w:tc>
          <w:tcPr>
            <w:tcW w:w="1350" w:type="dxa"/>
            <w:tcBorders>
              <w:top w:val="nil"/>
              <w:left w:val="nil"/>
              <w:bottom w:val="nil"/>
              <w:right w:val="nil"/>
            </w:tcBorders>
            <w:vAlign w:val="center"/>
          </w:tcPr>
          <w:p w14:paraId="55DC6446" w14:textId="77777777" w:rsidR="00F70980" w:rsidRPr="00794307" w:rsidRDefault="00F70980" w:rsidP="00F70980">
            <w:pPr>
              <w:spacing w:line="360" w:lineRule="auto"/>
              <w:jc w:val="center"/>
              <w:rPr>
                <w:rFonts w:ascii="Arial" w:hAnsi="Arial" w:cs="Arial"/>
              </w:rPr>
            </w:pPr>
            <w:r w:rsidRPr="00794307">
              <w:rPr>
                <w:rFonts w:ascii="Arial" w:hAnsi="Arial" w:cs="Arial"/>
              </w:rPr>
              <w:t>8</w:t>
            </w:r>
          </w:p>
        </w:tc>
        <w:tc>
          <w:tcPr>
            <w:tcW w:w="2430" w:type="dxa"/>
            <w:tcBorders>
              <w:top w:val="nil"/>
              <w:left w:val="nil"/>
              <w:bottom w:val="nil"/>
              <w:right w:val="nil"/>
            </w:tcBorders>
            <w:vAlign w:val="center"/>
          </w:tcPr>
          <w:p w14:paraId="02FFB337" w14:textId="77777777" w:rsidR="00F70980" w:rsidRPr="00794307" w:rsidRDefault="00F70980" w:rsidP="00F70980">
            <w:pPr>
              <w:spacing w:line="360" w:lineRule="auto"/>
              <w:jc w:val="center"/>
              <w:rPr>
                <w:rFonts w:ascii="Arial" w:hAnsi="Arial" w:cs="Arial"/>
              </w:rPr>
            </w:pPr>
            <w:r w:rsidRPr="00794307">
              <w:rPr>
                <w:rFonts w:ascii="Arial" w:hAnsi="Arial" w:cs="Arial"/>
              </w:rPr>
              <w:t>590 a</w:t>
            </w:r>
          </w:p>
        </w:tc>
      </w:tr>
      <w:tr w:rsidR="00F70980" w:rsidRPr="00C72B51" w14:paraId="0C82E067" w14:textId="77777777" w:rsidTr="00E71A20">
        <w:tc>
          <w:tcPr>
            <w:tcW w:w="3258" w:type="dxa"/>
            <w:tcBorders>
              <w:top w:val="nil"/>
              <w:left w:val="nil"/>
              <w:bottom w:val="single" w:sz="4" w:space="0" w:color="auto"/>
              <w:right w:val="nil"/>
            </w:tcBorders>
            <w:vAlign w:val="center"/>
          </w:tcPr>
          <w:p w14:paraId="3CA6CF76" w14:textId="77777777" w:rsidR="00F70980" w:rsidRPr="00794307" w:rsidRDefault="00F70980" w:rsidP="00F70980">
            <w:pPr>
              <w:spacing w:line="360" w:lineRule="auto"/>
              <w:jc w:val="center"/>
              <w:rPr>
                <w:rFonts w:ascii="Arial" w:hAnsi="Arial" w:cs="Arial"/>
              </w:rPr>
            </w:pPr>
            <w:r w:rsidRPr="00794307">
              <w:rPr>
                <w:rFonts w:ascii="Arial" w:hAnsi="Arial" w:cs="Arial"/>
              </w:rPr>
              <w:t>Prodiamine + Glyphosate</w:t>
            </w:r>
          </w:p>
        </w:tc>
        <w:tc>
          <w:tcPr>
            <w:tcW w:w="1350" w:type="dxa"/>
            <w:tcBorders>
              <w:top w:val="nil"/>
              <w:left w:val="nil"/>
              <w:bottom w:val="single" w:sz="4" w:space="0" w:color="auto"/>
              <w:right w:val="nil"/>
            </w:tcBorders>
            <w:vAlign w:val="center"/>
          </w:tcPr>
          <w:p w14:paraId="6671C871" w14:textId="77777777" w:rsidR="00F70980" w:rsidRPr="00794307" w:rsidRDefault="00F70980" w:rsidP="00F70980">
            <w:pPr>
              <w:spacing w:line="360" w:lineRule="auto"/>
              <w:jc w:val="center"/>
              <w:rPr>
                <w:rFonts w:ascii="Arial" w:hAnsi="Arial" w:cs="Arial"/>
              </w:rPr>
            </w:pPr>
            <w:r w:rsidRPr="00794307">
              <w:rPr>
                <w:rFonts w:ascii="Arial" w:hAnsi="Arial" w:cs="Arial"/>
              </w:rPr>
              <w:t>8</w:t>
            </w:r>
          </w:p>
        </w:tc>
        <w:tc>
          <w:tcPr>
            <w:tcW w:w="2430" w:type="dxa"/>
            <w:tcBorders>
              <w:top w:val="nil"/>
              <w:left w:val="nil"/>
              <w:bottom w:val="single" w:sz="4" w:space="0" w:color="auto"/>
              <w:right w:val="nil"/>
            </w:tcBorders>
            <w:vAlign w:val="center"/>
          </w:tcPr>
          <w:p w14:paraId="36238A71" w14:textId="77777777" w:rsidR="00F70980" w:rsidRPr="00794307" w:rsidRDefault="00F70980" w:rsidP="00F70980">
            <w:pPr>
              <w:spacing w:line="360" w:lineRule="auto"/>
              <w:jc w:val="center"/>
              <w:rPr>
                <w:rFonts w:ascii="Arial" w:hAnsi="Arial" w:cs="Arial"/>
              </w:rPr>
            </w:pPr>
            <w:r w:rsidRPr="00794307">
              <w:rPr>
                <w:rFonts w:ascii="Arial" w:hAnsi="Arial" w:cs="Arial"/>
              </w:rPr>
              <w:t>559 a</w:t>
            </w:r>
          </w:p>
        </w:tc>
      </w:tr>
    </w:tbl>
    <w:p w14:paraId="057FC1DD" w14:textId="77777777" w:rsidR="001421A6" w:rsidRPr="009A1E08" w:rsidRDefault="001421A6" w:rsidP="001421A6">
      <w:pPr>
        <w:rPr>
          <w:sz w:val="32"/>
        </w:rPr>
        <w:sectPr w:rsidR="001421A6" w:rsidRPr="009A1E08" w:rsidSect="003211B3">
          <w:footerReference w:type="default" r:id="rId17"/>
          <w:pgSz w:w="12240" w:h="15840" w:code="1"/>
          <w:pgMar w:top="1440" w:right="1440" w:bottom="1440" w:left="1440" w:header="1440" w:footer="1440" w:gutter="0"/>
          <w:pgNumType w:start="1"/>
          <w:cols w:space="720"/>
          <w:docGrid w:linePitch="360"/>
        </w:sectPr>
      </w:pPr>
    </w:p>
    <w:p w14:paraId="666EB804" w14:textId="2BD60C41" w:rsidR="00236E6D" w:rsidRPr="007D538B" w:rsidRDefault="007D538B" w:rsidP="0031151B">
      <w:pPr>
        <w:pStyle w:val="Heading1"/>
        <w:jc w:val="center"/>
        <w:rPr>
          <w:b w:val="0"/>
        </w:rPr>
      </w:pPr>
      <w:bookmarkStart w:id="141" w:name="_Toc299892331"/>
      <w:bookmarkStart w:id="142" w:name="_Toc308873627"/>
      <w:r w:rsidRPr="007D538B">
        <w:rPr>
          <w:rStyle w:val="StyleHeading1CenteredChar"/>
          <w:b/>
          <w:caps w:val="0"/>
        </w:rPr>
        <w:t>VITA</w:t>
      </w:r>
      <w:bookmarkEnd w:id="141"/>
      <w:bookmarkEnd w:id="142"/>
    </w:p>
    <w:p w14:paraId="40964E70" w14:textId="77777777" w:rsidR="003D63DF" w:rsidRDefault="003D63DF" w:rsidP="003D63DF"/>
    <w:p w14:paraId="614C087C" w14:textId="43329475" w:rsidR="00AE125E" w:rsidRPr="003D63DF" w:rsidRDefault="003D63DF" w:rsidP="00C0131C">
      <w:pPr>
        <w:spacing w:line="480" w:lineRule="auto"/>
      </w:pPr>
      <w:r>
        <w:tab/>
      </w:r>
      <w:r w:rsidR="00F141AD" w:rsidRPr="004478AA">
        <w:t xml:space="preserve">Shane Matthew Breeden was born on June 13, 1990 in Vonore, TN to Bobby and Deborah Breeden.  Raised in Monroe County, TN, he attended Sequoyah High School and graduated in 2009.  He went on to pursue a degree in Biology at Maryville College, graduating in 2013 with a Bachelor of Arts degree.  He began pursuing his Master of Science degree in 2013 at the University of Tennessee. </w:t>
      </w:r>
    </w:p>
    <w:sectPr w:rsidR="00AE125E" w:rsidRPr="003D63DF" w:rsidSect="003211B3">
      <w:pgSz w:w="12240" w:h="15840" w:code="1"/>
      <w:pgMar w:top="1440" w:right="1440" w:bottom="1440" w:left="1440" w:header="1440" w:footer="1440"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CB536A" w14:textId="77777777" w:rsidR="009F30B2" w:rsidRDefault="009F30B2">
      <w:r>
        <w:separator/>
      </w:r>
    </w:p>
  </w:endnote>
  <w:endnote w:type="continuationSeparator" w:id="0">
    <w:p w14:paraId="124C3446" w14:textId="77777777" w:rsidR="009F30B2" w:rsidRDefault="009F3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 Pro W3">
    <w:altName w:val="ＭＳ 明朝"/>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9A1AE" w14:textId="77777777" w:rsidR="009F30B2" w:rsidRDefault="009F30B2">
    <w:pPr>
      <w:framePr w:wrap="notBeside" w:hAnchor="text" w:xAlign="center"/>
      <w:rPr>
        <w:noProof/>
      </w:rPr>
    </w:pPr>
    <w:r>
      <w:rPr>
        <w:noProof/>
      </w:rPr>
      <w:fldChar w:fldCharType="begin"/>
    </w:r>
    <w:r>
      <w:rPr>
        <w:noProof/>
      </w:rPr>
      <w:instrText xml:space="preserve"> PAGE  </w:instrText>
    </w:r>
    <w:r>
      <w:rPr>
        <w:noProof/>
      </w:rPr>
      <w:fldChar w:fldCharType="separate"/>
    </w:r>
    <w:r w:rsidR="00916C04">
      <w:rPr>
        <w:noProof/>
      </w:rPr>
      <w:t>ix</w:t>
    </w:r>
    <w:r>
      <w:rPr>
        <w:noProof/>
      </w:rPr>
      <w:fldChar w:fldCharType="end"/>
    </w:r>
  </w:p>
  <w:p w14:paraId="22226A81" w14:textId="77777777" w:rsidR="009F30B2" w:rsidRDefault="009F30B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45840" w14:textId="77777777" w:rsidR="009F30B2" w:rsidRDefault="009F30B2">
    <w:pPr>
      <w:framePr w:wrap="notBeside" w:hAnchor="text" w:xAlign="center"/>
      <w:rPr>
        <w:noProof/>
      </w:rPr>
    </w:pPr>
    <w:r>
      <w:rPr>
        <w:noProof/>
      </w:rPr>
      <w:fldChar w:fldCharType="begin"/>
    </w:r>
    <w:r>
      <w:rPr>
        <w:noProof/>
      </w:rPr>
      <w:instrText xml:space="preserve"> PAGE  </w:instrText>
    </w:r>
    <w:r>
      <w:rPr>
        <w:noProof/>
      </w:rPr>
      <w:fldChar w:fldCharType="separate"/>
    </w:r>
    <w:r w:rsidR="00916C04">
      <w:rPr>
        <w:noProof/>
      </w:rPr>
      <w:t>1</w:t>
    </w:r>
    <w:r>
      <w:rPr>
        <w:noProof/>
      </w:rPr>
      <w:fldChar w:fldCharType="end"/>
    </w:r>
  </w:p>
  <w:p w14:paraId="44BA6C9C" w14:textId="77777777" w:rsidR="009F30B2" w:rsidRDefault="009F30B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A0DC2F" w14:textId="77777777" w:rsidR="009F30B2" w:rsidRDefault="009F30B2">
      <w:r>
        <w:separator/>
      </w:r>
    </w:p>
  </w:footnote>
  <w:footnote w:type="continuationSeparator" w:id="0">
    <w:p w14:paraId="7712A236" w14:textId="77777777" w:rsidR="009F30B2" w:rsidRDefault="009F30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F4C2C" w14:textId="77777777" w:rsidR="009F30B2" w:rsidRDefault="009F30B2">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97810" w14:textId="77777777" w:rsidR="009F30B2" w:rsidRDefault="009F30B2">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0000001"/>
    <w:multiLevelType w:val="hybridMultilevel"/>
    <w:tmpl w:val="00000001"/>
    <w:lvl w:ilvl="0" w:tplc="00000001">
      <w:start w:val="347"/>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7"/>
  </w:num>
  <w:num w:numId="4">
    <w:abstractNumId w:val="35"/>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7"/>
  </w:num>
  <w:num w:numId="10">
    <w:abstractNumId w:val="20"/>
  </w:num>
  <w:num w:numId="11">
    <w:abstractNumId w:val="30"/>
  </w:num>
  <w:num w:numId="12">
    <w:abstractNumId w:val="31"/>
  </w:num>
  <w:num w:numId="13">
    <w:abstractNumId w:val="14"/>
  </w:num>
  <w:num w:numId="14">
    <w:abstractNumId w:val="8"/>
  </w:num>
  <w:num w:numId="15">
    <w:abstractNumId w:val="2"/>
  </w:num>
  <w:num w:numId="16">
    <w:abstractNumId w:val="5"/>
  </w:num>
  <w:num w:numId="17">
    <w:abstractNumId w:val="39"/>
  </w:num>
  <w:num w:numId="18">
    <w:abstractNumId w:val="32"/>
  </w:num>
  <w:num w:numId="19">
    <w:abstractNumId w:val="16"/>
  </w:num>
  <w:num w:numId="20">
    <w:abstractNumId w:val="34"/>
  </w:num>
  <w:num w:numId="21">
    <w:abstractNumId w:val="9"/>
  </w:num>
  <w:num w:numId="22">
    <w:abstractNumId w:val="19"/>
  </w:num>
  <w:num w:numId="23">
    <w:abstractNumId w:val="38"/>
  </w:num>
  <w:num w:numId="24">
    <w:abstractNumId w:val="18"/>
  </w:num>
  <w:num w:numId="25">
    <w:abstractNumId w:val="11"/>
  </w:num>
  <w:num w:numId="26">
    <w:abstractNumId w:val="4"/>
  </w:num>
  <w:num w:numId="27">
    <w:abstractNumId w:val="21"/>
  </w:num>
  <w:num w:numId="28">
    <w:abstractNumId w:val="36"/>
  </w:num>
  <w:num w:numId="29">
    <w:abstractNumId w:val="23"/>
  </w:num>
  <w:num w:numId="30">
    <w:abstractNumId w:val="3"/>
  </w:num>
  <w:num w:numId="31">
    <w:abstractNumId w:val="24"/>
  </w:num>
  <w:num w:numId="32">
    <w:abstractNumId w:val="28"/>
  </w:num>
  <w:num w:numId="33">
    <w:abstractNumId w:val="10"/>
  </w:num>
  <w:num w:numId="34">
    <w:abstractNumId w:val="27"/>
  </w:num>
  <w:num w:numId="35">
    <w:abstractNumId w:val="33"/>
  </w:num>
  <w:num w:numId="36">
    <w:abstractNumId w:val="6"/>
  </w:num>
  <w:num w:numId="37">
    <w:abstractNumId w:val="12"/>
  </w:num>
  <w:num w:numId="38">
    <w:abstractNumId w:val="15"/>
  </w:num>
  <w:num w:numId="39">
    <w:abstractNumId w:val="26"/>
  </w:num>
  <w:num w:numId="40">
    <w:abstractNumId w:val="37"/>
  </w:num>
  <w:num w:numId="41">
    <w:abstractNumId w:val="29"/>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DB4"/>
    <w:rsid w:val="00007100"/>
    <w:rsid w:val="00011A9A"/>
    <w:rsid w:val="00014A3E"/>
    <w:rsid w:val="000166A9"/>
    <w:rsid w:val="00016EFC"/>
    <w:rsid w:val="00023770"/>
    <w:rsid w:val="0003200E"/>
    <w:rsid w:val="00036879"/>
    <w:rsid w:val="00036FDA"/>
    <w:rsid w:val="000550C5"/>
    <w:rsid w:val="00057004"/>
    <w:rsid w:val="00062452"/>
    <w:rsid w:val="0006427B"/>
    <w:rsid w:val="00071FB8"/>
    <w:rsid w:val="00072828"/>
    <w:rsid w:val="000744F2"/>
    <w:rsid w:val="00075E45"/>
    <w:rsid w:val="00076A95"/>
    <w:rsid w:val="0007797C"/>
    <w:rsid w:val="00080C7C"/>
    <w:rsid w:val="000835CC"/>
    <w:rsid w:val="00085242"/>
    <w:rsid w:val="00090D39"/>
    <w:rsid w:val="000936C8"/>
    <w:rsid w:val="00097D6A"/>
    <w:rsid w:val="000B0A40"/>
    <w:rsid w:val="000B1931"/>
    <w:rsid w:val="000B435A"/>
    <w:rsid w:val="000B5C42"/>
    <w:rsid w:val="000B5C53"/>
    <w:rsid w:val="000B5D03"/>
    <w:rsid w:val="000B6FD9"/>
    <w:rsid w:val="000C6391"/>
    <w:rsid w:val="000C7E50"/>
    <w:rsid w:val="000D4022"/>
    <w:rsid w:val="000D60BA"/>
    <w:rsid w:val="000E7FFD"/>
    <w:rsid w:val="000F2351"/>
    <w:rsid w:val="000F5F8A"/>
    <w:rsid w:val="001018D2"/>
    <w:rsid w:val="0010217F"/>
    <w:rsid w:val="00104AF5"/>
    <w:rsid w:val="00104BDF"/>
    <w:rsid w:val="00112149"/>
    <w:rsid w:val="00112F00"/>
    <w:rsid w:val="00113407"/>
    <w:rsid w:val="00120B5E"/>
    <w:rsid w:val="00122A09"/>
    <w:rsid w:val="00123D7F"/>
    <w:rsid w:val="001306AC"/>
    <w:rsid w:val="0013168C"/>
    <w:rsid w:val="001421A6"/>
    <w:rsid w:val="00143477"/>
    <w:rsid w:val="00152028"/>
    <w:rsid w:val="001537D6"/>
    <w:rsid w:val="001669A7"/>
    <w:rsid w:val="00173751"/>
    <w:rsid w:val="00184453"/>
    <w:rsid w:val="001854FB"/>
    <w:rsid w:val="00193642"/>
    <w:rsid w:val="001A160F"/>
    <w:rsid w:val="001B7A90"/>
    <w:rsid w:val="001C39F6"/>
    <w:rsid w:val="001C66FE"/>
    <w:rsid w:val="001D1D49"/>
    <w:rsid w:val="001D3DF1"/>
    <w:rsid w:val="001D4908"/>
    <w:rsid w:val="001D6904"/>
    <w:rsid w:val="001E12E4"/>
    <w:rsid w:val="001F2916"/>
    <w:rsid w:val="001F4029"/>
    <w:rsid w:val="001F522F"/>
    <w:rsid w:val="001F609A"/>
    <w:rsid w:val="00207219"/>
    <w:rsid w:val="00210567"/>
    <w:rsid w:val="00210602"/>
    <w:rsid w:val="002161C7"/>
    <w:rsid w:val="00227CAB"/>
    <w:rsid w:val="00232E76"/>
    <w:rsid w:val="00236E6D"/>
    <w:rsid w:val="002429E5"/>
    <w:rsid w:val="00253097"/>
    <w:rsid w:val="00253444"/>
    <w:rsid w:val="00254DC5"/>
    <w:rsid w:val="00263E98"/>
    <w:rsid w:val="002647E8"/>
    <w:rsid w:val="00275E5B"/>
    <w:rsid w:val="00280CEF"/>
    <w:rsid w:val="00282B57"/>
    <w:rsid w:val="00283499"/>
    <w:rsid w:val="002837AC"/>
    <w:rsid w:val="0028757A"/>
    <w:rsid w:val="00290A03"/>
    <w:rsid w:val="00292D2E"/>
    <w:rsid w:val="002930C3"/>
    <w:rsid w:val="00294666"/>
    <w:rsid w:val="00294982"/>
    <w:rsid w:val="00294DD0"/>
    <w:rsid w:val="002B0E16"/>
    <w:rsid w:val="002B14AE"/>
    <w:rsid w:val="002C4735"/>
    <w:rsid w:val="002C696B"/>
    <w:rsid w:val="002C6F79"/>
    <w:rsid w:val="002D1FE4"/>
    <w:rsid w:val="002D25CA"/>
    <w:rsid w:val="002D2E07"/>
    <w:rsid w:val="002D34A5"/>
    <w:rsid w:val="002D34DE"/>
    <w:rsid w:val="002D470F"/>
    <w:rsid w:val="002D5C45"/>
    <w:rsid w:val="002E2492"/>
    <w:rsid w:val="002F15D8"/>
    <w:rsid w:val="00304BD0"/>
    <w:rsid w:val="00307D77"/>
    <w:rsid w:val="0031151B"/>
    <w:rsid w:val="00312754"/>
    <w:rsid w:val="00313E9E"/>
    <w:rsid w:val="003150D5"/>
    <w:rsid w:val="00320F78"/>
    <w:rsid w:val="003211B3"/>
    <w:rsid w:val="003330AD"/>
    <w:rsid w:val="00340F16"/>
    <w:rsid w:val="00354069"/>
    <w:rsid w:val="003551D5"/>
    <w:rsid w:val="00356587"/>
    <w:rsid w:val="0035768F"/>
    <w:rsid w:val="00357812"/>
    <w:rsid w:val="00360C4E"/>
    <w:rsid w:val="00360CC8"/>
    <w:rsid w:val="0036130C"/>
    <w:rsid w:val="00361ECE"/>
    <w:rsid w:val="00366A82"/>
    <w:rsid w:val="00374540"/>
    <w:rsid w:val="0038177C"/>
    <w:rsid w:val="003836EB"/>
    <w:rsid w:val="00387024"/>
    <w:rsid w:val="0039167B"/>
    <w:rsid w:val="0039365D"/>
    <w:rsid w:val="00395792"/>
    <w:rsid w:val="003963D3"/>
    <w:rsid w:val="00396B51"/>
    <w:rsid w:val="003A6165"/>
    <w:rsid w:val="003A6B6E"/>
    <w:rsid w:val="003C1575"/>
    <w:rsid w:val="003C6310"/>
    <w:rsid w:val="003C63F0"/>
    <w:rsid w:val="003D07F7"/>
    <w:rsid w:val="003D496E"/>
    <w:rsid w:val="003D5275"/>
    <w:rsid w:val="003D63DF"/>
    <w:rsid w:val="003D6D44"/>
    <w:rsid w:val="003D712C"/>
    <w:rsid w:val="003D737F"/>
    <w:rsid w:val="003F0F10"/>
    <w:rsid w:val="003F2F8F"/>
    <w:rsid w:val="003F7474"/>
    <w:rsid w:val="003F79BB"/>
    <w:rsid w:val="00404616"/>
    <w:rsid w:val="00407B6A"/>
    <w:rsid w:val="0041166D"/>
    <w:rsid w:val="00414400"/>
    <w:rsid w:val="00414A01"/>
    <w:rsid w:val="00421CD4"/>
    <w:rsid w:val="004232E5"/>
    <w:rsid w:val="00427833"/>
    <w:rsid w:val="0044196E"/>
    <w:rsid w:val="00443C65"/>
    <w:rsid w:val="0044726E"/>
    <w:rsid w:val="0045059C"/>
    <w:rsid w:val="0045196B"/>
    <w:rsid w:val="00462FCD"/>
    <w:rsid w:val="004707CE"/>
    <w:rsid w:val="00470E70"/>
    <w:rsid w:val="00474210"/>
    <w:rsid w:val="004749A9"/>
    <w:rsid w:val="00480B90"/>
    <w:rsid w:val="00480B96"/>
    <w:rsid w:val="0048303E"/>
    <w:rsid w:val="0049005C"/>
    <w:rsid w:val="00490E5F"/>
    <w:rsid w:val="00491F14"/>
    <w:rsid w:val="004920F6"/>
    <w:rsid w:val="00492D39"/>
    <w:rsid w:val="004977F5"/>
    <w:rsid w:val="004A096A"/>
    <w:rsid w:val="004A67E8"/>
    <w:rsid w:val="004B2670"/>
    <w:rsid w:val="004B367D"/>
    <w:rsid w:val="004C341A"/>
    <w:rsid w:val="004C3D3C"/>
    <w:rsid w:val="004C3D65"/>
    <w:rsid w:val="004C7C4F"/>
    <w:rsid w:val="004D05F5"/>
    <w:rsid w:val="004D0AB6"/>
    <w:rsid w:val="004D1027"/>
    <w:rsid w:val="004D1314"/>
    <w:rsid w:val="004D6347"/>
    <w:rsid w:val="004D6472"/>
    <w:rsid w:val="004E1D1B"/>
    <w:rsid w:val="004E7C9A"/>
    <w:rsid w:val="004E7DC7"/>
    <w:rsid w:val="004F43C9"/>
    <w:rsid w:val="004F5C1C"/>
    <w:rsid w:val="00501BF1"/>
    <w:rsid w:val="00501CCE"/>
    <w:rsid w:val="00502430"/>
    <w:rsid w:val="00507234"/>
    <w:rsid w:val="00507764"/>
    <w:rsid w:val="0051313D"/>
    <w:rsid w:val="005136DE"/>
    <w:rsid w:val="005176E9"/>
    <w:rsid w:val="00525B24"/>
    <w:rsid w:val="005262C6"/>
    <w:rsid w:val="00536FA3"/>
    <w:rsid w:val="00565221"/>
    <w:rsid w:val="005671D0"/>
    <w:rsid w:val="00574D2C"/>
    <w:rsid w:val="00593CBB"/>
    <w:rsid w:val="00593E1C"/>
    <w:rsid w:val="00594BE0"/>
    <w:rsid w:val="00596464"/>
    <w:rsid w:val="00597D3F"/>
    <w:rsid w:val="005A0EB0"/>
    <w:rsid w:val="005A6552"/>
    <w:rsid w:val="005B58DC"/>
    <w:rsid w:val="005B79E9"/>
    <w:rsid w:val="005C2F8A"/>
    <w:rsid w:val="005D03E0"/>
    <w:rsid w:val="005D480C"/>
    <w:rsid w:val="005D55A4"/>
    <w:rsid w:val="005E4912"/>
    <w:rsid w:val="005E6F1F"/>
    <w:rsid w:val="005F44D1"/>
    <w:rsid w:val="005F78E6"/>
    <w:rsid w:val="00611211"/>
    <w:rsid w:val="00621129"/>
    <w:rsid w:val="0062252B"/>
    <w:rsid w:val="00630B5A"/>
    <w:rsid w:val="00633916"/>
    <w:rsid w:val="0064022C"/>
    <w:rsid w:val="00641D2B"/>
    <w:rsid w:val="006553DE"/>
    <w:rsid w:val="00662D3E"/>
    <w:rsid w:val="00665C7E"/>
    <w:rsid w:val="00672DDD"/>
    <w:rsid w:val="00674FC2"/>
    <w:rsid w:val="00676C91"/>
    <w:rsid w:val="0068523B"/>
    <w:rsid w:val="00685B9A"/>
    <w:rsid w:val="00687E77"/>
    <w:rsid w:val="00690B77"/>
    <w:rsid w:val="00692707"/>
    <w:rsid w:val="0069547F"/>
    <w:rsid w:val="006A50F1"/>
    <w:rsid w:val="006B24F4"/>
    <w:rsid w:val="006B792E"/>
    <w:rsid w:val="006C1736"/>
    <w:rsid w:val="006C2ECB"/>
    <w:rsid w:val="006C4000"/>
    <w:rsid w:val="006C4FC2"/>
    <w:rsid w:val="006D728F"/>
    <w:rsid w:val="006E1E6D"/>
    <w:rsid w:val="006E4BDD"/>
    <w:rsid w:val="006E56E8"/>
    <w:rsid w:val="006F7BDE"/>
    <w:rsid w:val="00705838"/>
    <w:rsid w:val="0071005E"/>
    <w:rsid w:val="00711200"/>
    <w:rsid w:val="00713C16"/>
    <w:rsid w:val="0072397F"/>
    <w:rsid w:val="007309C8"/>
    <w:rsid w:val="00731922"/>
    <w:rsid w:val="00731ACB"/>
    <w:rsid w:val="00732C04"/>
    <w:rsid w:val="00734CDA"/>
    <w:rsid w:val="007368AD"/>
    <w:rsid w:val="0074133D"/>
    <w:rsid w:val="0074293C"/>
    <w:rsid w:val="00746218"/>
    <w:rsid w:val="0075145C"/>
    <w:rsid w:val="0075196D"/>
    <w:rsid w:val="00751A96"/>
    <w:rsid w:val="0075558C"/>
    <w:rsid w:val="00757989"/>
    <w:rsid w:val="00761EFA"/>
    <w:rsid w:val="00764873"/>
    <w:rsid w:val="00766732"/>
    <w:rsid w:val="007778DD"/>
    <w:rsid w:val="0078079A"/>
    <w:rsid w:val="007859C5"/>
    <w:rsid w:val="007915DC"/>
    <w:rsid w:val="00794307"/>
    <w:rsid w:val="00795D03"/>
    <w:rsid w:val="00796693"/>
    <w:rsid w:val="0079727C"/>
    <w:rsid w:val="007A112C"/>
    <w:rsid w:val="007A32D6"/>
    <w:rsid w:val="007A60FE"/>
    <w:rsid w:val="007C7591"/>
    <w:rsid w:val="007D29AA"/>
    <w:rsid w:val="007D538B"/>
    <w:rsid w:val="007D5CD5"/>
    <w:rsid w:val="007D7537"/>
    <w:rsid w:val="007E1B46"/>
    <w:rsid w:val="007E7969"/>
    <w:rsid w:val="007F6AE9"/>
    <w:rsid w:val="007F70DB"/>
    <w:rsid w:val="00805E8E"/>
    <w:rsid w:val="00814DA0"/>
    <w:rsid w:val="00816FF9"/>
    <w:rsid w:val="00817DCE"/>
    <w:rsid w:val="008234C0"/>
    <w:rsid w:val="00826D54"/>
    <w:rsid w:val="00834CBF"/>
    <w:rsid w:val="008351A7"/>
    <w:rsid w:val="00836F89"/>
    <w:rsid w:val="00842CA2"/>
    <w:rsid w:val="00845E58"/>
    <w:rsid w:val="00846459"/>
    <w:rsid w:val="008612F9"/>
    <w:rsid w:val="00863435"/>
    <w:rsid w:val="00864BDA"/>
    <w:rsid w:val="00872827"/>
    <w:rsid w:val="0087349A"/>
    <w:rsid w:val="00874445"/>
    <w:rsid w:val="00885417"/>
    <w:rsid w:val="008865B6"/>
    <w:rsid w:val="0089351B"/>
    <w:rsid w:val="008955FB"/>
    <w:rsid w:val="00895DF4"/>
    <w:rsid w:val="008A4E30"/>
    <w:rsid w:val="008B1A4D"/>
    <w:rsid w:val="008B4485"/>
    <w:rsid w:val="008B4B4B"/>
    <w:rsid w:val="008B7215"/>
    <w:rsid w:val="008B74EB"/>
    <w:rsid w:val="008C0EE1"/>
    <w:rsid w:val="008C724D"/>
    <w:rsid w:val="008D0D34"/>
    <w:rsid w:val="008D1DB2"/>
    <w:rsid w:val="008D3AFB"/>
    <w:rsid w:val="008D3ED9"/>
    <w:rsid w:val="008D5386"/>
    <w:rsid w:val="008D589C"/>
    <w:rsid w:val="008D7886"/>
    <w:rsid w:val="008E5D28"/>
    <w:rsid w:val="008E7085"/>
    <w:rsid w:val="008F60C3"/>
    <w:rsid w:val="009021FB"/>
    <w:rsid w:val="009047A9"/>
    <w:rsid w:val="0090660B"/>
    <w:rsid w:val="00906D47"/>
    <w:rsid w:val="00913C9F"/>
    <w:rsid w:val="00916C04"/>
    <w:rsid w:val="00917211"/>
    <w:rsid w:val="009254D6"/>
    <w:rsid w:val="009259C4"/>
    <w:rsid w:val="0092669B"/>
    <w:rsid w:val="0093163E"/>
    <w:rsid w:val="00932445"/>
    <w:rsid w:val="00933D7A"/>
    <w:rsid w:val="00936436"/>
    <w:rsid w:val="00946A70"/>
    <w:rsid w:val="0094721A"/>
    <w:rsid w:val="0095085A"/>
    <w:rsid w:val="009613DF"/>
    <w:rsid w:val="00964C2E"/>
    <w:rsid w:val="00965254"/>
    <w:rsid w:val="00966BAC"/>
    <w:rsid w:val="009849A2"/>
    <w:rsid w:val="0099403B"/>
    <w:rsid w:val="009A2ABE"/>
    <w:rsid w:val="009A6A2F"/>
    <w:rsid w:val="009B799E"/>
    <w:rsid w:val="009C755C"/>
    <w:rsid w:val="009C780F"/>
    <w:rsid w:val="009D18F0"/>
    <w:rsid w:val="009E4F4C"/>
    <w:rsid w:val="009F30B2"/>
    <w:rsid w:val="009F61EA"/>
    <w:rsid w:val="00A01179"/>
    <w:rsid w:val="00A022A1"/>
    <w:rsid w:val="00A0305E"/>
    <w:rsid w:val="00A05077"/>
    <w:rsid w:val="00A0524F"/>
    <w:rsid w:val="00A13BF9"/>
    <w:rsid w:val="00A2396A"/>
    <w:rsid w:val="00A25353"/>
    <w:rsid w:val="00A3382F"/>
    <w:rsid w:val="00A34ABE"/>
    <w:rsid w:val="00A34F5F"/>
    <w:rsid w:val="00A46A68"/>
    <w:rsid w:val="00A47EAB"/>
    <w:rsid w:val="00A50EE9"/>
    <w:rsid w:val="00A536A9"/>
    <w:rsid w:val="00A54C05"/>
    <w:rsid w:val="00A5535F"/>
    <w:rsid w:val="00A556CB"/>
    <w:rsid w:val="00A56530"/>
    <w:rsid w:val="00A61E5A"/>
    <w:rsid w:val="00A6431A"/>
    <w:rsid w:val="00A679EE"/>
    <w:rsid w:val="00A760C8"/>
    <w:rsid w:val="00A7716F"/>
    <w:rsid w:val="00A82E38"/>
    <w:rsid w:val="00A8382B"/>
    <w:rsid w:val="00A863D0"/>
    <w:rsid w:val="00A86F48"/>
    <w:rsid w:val="00A90682"/>
    <w:rsid w:val="00AB685A"/>
    <w:rsid w:val="00AC7C01"/>
    <w:rsid w:val="00AD0A33"/>
    <w:rsid w:val="00AD6E42"/>
    <w:rsid w:val="00AE0982"/>
    <w:rsid w:val="00AE125E"/>
    <w:rsid w:val="00AE185C"/>
    <w:rsid w:val="00AE3CAB"/>
    <w:rsid w:val="00AF6228"/>
    <w:rsid w:val="00AF6749"/>
    <w:rsid w:val="00B015DA"/>
    <w:rsid w:val="00B041CD"/>
    <w:rsid w:val="00B04FD4"/>
    <w:rsid w:val="00B06870"/>
    <w:rsid w:val="00B07524"/>
    <w:rsid w:val="00B113E7"/>
    <w:rsid w:val="00B1227A"/>
    <w:rsid w:val="00B201FB"/>
    <w:rsid w:val="00B25917"/>
    <w:rsid w:val="00B3272F"/>
    <w:rsid w:val="00B35B7C"/>
    <w:rsid w:val="00B411CD"/>
    <w:rsid w:val="00B43A0E"/>
    <w:rsid w:val="00B43C86"/>
    <w:rsid w:val="00B52096"/>
    <w:rsid w:val="00B53C15"/>
    <w:rsid w:val="00B552D5"/>
    <w:rsid w:val="00B61644"/>
    <w:rsid w:val="00B66CC0"/>
    <w:rsid w:val="00B70951"/>
    <w:rsid w:val="00B81CE9"/>
    <w:rsid w:val="00B83C93"/>
    <w:rsid w:val="00B90095"/>
    <w:rsid w:val="00B914EA"/>
    <w:rsid w:val="00B93B16"/>
    <w:rsid w:val="00B955BD"/>
    <w:rsid w:val="00B962D2"/>
    <w:rsid w:val="00B975B0"/>
    <w:rsid w:val="00BB0E11"/>
    <w:rsid w:val="00BB4B75"/>
    <w:rsid w:val="00BB5CCD"/>
    <w:rsid w:val="00BC74D2"/>
    <w:rsid w:val="00BD2BFF"/>
    <w:rsid w:val="00BD3522"/>
    <w:rsid w:val="00BD43E6"/>
    <w:rsid w:val="00BE0EA0"/>
    <w:rsid w:val="00BF67A2"/>
    <w:rsid w:val="00C012CE"/>
    <w:rsid w:val="00C0131C"/>
    <w:rsid w:val="00C0541D"/>
    <w:rsid w:val="00C056AA"/>
    <w:rsid w:val="00C0799A"/>
    <w:rsid w:val="00C10FE3"/>
    <w:rsid w:val="00C11D0D"/>
    <w:rsid w:val="00C122D8"/>
    <w:rsid w:val="00C124F3"/>
    <w:rsid w:val="00C14DF0"/>
    <w:rsid w:val="00C1779E"/>
    <w:rsid w:val="00C20204"/>
    <w:rsid w:val="00C262AB"/>
    <w:rsid w:val="00C33B17"/>
    <w:rsid w:val="00C3504E"/>
    <w:rsid w:val="00C40109"/>
    <w:rsid w:val="00C4165D"/>
    <w:rsid w:val="00C501B9"/>
    <w:rsid w:val="00C509C3"/>
    <w:rsid w:val="00C50A17"/>
    <w:rsid w:val="00C52E25"/>
    <w:rsid w:val="00C55A8A"/>
    <w:rsid w:val="00C57B7C"/>
    <w:rsid w:val="00C65186"/>
    <w:rsid w:val="00C70EAE"/>
    <w:rsid w:val="00C71E62"/>
    <w:rsid w:val="00C72B51"/>
    <w:rsid w:val="00C72D98"/>
    <w:rsid w:val="00C83B65"/>
    <w:rsid w:val="00C912EC"/>
    <w:rsid w:val="00C94AFB"/>
    <w:rsid w:val="00C95581"/>
    <w:rsid w:val="00CA4FB3"/>
    <w:rsid w:val="00CA5D97"/>
    <w:rsid w:val="00CB37D8"/>
    <w:rsid w:val="00CB5A80"/>
    <w:rsid w:val="00CB77EA"/>
    <w:rsid w:val="00CD50B5"/>
    <w:rsid w:val="00CD5891"/>
    <w:rsid w:val="00CD73A9"/>
    <w:rsid w:val="00CE20FA"/>
    <w:rsid w:val="00CE47FE"/>
    <w:rsid w:val="00CE6C44"/>
    <w:rsid w:val="00D009DE"/>
    <w:rsid w:val="00D03E81"/>
    <w:rsid w:val="00D04640"/>
    <w:rsid w:val="00D06F12"/>
    <w:rsid w:val="00D11F58"/>
    <w:rsid w:val="00D15DB4"/>
    <w:rsid w:val="00D21EF3"/>
    <w:rsid w:val="00D3670C"/>
    <w:rsid w:val="00D46790"/>
    <w:rsid w:val="00D504D9"/>
    <w:rsid w:val="00D52B57"/>
    <w:rsid w:val="00D537BE"/>
    <w:rsid w:val="00D60255"/>
    <w:rsid w:val="00D66A48"/>
    <w:rsid w:val="00D708F8"/>
    <w:rsid w:val="00D81B0C"/>
    <w:rsid w:val="00D82B82"/>
    <w:rsid w:val="00D90071"/>
    <w:rsid w:val="00D91C27"/>
    <w:rsid w:val="00D955B3"/>
    <w:rsid w:val="00DA01D9"/>
    <w:rsid w:val="00DA3F66"/>
    <w:rsid w:val="00DA662C"/>
    <w:rsid w:val="00DA6C6A"/>
    <w:rsid w:val="00DB3CF8"/>
    <w:rsid w:val="00DB54C1"/>
    <w:rsid w:val="00DB7B5C"/>
    <w:rsid w:val="00DC46EB"/>
    <w:rsid w:val="00DC5925"/>
    <w:rsid w:val="00DC60FA"/>
    <w:rsid w:val="00DD0FBE"/>
    <w:rsid w:val="00DD1F8F"/>
    <w:rsid w:val="00DD571E"/>
    <w:rsid w:val="00DD740B"/>
    <w:rsid w:val="00DE23AF"/>
    <w:rsid w:val="00DE3A32"/>
    <w:rsid w:val="00DE69A1"/>
    <w:rsid w:val="00DE71DB"/>
    <w:rsid w:val="00DF0153"/>
    <w:rsid w:val="00DF2240"/>
    <w:rsid w:val="00DF3B9A"/>
    <w:rsid w:val="00E06E62"/>
    <w:rsid w:val="00E12D4F"/>
    <w:rsid w:val="00E17598"/>
    <w:rsid w:val="00E178D7"/>
    <w:rsid w:val="00E230A3"/>
    <w:rsid w:val="00E253F2"/>
    <w:rsid w:val="00E35A1D"/>
    <w:rsid w:val="00E44508"/>
    <w:rsid w:val="00E47C4B"/>
    <w:rsid w:val="00E55745"/>
    <w:rsid w:val="00E6248B"/>
    <w:rsid w:val="00E637F8"/>
    <w:rsid w:val="00E66CFD"/>
    <w:rsid w:val="00E71A20"/>
    <w:rsid w:val="00E72BB2"/>
    <w:rsid w:val="00E81D57"/>
    <w:rsid w:val="00E81F64"/>
    <w:rsid w:val="00E85CEF"/>
    <w:rsid w:val="00E90AC9"/>
    <w:rsid w:val="00E94F16"/>
    <w:rsid w:val="00E954B9"/>
    <w:rsid w:val="00E96A99"/>
    <w:rsid w:val="00E97FDB"/>
    <w:rsid w:val="00EA1F97"/>
    <w:rsid w:val="00EA5199"/>
    <w:rsid w:val="00EA5479"/>
    <w:rsid w:val="00EB28FD"/>
    <w:rsid w:val="00ED1514"/>
    <w:rsid w:val="00ED3C13"/>
    <w:rsid w:val="00ED669E"/>
    <w:rsid w:val="00ED7A05"/>
    <w:rsid w:val="00EE334C"/>
    <w:rsid w:val="00EF0F66"/>
    <w:rsid w:val="00EF11A4"/>
    <w:rsid w:val="00EF4C0C"/>
    <w:rsid w:val="00EF5D8A"/>
    <w:rsid w:val="00F02153"/>
    <w:rsid w:val="00F058DF"/>
    <w:rsid w:val="00F141AD"/>
    <w:rsid w:val="00F15439"/>
    <w:rsid w:val="00F15675"/>
    <w:rsid w:val="00F1641A"/>
    <w:rsid w:val="00F21250"/>
    <w:rsid w:val="00F22702"/>
    <w:rsid w:val="00F2398D"/>
    <w:rsid w:val="00F2600A"/>
    <w:rsid w:val="00F411A5"/>
    <w:rsid w:val="00F427DE"/>
    <w:rsid w:val="00F44369"/>
    <w:rsid w:val="00F46306"/>
    <w:rsid w:val="00F54139"/>
    <w:rsid w:val="00F571E4"/>
    <w:rsid w:val="00F60E10"/>
    <w:rsid w:val="00F617F0"/>
    <w:rsid w:val="00F6326B"/>
    <w:rsid w:val="00F634A3"/>
    <w:rsid w:val="00F678F1"/>
    <w:rsid w:val="00F70980"/>
    <w:rsid w:val="00F710F9"/>
    <w:rsid w:val="00F7620F"/>
    <w:rsid w:val="00F8639F"/>
    <w:rsid w:val="00F87F40"/>
    <w:rsid w:val="00F91379"/>
    <w:rsid w:val="00F93E5C"/>
    <w:rsid w:val="00F95DB8"/>
    <w:rsid w:val="00F97F15"/>
    <w:rsid w:val="00FA0AE4"/>
    <w:rsid w:val="00FA1123"/>
    <w:rsid w:val="00FA351D"/>
    <w:rsid w:val="00FB104A"/>
    <w:rsid w:val="00FB1BBE"/>
    <w:rsid w:val="00FB4DBA"/>
    <w:rsid w:val="00FB667E"/>
    <w:rsid w:val="00FC244C"/>
    <w:rsid w:val="00FC52DD"/>
    <w:rsid w:val="00FD6283"/>
    <w:rsid w:val="00FD73A4"/>
    <w:rsid w:val="00FE19A5"/>
    <w:rsid w:val="00FE3ACD"/>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35A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basedOn w:val="Normal"/>
    <w:next w:val="Normal"/>
    <w:link w:val="Heading1Char"/>
    <w:qFormat/>
    <w:rsid w:val="00665C7E"/>
    <w:pPr>
      <w:autoSpaceDE w:val="0"/>
      <w:autoSpaceDN w:val="0"/>
      <w:adjustRightInd w:val="0"/>
      <w:outlineLvl w:val="0"/>
    </w:pPr>
    <w:rPr>
      <w:b/>
      <w:bC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C4165D"/>
    <w:pPr>
      <w:keepNext/>
      <w:spacing w:before="240" w:after="60" w:line="480" w:lineRule="auto"/>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2D34DE"/>
    <w:pPr>
      <w:tabs>
        <w:tab w:val="right" w:leader="dot" w:pos="9350"/>
      </w:tabs>
      <w:spacing w:line="36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480B90"/>
    <w:pPr>
      <w:tabs>
        <w:tab w:val="right" w:leader="dot" w:pos="8630"/>
      </w:tabs>
      <w:spacing w:line="480" w:lineRule="auto"/>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TOCHeading">
    <w:name w:val="TOC Heading"/>
    <w:basedOn w:val="Heading1"/>
    <w:next w:val="Normal"/>
    <w:uiPriority w:val="39"/>
    <w:semiHidden/>
    <w:unhideWhenUsed/>
    <w:qFormat/>
    <w:rsid w:val="00D15DB4"/>
    <w:pPr>
      <w:keepNext/>
      <w:keepLines/>
      <w:autoSpaceDE/>
      <w:autoSpaceDN/>
      <w:adjustRightInd/>
      <w:spacing w:before="480"/>
      <w:outlineLvl w:val="9"/>
    </w:pPr>
    <w:rPr>
      <w:rFonts w:asciiTheme="majorHAnsi" w:eastAsiaTheme="majorEastAsia" w:hAnsiTheme="majorHAnsi" w:cstheme="majorBidi"/>
      <w:color w:val="345A8A" w:themeColor="accent1" w:themeShade="B5"/>
      <w:sz w:val="32"/>
      <w:szCs w:val="32"/>
    </w:rPr>
  </w:style>
  <w:style w:type="character" w:customStyle="1" w:styleId="Heading2Char">
    <w:name w:val="Heading 2 Char"/>
    <w:basedOn w:val="DefaultParagraphFont"/>
    <w:link w:val="Heading2"/>
    <w:uiPriority w:val="9"/>
    <w:rsid w:val="005D55A4"/>
    <w:rPr>
      <w:b/>
      <w:bCs/>
      <w:iCs/>
      <w:sz w:val="28"/>
      <w:szCs w:val="28"/>
    </w:rPr>
  </w:style>
  <w:style w:type="character" w:customStyle="1" w:styleId="Heading3Char">
    <w:name w:val="Heading 3 Char"/>
    <w:basedOn w:val="DefaultParagraphFont"/>
    <w:link w:val="Heading3"/>
    <w:rsid w:val="00C4165D"/>
    <w:rPr>
      <w:b/>
      <w:bCs/>
      <w:i/>
      <w:szCs w:val="26"/>
    </w:rPr>
  </w:style>
  <w:style w:type="character" w:styleId="CommentReference">
    <w:name w:val="annotation reference"/>
    <w:basedOn w:val="DefaultParagraphFont"/>
    <w:unhideWhenUsed/>
    <w:rsid w:val="00C056AA"/>
    <w:rPr>
      <w:sz w:val="16"/>
      <w:szCs w:val="16"/>
    </w:rPr>
  </w:style>
  <w:style w:type="paragraph" w:styleId="CommentText">
    <w:name w:val="annotation text"/>
    <w:basedOn w:val="Normal"/>
    <w:link w:val="CommentTextChar"/>
    <w:unhideWhenUsed/>
    <w:rsid w:val="00C056AA"/>
    <w:rPr>
      <w:rFonts w:ascii="Times New Roman" w:hAnsi="Times New Roman" w:cs="Times New Roman"/>
      <w:sz w:val="20"/>
      <w:szCs w:val="20"/>
    </w:rPr>
  </w:style>
  <w:style w:type="character" w:customStyle="1" w:styleId="CommentTextChar">
    <w:name w:val="Comment Text Char"/>
    <w:basedOn w:val="DefaultParagraphFont"/>
    <w:link w:val="CommentText"/>
    <w:rsid w:val="00C056AA"/>
    <w:rPr>
      <w:rFonts w:ascii="Times New Roman" w:hAnsi="Times New Roman" w:cs="Times New Roman"/>
      <w:sz w:val="20"/>
      <w:szCs w:val="20"/>
    </w:rPr>
  </w:style>
  <w:style w:type="character" w:customStyle="1" w:styleId="bodychar">
    <w:name w:val="body__char"/>
    <w:rsid w:val="00C056AA"/>
  </w:style>
  <w:style w:type="paragraph" w:styleId="BalloonText">
    <w:name w:val="Balloon Text"/>
    <w:basedOn w:val="Normal"/>
    <w:link w:val="BalloonTextChar"/>
    <w:rsid w:val="00C056AA"/>
    <w:rPr>
      <w:rFonts w:ascii="Lucida Grande" w:hAnsi="Lucida Grande" w:cs="Lucida Grande"/>
      <w:sz w:val="18"/>
      <w:szCs w:val="18"/>
    </w:rPr>
  </w:style>
  <w:style w:type="character" w:customStyle="1" w:styleId="BalloonTextChar">
    <w:name w:val="Balloon Text Char"/>
    <w:basedOn w:val="DefaultParagraphFont"/>
    <w:link w:val="BalloonText"/>
    <w:rsid w:val="00C056AA"/>
    <w:rPr>
      <w:rFonts w:ascii="Lucida Grande" w:hAnsi="Lucida Grande" w:cs="Lucida Grande"/>
      <w:sz w:val="18"/>
      <w:szCs w:val="18"/>
    </w:rPr>
  </w:style>
  <w:style w:type="paragraph" w:customStyle="1" w:styleId="TableHeading">
    <w:name w:val="Table Heading"/>
    <w:basedOn w:val="Heading2"/>
    <w:autoRedefine/>
    <w:qFormat/>
    <w:rsid w:val="000F2351"/>
    <w:pPr>
      <w:keepLines/>
      <w:spacing w:before="200" w:after="0"/>
      <w:jc w:val="left"/>
    </w:pPr>
    <w:rPr>
      <w:rFonts w:eastAsiaTheme="majorEastAsia"/>
      <w:iCs w:val="0"/>
      <w:sz w:val="20"/>
      <w:szCs w:val="20"/>
    </w:rPr>
  </w:style>
  <w:style w:type="paragraph" w:customStyle="1" w:styleId="FigureHeading">
    <w:name w:val="Figure Heading"/>
    <w:basedOn w:val="TableHeading"/>
    <w:autoRedefine/>
    <w:qFormat/>
    <w:rsid w:val="000F2351"/>
  </w:style>
  <w:style w:type="table" w:styleId="TableGrid">
    <w:name w:val="Table Grid"/>
    <w:basedOn w:val="TableNormal"/>
    <w:uiPriority w:val="59"/>
    <w:rsid w:val="001421A6"/>
    <w:rPr>
      <w:rFonts w:ascii="Times New Roman" w:eastAsiaTheme="minorHAns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BF67A2"/>
    <w:rPr>
      <w:rFonts w:ascii="Arial" w:hAnsi="Arial" w:cs="Arial"/>
      <w:b/>
      <w:bCs/>
    </w:rPr>
  </w:style>
  <w:style w:type="character" w:customStyle="1" w:styleId="CommentSubjectChar">
    <w:name w:val="Comment Subject Char"/>
    <w:basedOn w:val="CommentTextChar"/>
    <w:link w:val="CommentSubject"/>
    <w:rsid w:val="00BF67A2"/>
    <w:rPr>
      <w:rFonts w:ascii="Times New Roman" w:hAnsi="Times New Roman" w:cs="Times New Roman"/>
      <w:b/>
      <w:bCs/>
      <w:sz w:val="20"/>
      <w:szCs w:val="20"/>
    </w:rPr>
  </w:style>
  <w:style w:type="paragraph" w:styleId="Revision">
    <w:name w:val="Revision"/>
    <w:hidden/>
    <w:uiPriority w:val="99"/>
    <w:semiHidden/>
    <w:rsid w:val="00C72B51"/>
  </w:style>
  <w:style w:type="paragraph" w:styleId="DocumentMap">
    <w:name w:val="Document Map"/>
    <w:basedOn w:val="Normal"/>
    <w:link w:val="DocumentMapChar"/>
    <w:rsid w:val="00C72B51"/>
    <w:rPr>
      <w:rFonts w:ascii="Lucida Grande" w:hAnsi="Lucida Grande" w:cs="Lucida Grande"/>
    </w:rPr>
  </w:style>
  <w:style w:type="character" w:customStyle="1" w:styleId="DocumentMapChar">
    <w:name w:val="Document Map Char"/>
    <w:basedOn w:val="DefaultParagraphFont"/>
    <w:link w:val="DocumentMap"/>
    <w:rsid w:val="00C72B51"/>
    <w:rPr>
      <w:rFonts w:ascii="Lucida Grande" w:hAnsi="Lucida Grande" w:cs="Lucida Grande"/>
    </w:rPr>
  </w:style>
  <w:style w:type="paragraph" w:styleId="NormalWeb">
    <w:name w:val="Normal (Web)"/>
    <w:basedOn w:val="Normal"/>
    <w:rsid w:val="00766732"/>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basedOn w:val="Normal"/>
    <w:next w:val="Normal"/>
    <w:link w:val="Heading1Char"/>
    <w:qFormat/>
    <w:rsid w:val="00665C7E"/>
    <w:pPr>
      <w:autoSpaceDE w:val="0"/>
      <w:autoSpaceDN w:val="0"/>
      <w:adjustRightInd w:val="0"/>
      <w:outlineLvl w:val="0"/>
    </w:pPr>
    <w:rPr>
      <w:b/>
      <w:bC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C4165D"/>
    <w:pPr>
      <w:keepNext/>
      <w:spacing w:before="240" w:after="60" w:line="480" w:lineRule="auto"/>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2D34DE"/>
    <w:pPr>
      <w:tabs>
        <w:tab w:val="right" w:leader="dot" w:pos="9350"/>
      </w:tabs>
      <w:spacing w:line="36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480B90"/>
    <w:pPr>
      <w:tabs>
        <w:tab w:val="right" w:leader="dot" w:pos="8630"/>
      </w:tabs>
      <w:spacing w:line="480" w:lineRule="auto"/>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TOCHeading">
    <w:name w:val="TOC Heading"/>
    <w:basedOn w:val="Heading1"/>
    <w:next w:val="Normal"/>
    <w:uiPriority w:val="39"/>
    <w:semiHidden/>
    <w:unhideWhenUsed/>
    <w:qFormat/>
    <w:rsid w:val="00D15DB4"/>
    <w:pPr>
      <w:keepNext/>
      <w:keepLines/>
      <w:autoSpaceDE/>
      <w:autoSpaceDN/>
      <w:adjustRightInd/>
      <w:spacing w:before="480"/>
      <w:outlineLvl w:val="9"/>
    </w:pPr>
    <w:rPr>
      <w:rFonts w:asciiTheme="majorHAnsi" w:eastAsiaTheme="majorEastAsia" w:hAnsiTheme="majorHAnsi" w:cstheme="majorBidi"/>
      <w:color w:val="345A8A" w:themeColor="accent1" w:themeShade="B5"/>
      <w:sz w:val="32"/>
      <w:szCs w:val="32"/>
    </w:rPr>
  </w:style>
  <w:style w:type="character" w:customStyle="1" w:styleId="Heading2Char">
    <w:name w:val="Heading 2 Char"/>
    <w:basedOn w:val="DefaultParagraphFont"/>
    <w:link w:val="Heading2"/>
    <w:uiPriority w:val="9"/>
    <w:rsid w:val="005D55A4"/>
    <w:rPr>
      <w:b/>
      <w:bCs/>
      <w:iCs/>
      <w:sz w:val="28"/>
      <w:szCs w:val="28"/>
    </w:rPr>
  </w:style>
  <w:style w:type="character" w:customStyle="1" w:styleId="Heading3Char">
    <w:name w:val="Heading 3 Char"/>
    <w:basedOn w:val="DefaultParagraphFont"/>
    <w:link w:val="Heading3"/>
    <w:rsid w:val="00C4165D"/>
    <w:rPr>
      <w:b/>
      <w:bCs/>
      <w:i/>
      <w:szCs w:val="26"/>
    </w:rPr>
  </w:style>
  <w:style w:type="character" w:styleId="CommentReference">
    <w:name w:val="annotation reference"/>
    <w:basedOn w:val="DefaultParagraphFont"/>
    <w:unhideWhenUsed/>
    <w:rsid w:val="00C056AA"/>
    <w:rPr>
      <w:sz w:val="16"/>
      <w:szCs w:val="16"/>
    </w:rPr>
  </w:style>
  <w:style w:type="paragraph" w:styleId="CommentText">
    <w:name w:val="annotation text"/>
    <w:basedOn w:val="Normal"/>
    <w:link w:val="CommentTextChar"/>
    <w:unhideWhenUsed/>
    <w:rsid w:val="00C056AA"/>
    <w:rPr>
      <w:rFonts w:ascii="Times New Roman" w:hAnsi="Times New Roman" w:cs="Times New Roman"/>
      <w:sz w:val="20"/>
      <w:szCs w:val="20"/>
    </w:rPr>
  </w:style>
  <w:style w:type="character" w:customStyle="1" w:styleId="CommentTextChar">
    <w:name w:val="Comment Text Char"/>
    <w:basedOn w:val="DefaultParagraphFont"/>
    <w:link w:val="CommentText"/>
    <w:rsid w:val="00C056AA"/>
    <w:rPr>
      <w:rFonts w:ascii="Times New Roman" w:hAnsi="Times New Roman" w:cs="Times New Roman"/>
      <w:sz w:val="20"/>
      <w:szCs w:val="20"/>
    </w:rPr>
  </w:style>
  <w:style w:type="character" w:customStyle="1" w:styleId="bodychar">
    <w:name w:val="body__char"/>
    <w:rsid w:val="00C056AA"/>
  </w:style>
  <w:style w:type="paragraph" w:styleId="BalloonText">
    <w:name w:val="Balloon Text"/>
    <w:basedOn w:val="Normal"/>
    <w:link w:val="BalloonTextChar"/>
    <w:rsid w:val="00C056AA"/>
    <w:rPr>
      <w:rFonts w:ascii="Lucida Grande" w:hAnsi="Lucida Grande" w:cs="Lucida Grande"/>
      <w:sz w:val="18"/>
      <w:szCs w:val="18"/>
    </w:rPr>
  </w:style>
  <w:style w:type="character" w:customStyle="1" w:styleId="BalloonTextChar">
    <w:name w:val="Balloon Text Char"/>
    <w:basedOn w:val="DefaultParagraphFont"/>
    <w:link w:val="BalloonText"/>
    <w:rsid w:val="00C056AA"/>
    <w:rPr>
      <w:rFonts w:ascii="Lucida Grande" w:hAnsi="Lucida Grande" w:cs="Lucida Grande"/>
      <w:sz w:val="18"/>
      <w:szCs w:val="18"/>
    </w:rPr>
  </w:style>
  <w:style w:type="paragraph" w:customStyle="1" w:styleId="TableHeading">
    <w:name w:val="Table Heading"/>
    <w:basedOn w:val="Heading2"/>
    <w:autoRedefine/>
    <w:qFormat/>
    <w:rsid w:val="000F2351"/>
    <w:pPr>
      <w:keepLines/>
      <w:spacing w:before="200" w:after="0"/>
      <w:jc w:val="left"/>
    </w:pPr>
    <w:rPr>
      <w:rFonts w:eastAsiaTheme="majorEastAsia"/>
      <w:iCs w:val="0"/>
      <w:sz w:val="20"/>
      <w:szCs w:val="20"/>
    </w:rPr>
  </w:style>
  <w:style w:type="paragraph" w:customStyle="1" w:styleId="FigureHeading">
    <w:name w:val="Figure Heading"/>
    <w:basedOn w:val="TableHeading"/>
    <w:autoRedefine/>
    <w:qFormat/>
    <w:rsid w:val="000F2351"/>
  </w:style>
  <w:style w:type="table" w:styleId="TableGrid">
    <w:name w:val="Table Grid"/>
    <w:basedOn w:val="TableNormal"/>
    <w:uiPriority w:val="59"/>
    <w:rsid w:val="001421A6"/>
    <w:rPr>
      <w:rFonts w:ascii="Times New Roman" w:eastAsiaTheme="minorHAns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BF67A2"/>
    <w:rPr>
      <w:rFonts w:ascii="Arial" w:hAnsi="Arial" w:cs="Arial"/>
      <w:b/>
      <w:bCs/>
    </w:rPr>
  </w:style>
  <w:style w:type="character" w:customStyle="1" w:styleId="CommentSubjectChar">
    <w:name w:val="Comment Subject Char"/>
    <w:basedOn w:val="CommentTextChar"/>
    <w:link w:val="CommentSubject"/>
    <w:rsid w:val="00BF67A2"/>
    <w:rPr>
      <w:rFonts w:ascii="Times New Roman" w:hAnsi="Times New Roman" w:cs="Times New Roman"/>
      <w:b/>
      <w:bCs/>
      <w:sz w:val="20"/>
      <w:szCs w:val="20"/>
    </w:rPr>
  </w:style>
  <w:style w:type="paragraph" w:styleId="Revision">
    <w:name w:val="Revision"/>
    <w:hidden/>
    <w:uiPriority w:val="99"/>
    <w:semiHidden/>
    <w:rsid w:val="00C72B51"/>
  </w:style>
  <w:style w:type="paragraph" w:styleId="DocumentMap">
    <w:name w:val="Document Map"/>
    <w:basedOn w:val="Normal"/>
    <w:link w:val="DocumentMapChar"/>
    <w:rsid w:val="00C72B51"/>
    <w:rPr>
      <w:rFonts w:ascii="Lucida Grande" w:hAnsi="Lucida Grande" w:cs="Lucida Grande"/>
    </w:rPr>
  </w:style>
  <w:style w:type="character" w:customStyle="1" w:styleId="DocumentMapChar">
    <w:name w:val="Document Map Char"/>
    <w:basedOn w:val="DefaultParagraphFont"/>
    <w:link w:val="DocumentMap"/>
    <w:rsid w:val="00C72B51"/>
    <w:rPr>
      <w:rFonts w:ascii="Lucida Grande" w:hAnsi="Lucida Grande" w:cs="Lucida Grande"/>
    </w:rPr>
  </w:style>
  <w:style w:type="paragraph" w:styleId="NormalWeb">
    <w:name w:val="Normal (Web)"/>
    <w:basedOn w:val="Normal"/>
    <w:rsid w:val="0076673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72477">
      <w:bodyDiv w:val="1"/>
      <w:marLeft w:val="0"/>
      <w:marRight w:val="0"/>
      <w:marTop w:val="0"/>
      <w:marBottom w:val="0"/>
      <w:divBdr>
        <w:top w:val="none" w:sz="0" w:space="0" w:color="auto"/>
        <w:left w:val="none" w:sz="0" w:space="0" w:color="auto"/>
        <w:bottom w:val="none" w:sz="0" w:space="0" w:color="auto"/>
        <w:right w:val="none" w:sz="0" w:space="0" w:color="auto"/>
      </w:divBdr>
      <w:divsChild>
        <w:div w:id="2019041869">
          <w:marLeft w:val="0"/>
          <w:marRight w:val="0"/>
          <w:marTop w:val="0"/>
          <w:marBottom w:val="0"/>
          <w:divBdr>
            <w:top w:val="none" w:sz="0" w:space="0" w:color="auto"/>
            <w:left w:val="none" w:sz="0" w:space="0" w:color="auto"/>
            <w:bottom w:val="none" w:sz="0" w:space="0" w:color="auto"/>
            <w:right w:val="none" w:sz="0" w:space="0" w:color="auto"/>
          </w:divBdr>
          <w:divsChild>
            <w:div w:id="380204670">
              <w:marLeft w:val="0"/>
              <w:marRight w:val="0"/>
              <w:marTop w:val="0"/>
              <w:marBottom w:val="0"/>
              <w:divBdr>
                <w:top w:val="none" w:sz="0" w:space="0" w:color="auto"/>
                <w:left w:val="none" w:sz="0" w:space="0" w:color="auto"/>
                <w:bottom w:val="none" w:sz="0" w:space="0" w:color="auto"/>
                <w:right w:val="none" w:sz="0" w:space="0" w:color="auto"/>
              </w:divBdr>
              <w:divsChild>
                <w:div w:id="124749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396790">
      <w:bodyDiv w:val="1"/>
      <w:marLeft w:val="0"/>
      <w:marRight w:val="0"/>
      <w:marTop w:val="0"/>
      <w:marBottom w:val="0"/>
      <w:divBdr>
        <w:top w:val="none" w:sz="0" w:space="0" w:color="auto"/>
        <w:left w:val="none" w:sz="0" w:space="0" w:color="auto"/>
        <w:bottom w:val="none" w:sz="0" w:space="0" w:color="auto"/>
        <w:right w:val="none" w:sz="0" w:space="0" w:color="auto"/>
      </w:divBdr>
      <w:divsChild>
        <w:div w:id="336923393">
          <w:marLeft w:val="0"/>
          <w:marRight w:val="0"/>
          <w:marTop w:val="0"/>
          <w:marBottom w:val="0"/>
          <w:divBdr>
            <w:top w:val="none" w:sz="0" w:space="0" w:color="auto"/>
            <w:left w:val="none" w:sz="0" w:space="0" w:color="auto"/>
            <w:bottom w:val="none" w:sz="0" w:space="0" w:color="auto"/>
            <w:right w:val="none" w:sz="0" w:space="0" w:color="auto"/>
          </w:divBdr>
          <w:divsChild>
            <w:div w:id="1425497365">
              <w:marLeft w:val="0"/>
              <w:marRight w:val="0"/>
              <w:marTop w:val="0"/>
              <w:marBottom w:val="0"/>
              <w:divBdr>
                <w:top w:val="none" w:sz="0" w:space="0" w:color="auto"/>
                <w:left w:val="none" w:sz="0" w:space="0" w:color="auto"/>
                <w:bottom w:val="none" w:sz="0" w:space="0" w:color="auto"/>
                <w:right w:val="none" w:sz="0" w:space="0" w:color="auto"/>
              </w:divBdr>
              <w:divsChild>
                <w:div w:id="166955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image" Target="media/image1.jpeg"/><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Shane:Dropbox:Master's%20Project%20on%20Poa%20Cross%20Resistance:Thesis%20Templates: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853DB-6A6B-CD4C-9E47-F5946F7A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Template1.dotx</Template>
  <TotalTime>181</TotalTime>
  <Pages>51</Pages>
  <Words>8819</Words>
  <Characters>50272</Characters>
  <Application>Microsoft Macintosh Word</Application>
  <DocSecurity>0</DocSecurity>
  <Lines>418</Lines>
  <Paragraphs>117</Paragraphs>
  <ScaleCrop>false</ScaleCrop>
  <HeadingPairs>
    <vt:vector size="4" baseType="variant">
      <vt:variant>
        <vt:lpstr>Title</vt:lpstr>
      </vt:variant>
      <vt:variant>
        <vt:i4>1</vt:i4>
      </vt:variant>
      <vt:variant>
        <vt:lpstr>Headings</vt:lpstr>
      </vt:variant>
      <vt:variant>
        <vt:i4>56</vt:i4>
      </vt:variant>
    </vt:vector>
  </HeadingPairs>
  <TitlesOfParts>
    <vt:vector size="57" baseType="lpstr">
      <vt:lpstr>Guide to the Preparation of</vt:lpstr>
      <vt:lpstr>CHAPTER I Confirming Resistance to Prodiamine and Glyphosate in a Single Annual </vt:lpstr>
      <vt:lpstr>    Introduction </vt:lpstr>
      <vt:lpstr>    Materials and Methods</vt:lpstr>
      <vt:lpstr>        Plant Collection</vt:lpstr>
      <vt:lpstr>        Confirming Resistance in the Glasshouse</vt:lpstr>
      <vt:lpstr>        Confirming Resistance in the Field</vt:lpstr>
      <vt:lpstr>    Results and Discussion</vt:lpstr>
      <vt:lpstr>        Determining the percentage of plants with putative resistance to prodiamine and </vt:lpstr>
      <vt:lpstr>        Confirming Resistance in the Glasshouse</vt:lpstr>
      <vt:lpstr>        Prodiamine Resistance </vt:lpstr>
      <vt:lpstr>        Glyphosate Resistance</vt:lpstr>
      <vt:lpstr>        Confirming Resistance in the Field</vt:lpstr>
      <vt:lpstr>Literature Cited</vt:lpstr>
      <vt:lpstr>APPENDIX</vt:lpstr>
      <vt:lpstr>    Table 1. Response of annual bluegrass (Poa annua L.) biotypes harvested from Lam</vt:lpstr>
      <vt:lpstr>    </vt:lpstr>
      <vt:lpstr>    Figure 1. Effect of prodiamine treatment on control of prodiamine resistant and </vt:lpstr>
      <vt:lpstr>    </vt:lpstr>
      <vt:lpstr>    </vt:lpstr>
      <vt:lpstr>    Table 2. User generated non-linear regression equations modeling changes in annu</vt:lpstr>
      <vt:lpstr>    </vt:lpstr>
      <vt:lpstr>    </vt:lpstr>
      <vt:lpstr>    </vt:lpstr>
      <vt:lpstr>    Figure 2. Effect of prodiamine treatment on aboveground biomass of prodiamine re</vt:lpstr>
      <vt:lpstr>    </vt:lpstr>
      <vt:lpstr>    </vt:lpstr>
      <vt:lpstr>    </vt:lpstr>
      <vt:lpstr>    </vt:lpstr>
      <vt:lpstr>    Table 3. One phase decay exponential non-linear regression equations modeling ch</vt:lpstr>
      <vt:lpstr>    </vt:lpstr>
      <vt:lpstr>    /</vt:lpstr>
      <vt:lpstr>    Figure 3. Effect of glyphosate treatment on control of glyphosate resistant and </vt:lpstr>
      <vt:lpstr>    Table 4. User generated non-linear regression equations modeling changes in annu</vt:lpstr>
      <vt:lpstr>    </vt:lpstr>
      <vt:lpstr>    /</vt:lpstr>
      <vt:lpstr>    Figure 4. Effect of glyphosate treatment on control of glyphosate resistant and </vt:lpstr>
      <vt:lpstr>    </vt:lpstr>
      <vt:lpstr>    </vt:lpstr>
      <vt:lpstr>    Table 5. One phase decay exponential non-linear regression equations modeling ch</vt:lpstr>
      <vt:lpstr>    </vt:lpstr>
      <vt:lpstr>    / </vt:lpstr>
      <vt:lpstr>    Figure 5. Shikimate concentrations (ppb) in glyphosate resistant and susceptible</vt:lpstr>
      <vt:lpstr>    </vt:lpstr>
      <vt:lpstr>    </vt:lpstr>
      <vt:lpstr>    </vt:lpstr>
      <vt:lpstr>    </vt:lpstr>
      <vt:lpstr>    </vt:lpstr>
      <vt:lpstr>    </vt:lpstr>
      <vt:lpstr>    </vt:lpstr>
      <vt:lpstr>    Table 6. One-phase association non-linear regression equations modeling changes </vt:lpstr>
      <vt:lpstr>    </vt:lpstr>
      <vt:lpstr>    Table 7. Effect of prodiamine, glyphosate, and glyphosate + prodiamine applicati</vt:lpstr>
      <vt:lpstr>    </vt:lpstr>
      <vt:lpstr>    </vt:lpstr>
      <vt:lpstr>    aAbreviations: POAAN, annual bluegrass; LSD, Fisher’s protected least significan</vt:lpstr>
      <vt:lpstr>VITA</vt:lpstr>
    </vt:vector>
  </TitlesOfParts>
  <Company>University of Tennessee</Company>
  <LinksUpToDate>false</LinksUpToDate>
  <CharactersWithSpaces>58974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Shane Matthew Breeden</dc:creator>
  <cp:keywords/>
  <dc:description/>
  <cp:lastModifiedBy>Shane Matthew Breeden</cp:lastModifiedBy>
  <cp:revision>26</cp:revision>
  <cp:lastPrinted>2005-09-22T13:02:00Z</cp:lastPrinted>
  <dcterms:created xsi:type="dcterms:W3CDTF">2015-11-09T21:25:00Z</dcterms:created>
  <dcterms:modified xsi:type="dcterms:W3CDTF">2015-11-11T20:53:00Z</dcterms:modified>
</cp:coreProperties>
</file>