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id w:val="-546768142"/>
        <w:docPartObj>
          <w:docPartGallery w:val="Cover Pages"/>
          <w:docPartUnique/>
        </w:docPartObj>
      </w:sdtPr>
      <w:sdtEndPr>
        <w:rPr>
          <w:rFonts w:asciiTheme="majorHAnsi" w:eastAsiaTheme="majorEastAsia" w:hAnsiTheme="majorHAnsi" w:cstheme="majorBidi"/>
          <w:caps/>
          <w:color w:val="000000" w:themeColor="text1"/>
          <w:sz w:val="72"/>
          <w:szCs w:val="72"/>
        </w:rPr>
      </w:sdtEndPr>
      <w:sdtContent>
        <w:p w14:paraId="6A321270" w14:textId="3842A4AF" w:rsidR="00AB04AB" w:rsidRDefault="00AB04AB" w:rsidP="00055CFD">
          <w:pPr>
            <w:spacing w:line="480" w:lineRule="auto"/>
          </w:pPr>
        </w:p>
        <w:p w14:paraId="140EF667" w14:textId="777720BA" w:rsidR="00402F62" w:rsidRPr="00402F62" w:rsidRDefault="00056C85" w:rsidP="00055CFD">
          <w:pPr>
            <w:spacing w:line="480" w:lineRule="auto"/>
            <w:jc w:val="center"/>
            <w:rPr>
              <w:rFonts w:asciiTheme="majorHAnsi" w:eastAsiaTheme="majorEastAsia" w:hAnsiTheme="majorHAnsi" w:cstheme="majorBidi"/>
              <w:caps/>
              <w:color w:val="000000" w:themeColor="text1"/>
              <w:sz w:val="72"/>
              <w:szCs w:val="72"/>
            </w:rPr>
          </w:pPr>
          <w:sdt>
            <w:sdtPr>
              <w:rPr>
                <w:rFonts w:asciiTheme="majorHAnsi" w:hAnsiTheme="majorHAnsi" w:cs="Times New Roman"/>
                <w:color w:val="000000" w:themeColor="tex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AB04AB" w:rsidRPr="00402F62">
                <w:rPr>
                  <w:rFonts w:asciiTheme="majorHAnsi" w:hAnsiTheme="majorHAnsi" w:cs="Times New Roman"/>
                  <w:color w:val="000000" w:themeColor="text1"/>
                  <w:sz w:val="72"/>
                  <w:szCs w:val="72"/>
                </w:rPr>
                <w:t>Factors Influencing Kinetics of Electrode Processes in Vanadium Redox Flow Batteries</w:t>
              </w:r>
            </w:sdtContent>
          </w:sdt>
          <w:r w:rsidR="00AB04AB">
            <w:rPr>
              <w:noProof/>
            </w:rPr>
            <w:t xml:space="preserve"> </w:t>
          </w:r>
          <w:r w:rsidR="00AB04AB">
            <w:rPr>
              <w:noProof/>
            </w:rPr>
            <mc:AlternateContent>
              <mc:Choice Requires="wps">
                <w:drawing>
                  <wp:anchor distT="0" distB="0" distL="182880" distR="182880" simplePos="0" relativeHeight="251669504" behindDoc="0" locked="0" layoutInCell="1" allowOverlap="1" wp14:anchorId="27986303" wp14:editId="1C1B20F1">
                    <wp:simplePos x="0" y="0"/>
                    <mc:AlternateContent>
                      <mc:Choice Requires="wp14">
                        <wp:positionH relativeFrom="margin">
                          <wp14:pctPosHOffset>7700</wp14:pctPosHOffset>
                        </wp:positionH>
                      </mc:Choice>
                      <mc:Fallback>
                        <wp:positionH relativeFrom="page">
                          <wp:posOffset>1371600</wp:posOffset>
                        </wp:positionH>
                      </mc:Fallback>
                    </mc:AlternateContent>
                    <mc:AlternateContent>
                      <mc:Choice Requires="wp14">
                        <wp:positionV relativeFrom="page">
                          <wp14:pctPosVOffset>54000</wp14:pctPosVOffset>
                        </wp:positionV>
                      </mc:Choice>
                      <mc:Fallback>
                        <wp:positionV relativeFrom="page">
                          <wp:posOffset>5431155</wp:posOffset>
                        </wp:positionV>
                      </mc:Fallback>
                    </mc:AlternateContent>
                    <wp:extent cx="4686300" cy="6720840"/>
                    <wp:effectExtent l="0" t="0" r="10160" b="3810"/>
                    <wp:wrapSquare wrapText="bothSides"/>
                    <wp:docPr id="131" name="Text Box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53EA16" w14:textId="3397E30E" w:rsidR="00523E01" w:rsidRDefault="00523E01" w:rsidP="00AB04AB">
                                <w:pPr>
                                  <w:pStyle w:val="NoSpacing"/>
                                  <w:spacing w:before="40" w:after="560" w:line="216" w:lineRule="auto"/>
                                  <w:jc w:val="center"/>
                                  <w:rPr>
                                    <w:color w:val="5B9BD5" w:themeColor="accent1"/>
                                    <w:sz w:val="72"/>
                                    <w:szCs w:val="72"/>
                                  </w:rPr>
                                </w:pPr>
                              </w:p>
                              <w:sdt>
                                <w:sdtPr>
                                  <w:rPr>
                                    <w:rFonts w:asciiTheme="majorHAnsi" w:hAnsiTheme="majorHAnsi" w:cs="Times New Roman"/>
                                    <w:caps/>
                                    <w:color w:val="000000" w:themeColor="text1"/>
                                    <w:sz w:val="28"/>
                                    <w:szCs w:val="2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7D480B95" w14:textId="7D59E522" w:rsidR="00523E01" w:rsidRPr="00402F62" w:rsidRDefault="00523E01" w:rsidP="00AB04AB">
                                    <w:pPr>
                                      <w:pStyle w:val="NoSpacing"/>
                                      <w:spacing w:before="40" w:after="40"/>
                                      <w:jc w:val="center"/>
                                      <w:rPr>
                                        <w:rFonts w:asciiTheme="majorHAnsi" w:hAnsiTheme="majorHAnsi" w:cs="Times New Roman"/>
                                        <w:caps/>
                                        <w:color w:val="000000" w:themeColor="text1"/>
                                        <w:sz w:val="28"/>
                                        <w:szCs w:val="28"/>
                                      </w:rPr>
                                    </w:pPr>
                                    <w:r w:rsidRPr="00402F62">
                                      <w:rPr>
                                        <w:rFonts w:asciiTheme="majorHAnsi" w:hAnsiTheme="majorHAnsi" w:cs="Times New Roman"/>
                                        <w:caps/>
                                        <w:color w:val="000000" w:themeColor="text1"/>
                                        <w:sz w:val="28"/>
                                        <w:szCs w:val="28"/>
                                      </w:rPr>
                                      <w:t>Undergraduate Thesis</w:t>
                                    </w:r>
                                  </w:p>
                                </w:sdtContent>
                              </w:sdt>
                              <w:p w14:paraId="1122E63D" w14:textId="77777777" w:rsidR="00523E01" w:rsidRPr="00402F62" w:rsidRDefault="00523E01" w:rsidP="00AB04AB">
                                <w:pPr>
                                  <w:pStyle w:val="NoSpacing"/>
                                  <w:spacing w:before="40" w:after="40"/>
                                  <w:jc w:val="center"/>
                                  <w:rPr>
                                    <w:rFonts w:asciiTheme="majorHAnsi" w:hAnsiTheme="majorHAnsi" w:cs="Times New Roman"/>
                                    <w:caps/>
                                    <w:color w:val="000000" w:themeColor="text1"/>
                                    <w:sz w:val="28"/>
                                    <w:szCs w:val="28"/>
                                  </w:rPr>
                                </w:pPr>
                              </w:p>
                              <w:sdt>
                                <w:sdtPr>
                                  <w:rPr>
                                    <w:rFonts w:asciiTheme="majorHAnsi" w:hAnsiTheme="majorHAnsi" w:cs="Times New Roman"/>
                                    <w:caps/>
                                    <w:color w:val="000000" w:themeColor="text1"/>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4FF1444F" w14:textId="7B1909B0" w:rsidR="00523E01" w:rsidRPr="00402F62" w:rsidRDefault="00523E01" w:rsidP="00AB04AB">
                                    <w:pPr>
                                      <w:pStyle w:val="NoSpacing"/>
                                      <w:spacing w:before="80" w:after="40"/>
                                      <w:jc w:val="center"/>
                                      <w:rPr>
                                        <w:rFonts w:asciiTheme="majorHAnsi" w:hAnsiTheme="majorHAnsi" w:cs="Times New Roman"/>
                                        <w:caps/>
                                        <w:color w:val="000000" w:themeColor="text1"/>
                                        <w:sz w:val="24"/>
                                        <w:szCs w:val="24"/>
                                      </w:rPr>
                                    </w:pPr>
                                    <w:r w:rsidRPr="00402F62">
                                      <w:rPr>
                                        <w:rFonts w:asciiTheme="majorHAnsi" w:hAnsiTheme="majorHAnsi" w:cs="Times New Roman"/>
                                        <w:caps/>
                                        <w:color w:val="000000" w:themeColor="text1"/>
                                        <w:sz w:val="24"/>
                                        <w:szCs w:val="24"/>
                                      </w:rPr>
                                      <w:t>Emma Hollmann</w:t>
                                    </w:r>
                                  </w:p>
                                </w:sdtContent>
                              </w:sdt>
                              <w:p w14:paraId="693DE2DF" w14:textId="77777777" w:rsidR="00523E01" w:rsidRPr="00402F62" w:rsidRDefault="00523E01" w:rsidP="00AB04AB">
                                <w:pPr>
                                  <w:pStyle w:val="NoSpacing"/>
                                  <w:spacing w:before="80" w:after="40"/>
                                  <w:jc w:val="center"/>
                                  <w:rPr>
                                    <w:rFonts w:asciiTheme="majorHAnsi" w:hAnsiTheme="majorHAnsi" w:cs="Times New Roman"/>
                                    <w:caps/>
                                    <w:color w:val="000000" w:themeColor="text1"/>
                                    <w:sz w:val="24"/>
                                    <w:szCs w:val="24"/>
                                  </w:rPr>
                                </w:pPr>
                              </w:p>
                              <w:p w14:paraId="5550B8F5" w14:textId="66A872E6" w:rsidR="00523E01" w:rsidRPr="00402F62" w:rsidRDefault="00523E01" w:rsidP="00AB04AB">
                                <w:pPr>
                                  <w:pStyle w:val="NoSpacing"/>
                                  <w:spacing w:before="80" w:after="40"/>
                                  <w:jc w:val="center"/>
                                  <w:rPr>
                                    <w:rFonts w:asciiTheme="majorHAnsi" w:hAnsiTheme="majorHAnsi" w:cs="Times New Roman"/>
                                    <w:caps/>
                                    <w:color w:val="000000" w:themeColor="text1"/>
                                    <w:sz w:val="24"/>
                                    <w:szCs w:val="24"/>
                                  </w:rPr>
                                </w:pPr>
                                <w:r w:rsidRPr="00402F62">
                                  <w:rPr>
                                    <w:rFonts w:asciiTheme="majorHAnsi" w:hAnsiTheme="majorHAnsi" w:cs="Times New Roman"/>
                                    <w:caps/>
                                    <w:color w:val="000000" w:themeColor="text1"/>
                                    <w:sz w:val="24"/>
                                    <w:szCs w:val="24"/>
                                  </w:rPr>
                                  <w:t>13 APril 2015</w:t>
                                </w:r>
                              </w:p>
                              <w:p w14:paraId="1DA36EDB" w14:textId="58C751F7" w:rsidR="00523E01" w:rsidRPr="00402F62" w:rsidRDefault="00523E01" w:rsidP="00AB04AB">
                                <w:pPr>
                                  <w:pStyle w:val="NoSpacing"/>
                                  <w:spacing w:before="80" w:after="40"/>
                                  <w:jc w:val="center"/>
                                  <w:rPr>
                                    <w:rFonts w:asciiTheme="majorHAnsi" w:hAnsiTheme="majorHAnsi" w:cs="Times New Roman"/>
                                    <w:caps/>
                                    <w:color w:val="000000" w:themeColor="text1"/>
                                    <w:sz w:val="24"/>
                                    <w:szCs w:val="24"/>
                                  </w:rPr>
                                </w:pPr>
                                <w:r w:rsidRPr="00402F62">
                                  <w:rPr>
                                    <w:rFonts w:asciiTheme="majorHAnsi" w:hAnsiTheme="majorHAnsi" w:cs="Times New Roman"/>
                                    <w:caps/>
                                    <w:color w:val="000000" w:themeColor="text1"/>
                                    <w:sz w:val="24"/>
                                    <w:szCs w:val="24"/>
                                  </w:rPr>
                                  <w:t>University of Tennessee, Knoxville</w:t>
                                </w:r>
                              </w:p>
                              <w:p w14:paraId="368649BB" w14:textId="2E7907C8" w:rsidR="00523E01" w:rsidRPr="00402F62" w:rsidRDefault="00523E01" w:rsidP="00AB04AB">
                                <w:pPr>
                                  <w:pStyle w:val="NoSpacing"/>
                                  <w:spacing w:before="80" w:after="40"/>
                                  <w:jc w:val="center"/>
                                  <w:rPr>
                                    <w:rFonts w:asciiTheme="majorHAnsi" w:hAnsiTheme="majorHAnsi" w:cs="Times New Roman"/>
                                    <w:caps/>
                                    <w:color w:val="000000" w:themeColor="text1"/>
                                    <w:sz w:val="24"/>
                                    <w:szCs w:val="24"/>
                                  </w:rPr>
                                </w:pPr>
                                <w:r w:rsidRPr="00402F62">
                                  <w:rPr>
                                    <w:rFonts w:asciiTheme="majorHAnsi" w:hAnsiTheme="majorHAnsi" w:cs="Times New Roman"/>
                                    <w:caps/>
                                    <w:color w:val="000000" w:themeColor="text1"/>
                                    <w:sz w:val="24"/>
                                    <w:szCs w:val="24"/>
                                  </w:rPr>
                                  <w:t>Department of Chemical and Biomolecular engineering</w:t>
                                </w:r>
                              </w:p>
                              <w:p w14:paraId="71A0520F" w14:textId="60BBD478" w:rsidR="00523E01" w:rsidRPr="00402F62" w:rsidRDefault="00523E01" w:rsidP="00AB04AB">
                                <w:pPr>
                                  <w:pStyle w:val="NoSpacing"/>
                                  <w:spacing w:before="80" w:after="40"/>
                                  <w:jc w:val="center"/>
                                  <w:rPr>
                                    <w:rFonts w:asciiTheme="majorHAnsi" w:hAnsiTheme="majorHAnsi" w:cs="Times New Roman"/>
                                    <w:caps/>
                                    <w:color w:val="000000" w:themeColor="text1"/>
                                    <w:sz w:val="24"/>
                                    <w:szCs w:val="24"/>
                                  </w:rPr>
                                </w:pPr>
                                <w:r w:rsidRPr="00402F62">
                                  <w:rPr>
                                    <w:rFonts w:asciiTheme="majorHAnsi" w:hAnsiTheme="majorHAnsi" w:cs="Times New Roman"/>
                                    <w:caps/>
                                    <w:color w:val="000000" w:themeColor="text1"/>
                                    <w:sz w:val="24"/>
                                    <w:szCs w:val="24"/>
                                  </w:rPr>
                                  <w:t>haslam scholars program</w:t>
                                </w:r>
                              </w:p>
                              <w:p w14:paraId="742C40B8" w14:textId="20D2E2BA" w:rsidR="00523E01" w:rsidRPr="00402F62" w:rsidRDefault="00523E01" w:rsidP="00AB04AB">
                                <w:pPr>
                                  <w:pStyle w:val="NoSpacing"/>
                                  <w:spacing w:before="80" w:after="40"/>
                                  <w:jc w:val="center"/>
                                  <w:rPr>
                                    <w:rFonts w:asciiTheme="majorHAnsi" w:hAnsiTheme="majorHAnsi" w:cs="Times New Roman"/>
                                    <w:caps/>
                                    <w:color w:val="000000" w:themeColor="text1"/>
                                    <w:sz w:val="24"/>
                                    <w:szCs w:val="24"/>
                                  </w:rPr>
                                </w:pPr>
                                <w:r w:rsidRPr="00402F62">
                                  <w:rPr>
                                    <w:rFonts w:asciiTheme="majorHAnsi" w:hAnsiTheme="majorHAnsi" w:cs="Times New Roman"/>
                                    <w:caps/>
                                    <w:color w:val="000000" w:themeColor="text1"/>
                                    <w:sz w:val="24"/>
                                    <w:szCs w:val="24"/>
                                  </w:rPr>
                                  <w:t>advisor: Dr. Thomas Zawodzinski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27986303" id="_x0000_t202" coordsize="21600,21600" o:spt="202" path="m,l,21600r21600,l21600,xe">
                    <v:stroke joinstyle="miter"/>
                    <v:path gradientshapeok="t" o:connecttype="rect"/>
                  </v:shapetype>
                  <v:shape id="Text Box 131" o:spid="_x0000_s1026" type="#_x0000_t202" style="position:absolute;left:0;text-align:left;margin-left:0;margin-top:0;width:369pt;height:529.2pt;z-index:251669504;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" filled="f" stroked="f" strokeweight=".5pt">
                    <v:textbox style="mso-fit-shape-to-text:t" inset="0,0,0,0">
                      <w:txbxContent>
                        <w:p w14:paraId="1B53EA16" w14:textId="3397E30E" w:rsidR="00523E01" w:rsidRDefault="00523E01" w:rsidP="00AB04AB">
                          <w:pPr>
                            <w:pStyle w:val="NoSpacing"/>
                            <w:spacing w:before="40" w:after="560" w:line="216" w:lineRule="auto"/>
                            <w:jc w:val="center"/>
                            <w:rPr>
                              <w:color w:val="5B9BD5" w:themeColor="accent1"/>
                              <w:sz w:val="72"/>
                              <w:szCs w:val="72"/>
                            </w:rPr>
                          </w:pPr>
                        </w:p>
                        <w:sdt>
                          <w:sdtPr>
                            <w:rPr>
                              <w:rFonts w:asciiTheme="majorHAnsi" w:hAnsiTheme="majorHAnsi" w:cs="Times New Roman"/>
                              <w:caps/>
                              <w:color w:val="000000" w:themeColor="text1"/>
                              <w:sz w:val="28"/>
                              <w:szCs w:val="2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Content>
                            <w:p w14:paraId="7D480B95" w14:textId="7D59E522" w:rsidR="00523E01" w:rsidRPr="00402F62" w:rsidRDefault="00523E01" w:rsidP="00AB04AB">
                              <w:pPr>
                                <w:pStyle w:val="NoSpacing"/>
                                <w:spacing w:before="40" w:after="40"/>
                                <w:jc w:val="center"/>
                                <w:rPr>
                                  <w:rFonts w:asciiTheme="majorHAnsi" w:hAnsiTheme="majorHAnsi" w:cs="Times New Roman"/>
                                  <w:caps/>
                                  <w:color w:val="000000" w:themeColor="text1"/>
                                  <w:sz w:val="28"/>
                                  <w:szCs w:val="28"/>
                                </w:rPr>
                              </w:pPr>
                              <w:r w:rsidRPr="00402F62">
                                <w:rPr>
                                  <w:rFonts w:asciiTheme="majorHAnsi" w:hAnsiTheme="majorHAnsi" w:cs="Times New Roman"/>
                                  <w:caps/>
                                  <w:color w:val="000000" w:themeColor="text1"/>
                                  <w:sz w:val="28"/>
                                  <w:szCs w:val="28"/>
                                </w:rPr>
                                <w:t>Undergraduate Thesis</w:t>
                              </w:r>
                            </w:p>
                          </w:sdtContent>
                        </w:sdt>
                        <w:p w14:paraId="1122E63D" w14:textId="77777777" w:rsidR="00523E01" w:rsidRPr="00402F62" w:rsidRDefault="00523E01" w:rsidP="00AB04AB">
                          <w:pPr>
                            <w:pStyle w:val="NoSpacing"/>
                            <w:spacing w:before="40" w:after="40"/>
                            <w:jc w:val="center"/>
                            <w:rPr>
                              <w:rFonts w:asciiTheme="majorHAnsi" w:hAnsiTheme="majorHAnsi" w:cs="Times New Roman"/>
                              <w:caps/>
                              <w:color w:val="000000" w:themeColor="text1"/>
                              <w:sz w:val="28"/>
                              <w:szCs w:val="28"/>
                            </w:rPr>
                          </w:pPr>
                        </w:p>
                        <w:sdt>
                          <w:sdtPr>
                            <w:rPr>
                              <w:rFonts w:asciiTheme="majorHAnsi" w:hAnsiTheme="majorHAnsi" w:cs="Times New Roman"/>
                              <w:caps/>
                              <w:color w:val="000000" w:themeColor="text1"/>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Content>
                            <w:p w14:paraId="4FF1444F" w14:textId="7B1909B0" w:rsidR="00523E01" w:rsidRPr="00402F62" w:rsidRDefault="00523E01" w:rsidP="00AB04AB">
                              <w:pPr>
                                <w:pStyle w:val="NoSpacing"/>
                                <w:spacing w:before="80" w:after="40"/>
                                <w:jc w:val="center"/>
                                <w:rPr>
                                  <w:rFonts w:asciiTheme="majorHAnsi" w:hAnsiTheme="majorHAnsi" w:cs="Times New Roman"/>
                                  <w:caps/>
                                  <w:color w:val="000000" w:themeColor="text1"/>
                                  <w:sz w:val="24"/>
                                  <w:szCs w:val="24"/>
                                </w:rPr>
                              </w:pPr>
                              <w:r w:rsidRPr="00402F62">
                                <w:rPr>
                                  <w:rFonts w:asciiTheme="majorHAnsi" w:hAnsiTheme="majorHAnsi" w:cs="Times New Roman"/>
                                  <w:caps/>
                                  <w:color w:val="000000" w:themeColor="text1"/>
                                  <w:sz w:val="24"/>
                                  <w:szCs w:val="24"/>
                                </w:rPr>
                                <w:t>Emma Hollmann</w:t>
                              </w:r>
                            </w:p>
                          </w:sdtContent>
                        </w:sdt>
                        <w:p w14:paraId="693DE2DF" w14:textId="77777777" w:rsidR="00523E01" w:rsidRPr="00402F62" w:rsidRDefault="00523E01" w:rsidP="00AB04AB">
                          <w:pPr>
                            <w:pStyle w:val="NoSpacing"/>
                            <w:spacing w:before="80" w:after="40"/>
                            <w:jc w:val="center"/>
                            <w:rPr>
                              <w:rFonts w:asciiTheme="majorHAnsi" w:hAnsiTheme="majorHAnsi" w:cs="Times New Roman"/>
                              <w:caps/>
                              <w:color w:val="000000" w:themeColor="text1"/>
                              <w:sz w:val="24"/>
                              <w:szCs w:val="24"/>
                            </w:rPr>
                          </w:pPr>
                        </w:p>
                        <w:p w14:paraId="5550B8F5" w14:textId="66A872E6" w:rsidR="00523E01" w:rsidRPr="00402F62" w:rsidRDefault="00523E01" w:rsidP="00AB04AB">
                          <w:pPr>
                            <w:pStyle w:val="NoSpacing"/>
                            <w:spacing w:before="80" w:after="40"/>
                            <w:jc w:val="center"/>
                            <w:rPr>
                              <w:rFonts w:asciiTheme="majorHAnsi" w:hAnsiTheme="majorHAnsi" w:cs="Times New Roman"/>
                              <w:caps/>
                              <w:color w:val="000000" w:themeColor="text1"/>
                              <w:sz w:val="24"/>
                              <w:szCs w:val="24"/>
                            </w:rPr>
                          </w:pPr>
                          <w:r w:rsidRPr="00402F62">
                            <w:rPr>
                              <w:rFonts w:asciiTheme="majorHAnsi" w:hAnsiTheme="majorHAnsi" w:cs="Times New Roman"/>
                              <w:caps/>
                              <w:color w:val="000000" w:themeColor="text1"/>
                              <w:sz w:val="24"/>
                              <w:szCs w:val="24"/>
                            </w:rPr>
                            <w:t>13 APril 2015</w:t>
                          </w:r>
                        </w:p>
                        <w:p w14:paraId="1DA36EDB" w14:textId="58C751F7" w:rsidR="00523E01" w:rsidRPr="00402F62" w:rsidRDefault="00523E01" w:rsidP="00AB04AB">
                          <w:pPr>
                            <w:pStyle w:val="NoSpacing"/>
                            <w:spacing w:before="80" w:after="40"/>
                            <w:jc w:val="center"/>
                            <w:rPr>
                              <w:rFonts w:asciiTheme="majorHAnsi" w:hAnsiTheme="majorHAnsi" w:cs="Times New Roman"/>
                              <w:caps/>
                              <w:color w:val="000000" w:themeColor="text1"/>
                              <w:sz w:val="24"/>
                              <w:szCs w:val="24"/>
                            </w:rPr>
                          </w:pPr>
                          <w:r w:rsidRPr="00402F62">
                            <w:rPr>
                              <w:rFonts w:asciiTheme="majorHAnsi" w:hAnsiTheme="majorHAnsi" w:cs="Times New Roman"/>
                              <w:caps/>
                              <w:color w:val="000000" w:themeColor="text1"/>
                              <w:sz w:val="24"/>
                              <w:szCs w:val="24"/>
                            </w:rPr>
                            <w:t>University of Tennessee, Knoxville</w:t>
                          </w:r>
                        </w:p>
                        <w:p w14:paraId="368649BB" w14:textId="2E7907C8" w:rsidR="00523E01" w:rsidRPr="00402F62" w:rsidRDefault="00523E01" w:rsidP="00AB04AB">
                          <w:pPr>
                            <w:pStyle w:val="NoSpacing"/>
                            <w:spacing w:before="80" w:after="40"/>
                            <w:jc w:val="center"/>
                            <w:rPr>
                              <w:rFonts w:asciiTheme="majorHAnsi" w:hAnsiTheme="majorHAnsi" w:cs="Times New Roman"/>
                              <w:caps/>
                              <w:color w:val="000000" w:themeColor="text1"/>
                              <w:sz w:val="24"/>
                              <w:szCs w:val="24"/>
                            </w:rPr>
                          </w:pPr>
                          <w:r w:rsidRPr="00402F62">
                            <w:rPr>
                              <w:rFonts w:asciiTheme="majorHAnsi" w:hAnsiTheme="majorHAnsi" w:cs="Times New Roman"/>
                              <w:caps/>
                              <w:color w:val="000000" w:themeColor="text1"/>
                              <w:sz w:val="24"/>
                              <w:szCs w:val="24"/>
                            </w:rPr>
                            <w:t>Department of Chemical and Biomolecular engineering</w:t>
                          </w:r>
                        </w:p>
                        <w:p w14:paraId="71A0520F" w14:textId="60BBD478" w:rsidR="00523E01" w:rsidRPr="00402F62" w:rsidRDefault="00523E01" w:rsidP="00AB04AB">
                          <w:pPr>
                            <w:pStyle w:val="NoSpacing"/>
                            <w:spacing w:before="80" w:after="40"/>
                            <w:jc w:val="center"/>
                            <w:rPr>
                              <w:rFonts w:asciiTheme="majorHAnsi" w:hAnsiTheme="majorHAnsi" w:cs="Times New Roman"/>
                              <w:caps/>
                              <w:color w:val="000000" w:themeColor="text1"/>
                              <w:sz w:val="24"/>
                              <w:szCs w:val="24"/>
                            </w:rPr>
                          </w:pPr>
                          <w:r w:rsidRPr="00402F62">
                            <w:rPr>
                              <w:rFonts w:asciiTheme="majorHAnsi" w:hAnsiTheme="majorHAnsi" w:cs="Times New Roman"/>
                              <w:caps/>
                              <w:color w:val="000000" w:themeColor="text1"/>
                              <w:sz w:val="24"/>
                              <w:szCs w:val="24"/>
                            </w:rPr>
                            <w:t>haslam scholars program</w:t>
                          </w:r>
                        </w:p>
                        <w:p w14:paraId="742C40B8" w14:textId="20D2E2BA" w:rsidR="00523E01" w:rsidRPr="00402F62" w:rsidRDefault="00523E01" w:rsidP="00AB04AB">
                          <w:pPr>
                            <w:pStyle w:val="NoSpacing"/>
                            <w:spacing w:before="80" w:after="40"/>
                            <w:jc w:val="center"/>
                            <w:rPr>
                              <w:rFonts w:asciiTheme="majorHAnsi" w:hAnsiTheme="majorHAnsi" w:cs="Times New Roman"/>
                              <w:caps/>
                              <w:color w:val="000000" w:themeColor="text1"/>
                              <w:sz w:val="24"/>
                              <w:szCs w:val="24"/>
                            </w:rPr>
                          </w:pPr>
                          <w:r w:rsidRPr="00402F62">
                            <w:rPr>
                              <w:rFonts w:asciiTheme="majorHAnsi" w:hAnsiTheme="majorHAnsi" w:cs="Times New Roman"/>
                              <w:caps/>
                              <w:color w:val="000000" w:themeColor="text1"/>
                              <w:sz w:val="24"/>
                              <w:szCs w:val="24"/>
                            </w:rPr>
                            <w:t>advisor: Dr. Thomas Zawodzinski</w:t>
                          </w:r>
                        </w:p>
                      </w:txbxContent>
                    </v:textbox>
                    <w10:wrap type="square" anchorx="margin" anchory="page"/>
                  </v:shape>
                </w:pict>
              </mc:Fallback>
            </mc:AlternateContent>
          </w:r>
          <w:r w:rsidR="00AB04AB">
            <w:rPr>
              <w:rFonts w:asciiTheme="majorHAnsi" w:eastAsiaTheme="majorEastAsia" w:hAnsiTheme="majorHAnsi" w:cstheme="majorBidi"/>
              <w:caps/>
              <w:color w:val="000000" w:themeColor="text1"/>
              <w:sz w:val="72"/>
              <w:szCs w:val="72"/>
            </w:rPr>
            <w:br w:type="page"/>
          </w:r>
        </w:p>
      </w:sdtContent>
    </w:sdt>
    <w:p w14:paraId="5660FBCD" w14:textId="77777777" w:rsidR="00402F62" w:rsidRDefault="00402F62" w:rsidP="00055CFD">
      <w:pPr>
        <w:spacing w:line="480" w:lineRule="auto"/>
        <w:jc w:val="center"/>
        <w:rPr>
          <w:rFonts w:asciiTheme="majorHAnsi" w:hAnsiTheme="majorHAnsi"/>
        </w:rPr>
      </w:pPr>
      <w:r>
        <w:rPr>
          <w:rFonts w:asciiTheme="majorHAnsi" w:hAnsiTheme="majorHAnsi"/>
        </w:rPr>
        <w:lastRenderedPageBreak/>
        <w:t>Table of Contents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9"/>
        <w:gridCol w:w="1161"/>
      </w:tblGrid>
      <w:tr w:rsidR="00450675" w14:paraId="22EE32E7" w14:textId="77777777" w:rsidTr="00450675">
        <w:tc>
          <w:tcPr>
            <w:tcW w:w="4380" w:type="pct"/>
          </w:tcPr>
          <w:p w14:paraId="6EAB9118" w14:textId="144784FB" w:rsidR="00450675" w:rsidRPr="00450675" w:rsidRDefault="00450675" w:rsidP="00450675">
            <w:pPr>
              <w:spacing w:line="240" w:lineRule="auto"/>
              <w:rPr>
                <w:rFonts w:asciiTheme="majorHAnsi" w:hAnsiTheme="majorHAnsi"/>
              </w:rPr>
            </w:pPr>
            <w:r w:rsidRPr="00450675">
              <w:rPr>
                <w:rFonts w:asciiTheme="majorHAnsi" w:hAnsiTheme="majorHAnsi"/>
              </w:rPr>
              <w:t>1.</w:t>
            </w:r>
            <w:r>
              <w:rPr>
                <w:rFonts w:asciiTheme="majorHAnsi" w:hAnsiTheme="majorHAnsi"/>
              </w:rPr>
              <w:t xml:space="preserve"> </w:t>
            </w:r>
            <w:r w:rsidRPr="00450675">
              <w:rPr>
                <w:rFonts w:asciiTheme="majorHAnsi" w:hAnsiTheme="majorHAnsi"/>
              </w:rPr>
              <w:t>Abstract</w:t>
            </w:r>
          </w:p>
        </w:tc>
        <w:tc>
          <w:tcPr>
            <w:tcW w:w="620" w:type="pct"/>
          </w:tcPr>
          <w:p w14:paraId="46EA3B35" w14:textId="3F135FE8" w:rsidR="00450675" w:rsidRDefault="00450675" w:rsidP="00450675">
            <w:pPr>
              <w:spacing w:line="240" w:lineRule="auto"/>
              <w:jc w:val="right"/>
              <w:rPr>
                <w:rFonts w:asciiTheme="majorHAnsi" w:hAnsiTheme="majorHAnsi"/>
              </w:rPr>
            </w:pPr>
            <w:r>
              <w:rPr>
                <w:rFonts w:asciiTheme="majorHAnsi" w:hAnsiTheme="majorHAnsi"/>
              </w:rPr>
              <w:t>3</w:t>
            </w:r>
          </w:p>
        </w:tc>
      </w:tr>
      <w:tr w:rsidR="00450675" w14:paraId="67610A9A" w14:textId="77777777" w:rsidTr="00450675">
        <w:tc>
          <w:tcPr>
            <w:tcW w:w="4380" w:type="pct"/>
          </w:tcPr>
          <w:p w14:paraId="272388CF" w14:textId="4588817F" w:rsidR="00450675" w:rsidRDefault="00450675" w:rsidP="00450675">
            <w:pPr>
              <w:spacing w:line="240" w:lineRule="auto"/>
              <w:rPr>
                <w:rFonts w:asciiTheme="majorHAnsi" w:hAnsiTheme="majorHAnsi"/>
              </w:rPr>
            </w:pPr>
            <w:r>
              <w:rPr>
                <w:rFonts w:asciiTheme="majorHAnsi" w:hAnsiTheme="majorHAnsi"/>
              </w:rPr>
              <w:t>2. Introduction</w:t>
            </w:r>
          </w:p>
        </w:tc>
        <w:tc>
          <w:tcPr>
            <w:tcW w:w="620" w:type="pct"/>
          </w:tcPr>
          <w:p w14:paraId="19442C37" w14:textId="20DCB5B0" w:rsidR="00450675" w:rsidRDefault="00450675" w:rsidP="00450675">
            <w:pPr>
              <w:spacing w:line="240" w:lineRule="auto"/>
              <w:jc w:val="right"/>
              <w:rPr>
                <w:rFonts w:asciiTheme="majorHAnsi" w:hAnsiTheme="majorHAnsi"/>
              </w:rPr>
            </w:pPr>
            <w:r>
              <w:rPr>
                <w:rFonts w:asciiTheme="majorHAnsi" w:hAnsiTheme="majorHAnsi"/>
              </w:rPr>
              <w:t>3</w:t>
            </w:r>
          </w:p>
        </w:tc>
      </w:tr>
      <w:tr w:rsidR="00450675" w14:paraId="4AFA25C3" w14:textId="77777777" w:rsidTr="00450675">
        <w:tc>
          <w:tcPr>
            <w:tcW w:w="4380" w:type="pct"/>
          </w:tcPr>
          <w:p w14:paraId="10E0A0DF" w14:textId="1C5BF221" w:rsidR="00450675" w:rsidRDefault="00450675" w:rsidP="00450675">
            <w:pPr>
              <w:spacing w:line="240" w:lineRule="auto"/>
              <w:ind w:left="720"/>
              <w:rPr>
                <w:rFonts w:asciiTheme="majorHAnsi" w:hAnsiTheme="majorHAnsi"/>
              </w:rPr>
            </w:pPr>
            <w:r>
              <w:rPr>
                <w:rFonts w:asciiTheme="majorHAnsi" w:hAnsiTheme="majorHAnsi"/>
              </w:rPr>
              <w:t>2.1 Need for Renewable Energy</w:t>
            </w:r>
          </w:p>
        </w:tc>
        <w:tc>
          <w:tcPr>
            <w:tcW w:w="620" w:type="pct"/>
          </w:tcPr>
          <w:p w14:paraId="14884635" w14:textId="108FC6B9" w:rsidR="00450675" w:rsidRDefault="00450675" w:rsidP="00450675">
            <w:pPr>
              <w:spacing w:line="240" w:lineRule="auto"/>
              <w:jc w:val="right"/>
              <w:rPr>
                <w:rFonts w:asciiTheme="majorHAnsi" w:hAnsiTheme="majorHAnsi"/>
              </w:rPr>
            </w:pPr>
            <w:r>
              <w:rPr>
                <w:rFonts w:asciiTheme="majorHAnsi" w:hAnsiTheme="majorHAnsi"/>
              </w:rPr>
              <w:t>3-4</w:t>
            </w:r>
          </w:p>
        </w:tc>
      </w:tr>
      <w:tr w:rsidR="00450675" w14:paraId="258A44D5" w14:textId="77777777" w:rsidTr="00450675">
        <w:tc>
          <w:tcPr>
            <w:tcW w:w="4380" w:type="pct"/>
          </w:tcPr>
          <w:p w14:paraId="798780C1" w14:textId="76C76D56" w:rsidR="00450675" w:rsidRDefault="00450675" w:rsidP="00450675">
            <w:pPr>
              <w:spacing w:line="240" w:lineRule="auto"/>
              <w:ind w:left="1440"/>
              <w:rPr>
                <w:rFonts w:asciiTheme="majorHAnsi" w:hAnsiTheme="majorHAnsi"/>
              </w:rPr>
            </w:pPr>
            <w:r>
              <w:rPr>
                <w:rFonts w:asciiTheme="majorHAnsi" w:hAnsiTheme="majorHAnsi"/>
              </w:rPr>
              <w:t>2.1.1 Current Technologies</w:t>
            </w:r>
          </w:p>
        </w:tc>
        <w:tc>
          <w:tcPr>
            <w:tcW w:w="620" w:type="pct"/>
          </w:tcPr>
          <w:p w14:paraId="5E6360ED" w14:textId="0E649B62" w:rsidR="00450675" w:rsidRDefault="00450675" w:rsidP="00450675">
            <w:pPr>
              <w:spacing w:line="240" w:lineRule="auto"/>
              <w:jc w:val="right"/>
              <w:rPr>
                <w:rFonts w:asciiTheme="majorHAnsi" w:hAnsiTheme="majorHAnsi"/>
              </w:rPr>
            </w:pPr>
            <w:r>
              <w:rPr>
                <w:rFonts w:asciiTheme="majorHAnsi" w:hAnsiTheme="majorHAnsi"/>
              </w:rPr>
              <w:t>4-5</w:t>
            </w:r>
          </w:p>
        </w:tc>
      </w:tr>
      <w:tr w:rsidR="00450675" w14:paraId="0E80C3F2" w14:textId="77777777" w:rsidTr="00450675">
        <w:tc>
          <w:tcPr>
            <w:tcW w:w="4380" w:type="pct"/>
          </w:tcPr>
          <w:p w14:paraId="447F65F6" w14:textId="44A9A557" w:rsidR="00450675" w:rsidRDefault="00450675" w:rsidP="00450675">
            <w:pPr>
              <w:spacing w:line="240" w:lineRule="auto"/>
              <w:ind w:left="720"/>
              <w:rPr>
                <w:rFonts w:asciiTheme="majorHAnsi" w:hAnsiTheme="majorHAnsi"/>
              </w:rPr>
            </w:pPr>
            <w:r>
              <w:rPr>
                <w:rFonts w:asciiTheme="majorHAnsi" w:hAnsiTheme="majorHAnsi"/>
              </w:rPr>
              <w:t>2.2 What are vanadium redox flow batteries (VRBs)?</w:t>
            </w:r>
          </w:p>
        </w:tc>
        <w:tc>
          <w:tcPr>
            <w:tcW w:w="620" w:type="pct"/>
          </w:tcPr>
          <w:p w14:paraId="66776C40" w14:textId="3B38D0EC" w:rsidR="00450675" w:rsidRDefault="00450675" w:rsidP="00450675">
            <w:pPr>
              <w:spacing w:line="240" w:lineRule="auto"/>
              <w:jc w:val="right"/>
              <w:rPr>
                <w:rFonts w:asciiTheme="majorHAnsi" w:hAnsiTheme="majorHAnsi"/>
              </w:rPr>
            </w:pPr>
            <w:r>
              <w:rPr>
                <w:rFonts w:asciiTheme="majorHAnsi" w:hAnsiTheme="majorHAnsi"/>
              </w:rPr>
              <w:t>5-6</w:t>
            </w:r>
          </w:p>
        </w:tc>
      </w:tr>
      <w:tr w:rsidR="00450675" w14:paraId="51CB230B" w14:textId="77777777" w:rsidTr="00450675">
        <w:tc>
          <w:tcPr>
            <w:tcW w:w="4380" w:type="pct"/>
          </w:tcPr>
          <w:p w14:paraId="7CE9D594" w14:textId="0DB3D12B" w:rsidR="00450675" w:rsidRDefault="00450675" w:rsidP="00450675">
            <w:pPr>
              <w:spacing w:line="240" w:lineRule="auto"/>
              <w:ind w:left="1440"/>
              <w:rPr>
                <w:rFonts w:asciiTheme="majorHAnsi" w:hAnsiTheme="majorHAnsi"/>
              </w:rPr>
            </w:pPr>
            <w:r>
              <w:rPr>
                <w:rFonts w:asciiTheme="majorHAnsi" w:hAnsiTheme="majorHAnsi"/>
              </w:rPr>
              <w:t>2.2.1 Basic Construction</w:t>
            </w:r>
          </w:p>
        </w:tc>
        <w:tc>
          <w:tcPr>
            <w:tcW w:w="620" w:type="pct"/>
          </w:tcPr>
          <w:p w14:paraId="31B39796" w14:textId="466C1385" w:rsidR="00450675" w:rsidRDefault="00450675" w:rsidP="00450675">
            <w:pPr>
              <w:spacing w:line="240" w:lineRule="auto"/>
              <w:jc w:val="right"/>
              <w:rPr>
                <w:rFonts w:asciiTheme="majorHAnsi" w:hAnsiTheme="majorHAnsi"/>
              </w:rPr>
            </w:pPr>
            <w:r>
              <w:rPr>
                <w:rFonts w:asciiTheme="majorHAnsi" w:hAnsiTheme="majorHAnsi"/>
              </w:rPr>
              <w:t>6-7</w:t>
            </w:r>
          </w:p>
        </w:tc>
      </w:tr>
      <w:tr w:rsidR="00450675" w14:paraId="0E4B2F16" w14:textId="77777777" w:rsidTr="00450675">
        <w:tc>
          <w:tcPr>
            <w:tcW w:w="4380" w:type="pct"/>
          </w:tcPr>
          <w:p w14:paraId="790C36C2" w14:textId="3F67201F" w:rsidR="00450675" w:rsidRDefault="00450675" w:rsidP="00450675">
            <w:pPr>
              <w:spacing w:line="240" w:lineRule="auto"/>
              <w:ind w:left="720"/>
              <w:rPr>
                <w:rFonts w:asciiTheme="majorHAnsi" w:hAnsiTheme="majorHAnsi"/>
              </w:rPr>
            </w:pPr>
            <w:r>
              <w:rPr>
                <w:rFonts w:asciiTheme="majorHAnsi" w:hAnsiTheme="majorHAnsi"/>
              </w:rPr>
              <w:t>2.3 State of the Field</w:t>
            </w:r>
          </w:p>
        </w:tc>
        <w:tc>
          <w:tcPr>
            <w:tcW w:w="620" w:type="pct"/>
          </w:tcPr>
          <w:p w14:paraId="649DA18B" w14:textId="72480985" w:rsidR="00450675" w:rsidRDefault="00450675" w:rsidP="00450675">
            <w:pPr>
              <w:spacing w:line="240" w:lineRule="auto"/>
              <w:jc w:val="right"/>
              <w:rPr>
                <w:rFonts w:asciiTheme="majorHAnsi" w:hAnsiTheme="majorHAnsi"/>
              </w:rPr>
            </w:pPr>
            <w:r>
              <w:rPr>
                <w:rFonts w:asciiTheme="majorHAnsi" w:hAnsiTheme="majorHAnsi"/>
              </w:rPr>
              <w:t>8-9</w:t>
            </w:r>
          </w:p>
        </w:tc>
      </w:tr>
      <w:tr w:rsidR="00450675" w14:paraId="3C49EE7E" w14:textId="77777777" w:rsidTr="00450675">
        <w:tc>
          <w:tcPr>
            <w:tcW w:w="4380" w:type="pct"/>
          </w:tcPr>
          <w:p w14:paraId="755A0D72" w14:textId="50A21F5D" w:rsidR="00450675" w:rsidRDefault="00450675" w:rsidP="00450675">
            <w:pPr>
              <w:spacing w:line="240" w:lineRule="auto"/>
              <w:rPr>
                <w:rFonts w:asciiTheme="majorHAnsi" w:hAnsiTheme="majorHAnsi"/>
              </w:rPr>
            </w:pPr>
            <w:r>
              <w:rPr>
                <w:rFonts w:asciiTheme="majorHAnsi" w:hAnsiTheme="majorHAnsi"/>
              </w:rPr>
              <w:t>3. Motivation</w:t>
            </w:r>
          </w:p>
        </w:tc>
        <w:tc>
          <w:tcPr>
            <w:tcW w:w="620" w:type="pct"/>
          </w:tcPr>
          <w:p w14:paraId="1AC2BFEF" w14:textId="769A09EC" w:rsidR="00450675" w:rsidRDefault="00450675" w:rsidP="00450675">
            <w:pPr>
              <w:spacing w:line="240" w:lineRule="auto"/>
              <w:jc w:val="right"/>
              <w:rPr>
                <w:rFonts w:asciiTheme="majorHAnsi" w:hAnsiTheme="majorHAnsi"/>
              </w:rPr>
            </w:pPr>
            <w:r>
              <w:rPr>
                <w:rFonts w:asciiTheme="majorHAnsi" w:hAnsiTheme="majorHAnsi"/>
              </w:rPr>
              <w:t>9-10</w:t>
            </w:r>
          </w:p>
        </w:tc>
      </w:tr>
      <w:tr w:rsidR="00450675" w14:paraId="3D67FBA5" w14:textId="77777777" w:rsidTr="00450675">
        <w:tc>
          <w:tcPr>
            <w:tcW w:w="4380" w:type="pct"/>
          </w:tcPr>
          <w:p w14:paraId="7B4F3A3A" w14:textId="58365CFA" w:rsidR="00450675" w:rsidRDefault="00450675" w:rsidP="00450675">
            <w:pPr>
              <w:spacing w:line="240" w:lineRule="auto"/>
              <w:ind w:left="720"/>
              <w:rPr>
                <w:rFonts w:asciiTheme="majorHAnsi" w:hAnsiTheme="majorHAnsi"/>
              </w:rPr>
            </w:pPr>
            <w:r>
              <w:rPr>
                <w:rFonts w:asciiTheme="majorHAnsi" w:hAnsiTheme="majorHAnsi"/>
              </w:rPr>
              <w:t>3.1 Vanadium chemistry in solution</w:t>
            </w:r>
          </w:p>
        </w:tc>
        <w:tc>
          <w:tcPr>
            <w:tcW w:w="620" w:type="pct"/>
          </w:tcPr>
          <w:p w14:paraId="2979B6D6" w14:textId="3899CCEB" w:rsidR="00450675" w:rsidRDefault="00450675" w:rsidP="00450675">
            <w:pPr>
              <w:spacing w:line="240" w:lineRule="auto"/>
              <w:jc w:val="right"/>
              <w:rPr>
                <w:rFonts w:asciiTheme="majorHAnsi" w:hAnsiTheme="majorHAnsi"/>
              </w:rPr>
            </w:pPr>
            <w:r>
              <w:rPr>
                <w:rFonts w:asciiTheme="majorHAnsi" w:hAnsiTheme="majorHAnsi"/>
              </w:rPr>
              <w:t>10-14</w:t>
            </w:r>
          </w:p>
        </w:tc>
      </w:tr>
      <w:tr w:rsidR="00450675" w14:paraId="4D0E8DCC" w14:textId="77777777" w:rsidTr="00450675">
        <w:tc>
          <w:tcPr>
            <w:tcW w:w="4380" w:type="pct"/>
          </w:tcPr>
          <w:p w14:paraId="592DC2DB" w14:textId="095543F2" w:rsidR="00450675" w:rsidRDefault="00450675" w:rsidP="00450675">
            <w:pPr>
              <w:spacing w:line="240" w:lineRule="auto"/>
              <w:ind w:left="720"/>
              <w:rPr>
                <w:rFonts w:asciiTheme="majorHAnsi" w:hAnsiTheme="majorHAnsi"/>
              </w:rPr>
            </w:pPr>
            <w:r>
              <w:rPr>
                <w:rFonts w:asciiTheme="majorHAnsi" w:hAnsiTheme="majorHAnsi"/>
              </w:rPr>
              <w:t>3.2 Vanadium interactions with electrode materials</w:t>
            </w:r>
          </w:p>
        </w:tc>
        <w:tc>
          <w:tcPr>
            <w:tcW w:w="620" w:type="pct"/>
          </w:tcPr>
          <w:p w14:paraId="4B992433" w14:textId="271C46AD" w:rsidR="00450675" w:rsidRDefault="00450675" w:rsidP="00450675">
            <w:pPr>
              <w:spacing w:line="240" w:lineRule="auto"/>
              <w:jc w:val="right"/>
              <w:rPr>
                <w:rFonts w:asciiTheme="majorHAnsi" w:hAnsiTheme="majorHAnsi"/>
              </w:rPr>
            </w:pPr>
            <w:r>
              <w:rPr>
                <w:rFonts w:asciiTheme="majorHAnsi" w:hAnsiTheme="majorHAnsi"/>
              </w:rPr>
              <w:t>14-17</w:t>
            </w:r>
          </w:p>
        </w:tc>
      </w:tr>
      <w:tr w:rsidR="00450675" w14:paraId="7C1A6B10" w14:textId="77777777" w:rsidTr="00450675">
        <w:tc>
          <w:tcPr>
            <w:tcW w:w="4380" w:type="pct"/>
          </w:tcPr>
          <w:p w14:paraId="426299B6" w14:textId="02D01153" w:rsidR="00450675" w:rsidRDefault="00450675" w:rsidP="00450675">
            <w:pPr>
              <w:spacing w:line="240" w:lineRule="auto"/>
              <w:ind w:left="1440"/>
              <w:rPr>
                <w:rFonts w:asciiTheme="majorHAnsi" w:hAnsiTheme="majorHAnsi"/>
              </w:rPr>
            </w:pPr>
            <w:r>
              <w:rPr>
                <w:rFonts w:asciiTheme="majorHAnsi" w:hAnsiTheme="majorHAnsi"/>
              </w:rPr>
              <w:t>3.2.1 Side reactions at electrodes</w:t>
            </w:r>
          </w:p>
        </w:tc>
        <w:tc>
          <w:tcPr>
            <w:tcW w:w="620" w:type="pct"/>
          </w:tcPr>
          <w:p w14:paraId="5BAFA359" w14:textId="033552A8" w:rsidR="00450675" w:rsidRDefault="00450675" w:rsidP="00450675">
            <w:pPr>
              <w:spacing w:line="240" w:lineRule="auto"/>
              <w:jc w:val="right"/>
              <w:rPr>
                <w:rFonts w:asciiTheme="majorHAnsi" w:hAnsiTheme="majorHAnsi"/>
              </w:rPr>
            </w:pPr>
            <w:r>
              <w:rPr>
                <w:rFonts w:asciiTheme="majorHAnsi" w:hAnsiTheme="majorHAnsi"/>
              </w:rPr>
              <w:t>18</w:t>
            </w:r>
          </w:p>
        </w:tc>
      </w:tr>
      <w:tr w:rsidR="00450675" w14:paraId="2815A9BF" w14:textId="77777777" w:rsidTr="00450675">
        <w:tc>
          <w:tcPr>
            <w:tcW w:w="4380" w:type="pct"/>
          </w:tcPr>
          <w:p w14:paraId="1C8A4DEF" w14:textId="706A7459" w:rsidR="00450675" w:rsidRDefault="00450675" w:rsidP="00450675">
            <w:pPr>
              <w:spacing w:line="240" w:lineRule="auto"/>
              <w:rPr>
                <w:rFonts w:asciiTheme="majorHAnsi" w:hAnsiTheme="majorHAnsi"/>
              </w:rPr>
            </w:pPr>
            <w:r>
              <w:rPr>
                <w:rFonts w:asciiTheme="majorHAnsi" w:hAnsiTheme="majorHAnsi"/>
              </w:rPr>
              <w:t>4.Technical Introduction</w:t>
            </w:r>
          </w:p>
        </w:tc>
        <w:tc>
          <w:tcPr>
            <w:tcW w:w="620" w:type="pct"/>
          </w:tcPr>
          <w:p w14:paraId="00DC8CE4" w14:textId="25C3FA55" w:rsidR="00450675" w:rsidRDefault="00450675" w:rsidP="00450675">
            <w:pPr>
              <w:spacing w:line="240" w:lineRule="auto"/>
              <w:jc w:val="right"/>
              <w:rPr>
                <w:rFonts w:asciiTheme="majorHAnsi" w:hAnsiTheme="majorHAnsi"/>
              </w:rPr>
            </w:pPr>
            <w:r>
              <w:rPr>
                <w:rFonts w:asciiTheme="majorHAnsi" w:hAnsiTheme="majorHAnsi"/>
              </w:rPr>
              <w:t>19</w:t>
            </w:r>
          </w:p>
        </w:tc>
      </w:tr>
      <w:tr w:rsidR="00450675" w14:paraId="7748CE6C" w14:textId="77777777" w:rsidTr="00450675">
        <w:tc>
          <w:tcPr>
            <w:tcW w:w="4380" w:type="pct"/>
          </w:tcPr>
          <w:p w14:paraId="621DD097" w14:textId="6A675682" w:rsidR="00450675" w:rsidRDefault="00450675" w:rsidP="00450675">
            <w:pPr>
              <w:spacing w:line="240" w:lineRule="auto"/>
              <w:ind w:left="720"/>
              <w:rPr>
                <w:rFonts w:asciiTheme="majorHAnsi" w:hAnsiTheme="majorHAnsi"/>
              </w:rPr>
            </w:pPr>
            <w:r>
              <w:rPr>
                <w:rFonts w:asciiTheme="majorHAnsi" w:hAnsiTheme="majorHAnsi"/>
              </w:rPr>
              <w:t>4.1 Electrochemistry</w:t>
            </w:r>
          </w:p>
        </w:tc>
        <w:tc>
          <w:tcPr>
            <w:tcW w:w="620" w:type="pct"/>
          </w:tcPr>
          <w:p w14:paraId="2CD80BC8" w14:textId="196EABF2" w:rsidR="00450675" w:rsidRDefault="00450675" w:rsidP="00450675">
            <w:pPr>
              <w:spacing w:line="240" w:lineRule="auto"/>
              <w:jc w:val="right"/>
              <w:rPr>
                <w:rFonts w:asciiTheme="majorHAnsi" w:hAnsiTheme="majorHAnsi"/>
              </w:rPr>
            </w:pPr>
            <w:r>
              <w:rPr>
                <w:rFonts w:asciiTheme="majorHAnsi" w:hAnsiTheme="majorHAnsi"/>
              </w:rPr>
              <w:t>19</w:t>
            </w:r>
          </w:p>
        </w:tc>
      </w:tr>
      <w:tr w:rsidR="00450675" w14:paraId="26BB92A4" w14:textId="77777777" w:rsidTr="00450675">
        <w:tc>
          <w:tcPr>
            <w:tcW w:w="4380" w:type="pct"/>
          </w:tcPr>
          <w:p w14:paraId="3F23EC1C" w14:textId="45C719E9" w:rsidR="00450675" w:rsidRDefault="00450675" w:rsidP="00450675">
            <w:pPr>
              <w:spacing w:line="240" w:lineRule="auto"/>
              <w:ind w:left="1440"/>
              <w:rPr>
                <w:rFonts w:asciiTheme="majorHAnsi" w:hAnsiTheme="majorHAnsi"/>
              </w:rPr>
            </w:pPr>
            <w:r>
              <w:rPr>
                <w:rFonts w:asciiTheme="majorHAnsi" w:hAnsiTheme="majorHAnsi"/>
              </w:rPr>
              <w:t>4.1.1 Kinetics</w:t>
            </w:r>
          </w:p>
        </w:tc>
        <w:tc>
          <w:tcPr>
            <w:tcW w:w="620" w:type="pct"/>
          </w:tcPr>
          <w:p w14:paraId="6025D725" w14:textId="0239E5ED" w:rsidR="00450675" w:rsidRDefault="00450675" w:rsidP="00450675">
            <w:pPr>
              <w:spacing w:line="240" w:lineRule="auto"/>
              <w:jc w:val="right"/>
              <w:rPr>
                <w:rFonts w:asciiTheme="majorHAnsi" w:hAnsiTheme="majorHAnsi"/>
              </w:rPr>
            </w:pPr>
            <w:r>
              <w:rPr>
                <w:rFonts w:asciiTheme="majorHAnsi" w:hAnsiTheme="majorHAnsi"/>
              </w:rPr>
              <w:t>19</w:t>
            </w:r>
          </w:p>
        </w:tc>
      </w:tr>
      <w:tr w:rsidR="00450675" w14:paraId="576FBEAF" w14:textId="77777777" w:rsidTr="00450675">
        <w:tc>
          <w:tcPr>
            <w:tcW w:w="4380" w:type="pct"/>
          </w:tcPr>
          <w:p w14:paraId="04F55C26" w14:textId="02366641" w:rsidR="00450675" w:rsidRDefault="00450675" w:rsidP="00450675">
            <w:pPr>
              <w:spacing w:line="240" w:lineRule="auto"/>
              <w:ind w:left="1440"/>
              <w:rPr>
                <w:rFonts w:asciiTheme="majorHAnsi" w:hAnsiTheme="majorHAnsi"/>
              </w:rPr>
            </w:pPr>
            <w:r>
              <w:rPr>
                <w:rFonts w:asciiTheme="majorHAnsi" w:hAnsiTheme="majorHAnsi"/>
              </w:rPr>
              <w:t xml:space="preserve">4.1.2 </w:t>
            </w:r>
            <w:proofErr w:type="spellStart"/>
            <w:r>
              <w:rPr>
                <w:rFonts w:asciiTheme="majorHAnsi" w:hAnsiTheme="majorHAnsi"/>
              </w:rPr>
              <w:t>Tafel</w:t>
            </w:r>
            <w:proofErr w:type="spellEnd"/>
            <w:r>
              <w:rPr>
                <w:rFonts w:asciiTheme="majorHAnsi" w:hAnsiTheme="majorHAnsi"/>
              </w:rPr>
              <w:t xml:space="preserve"> Kinetics</w:t>
            </w:r>
          </w:p>
        </w:tc>
        <w:tc>
          <w:tcPr>
            <w:tcW w:w="620" w:type="pct"/>
          </w:tcPr>
          <w:p w14:paraId="53DCC49E" w14:textId="7BFD8515" w:rsidR="00450675" w:rsidRDefault="00450675" w:rsidP="00450675">
            <w:pPr>
              <w:spacing w:line="240" w:lineRule="auto"/>
              <w:jc w:val="right"/>
              <w:rPr>
                <w:rFonts w:asciiTheme="majorHAnsi" w:hAnsiTheme="majorHAnsi"/>
              </w:rPr>
            </w:pPr>
            <w:r>
              <w:rPr>
                <w:rFonts w:asciiTheme="majorHAnsi" w:hAnsiTheme="majorHAnsi"/>
              </w:rPr>
              <w:t>19-20</w:t>
            </w:r>
          </w:p>
        </w:tc>
      </w:tr>
      <w:tr w:rsidR="00450675" w14:paraId="1CA0F532" w14:textId="77777777" w:rsidTr="00450675">
        <w:tc>
          <w:tcPr>
            <w:tcW w:w="4380" w:type="pct"/>
          </w:tcPr>
          <w:p w14:paraId="74F31EE1" w14:textId="60C7AAFB" w:rsidR="00450675" w:rsidRDefault="00450675" w:rsidP="00450675">
            <w:pPr>
              <w:spacing w:line="240" w:lineRule="auto"/>
              <w:ind w:left="1440"/>
              <w:rPr>
                <w:rFonts w:asciiTheme="majorHAnsi" w:hAnsiTheme="majorHAnsi"/>
              </w:rPr>
            </w:pPr>
            <w:r>
              <w:rPr>
                <w:rFonts w:asciiTheme="majorHAnsi" w:hAnsiTheme="majorHAnsi"/>
              </w:rPr>
              <w:t>4.1.3 Exchange Current Density</w:t>
            </w:r>
          </w:p>
        </w:tc>
        <w:tc>
          <w:tcPr>
            <w:tcW w:w="620" w:type="pct"/>
          </w:tcPr>
          <w:p w14:paraId="2DF49FBE" w14:textId="66F73E44" w:rsidR="00450675" w:rsidRDefault="00450675" w:rsidP="00450675">
            <w:pPr>
              <w:spacing w:line="240" w:lineRule="auto"/>
              <w:jc w:val="right"/>
              <w:rPr>
                <w:rFonts w:asciiTheme="majorHAnsi" w:hAnsiTheme="majorHAnsi"/>
              </w:rPr>
            </w:pPr>
            <w:r>
              <w:rPr>
                <w:rFonts w:asciiTheme="majorHAnsi" w:hAnsiTheme="majorHAnsi"/>
              </w:rPr>
              <w:t>20</w:t>
            </w:r>
          </w:p>
        </w:tc>
      </w:tr>
      <w:tr w:rsidR="00450675" w14:paraId="0195B884" w14:textId="77777777" w:rsidTr="00450675">
        <w:tc>
          <w:tcPr>
            <w:tcW w:w="4380" w:type="pct"/>
          </w:tcPr>
          <w:p w14:paraId="65EB4957" w14:textId="361CA3CD" w:rsidR="00450675" w:rsidRDefault="00450675" w:rsidP="00450675">
            <w:pPr>
              <w:spacing w:line="240" w:lineRule="auto"/>
              <w:ind w:left="1440"/>
              <w:rPr>
                <w:rFonts w:asciiTheme="majorHAnsi" w:hAnsiTheme="majorHAnsi"/>
              </w:rPr>
            </w:pPr>
            <w:r>
              <w:rPr>
                <w:rFonts w:asciiTheme="majorHAnsi" w:hAnsiTheme="majorHAnsi"/>
              </w:rPr>
              <w:t xml:space="preserve">4.1.4 </w:t>
            </w:r>
            <w:proofErr w:type="spellStart"/>
            <w:r>
              <w:rPr>
                <w:rFonts w:asciiTheme="majorHAnsi" w:hAnsiTheme="majorHAnsi"/>
              </w:rPr>
              <w:t>Bulter-Volmer</w:t>
            </w:r>
            <w:proofErr w:type="spellEnd"/>
            <w:r>
              <w:rPr>
                <w:rFonts w:asciiTheme="majorHAnsi" w:hAnsiTheme="majorHAnsi"/>
              </w:rPr>
              <w:t xml:space="preserve"> Kinetics</w:t>
            </w:r>
          </w:p>
        </w:tc>
        <w:tc>
          <w:tcPr>
            <w:tcW w:w="620" w:type="pct"/>
          </w:tcPr>
          <w:p w14:paraId="0E698811" w14:textId="03C4B4EF" w:rsidR="00450675" w:rsidRDefault="00450675" w:rsidP="00450675">
            <w:pPr>
              <w:spacing w:line="240" w:lineRule="auto"/>
              <w:jc w:val="right"/>
              <w:rPr>
                <w:rFonts w:asciiTheme="majorHAnsi" w:hAnsiTheme="majorHAnsi"/>
              </w:rPr>
            </w:pPr>
            <w:r>
              <w:rPr>
                <w:rFonts w:asciiTheme="majorHAnsi" w:hAnsiTheme="majorHAnsi"/>
              </w:rPr>
              <w:t>21</w:t>
            </w:r>
          </w:p>
        </w:tc>
      </w:tr>
      <w:tr w:rsidR="00450675" w14:paraId="31CB82F3" w14:textId="77777777" w:rsidTr="00450675">
        <w:tc>
          <w:tcPr>
            <w:tcW w:w="4380" w:type="pct"/>
          </w:tcPr>
          <w:p w14:paraId="67D4463D" w14:textId="2C5DF6EA" w:rsidR="00450675" w:rsidRDefault="00450675" w:rsidP="00450675">
            <w:pPr>
              <w:spacing w:line="240" w:lineRule="auto"/>
              <w:ind w:left="1440"/>
              <w:rPr>
                <w:rFonts w:asciiTheme="majorHAnsi" w:hAnsiTheme="majorHAnsi"/>
              </w:rPr>
            </w:pPr>
            <w:r>
              <w:rPr>
                <w:rFonts w:asciiTheme="majorHAnsi" w:hAnsiTheme="majorHAnsi"/>
              </w:rPr>
              <w:t xml:space="preserve">4.1.5 </w:t>
            </w:r>
            <w:proofErr w:type="spellStart"/>
            <w:r>
              <w:rPr>
                <w:rFonts w:asciiTheme="majorHAnsi" w:hAnsiTheme="majorHAnsi"/>
              </w:rPr>
              <w:t>Tafel</w:t>
            </w:r>
            <w:proofErr w:type="spellEnd"/>
            <w:r>
              <w:rPr>
                <w:rFonts w:asciiTheme="majorHAnsi" w:hAnsiTheme="majorHAnsi"/>
              </w:rPr>
              <w:t xml:space="preserve"> Plots</w:t>
            </w:r>
          </w:p>
        </w:tc>
        <w:tc>
          <w:tcPr>
            <w:tcW w:w="620" w:type="pct"/>
          </w:tcPr>
          <w:p w14:paraId="55978B65" w14:textId="2BD62A6D" w:rsidR="00450675" w:rsidRDefault="00450675" w:rsidP="00450675">
            <w:pPr>
              <w:spacing w:line="240" w:lineRule="auto"/>
              <w:jc w:val="right"/>
              <w:rPr>
                <w:rFonts w:asciiTheme="majorHAnsi" w:hAnsiTheme="majorHAnsi"/>
              </w:rPr>
            </w:pPr>
            <w:r>
              <w:rPr>
                <w:rFonts w:asciiTheme="majorHAnsi" w:hAnsiTheme="majorHAnsi"/>
              </w:rPr>
              <w:t>22</w:t>
            </w:r>
          </w:p>
        </w:tc>
      </w:tr>
      <w:tr w:rsidR="00450675" w14:paraId="3F43E955" w14:textId="77777777" w:rsidTr="00450675">
        <w:tc>
          <w:tcPr>
            <w:tcW w:w="4380" w:type="pct"/>
          </w:tcPr>
          <w:p w14:paraId="676B7546" w14:textId="52267302" w:rsidR="00450675" w:rsidRDefault="00450675" w:rsidP="00450675">
            <w:pPr>
              <w:spacing w:line="240" w:lineRule="auto"/>
              <w:ind w:left="720"/>
              <w:rPr>
                <w:rFonts w:asciiTheme="majorHAnsi" w:hAnsiTheme="majorHAnsi"/>
              </w:rPr>
            </w:pPr>
            <w:r>
              <w:rPr>
                <w:rFonts w:asciiTheme="majorHAnsi" w:hAnsiTheme="majorHAnsi"/>
              </w:rPr>
              <w:t>4.2 Spectroscopy</w:t>
            </w:r>
          </w:p>
        </w:tc>
        <w:tc>
          <w:tcPr>
            <w:tcW w:w="620" w:type="pct"/>
          </w:tcPr>
          <w:p w14:paraId="207EE5D5" w14:textId="281704A5" w:rsidR="00450675" w:rsidRDefault="00450675" w:rsidP="00450675">
            <w:pPr>
              <w:spacing w:line="240" w:lineRule="auto"/>
              <w:jc w:val="right"/>
              <w:rPr>
                <w:rFonts w:asciiTheme="majorHAnsi" w:hAnsiTheme="majorHAnsi"/>
              </w:rPr>
            </w:pPr>
            <w:r>
              <w:rPr>
                <w:rFonts w:asciiTheme="majorHAnsi" w:hAnsiTheme="majorHAnsi"/>
              </w:rPr>
              <w:t>22-23</w:t>
            </w:r>
          </w:p>
        </w:tc>
      </w:tr>
      <w:tr w:rsidR="00450675" w14:paraId="03BEE7D2" w14:textId="77777777" w:rsidTr="00450675">
        <w:tc>
          <w:tcPr>
            <w:tcW w:w="4380" w:type="pct"/>
          </w:tcPr>
          <w:p w14:paraId="2B5B2A43" w14:textId="1619FD85" w:rsidR="00450675" w:rsidRDefault="00450675" w:rsidP="00450675">
            <w:pPr>
              <w:spacing w:line="240" w:lineRule="auto"/>
              <w:ind w:left="1440"/>
              <w:rPr>
                <w:rFonts w:asciiTheme="majorHAnsi" w:hAnsiTheme="majorHAnsi"/>
              </w:rPr>
            </w:pPr>
            <w:r>
              <w:rPr>
                <w:rFonts w:asciiTheme="majorHAnsi" w:hAnsiTheme="majorHAnsi"/>
              </w:rPr>
              <w:t>4.2.1 Raman Spectroscopy</w:t>
            </w:r>
          </w:p>
        </w:tc>
        <w:tc>
          <w:tcPr>
            <w:tcW w:w="620" w:type="pct"/>
          </w:tcPr>
          <w:p w14:paraId="637111A6" w14:textId="7E1F870B" w:rsidR="00450675" w:rsidRDefault="00450675" w:rsidP="00450675">
            <w:pPr>
              <w:spacing w:line="240" w:lineRule="auto"/>
              <w:jc w:val="right"/>
              <w:rPr>
                <w:rFonts w:asciiTheme="majorHAnsi" w:hAnsiTheme="majorHAnsi"/>
              </w:rPr>
            </w:pPr>
            <w:r>
              <w:rPr>
                <w:rFonts w:asciiTheme="majorHAnsi" w:hAnsiTheme="majorHAnsi"/>
              </w:rPr>
              <w:t>23-24</w:t>
            </w:r>
          </w:p>
        </w:tc>
      </w:tr>
      <w:tr w:rsidR="00450675" w14:paraId="6AAA7925" w14:textId="77777777" w:rsidTr="00450675">
        <w:tc>
          <w:tcPr>
            <w:tcW w:w="4380" w:type="pct"/>
          </w:tcPr>
          <w:p w14:paraId="4DD026F3" w14:textId="1A8CA5E3" w:rsidR="00450675" w:rsidRDefault="00450675" w:rsidP="00450675">
            <w:pPr>
              <w:spacing w:line="240" w:lineRule="auto"/>
              <w:ind w:left="1440"/>
              <w:rPr>
                <w:rFonts w:asciiTheme="majorHAnsi" w:hAnsiTheme="majorHAnsi"/>
              </w:rPr>
            </w:pPr>
            <w:r>
              <w:rPr>
                <w:rFonts w:asciiTheme="majorHAnsi" w:hAnsiTheme="majorHAnsi"/>
              </w:rPr>
              <w:t>4.2.2 Infrared (IR) Spectroscopy</w:t>
            </w:r>
          </w:p>
        </w:tc>
        <w:tc>
          <w:tcPr>
            <w:tcW w:w="620" w:type="pct"/>
          </w:tcPr>
          <w:p w14:paraId="457312F1" w14:textId="35A2DF6D" w:rsidR="00450675" w:rsidRDefault="00450675" w:rsidP="00450675">
            <w:pPr>
              <w:spacing w:line="240" w:lineRule="auto"/>
              <w:jc w:val="right"/>
              <w:rPr>
                <w:rFonts w:asciiTheme="majorHAnsi" w:hAnsiTheme="majorHAnsi"/>
              </w:rPr>
            </w:pPr>
            <w:r>
              <w:rPr>
                <w:rFonts w:asciiTheme="majorHAnsi" w:hAnsiTheme="majorHAnsi"/>
              </w:rPr>
              <w:t>24</w:t>
            </w:r>
          </w:p>
        </w:tc>
      </w:tr>
      <w:tr w:rsidR="00450675" w14:paraId="0B396C41" w14:textId="77777777" w:rsidTr="00450675">
        <w:tc>
          <w:tcPr>
            <w:tcW w:w="4380" w:type="pct"/>
          </w:tcPr>
          <w:p w14:paraId="28F6793A" w14:textId="44623AFB" w:rsidR="00450675" w:rsidRDefault="00450675" w:rsidP="00450675">
            <w:pPr>
              <w:spacing w:line="240" w:lineRule="auto"/>
              <w:ind w:left="1440"/>
              <w:rPr>
                <w:rFonts w:asciiTheme="majorHAnsi" w:hAnsiTheme="majorHAnsi"/>
              </w:rPr>
            </w:pPr>
            <w:r>
              <w:rPr>
                <w:rFonts w:asciiTheme="majorHAnsi" w:hAnsiTheme="majorHAnsi"/>
              </w:rPr>
              <w:t>4.2.3 Comparison of Raman and IR Spectroscopy</w:t>
            </w:r>
          </w:p>
        </w:tc>
        <w:tc>
          <w:tcPr>
            <w:tcW w:w="620" w:type="pct"/>
          </w:tcPr>
          <w:p w14:paraId="1295786B" w14:textId="077D759F" w:rsidR="00450675" w:rsidRDefault="00450675" w:rsidP="00450675">
            <w:pPr>
              <w:spacing w:line="240" w:lineRule="auto"/>
              <w:jc w:val="right"/>
              <w:rPr>
                <w:rFonts w:asciiTheme="majorHAnsi" w:hAnsiTheme="majorHAnsi"/>
              </w:rPr>
            </w:pPr>
            <w:r>
              <w:rPr>
                <w:rFonts w:asciiTheme="majorHAnsi" w:hAnsiTheme="majorHAnsi"/>
              </w:rPr>
              <w:t>24-25</w:t>
            </w:r>
          </w:p>
        </w:tc>
      </w:tr>
      <w:tr w:rsidR="00450675" w14:paraId="25A45A06" w14:textId="77777777" w:rsidTr="00450675">
        <w:tc>
          <w:tcPr>
            <w:tcW w:w="4380" w:type="pct"/>
          </w:tcPr>
          <w:p w14:paraId="34FAA2C0" w14:textId="3EFE71C5" w:rsidR="00450675" w:rsidRDefault="00450675" w:rsidP="00450675">
            <w:pPr>
              <w:spacing w:line="240" w:lineRule="auto"/>
              <w:rPr>
                <w:rFonts w:asciiTheme="majorHAnsi" w:hAnsiTheme="majorHAnsi"/>
              </w:rPr>
            </w:pPr>
            <w:r>
              <w:rPr>
                <w:rFonts w:asciiTheme="majorHAnsi" w:hAnsiTheme="majorHAnsi"/>
              </w:rPr>
              <w:t>5. Kinetics Measurements</w:t>
            </w:r>
          </w:p>
        </w:tc>
        <w:tc>
          <w:tcPr>
            <w:tcW w:w="620" w:type="pct"/>
          </w:tcPr>
          <w:p w14:paraId="0E426EE1" w14:textId="425F5AB9" w:rsidR="00450675" w:rsidRDefault="00450675" w:rsidP="00450675">
            <w:pPr>
              <w:spacing w:line="240" w:lineRule="auto"/>
              <w:jc w:val="right"/>
              <w:rPr>
                <w:rFonts w:asciiTheme="majorHAnsi" w:hAnsiTheme="majorHAnsi"/>
              </w:rPr>
            </w:pPr>
            <w:r>
              <w:rPr>
                <w:rFonts w:asciiTheme="majorHAnsi" w:hAnsiTheme="majorHAnsi"/>
              </w:rPr>
              <w:t>25</w:t>
            </w:r>
          </w:p>
        </w:tc>
      </w:tr>
      <w:tr w:rsidR="00450675" w14:paraId="760D0635" w14:textId="77777777" w:rsidTr="00450675">
        <w:tc>
          <w:tcPr>
            <w:tcW w:w="4380" w:type="pct"/>
          </w:tcPr>
          <w:p w14:paraId="2D1E5912" w14:textId="5F2841F9" w:rsidR="00450675" w:rsidRDefault="00450675" w:rsidP="00450675">
            <w:pPr>
              <w:spacing w:line="240" w:lineRule="auto"/>
              <w:ind w:left="720"/>
              <w:rPr>
                <w:rFonts w:asciiTheme="majorHAnsi" w:hAnsiTheme="majorHAnsi"/>
              </w:rPr>
            </w:pPr>
            <w:r>
              <w:rPr>
                <w:rFonts w:asciiTheme="majorHAnsi" w:hAnsiTheme="majorHAnsi"/>
              </w:rPr>
              <w:t>5.1 Materials</w:t>
            </w:r>
          </w:p>
        </w:tc>
        <w:tc>
          <w:tcPr>
            <w:tcW w:w="620" w:type="pct"/>
          </w:tcPr>
          <w:p w14:paraId="004BC68F" w14:textId="2677D456" w:rsidR="00450675" w:rsidRDefault="00450675" w:rsidP="00450675">
            <w:pPr>
              <w:spacing w:line="240" w:lineRule="auto"/>
              <w:jc w:val="right"/>
              <w:rPr>
                <w:rFonts w:asciiTheme="majorHAnsi" w:hAnsiTheme="majorHAnsi"/>
              </w:rPr>
            </w:pPr>
            <w:r>
              <w:rPr>
                <w:rFonts w:asciiTheme="majorHAnsi" w:hAnsiTheme="majorHAnsi"/>
              </w:rPr>
              <w:t>25</w:t>
            </w:r>
          </w:p>
        </w:tc>
      </w:tr>
      <w:tr w:rsidR="00450675" w14:paraId="17D2EEE8" w14:textId="77777777" w:rsidTr="00450675">
        <w:tc>
          <w:tcPr>
            <w:tcW w:w="4380" w:type="pct"/>
          </w:tcPr>
          <w:p w14:paraId="6CB40A2D" w14:textId="5E19A9C7" w:rsidR="00450675" w:rsidRDefault="00450675" w:rsidP="00450675">
            <w:pPr>
              <w:spacing w:line="240" w:lineRule="auto"/>
              <w:ind w:left="720"/>
              <w:rPr>
                <w:rFonts w:asciiTheme="majorHAnsi" w:hAnsiTheme="majorHAnsi"/>
              </w:rPr>
            </w:pPr>
            <w:r>
              <w:rPr>
                <w:rFonts w:asciiTheme="majorHAnsi" w:hAnsiTheme="majorHAnsi"/>
              </w:rPr>
              <w:t>5.2 Experimental Setup</w:t>
            </w:r>
          </w:p>
        </w:tc>
        <w:tc>
          <w:tcPr>
            <w:tcW w:w="620" w:type="pct"/>
          </w:tcPr>
          <w:p w14:paraId="51F7505D" w14:textId="19931C86" w:rsidR="00450675" w:rsidRDefault="00450675" w:rsidP="00450675">
            <w:pPr>
              <w:spacing w:line="240" w:lineRule="auto"/>
              <w:jc w:val="right"/>
              <w:rPr>
                <w:rFonts w:asciiTheme="majorHAnsi" w:hAnsiTheme="majorHAnsi"/>
              </w:rPr>
            </w:pPr>
            <w:r>
              <w:rPr>
                <w:rFonts w:asciiTheme="majorHAnsi" w:hAnsiTheme="majorHAnsi"/>
              </w:rPr>
              <w:t>25</w:t>
            </w:r>
          </w:p>
        </w:tc>
      </w:tr>
      <w:tr w:rsidR="00450675" w14:paraId="0ED97550" w14:textId="77777777" w:rsidTr="00450675">
        <w:tc>
          <w:tcPr>
            <w:tcW w:w="4380" w:type="pct"/>
          </w:tcPr>
          <w:p w14:paraId="1223FC12" w14:textId="3BBA035E" w:rsidR="00450675" w:rsidRDefault="00450675" w:rsidP="00450675">
            <w:pPr>
              <w:spacing w:line="240" w:lineRule="auto"/>
              <w:ind w:left="1440"/>
              <w:rPr>
                <w:rFonts w:asciiTheme="majorHAnsi" w:hAnsiTheme="majorHAnsi"/>
              </w:rPr>
            </w:pPr>
            <w:r>
              <w:rPr>
                <w:rFonts w:asciiTheme="majorHAnsi" w:hAnsiTheme="majorHAnsi"/>
              </w:rPr>
              <w:t>5.2.1 Pure-Sulfuric Acid Electrolyte Setup</w:t>
            </w:r>
          </w:p>
        </w:tc>
        <w:tc>
          <w:tcPr>
            <w:tcW w:w="620" w:type="pct"/>
          </w:tcPr>
          <w:p w14:paraId="098A0473" w14:textId="6A1FF9F3" w:rsidR="00450675" w:rsidRDefault="00450675" w:rsidP="00450675">
            <w:pPr>
              <w:spacing w:line="240" w:lineRule="auto"/>
              <w:jc w:val="right"/>
              <w:rPr>
                <w:rFonts w:asciiTheme="majorHAnsi" w:hAnsiTheme="majorHAnsi"/>
              </w:rPr>
            </w:pPr>
            <w:r>
              <w:rPr>
                <w:rFonts w:asciiTheme="majorHAnsi" w:hAnsiTheme="majorHAnsi"/>
              </w:rPr>
              <w:t>25-26</w:t>
            </w:r>
          </w:p>
        </w:tc>
      </w:tr>
      <w:tr w:rsidR="00450675" w14:paraId="6B6174BC" w14:textId="77777777" w:rsidTr="00450675">
        <w:tc>
          <w:tcPr>
            <w:tcW w:w="4380" w:type="pct"/>
          </w:tcPr>
          <w:p w14:paraId="4776471E" w14:textId="67C4C015" w:rsidR="00450675" w:rsidRDefault="00450675" w:rsidP="00450675">
            <w:pPr>
              <w:spacing w:line="240" w:lineRule="auto"/>
              <w:ind w:left="1440"/>
              <w:rPr>
                <w:rFonts w:asciiTheme="majorHAnsi" w:hAnsiTheme="majorHAnsi"/>
              </w:rPr>
            </w:pPr>
            <w:r>
              <w:rPr>
                <w:rFonts w:asciiTheme="majorHAnsi" w:hAnsiTheme="majorHAnsi"/>
              </w:rPr>
              <w:t>5.2.2 Mixed Electrolyte Setup</w:t>
            </w:r>
          </w:p>
        </w:tc>
        <w:tc>
          <w:tcPr>
            <w:tcW w:w="620" w:type="pct"/>
          </w:tcPr>
          <w:p w14:paraId="1F932790" w14:textId="0209D98C" w:rsidR="00450675" w:rsidRDefault="00450675" w:rsidP="00450675">
            <w:pPr>
              <w:spacing w:line="240" w:lineRule="auto"/>
              <w:jc w:val="right"/>
              <w:rPr>
                <w:rFonts w:asciiTheme="majorHAnsi" w:hAnsiTheme="majorHAnsi"/>
              </w:rPr>
            </w:pPr>
            <w:r>
              <w:rPr>
                <w:rFonts w:asciiTheme="majorHAnsi" w:hAnsiTheme="majorHAnsi"/>
              </w:rPr>
              <w:t>26-27</w:t>
            </w:r>
          </w:p>
        </w:tc>
      </w:tr>
      <w:tr w:rsidR="00450675" w14:paraId="7B006ED0" w14:textId="77777777" w:rsidTr="00450675">
        <w:tc>
          <w:tcPr>
            <w:tcW w:w="4380" w:type="pct"/>
          </w:tcPr>
          <w:p w14:paraId="14C83DB2" w14:textId="6998D682" w:rsidR="00450675" w:rsidRDefault="00450675" w:rsidP="00450675">
            <w:pPr>
              <w:spacing w:line="240" w:lineRule="auto"/>
              <w:ind w:left="720"/>
              <w:rPr>
                <w:rFonts w:asciiTheme="majorHAnsi" w:hAnsiTheme="majorHAnsi"/>
              </w:rPr>
            </w:pPr>
            <w:r>
              <w:rPr>
                <w:rFonts w:asciiTheme="majorHAnsi" w:hAnsiTheme="majorHAnsi"/>
              </w:rPr>
              <w:t>5.3 Data</w:t>
            </w:r>
          </w:p>
        </w:tc>
        <w:tc>
          <w:tcPr>
            <w:tcW w:w="620" w:type="pct"/>
          </w:tcPr>
          <w:p w14:paraId="60F390A2" w14:textId="276A2460" w:rsidR="00450675" w:rsidRDefault="00450675" w:rsidP="00450675">
            <w:pPr>
              <w:spacing w:line="240" w:lineRule="auto"/>
              <w:ind w:left="720"/>
              <w:jc w:val="right"/>
              <w:rPr>
                <w:rFonts w:asciiTheme="majorHAnsi" w:hAnsiTheme="majorHAnsi"/>
              </w:rPr>
            </w:pPr>
            <w:r>
              <w:rPr>
                <w:rFonts w:asciiTheme="majorHAnsi" w:hAnsiTheme="majorHAnsi"/>
              </w:rPr>
              <w:t>27</w:t>
            </w:r>
          </w:p>
        </w:tc>
      </w:tr>
      <w:tr w:rsidR="00450675" w14:paraId="70ABC1DB" w14:textId="77777777" w:rsidTr="00450675">
        <w:tc>
          <w:tcPr>
            <w:tcW w:w="4380" w:type="pct"/>
          </w:tcPr>
          <w:p w14:paraId="5AA82B34" w14:textId="2E0246FA" w:rsidR="00450675" w:rsidRDefault="00450675" w:rsidP="00450675">
            <w:pPr>
              <w:spacing w:line="240" w:lineRule="auto"/>
              <w:ind w:left="1440"/>
              <w:rPr>
                <w:rFonts w:asciiTheme="majorHAnsi" w:hAnsiTheme="majorHAnsi"/>
              </w:rPr>
            </w:pPr>
            <w:r>
              <w:rPr>
                <w:rFonts w:asciiTheme="majorHAnsi" w:hAnsiTheme="majorHAnsi"/>
              </w:rPr>
              <w:lastRenderedPageBreak/>
              <w:t>5.3.1 Pure-sulfuric acid electrolyte</w:t>
            </w:r>
          </w:p>
        </w:tc>
        <w:tc>
          <w:tcPr>
            <w:tcW w:w="620" w:type="pct"/>
          </w:tcPr>
          <w:p w14:paraId="008E5DA9" w14:textId="28699EF7" w:rsidR="00450675" w:rsidRDefault="00450675" w:rsidP="00450675">
            <w:pPr>
              <w:spacing w:line="240" w:lineRule="auto"/>
              <w:jc w:val="right"/>
              <w:rPr>
                <w:rFonts w:asciiTheme="majorHAnsi" w:hAnsiTheme="majorHAnsi"/>
              </w:rPr>
            </w:pPr>
            <w:r>
              <w:rPr>
                <w:rFonts w:asciiTheme="majorHAnsi" w:hAnsiTheme="majorHAnsi"/>
              </w:rPr>
              <w:t>27-32</w:t>
            </w:r>
          </w:p>
        </w:tc>
      </w:tr>
      <w:tr w:rsidR="00450675" w14:paraId="25BA78FF" w14:textId="77777777" w:rsidTr="00450675">
        <w:tc>
          <w:tcPr>
            <w:tcW w:w="4380" w:type="pct"/>
          </w:tcPr>
          <w:p w14:paraId="0838E7DF" w14:textId="770441C5" w:rsidR="00450675" w:rsidRDefault="00450675" w:rsidP="00450675">
            <w:pPr>
              <w:spacing w:line="240" w:lineRule="auto"/>
              <w:ind w:left="1440"/>
              <w:rPr>
                <w:rFonts w:asciiTheme="majorHAnsi" w:hAnsiTheme="majorHAnsi"/>
              </w:rPr>
            </w:pPr>
            <w:r>
              <w:rPr>
                <w:rFonts w:asciiTheme="majorHAnsi" w:hAnsiTheme="majorHAnsi"/>
              </w:rPr>
              <w:t>5.3.2 Mixed sulfuric acid-hydrochloric acid electrolyte</w:t>
            </w:r>
          </w:p>
        </w:tc>
        <w:tc>
          <w:tcPr>
            <w:tcW w:w="620" w:type="pct"/>
          </w:tcPr>
          <w:p w14:paraId="0A241807" w14:textId="795C0CD0" w:rsidR="00450675" w:rsidRDefault="00450675" w:rsidP="00450675">
            <w:pPr>
              <w:spacing w:line="240" w:lineRule="auto"/>
              <w:jc w:val="right"/>
              <w:rPr>
                <w:rFonts w:asciiTheme="majorHAnsi" w:hAnsiTheme="majorHAnsi"/>
              </w:rPr>
            </w:pPr>
            <w:r>
              <w:rPr>
                <w:rFonts w:asciiTheme="majorHAnsi" w:hAnsiTheme="majorHAnsi"/>
              </w:rPr>
              <w:t>33-37</w:t>
            </w:r>
          </w:p>
        </w:tc>
      </w:tr>
      <w:tr w:rsidR="00450675" w14:paraId="13948E7D" w14:textId="77777777" w:rsidTr="00450675">
        <w:tc>
          <w:tcPr>
            <w:tcW w:w="4380" w:type="pct"/>
          </w:tcPr>
          <w:p w14:paraId="7DC087CE" w14:textId="5B647747" w:rsidR="00450675" w:rsidRDefault="00450675" w:rsidP="00450675">
            <w:pPr>
              <w:spacing w:line="240" w:lineRule="auto"/>
              <w:ind w:left="720"/>
              <w:rPr>
                <w:rFonts w:asciiTheme="majorHAnsi" w:hAnsiTheme="majorHAnsi"/>
              </w:rPr>
            </w:pPr>
            <w:r>
              <w:rPr>
                <w:rFonts w:asciiTheme="majorHAnsi" w:hAnsiTheme="majorHAnsi"/>
              </w:rPr>
              <w:t>5.4 Discussion</w:t>
            </w:r>
          </w:p>
        </w:tc>
        <w:tc>
          <w:tcPr>
            <w:tcW w:w="620" w:type="pct"/>
          </w:tcPr>
          <w:p w14:paraId="5E26DA60" w14:textId="3840D867" w:rsidR="00450675" w:rsidRDefault="00450675" w:rsidP="00450675">
            <w:pPr>
              <w:spacing w:line="240" w:lineRule="auto"/>
              <w:jc w:val="right"/>
              <w:rPr>
                <w:rFonts w:asciiTheme="majorHAnsi" w:hAnsiTheme="majorHAnsi"/>
              </w:rPr>
            </w:pPr>
            <w:r>
              <w:rPr>
                <w:rFonts w:asciiTheme="majorHAnsi" w:hAnsiTheme="majorHAnsi"/>
              </w:rPr>
              <w:t>37-40</w:t>
            </w:r>
          </w:p>
        </w:tc>
      </w:tr>
      <w:tr w:rsidR="00450675" w14:paraId="79CC3325" w14:textId="77777777" w:rsidTr="00450675">
        <w:tc>
          <w:tcPr>
            <w:tcW w:w="4380" w:type="pct"/>
          </w:tcPr>
          <w:p w14:paraId="452AFD51" w14:textId="2ABAB9B1" w:rsidR="00450675" w:rsidRDefault="00450675" w:rsidP="00450675">
            <w:pPr>
              <w:spacing w:line="240" w:lineRule="auto"/>
              <w:ind w:left="720"/>
              <w:rPr>
                <w:rFonts w:asciiTheme="majorHAnsi" w:hAnsiTheme="majorHAnsi"/>
              </w:rPr>
            </w:pPr>
            <w:r>
              <w:rPr>
                <w:rFonts w:asciiTheme="majorHAnsi" w:hAnsiTheme="majorHAnsi"/>
              </w:rPr>
              <w:t>5.5 Conclusion</w:t>
            </w:r>
          </w:p>
        </w:tc>
        <w:tc>
          <w:tcPr>
            <w:tcW w:w="620" w:type="pct"/>
          </w:tcPr>
          <w:p w14:paraId="1D44F733" w14:textId="58727FB6" w:rsidR="00450675" w:rsidRDefault="00450675" w:rsidP="00450675">
            <w:pPr>
              <w:spacing w:line="240" w:lineRule="auto"/>
              <w:jc w:val="right"/>
              <w:rPr>
                <w:rFonts w:asciiTheme="majorHAnsi" w:hAnsiTheme="majorHAnsi"/>
              </w:rPr>
            </w:pPr>
            <w:r>
              <w:rPr>
                <w:rFonts w:asciiTheme="majorHAnsi" w:hAnsiTheme="majorHAnsi"/>
              </w:rPr>
              <w:t>40</w:t>
            </w:r>
          </w:p>
        </w:tc>
      </w:tr>
      <w:tr w:rsidR="00450675" w14:paraId="62BAA97A" w14:textId="77777777" w:rsidTr="00450675">
        <w:tc>
          <w:tcPr>
            <w:tcW w:w="4380" w:type="pct"/>
          </w:tcPr>
          <w:p w14:paraId="29D3078E" w14:textId="3B9A3CBD" w:rsidR="00450675" w:rsidRDefault="00450675" w:rsidP="00450675">
            <w:pPr>
              <w:spacing w:line="240" w:lineRule="auto"/>
              <w:rPr>
                <w:rFonts w:asciiTheme="majorHAnsi" w:hAnsiTheme="majorHAnsi"/>
              </w:rPr>
            </w:pPr>
            <w:r>
              <w:rPr>
                <w:rFonts w:asciiTheme="majorHAnsi" w:hAnsiTheme="majorHAnsi"/>
              </w:rPr>
              <w:t>6. Spectroscopy</w:t>
            </w:r>
          </w:p>
        </w:tc>
        <w:tc>
          <w:tcPr>
            <w:tcW w:w="620" w:type="pct"/>
          </w:tcPr>
          <w:p w14:paraId="1FD5A8D5" w14:textId="2718ED69" w:rsidR="00450675" w:rsidRDefault="00450675" w:rsidP="00450675">
            <w:pPr>
              <w:spacing w:line="240" w:lineRule="auto"/>
              <w:jc w:val="right"/>
              <w:rPr>
                <w:rFonts w:asciiTheme="majorHAnsi" w:hAnsiTheme="majorHAnsi"/>
              </w:rPr>
            </w:pPr>
            <w:r>
              <w:rPr>
                <w:rFonts w:asciiTheme="majorHAnsi" w:hAnsiTheme="majorHAnsi"/>
              </w:rPr>
              <w:t>40</w:t>
            </w:r>
          </w:p>
        </w:tc>
      </w:tr>
      <w:tr w:rsidR="00450675" w14:paraId="541D8CF9" w14:textId="77777777" w:rsidTr="00450675">
        <w:tc>
          <w:tcPr>
            <w:tcW w:w="4380" w:type="pct"/>
          </w:tcPr>
          <w:p w14:paraId="2E048CB5" w14:textId="0258AB51" w:rsidR="00450675" w:rsidRDefault="00450675" w:rsidP="00450675">
            <w:pPr>
              <w:spacing w:line="240" w:lineRule="auto"/>
              <w:ind w:left="720"/>
              <w:rPr>
                <w:rFonts w:asciiTheme="majorHAnsi" w:hAnsiTheme="majorHAnsi"/>
              </w:rPr>
            </w:pPr>
            <w:r>
              <w:rPr>
                <w:rFonts w:asciiTheme="majorHAnsi" w:hAnsiTheme="majorHAnsi"/>
              </w:rPr>
              <w:t>6.1 Materials</w:t>
            </w:r>
          </w:p>
        </w:tc>
        <w:tc>
          <w:tcPr>
            <w:tcW w:w="620" w:type="pct"/>
          </w:tcPr>
          <w:p w14:paraId="7F96B7FE" w14:textId="1EB0F18F" w:rsidR="00450675" w:rsidRDefault="00450675" w:rsidP="00450675">
            <w:pPr>
              <w:spacing w:line="240" w:lineRule="auto"/>
              <w:jc w:val="right"/>
              <w:rPr>
                <w:rFonts w:asciiTheme="majorHAnsi" w:hAnsiTheme="majorHAnsi"/>
              </w:rPr>
            </w:pPr>
            <w:r>
              <w:rPr>
                <w:rFonts w:asciiTheme="majorHAnsi" w:hAnsiTheme="majorHAnsi"/>
              </w:rPr>
              <w:t>40</w:t>
            </w:r>
          </w:p>
        </w:tc>
      </w:tr>
      <w:tr w:rsidR="00450675" w14:paraId="6D82F2ED" w14:textId="77777777" w:rsidTr="00450675">
        <w:tc>
          <w:tcPr>
            <w:tcW w:w="4380" w:type="pct"/>
          </w:tcPr>
          <w:p w14:paraId="0CB6167C" w14:textId="052FB819" w:rsidR="00450675" w:rsidRDefault="00450675" w:rsidP="00450675">
            <w:pPr>
              <w:spacing w:line="240" w:lineRule="auto"/>
              <w:ind w:left="720"/>
              <w:rPr>
                <w:rFonts w:asciiTheme="majorHAnsi" w:hAnsiTheme="majorHAnsi"/>
              </w:rPr>
            </w:pPr>
            <w:r>
              <w:rPr>
                <w:rFonts w:asciiTheme="majorHAnsi" w:hAnsiTheme="majorHAnsi"/>
              </w:rPr>
              <w:t>6.2 Experimental Setup</w:t>
            </w:r>
          </w:p>
        </w:tc>
        <w:tc>
          <w:tcPr>
            <w:tcW w:w="620" w:type="pct"/>
          </w:tcPr>
          <w:p w14:paraId="40894759" w14:textId="12B64398" w:rsidR="00450675" w:rsidRDefault="00450675" w:rsidP="00450675">
            <w:pPr>
              <w:spacing w:line="240" w:lineRule="auto"/>
              <w:jc w:val="right"/>
              <w:rPr>
                <w:rFonts w:asciiTheme="majorHAnsi" w:hAnsiTheme="majorHAnsi"/>
              </w:rPr>
            </w:pPr>
            <w:r>
              <w:rPr>
                <w:rFonts w:asciiTheme="majorHAnsi" w:hAnsiTheme="majorHAnsi"/>
              </w:rPr>
              <w:t>40-41</w:t>
            </w:r>
          </w:p>
        </w:tc>
      </w:tr>
      <w:tr w:rsidR="00450675" w14:paraId="78700D27" w14:textId="77777777" w:rsidTr="00450675">
        <w:tc>
          <w:tcPr>
            <w:tcW w:w="4380" w:type="pct"/>
          </w:tcPr>
          <w:p w14:paraId="53AE66E2" w14:textId="754BCDA5" w:rsidR="00450675" w:rsidRDefault="00450675" w:rsidP="00450675">
            <w:pPr>
              <w:spacing w:line="240" w:lineRule="auto"/>
              <w:ind w:left="1440"/>
              <w:rPr>
                <w:rFonts w:asciiTheme="majorHAnsi" w:hAnsiTheme="majorHAnsi"/>
              </w:rPr>
            </w:pPr>
            <w:r>
              <w:rPr>
                <w:rFonts w:asciiTheme="majorHAnsi" w:hAnsiTheme="majorHAnsi"/>
              </w:rPr>
              <w:t>6.2.1 Raman Experimental Setup</w:t>
            </w:r>
          </w:p>
        </w:tc>
        <w:tc>
          <w:tcPr>
            <w:tcW w:w="620" w:type="pct"/>
          </w:tcPr>
          <w:p w14:paraId="64ADBE72" w14:textId="781D3251" w:rsidR="00450675" w:rsidRDefault="00450675" w:rsidP="00450675">
            <w:pPr>
              <w:spacing w:line="240" w:lineRule="auto"/>
              <w:jc w:val="right"/>
              <w:rPr>
                <w:rFonts w:asciiTheme="majorHAnsi" w:hAnsiTheme="majorHAnsi"/>
              </w:rPr>
            </w:pPr>
            <w:r>
              <w:rPr>
                <w:rFonts w:asciiTheme="majorHAnsi" w:hAnsiTheme="majorHAnsi"/>
              </w:rPr>
              <w:t>41</w:t>
            </w:r>
          </w:p>
        </w:tc>
      </w:tr>
      <w:tr w:rsidR="00450675" w14:paraId="74A59E7F" w14:textId="77777777" w:rsidTr="00450675">
        <w:tc>
          <w:tcPr>
            <w:tcW w:w="4380" w:type="pct"/>
          </w:tcPr>
          <w:p w14:paraId="7DB58707" w14:textId="1320458A" w:rsidR="00450675" w:rsidRDefault="00450675" w:rsidP="00450675">
            <w:pPr>
              <w:spacing w:line="240" w:lineRule="auto"/>
              <w:ind w:left="1440"/>
              <w:rPr>
                <w:rFonts w:asciiTheme="majorHAnsi" w:hAnsiTheme="majorHAnsi"/>
              </w:rPr>
            </w:pPr>
            <w:r>
              <w:rPr>
                <w:rFonts w:asciiTheme="majorHAnsi" w:hAnsiTheme="majorHAnsi"/>
              </w:rPr>
              <w:t>6.2.2 FTIR Experimental Setup</w:t>
            </w:r>
          </w:p>
        </w:tc>
        <w:tc>
          <w:tcPr>
            <w:tcW w:w="620" w:type="pct"/>
          </w:tcPr>
          <w:p w14:paraId="380A0D1B" w14:textId="58187933" w:rsidR="00450675" w:rsidRDefault="00450675" w:rsidP="00450675">
            <w:pPr>
              <w:spacing w:line="240" w:lineRule="auto"/>
              <w:jc w:val="right"/>
              <w:rPr>
                <w:rFonts w:asciiTheme="majorHAnsi" w:hAnsiTheme="majorHAnsi"/>
              </w:rPr>
            </w:pPr>
            <w:r>
              <w:rPr>
                <w:rFonts w:asciiTheme="majorHAnsi" w:hAnsiTheme="majorHAnsi"/>
              </w:rPr>
              <w:t>41-42</w:t>
            </w:r>
          </w:p>
        </w:tc>
      </w:tr>
      <w:tr w:rsidR="00450675" w14:paraId="05946471" w14:textId="77777777" w:rsidTr="00450675">
        <w:tc>
          <w:tcPr>
            <w:tcW w:w="4380" w:type="pct"/>
          </w:tcPr>
          <w:p w14:paraId="10BE583D" w14:textId="3DEE90F7" w:rsidR="00450675" w:rsidRDefault="00450675" w:rsidP="00450675">
            <w:pPr>
              <w:spacing w:line="240" w:lineRule="auto"/>
              <w:ind w:left="720"/>
              <w:rPr>
                <w:rFonts w:asciiTheme="majorHAnsi" w:hAnsiTheme="majorHAnsi"/>
              </w:rPr>
            </w:pPr>
            <w:r>
              <w:rPr>
                <w:rFonts w:asciiTheme="majorHAnsi" w:hAnsiTheme="majorHAnsi"/>
              </w:rPr>
              <w:t>6.3 Data</w:t>
            </w:r>
          </w:p>
        </w:tc>
        <w:tc>
          <w:tcPr>
            <w:tcW w:w="620" w:type="pct"/>
          </w:tcPr>
          <w:p w14:paraId="714BD76D" w14:textId="043C1BBE" w:rsidR="00450675" w:rsidRDefault="00450675" w:rsidP="00450675">
            <w:pPr>
              <w:spacing w:line="240" w:lineRule="auto"/>
              <w:jc w:val="right"/>
              <w:rPr>
                <w:rFonts w:asciiTheme="majorHAnsi" w:hAnsiTheme="majorHAnsi"/>
              </w:rPr>
            </w:pPr>
            <w:r>
              <w:rPr>
                <w:rFonts w:asciiTheme="majorHAnsi" w:hAnsiTheme="majorHAnsi"/>
              </w:rPr>
              <w:t>42-49</w:t>
            </w:r>
          </w:p>
        </w:tc>
      </w:tr>
      <w:tr w:rsidR="00450675" w14:paraId="3B87B9EE" w14:textId="77777777" w:rsidTr="00450675">
        <w:tc>
          <w:tcPr>
            <w:tcW w:w="4380" w:type="pct"/>
          </w:tcPr>
          <w:p w14:paraId="28DDEFA3" w14:textId="1100EA7E" w:rsidR="00450675" w:rsidRDefault="00450675" w:rsidP="00450675">
            <w:pPr>
              <w:spacing w:line="240" w:lineRule="auto"/>
              <w:ind w:left="720"/>
              <w:rPr>
                <w:rFonts w:asciiTheme="majorHAnsi" w:hAnsiTheme="majorHAnsi"/>
              </w:rPr>
            </w:pPr>
            <w:r>
              <w:rPr>
                <w:rFonts w:asciiTheme="majorHAnsi" w:hAnsiTheme="majorHAnsi"/>
              </w:rPr>
              <w:t>6.4 Discussion</w:t>
            </w:r>
          </w:p>
        </w:tc>
        <w:tc>
          <w:tcPr>
            <w:tcW w:w="620" w:type="pct"/>
          </w:tcPr>
          <w:p w14:paraId="653EF69C" w14:textId="6B30AC87" w:rsidR="00450675" w:rsidRDefault="00450675" w:rsidP="00450675">
            <w:pPr>
              <w:spacing w:line="240" w:lineRule="auto"/>
              <w:jc w:val="right"/>
              <w:rPr>
                <w:rFonts w:asciiTheme="majorHAnsi" w:hAnsiTheme="majorHAnsi"/>
              </w:rPr>
            </w:pPr>
            <w:r>
              <w:rPr>
                <w:rFonts w:asciiTheme="majorHAnsi" w:hAnsiTheme="majorHAnsi"/>
              </w:rPr>
              <w:t>49-50</w:t>
            </w:r>
          </w:p>
        </w:tc>
      </w:tr>
      <w:tr w:rsidR="00450675" w14:paraId="05E64899" w14:textId="77777777" w:rsidTr="00450675">
        <w:tc>
          <w:tcPr>
            <w:tcW w:w="4380" w:type="pct"/>
          </w:tcPr>
          <w:p w14:paraId="60F4B195" w14:textId="45579F31" w:rsidR="00450675" w:rsidRDefault="00450675" w:rsidP="00450675">
            <w:pPr>
              <w:spacing w:line="240" w:lineRule="auto"/>
              <w:ind w:left="720"/>
              <w:rPr>
                <w:rFonts w:asciiTheme="majorHAnsi" w:hAnsiTheme="majorHAnsi"/>
              </w:rPr>
            </w:pPr>
            <w:r>
              <w:rPr>
                <w:rFonts w:asciiTheme="majorHAnsi" w:hAnsiTheme="majorHAnsi"/>
              </w:rPr>
              <w:t>6.5 Conclusion</w:t>
            </w:r>
          </w:p>
        </w:tc>
        <w:tc>
          <w:tcPr>
            <w:tcW w:w="620" w:type="pct"/>
          </w:tcPr>
          <w:p w14:paraId="264D7DF8" w14:textId="4D830739" w:rsidR="00450675" w:rsidRDefault="00450675" w:rsidP="00450675">
            <w:pPr>
              <w:spacing w:line="240" w:lineRule="auto"/>
              <w:jc w:val="right"/>
              <w:rPr>
                <w:rFonts w:asciiTheme="majorHAnsi" w:hAnsiTheme="majorHAnsi"/>
              </w:rPr>
            </w:pPr>
            <w:r>
              <w:rPr>
                <w:rFonts w:asciiTheme="majorHAnsi" w:hAnsiTheme="majorHAnsi"/>
              </w:rPr>
              <w:t>50</w:t>
            </w:r>
          </w:p>
        </w:tc>
      </w:tr>
      <w:tr w:rsidR="00450675" w14:paraId="363121ED" w14:textId="77777777" w:rsidTr="00450675">
        <w:tc>
          <w:tcPr>
            <w:tcW w:w="4380" w:type="pct"/>
          </w:tcPr>
          <w:p w14:paraId="6E7BBD37" w14:textId="36B8E92E" w:rsidR="00450675" w:rsidRDefault="00450675" w:rsidP="00450675">
            <w:pPr>
              <w:spacing w:line="240" w:lineRule="auto"/>
              <w:rPr>
                <w:rFonts w:asciiTheme="majorHAnsi" w:hAnsiTheme="majorHAnsi"/>
              </w:rPr>
            </w:pPr>
            <w:r>
              <w:rPr>
                <w:rFonts w:asciiTheme="majorHAnsi" w:hAnsiTheme="majorHAnsi"/>
              </w:rPr>
              <w:t>7. Conclusion and Future Work</w:t>
            </w:r>
          </w:p>
        </w:tc>
        <w:tc>
          <w:tcPr>
            <w:tcW w:w="620" w:type="pct"/>
          </w:tcPr>
          <w:p w14:paraId="1C16EA8F" w14:textId="6ED64A85" w:rsidR="00450675" w:rsidRDefault="00450675" w:rsidP="00450675">
            <w:pPr>
              <w:spacing w:line="240" w:lineRule="auto"/>
              <w:jc w:val="right"/>
              <w:rPr>
                <w:rFonts w:asciiTheme="majorHAnsi" w:hAnsiTheme="majorHAnsi"/>
              </w:rPr>
            </w:pPr>
            <w:r>
              <w:rPr>
                <w:rFonts w:asciiTheme="majorHAnsi" w:hAnsiTheme="majorHAnsi"/>
              </w:rPr>
              <w:t>50-51</w:t>
            </w:r>
          </w:p>
        </w:tc>
      </w:tr>
      <w:tr w:rsidR="00450675" w14:paraId="55B0D0AC" w14:textId="77777777" w:rsidTr="00450675">
        <w:tc>
          <w:tcPr>
            <w:tcW w:w="4380" w:type="pct"/>
          </w:tcPr>
          <w:p w14:paraId="15EF60DC" w14:textId="2DF5D517" w:rsidR="00450675" w:rsidRDefault="00450675" w:rsidP="00450675">
            <w:pPr>
              <w:spacing w:line="240" w:lineRule="auto"/>
              <w:rPr>
                <w:rFonts w:asciiTheme="majorHAnsi" w:hAnsiTheme="majorHAnsi"/>
              </w:rPr>
            </w:pPr>
            <w:r>
              <w:rPr>
                <w:rFonts w:asciiTheme="majorHAnsi" w:hAnsiTheme="majorHAnsi"/>
              </w:rPr>
              <w:t>8. Acknowledgements</w:t>
            </w:r>
          </w:p>
        </w:tc>
        <w:tc>
          <w:tcPr>
            <w:tcW w:w="620" w:type="pct"/>
          </w:tcPr>
          <w:p w14:paraId="1B6390A5" w14:textId="4AFCA819" w:rsidR="00450675" w:rsidRDefault="00450675" w:rsidP="00450675">
            <w:pPr>
              <w:spacing w:line="240" w:lineRule="auto"/>
              <w:jc w:val="right"/>
              <w:rPr>
                <w:rFonts w:asciiTheme="majorHAnsi" w:hAnsiTheme="majorHAnsi"/>
              </w:rPr>
            </w:pPr>
            <w:r>
              <w:rPr>
                <w:rFonts w:asciiTheme="majorHAnsi" w:hAnsiTheme="majorHAnsi"/>
              </w:rPr>
              <w:t>51</w:t>
            </w:r>
          </w:p>
        </w:tc>
      </w:tr>
      <w:tr w:rsidR="00450675" w14:paraId="096A0AF4" w14:textId="77777777" w:rsidTr="00450675">
        <w:tc>
          <w:tcPr>
            <w:tcW w:w="4380" w:type="pct"/>
          </w:tcPr>
          <w:p w14:paraId="7B42424E" w14:textId="59C9B1A1" w:rsidR="00450675" w:rsidRDefault="00450675" w:rsidP="00450675">
            <w:pPr>
              <w:spacing w:line="240" w:lineRule="auto"/>
              <w:rPr>
                <w:rFonts w:asciiTheme="majorHAnsi" w:hAnsiTheme="majorHAnsi"/>
              </w:rPr>
            </w:pPr>
            <w:r>
              <w:rPr>
                <w:rFonts w:asciiTheme="majorHAnsi" w:hAnsiTheme="majorHAnsi"/>
              </w:rPr>
              <w:t>9. References</w:t>
            </w:r>
          </w:p>
        </w:tc>
        <w:tc>
          <w:tcPr>
            <w:tcW w:w="620" w:type="pct"/>
          </w:tcPr>
          <w:p w14:paraId="37F692C9" w14:textId="29B05291" w:rsidR="00450675" w:rsidRDefault="00450675" w:rsidP="00450675">
            <w:pPr>
              <w:spacing w:line="240" w:lineRule="auto"/>
              <w:jc w:val="right"/>
              <w:rPr>
                <w:rFonts w:asciiTheme="majorHAnsi" w:hAnsiTheme="majorHAnsi"/>
              </w:rPr>
            </w:pPr>
            <w:r>
              <w:rPr>
                <w:rFonts w:asciiTheme="majorHAnsi" w:hAnsiTheme="majorHAnsi"/>
              </w:rPr>
              <w:t>52-53</w:t>
            </w:r>
          </w:p>
        </w:tc>
      </w:tr>
    </w:tbl>
    <w:p w14:paraId="792A2D76" w14:textId="77777777" w:rsidR="00450675" w:rsidRDefault="00450675" w:rsidP="00450675">
      <w:pPr>
        <w:spacing w:line="240" w:lineRule="auto"/>
        <w:jc w:val="center"/>
        <w:rPr>
          <w:rFonts w:asciiTheme="majorHAnsi" w:hAnsiTheme="majorHAnsi"/>
        </w:rPr>
      </w:pPr>
    </w:p>
    <w:p w14:paraId="23155FD7" w14:textId="77777777" w:rsidR="00402F62" w:rsidRDefault="00402F62" w:rsidP="00055CFD">
      <w:pPr>
        <w:spacing w:line="480" w:lineRule="auto"/>
        <w:jc w:val="center"/>
        <w:rPr>
          <w:rFonts w:asciiTheme="majorHAnsi" w:hAnsiTheme="majorHAnsi"/>
        </w:rPr>
      </w:pPr>
    </w:p>
    <w:p w14:paraId="7671C721" w14:textId="61A8C834" w:rsidR="00402F62" w:rsidRDefault="00402F62" w:rsidP="00055CFD">
      <w:pPr>
        <w:spacing w:line="480" w:lineRule="auto"/>
      </w:pPr>
      <w:r>
        <w:br w:type="page"/>
      </w:r>
    </w:p>
    <w:p w14:paraId="454BF868" w14:textId="28A8797B" w:rsidR="00FE1813" w:rsidRPr="00260ED9" w:rsidRDefault="008142B6" w:rsidP="00055CFD">
      <w:pPr>
        <w:pStyle w:val="ListParagraph"/>
        <w:numPr>
          <w:ilvl w:val="0"/>
          <w:numId w:val="2"/>
        </w:numPr>
        <w:spacing w:line="480" w:lineRule="auto"/>
        <w:rPr>
          <w:b/>
        </w:rPr>
      </w:pPr>
      <w:r w:rsidRPr="00260ED9">
        <w:rPr>
          <w:b/>
        </w:rPr>
        <w:lastRenderedPageBreak/>
        <w:t>Abstract</w:t>
      </w:r>
    </w:p>
    <w:p w14:paraId="3A273F1A" w14:textId="469351A1" w:rsidR="00781AC2" w:rsidRDefault="00CB6C40" w:rsidP="00260ED9">
      <w:pPr>
        <w:spacing w:after="0" w:line="480" w:lineRule="auto"/>
        <w:ind w:firstLine="360"/>
      </w:pPr>
      <w:r>
        <w:t xml:space="preserve">The pressing need to integrate renewable energy sources onto the United States electrical grid necessitates the development and optimization of grid-scale electrical energy storage devices. </w:t>
      </w:r>
      <w:r w:rsidR="00055CFD">
        <w:t xml:space="preserve">The vanadium redox flow battery (VRB) is one of the most </w:t>
      </w:r>
      <w:r>
        <w:t>promising technologies for this application</w:t>
      </w:r>
      <w:r w:rsidR="00055CFD">
        <w:t>.</w:t>
      </w:r>
      <w:r>
        <w:t xml:space="preserve"> I</w:t>
      </w:r>
      <w:r w:rsidR="00055CFD">
        <w:t>n this thesis</w:t>
      </w:r>
      <w:r>
        <w:t xml:space="preserve">, I explore the factors contributing to the kinetic performance of </w:t>
      </w:r>
      <w:r w:rsidR="00055CFD">
        <w:t>operating VRBs by conducting both a</w:t>
      </w:r>
      <w:r w:rsidR="00781AC2">
        <w:t xml:space="preserve"> </w:t>
      </w:r>
      <w:r w:rsidR="00055CFD">
        <w:t>kinetics study and a spectroscopy study</w:t>
      </w:r>
      <w:r>
        <w:t>. In the kinetic</w:t>
      </w:r>
      <w:r w:rsidR="00055CFD">
        <w:t>s</w:t>
      </w:r>
      <w:r>
        <w:t xml:space="preserve"> study, I determine limiting electrode performance at a range of states of charge and</w:t>
      </w:r>
      <w:r w:rsidR="00055CFD">
        <w:t xml:space="preserve"> determine</w:t>
      </w:r>
      <w:r>
        <w:t xml:space="preserve"> the role of the mixed-valence cation complex V</w:t>
      </w:r>
      <w:r>
        <w:rPr>
          <w:vertAlign w:val="subscript"/>
        </w:rPr>
        <w:t>2</w:t>
      </w:r>
      <w:r>
        <w:t>O</w:t>
      </w:r>
      <w:r>
        <w:rPr>
          <w:vertAlign w:val="subscript"/>
        </w:rPr>
        <w:t>3</w:t>
      </w:r>
      <w:r>
        <w:rPr>
          <w:vertAlign w:val="superscript"/>
        </w:rPr>
        <w:t>3+</w:t>
      </w:r>
      <w:r>
        <w:t xml:space="preserve"> on battery performance.</w:t>
      </w:r>
      <w:r w:rsidR="00055CFD">
        <w:t xml:space="preserve"> I also explore the effect of chloride ions on kinetic performance by operating a VRB using</w:t>
      </w:r>
      <w:r>
        <w:t xml:space="preserve"> mixed sulfuric acid-hydrochloric acid electrolyte. In the spectroscopy portion, I monitor vanadium species’ formation as a function of state of charge using micro-Raman spectroscopy and Fourier transform infrared spectroscopy (FTIR) in both mid-infrared (MIR) and far-infrared (FIR) ranges. The negative electrode is found to </w:t>
      </w:r>
      <w:r w:rsidR="00781AC2">
        <w:t xml:space="preserve">limit performance </w:t>
      </w:r>
      <w:r>
        <w:t>at all states of charge</w:t>
      </w:r>
      <w:r w:rsidR="00B34750">
        <w:t>, and performance is enhanced</w:t>
      </w:r>
      <w:r w:rsidR="00781AC2">
        <w:t xml:space="preserve"> on both sides of the battery using</w:t>
      </w:r>
      <w:r w:rsidR="00B34750">
        <w:t xml:space="preserve"> mixed acid electrolyte </w:t>
      </w:r>
      <w:r w:rsidR="00781AC2">
        <w:t>as compared to</w:t>
      </w:r>
      <w:r w:rsidR="00B34750">
        <w:t xml:space="preserve"> pure sulfuric acid electrolyte. V</w:t>
      </w:r>
      <w:r w:rsidR="00B34750">
        <w:rPr>
          <w:vertAlign w:val="subscript"/>
        </w:rPr>
        <w:t>2</w:t>
      </w:r>
      <w:r w:rsidR="00B34750">
        <w:t>O</w:t>
      </w:r>
      <w:r w:rsidR="00B34750">
        <w:rPr>
          <w:vertAlign w:val="subscript"/>
        </w:rPr>
        <w:t>3</w:t>
      </w:r>
      <w:r w:rsidR="00B34750">
        <w:rPr>
          <w:vertAlign w:val="superscript"/>
        </w:rPr>
        <w:t>3+</w:t>
      </w:r>
      <w:r w:rsidR="00B34750">
        <w:t xml:space="preserve"> is found to have no appreciable effect on kinetic performance, indicating that kinetic performance is likely a strong function of coordination sphere structure for each of the vanadium species. The micro-Raman and FTIR studies provide insight into changes in complexation as a function of state of charge but do not provide definitive species’ </w:t>
      </w:r>
      <w:r w:rsidR="00781AC2">
        <w:t xml:space="preserve">structures and </w:t>
      </w:r>
      <w:r w:rsidR="00B34750">
        <w:t>identification. The spectr</w:t>
      </w:r>
      <w:r w:rsidR="00781AC2">
        <w:t xml:space="preserve">oscopy findings will be </w:t>
      </w:r>
      <w:r w:rsidR="00B34750">
        <w:t>resolved in further work by conducting such measurements in an operating VRB.</w:t>
      </w:r>
    </w:p>
    <w:p w14:paraId="13C14265" w14:textId="5203EB76" w:rsidR="008142B6" w:rsidRPr="00260ED9" w:rsidRDefault="00223EB0" w:rsidP="00260ED9">
      <w:pPr>
        <w:spacing w:after="0" w:line="480" w:lineRule="auto"/>
        <w:rPr>
          <w:b/>
        </w:rPr>
      </w:pPr>
      <w:r w:rsidRPr="00260ED9">
        <w:rPr>
          <w:b/>
        </w:rPr>
        <w:t>2. Introduction</w:t>
      </w:r>
    </w:p>
    <w:p w14:paraId="781CE5AB" w14:textId="07A3CE2E" w:rsidR="008142B6" w:rsidRPr="00223EB0" w:rsidRDefault="008142B6" w:rsidP="00260ED9">
      <w:pPr>
        <w:spacing w:after="0" w:line="480" w:lineRule="auto"/>
      </w:pPr>
      <w:r>
        <w:t>2</w:t>
      </w:r>
      <w:r w:rsidRPr="00260ED9">
        <w:rPr>
          <w:b/>
        </w:rPr>
        <w:t>.1 Need for Renewable Energy</w:t>
      </w:r>
    </w:p>
    <w:p w14:paraId="19FA908E" w14:textId="3CF52850" w:rsidR="0021028B" w:rsidRDefault="00223EB0" w:rsidP="00BD36A8">
      <w:pPr>
        <w:pStyle w:val="NormalWeb"/>
        <w:spacing w:before="0" w:beforeAutospacing="0" w:after="0" w:afterAutospacing="0" w:line="480" w:lineRule="auto"/>
        <w:ind w:firstLine="720"/>
        <w:rPr>
          <w:rFonts w:asciiTheme="minorHAnsi" w:hAnsiTheme="minorHAnsi"/>
          <w:sz w:val="22"/>
          <w:szCs w:val="22"/>
        </w:rPr>
      </w:pPr>
      <w:r w:rsidRPr="00223EB0">
        <w:rPr>
          <w:rFonts w:asciiTheme="minorHAnsi" w:hAnsiTheme="minorHAnsi"/>
          <w:sz w:val="22"/>
          <w:szCs w:val="22"/>
        </w:rPr>
        <w:t xml:space="preserve">Society faces an uncertain energy future. The global demand for energy continues to increase while the availability of fossil fuels continues to dwindle. The need for efficient and affordable alternative energy sources is ever present and growing in its urgency. Alternative energy sources are </w:t>
      </w:r>
      <w:r w:rsidRPr="00223EB0">
        <w:rPr>
          <w:rFonts w:asciiTheme="minorHAnsi" w:hAnsiTheme="minorHAnsi"/>
          <w:sz w:val="22"/>
          <w:szCs w:val="22"/>
        </w:rPr>
        <w:lastRenderedPageBreak/>
        <w:t xml:space="preserve">inherently variable as they are based on environmental conditions. The United States electrical grid cannot tolerate instability as fluctuations in the power supply can lead to grid failure. Substantial future integration of alternative energy technologies into the U.S. power supply is dependent upon the availability of commercially viable electrical energy storage (EES) devices. </w:t>
      </w:r>
    </w:p>
    <w:p w14:paraId="3C8858A0" w14:textId="2418608D" w:rsidR="0021028B" w:rsidRPr="00951C48" w:rsidRDefault="00781AC2" w:rsidP="0021028B">
      <w:pPr>
        <w:pStyle w:val="NormalWeb"/>
        <w:spacing w:before="0" w:beforeAutospacing="0" w:after="0" w:afterAutospacing="0" w:line="480" w:lineRule="auto"/>
        <w:rPr>
          <w:rFonts w:asciiTheme="minorHAnsi" w:hAnsiTheme="minorHAnsi"/>
          <w:b/>
          <w:sz w:val="22"/>
          <w:szCs w:val="22"/>
        </w:rPr>
      </w:pPr>
      <w:r w:rsidRPr="00951C48">
        <w:rPr>
          <w:rFonts w:asciiTheme="minorHAnsi" w:hAnsiTheme="minorHAnsi"/>
          <w:b/>
          <w:sz w:val="22"/>
          <w:szCs w:val="22"/>
        </w:rPr>
        <w:t>2.1.1 Current Technologies</w:t>
      </w:r>
    </w:p>
    <w:p w14:paraId="7889444E" w14:textId="729FE79C" w:rsidR="0021028B" w:rsidRDefault="00D64BDF" w:rsidP="0021028B">
      <w:pPr>
        <w:pStyle w:val="NormalWeb"/>
        <w:spacing w:before="0" w:beforeAutospacing="0" w:after="0" w:afterAutospacing="0" w:line="480" w:lineRule="auto"/>
        <w:ind w:firstLine="720"/>
        <w:rPr>
          <w:rFonts w:asciiTheme="minorHAnsi" w:hAnsiTheme="minorHAnsi"/>
          <w:sz w:val="22"/>
          <w:szCs w:val="22"/>
        </w:rPr>
      </w:pPr>
      <w:r>
        <w:rPr>
          <w:rFonts w:asciiTheme="minorHAnsi" w:hAnsiTheme="minorHAnsi"/>
          <w:sz w:val="22"/>
          <w:szCs w:val="22"/>
        </w:rPr>
        <w:t>EES devices, particularly batteries, may be categorized by how they store energy. Traditional lead-acid cells store energy</w:t>
      </w:r>
      <w:r w:rsidR="001B1B7B">
        <w:rPr>
          <w:rFonts w:asciiTheme="minorHAnsi" w:hAnsiTheme="minorHAnsi"/>
          <w:sz w:val="22"/>
          <w:szCs w:val="22"/>
        </w:rPr>
        <w:t xml:space="preserve"> in electrodes</w:t>
      </w:r>
      <w:r>
        <w:rPr>
          <w:rFonts w:asciiTheme="minorHAnsi" w:hAnsiTheme="minorHAnsi"/>
          <w:sz w:val="22"/>
          <w:szCs w:val="22"/>
        </w:rPr>
        <w:t xml:space="preserve">, and fuel cells </w:t>
      </w:r>
      <w:r w:rsidR="001B1B7B">
        <w:rPr>
          <w:rFonts w:asciiTheme="minorHAnsi" w:hAnsiTheme="minorHAnsi"/>
          <w:sz w:val="22"/>
          <w:szCs w:val="22"/>
        </w:rPr>
        <w:t xml:space="preserve">store energy </w:t>
      </w:r>
      <w:r>
        <w:rPr>
          <w:rFonts w:asciiTheme="minorHAnsi" w:hAnsiTheme="minorHAnsi"/>
          <w:sz w:val="22"/>
          <w:szCs w:val="22"/>
        </w:rPr>
        <w:t>in their reactants</w:t>
      </w:r>
      <w:r>
        <w:rPr>
          <w:rFonts w:asciiTheme="minorHAnsi" w:hAnsiTheme="minorHAnsi"/>
          <w:sz w:val="22"/>
          <w:szCs w:val="22"/>
        </w:rPr>
        <w:fldChar w:fldCharType="begin"/>
      </w:r>
      <w:r>
        <w:rPr>
          <w:rFonts w:asciiTheme="minorHAnsi" w:hAnsiTheme="minorHAnsi"/>
          <w:sz w:val="22"/>
          <w:szCs w:val="22"/>
        </w:rPr>
        <w:instrText xml:space="preserve"> ADDIN ZOTERO_ITEM CSL_CITATION {"citationID":"2pk078ast8","properties":{"formattedCitation":"{\\rtf \\super 1\\nosupersub{}}","plainCitation":"1"},"citationItems":[{"id":75,"uris":["http://zotero.org/users/local/rZ3AHC6s/items/B4ASCM9K"],"uri":["http://zotero.org/users/local/rZ3AHC6s/items/B4ASCM9K"],"itemData":{"id":75,"type":"article-journal","title":"Redox flow cells for energy conversion","container-title":"Journal of Power Sources","page":"716-732","volume":"160","issue":"1","abstract":"Energy storage technologies provide an alternative solution to the problem of balancing power generation and power consumption. Redox flow cells are designed to convert and store electrical energy into chemical energy and release it in a controlled fashion when required. Many redox couples and cell designs have being evaluated. In this paper, redox flow systems are compared in the light of characteristics such as open circuit potential, power density, energy efficiency and charge-discharge behaviour. The key advantages and disadvantages of redox flow cells are considered while areas for further research are highlighted.","DOI":"10.1016/j.jpowsour.2006.02.095","ISSN":"0378-7753","journalAbbreviation":"Journal of Power Sources","author":[{"family":"Ponce de León","given":"C."},{"family":"Frías-Ferrer","given":"A."},{"family":"González-García","given":"J."},{"family":"Szánto","given":"D.A."},{"family":"Walsh","given":"F.C."}],"issued":{"date-parts":[["2006",9,29]]}}}],"schema":"https://github.com/citation-style-language/schema/raw/master/csl-citation.json"} </w:instrText>
      </w:r>
      <w:r>
        <w:rPr>
          <w:rFonts w:asciiTheme="minorHAnsi" w:hAnsiTheme="minorHAnsi"/>
          <w:sz w:val="22"/>
          <w:szCs w:val="22"/>
        </w:rPr>
        <w:fldChar w:fldCharType="separate"/>
      </w:r>
      <w:r w:rsidRPr="00D64BDF">
        <w:rPr>
          <w:rFonts w:ascii="Calibri" w:hAnsi="Calibri"/>
          <w:sz w:val="22"/>
          <w:vertAlign w:val="superscript"/>
        </w:rPr>
        <w:t>1</w:t>
      </w:r>
      <w:r>
        <w:rPr>
          <w:rFonts w:asciiTheme="minorHAnsi" w:hAnsiTheme="minorHAnsi"/>
          <w:sz w:val="22"/>
          <w:szCs w:val="22"/>
        </w:rPr>
        <w:fldChar w:fldCharType="end"/>
      </w:r>
      <w:r w:rsidR="001B1B7B">
        <w:rPr>
          <w:rFonts w:asciiTheme="minorHAnsi" w:hAnsiTheme="minorHAnsi"/>
          <w:sz w:val="22"/>
          <w:szCs w:val="22"/>
        </w:rPr>
        <w:t xml:space="preserve"> </w:t>
      </w:r>
      <w:r>
        <w:rPr>
          <w:rFonts w:asciiTheme="minorHAnsi" w:hAnsiTheme="minorHAnsi"/>
          <w:sz w:val="22"/>
          <w:szCs w:val="22"/>
        </w:rPr>
        <w:t xml:space="preserve"> </w:t>
      </w:r>
      <w:r w:rsidR="001B1B7B">
        <w:rPr>
          <w:rFonts w:asciiTheme="minorHAnsi" w:hAnsiTheme="minorHAnsi"/>
          <w:sz w:val="22"/>
          <w:szCs w:val="22"/>
        </w:rPr>
        <w:t xml:space="preserve">Traditional batteries have the advantage of continued reliability under extreme work conditions and long life span but remain unfeasible for grid-scale </w:t>
      </w:r>
      <w:r w:rsidR="0021028B">
        <w:rPr>
          <w:rFonts w:asciiTheme="minorHAnsi" w:hAnsiTheme="minorHAnsi"/>
          <w:sz w:val="22"/>
          <w:szCs w:val="22"/>
        </w:rPr>
        <w:t>installations</w:t>
      </w:r>
      <w:r w:rsidR="001B1B7B">
        <w:rPr>
          <w:rFonts w:asciiTheme="minorHAnsi" w:hAnsiTheme="minorHAnsi"/>
          <w:sz w:val="22"/>
          <w:szCs w:val="22"/>
        </w:rPr>
        <w:t xml:space="preserve"> as their development has focused</w:t>
      </w:r>
      <w:r w:rsidR="000673DF">
        <w:rPr>
          <w:rFonts w:asciiTheme="minorHAnsi" w:hAnsiTheme="minorHAnsi"/>
          <w:sz w:val="22"/>
          <w:szCs w:val="22"/>
        </w:rPr>
        <w:t xml:space="preserve"> on small-scale applications.</w:t>
      </w:r>
      <w:r w:rsidR="000673DF">
        <w:rPr>
          <w:rFonts w:asciiTheme="minorHAnsi" w:hAnsiTheme="minorHAnsi"/>
          <w:sz w:val="22"/>
          <w:szCs w:val="22"/>
        </w:rPr>
        <w:fldChar w:fldCharType="begin"/>
      </w:r>
      <w:r w:rsidR="000673DF">
        <w:rPr>
          <w:rFonts w:asciiTheme="minorHAnsi" w:hAnsiTheme="minorHAnsi"/>
          <w:sz w:val="22"/>
          <w:szCs w:val="22"/>
        </w:rPr>
        <w:instrText xml:space="preserve"> ADDIN ZOTERO_ITEM CSL_CITATION {"citationID":"2fnr3avgc5","properties":{"formattedCitation":"{\\rtf \\super 1,2\\nosupersub{}}","plainCitation":"1,2"},"citationItems":[{"id":75,"uris":["http://zotero.org/users/local/rZ3AHC6s/items/B4ASCM9K"],"uri":["http://zotero.org/users/local/rZ3AHC6s/items/B4ASCM9K"],"itemData":{"id":75,"type":"article-journal","title":"Redox flow cells for energy conversion","container-title":"Journal of Power Sources","page":"716-732","volume":"160","issue":"1","abstract":"Energy storage technologies provide an alternative solution to the problem of balancing power generation and power consumption. Redox flow cells are designed to convert and store electrical energy into chemical energy and release it in a controlled fashion when required. Many redox couples and cell designs have being evaluated. In this paper, redox flow systems are compared in the light of characteristics such as open circuit potential, power density, energy efficiency and charge-discharge behaviour. The key advantages and disadvantages of redox flow cells are considered while areas for further research are highlighted.","DOI":"10.1016/j.jpowsour.2006.02.095","ISSN":"0378-7753","journalAbbreviation":"Journal of Power Sources","author":[{"family":"Ponce de León","given":"C."},{"family":"Frías-Ferrer","given":"A."},{"family":"González-García","given":"J."},{"family":"Szánto","given":"D.A."},{"family":"Walsh","given":"F.C."}],"issued":{"date-parts":[["2006",9,29]]}}},{"id":90,"uris":["http://zotero.org/users/local/rZ3AHC6s/items/2KDPCK28"],"uri":["http://zotero.org/users/local/rZ3AHC6s/items/2KDPCK28"],"itemData":{"id":90,"type":"article-journal","title":"Redox flow batteries: a review.","container-title":"Journal of Applied Electrochemistry","page":"1137-1164","volume":"41","issue":"10","source":"EBSCOhost","archive":"aph","abstract":"Redox flow batteries (RFBs) are enjoying a renaissance due to their ability to store large amounts of electrical energy relatively cheaply and efficiently. In this review, we examine the components of RFBs with a focus on understanding the underlying physical processes. The various transport and kinetic phenomena are discussed along with the most common redox couples. [ABSTRACT FROM AUTHOR]","ISSN":"0021891X","journalAbbreviation":"Journal of Applied Electrochemistry","author":[{"family":"Weber","given":"Adam"},{"family":"Mench","given":"Matthew"},{"family":"Meyers","given":"Jeremy"},{"family":"Ross","given":"Philip"},{"family":"Gostick","given":"Jeffrey"},{"family":"Liu","given":"Qinghua"}],"issued":{"date-parts":[["2011",10]]}}}],"schema":"https://github.com/citation-style-language/schema/raw/master/csl-citation.json"} </w:instrText>
      </w:r>
      <w:r w:rsidR="000673DF">
        <w:rPr>
          <w:rFonts w:asciiTheme="minorHAnsi" w:hAnsiTheme="minorHAnsi"/>
          <w:sz w:val="22"/>
          <w:szCs w:val="22"/>
        </w:rPr>
        <w:fldChar w:fldCharType="separate"/>
      </w:r>
      <w:r w:rsidR="000673DF" w:rsidRPr="000673DF">
        <w:rPr>
          <w:rFonts w:ascii="Calibri" w:hAnsi="Calibri"/>
          <w:sz w:val="22"/>
          <w:vertAlign w:val="superscript"/>
        </w:rPr>
        <w:t>1,2</w:t>
      </w:r>
      <w:r w:rsidR="000673DF">
        <w:rPr>
          <w:rFonts w:asciiTheme="minorHAnsi" w:hAnsiTheme="minorHAnsi"/>
          <w:sz w:val="22"/>
          <w:szCs w:val="22"/>
        </w:rPr>
        <w:fldChar w:fldCharType="end"/>
      </w:r>
      <w:r w:rsidR="00781AC2">
        <w:rPr>
          <w:rFonts w:asciiTheme="minorHAnsi" w:hAnsiTheme="minorHAnsi"/>
          <w:sz w:val="22"/>
          <w:szCs w:val="22"/>
        </w:rPr>
        <w:t xml:space="preserve"> </w:t>
      </w:r>
    </w:p>
    <w:p w14:paraId="36B17EF1" w14:textId="7B854C8C" w:rsidR="003C61D5" w:rsidRDefault="00223EB0" w:rsidP="0021028B">
      <w:pPr>
        <w:pStyle w:val="NormalWeb"/>
        <w:spacing w:before="0" w:beforeAutospacing="0" w:after="0" w:afterAutospacing="0" w:line="480" w:lineRule="auto"/>
        <w:ind w:firstLine="720"/>
        <w:rPr>
          <w:rFonts w:asciiTheme="minorHAnsi" w:hAnsiTheme="minorHAnsi"/>
          <w:sz w:val="22"/>
          <w:szCs w:val="22"/>
        </w:rPr>
      </w:pPr>
      <w:r w:rsidRPr="00223EB0">
        <w:rPr>
          <w:rFonts w:asciiTheme="minorHAnsi" w:hAnsiTheme="minorHAnsi"/>
          <w:sz w:val="22"/>
          <w:szCs w:val="22"/>
        </w:rPr>
        <w:t>Redox flow batteries (RFBs) use externally stored electrolytes containing redox</w:t>
      </w:r>
      <w:r w:rsidR="0021028B">
        <w:rPr>
          <w:rFonts w:asciiTheme="minorHAnsi" w:hAnsiTheme="minorHAnsi"/>
          <w:sz w:val="22"/>
          <w:szCs w:val="22"/>
        </w:rPr>
        <w:t xml:space="preserve"> active</w:t>
      </w:r>
      <w:r w:rsidRPr="00223EB0">
        <w:rPr>
          <w:rFonts w:asciiTheme="minorHAnsi" w:hAnsiTheme="minorHAnsi"/>
          <w:sz w:val="22"/>
          <w:szCs w:val="22"/>
        </w:rPr>
        <w:t xml:space="preserve"> species to store chemical energy and an electrochemical cell to convert that chemical energy into electrochemical energy.</w:t>
      </w:r>
      <w:r>
        <w:rPr>
          <w:rFonts w:asciiTheme="minorHAnsi" w:hAnsiTheme="minorHAnsi"/>
          <w:sz w:val="22"/>
          <w:szCs w:val="22"/>
        </w:rPr>
        <w:fldChar w:fldCharType="begin"/>
      </w:r>
      <w:r>
        <w:rPr>
          <w:rFonts w:asciiTheme="minorHAnsi" w:hAnsiTheme="minorHAnsi"/>
          <w:sz w:val="22"/>
          <w:szCs w:val="22"/>
        </w:rPr>
        <w:instrText xml:space="preserve"> ADDIN ZOTERO_ITEM CSL_CITATION {"citationID":"2g8086chcn","properties":{"formattedCitation":"{\\rtf \\super 1\\nosupersub{}}","plainCitation":"1"},"citationItems":[{"id":75,"uris":["http://zotero.org/users/local/rZ3AHC6s/items/B4ASCM9K"],"uri":["http://zotero.org/users/local/rZ3AHC6s/items/B4ASCM9K"],"itemData":{"id":75,"type":"article-journal","title":"Redox flow cells for energy conversion","container-title":"Journal of Power Sources","page":"716-732","volume":"160","issue":"1","abstract":"Energy storage technologies provide an alternative solution to the problem of balancing power generation and power consumption. Redox flow cells are designed to convert and store electrical energy into chemical energy and release it in a controlled fashion when required. Many redox couples and cell designs have being evaluated. In this paper, redox flow systems are compared in the light of characteristics such as open circuit potential, power density, energy efficiency and charge-discharge behaviour. The key advantages and disadvantages of redox flow cells are considered while areas for further research are highlighted.","DOI":"10.1016/j.jpowsour.2006.02.095","ISSN":"0378-7753","journalAbbreviation":"Journal of Power Sources","author":[{"family":"Ponce de León","given":"C."},{"family":"Frías-Ferrer","given":"A."},{"family":"González-García","given":"J."},{"family":"Szánto","given":"D.A."},{"family":"Walsh","given":"F.C."}],"issued":{"date-parts":[["2006",9,29]]}}}],"schema":"https://github.com/citation-style-language/schema/raw/master/csl-citation.json"} </w:instrText>
      </w:r>
      <w:r>
        <w:rPr>
          <w:rFonts w:asciiTheme="minorHAnsi" w:hAnsiTheme="minorHAnsi"/>
          <w:sz w:val="22"/>
          <w:szCs w:val="22"/>
        </w:rPr>
        <w:fldChar w:fldCharType="separate"/>
      </w:r>
      <w:r w:rsidRPr="00223EB0">
        <w:rPr>
          <w:rFonts w:ascii="Calibri" w:hAnsi="Calibri"/>
          <w:sz w:val="22"/>
          <w:vertAlign w:val="superscript"/>
        </w:rPr>
        <w:t>1</w:t>
      </w:r>
      <w:r>
        <w:rPr>
          <w:rFonts w:asciiTheme="minorHAnsi" w:hAnsiTheme="minorHAnsi"/>
          <w:sz w:val="22"/>
          <w:szCs w:val="22"/>
        </w:rPr>
        <w:fldChar w:fldCharType="end"/>
      </w:r>
      <w:r w:rsidR="009A031E">
        <w:rPr>
          <w:rFonts w:asciiTheme="minorHAnsi" w:hAnsiTheme="minorHAnsi"/>
          <w:sz w:val="22"/>
          <w:szCs w:val="22"/>
        </w:rPr>
        <w:t xml:space="preserve"> A schematic of a general redox flow battery system is shown in Figure 1.</w:t>
      </w:r>
      <w:r w:rsidRPr="00223EB0">
        <w:rPr>
          <w:rFonts w:asciiTheme="minorHAnsi" w:hAnsiTheme="minorHAnsi"/>
          <w:sz w:val="22"/>
          <w:szCs w:val="22"/>
        </w:rPr>
        <w:t xml:space="preserve"> Spatial separation of energetic materials from reaction sites improves safety for a battery of the size to be used on the grid.</w:t>
      </w:r>
      <w:r w:rsidR="00622627">
        <w:rPr>
          <w:rFonts w:asciiTheme="minorHAnsi" w:hAnsiTheme="minorHAnsi"/>
          <w:sz w:val="22"/>
          <w:szCs w:val="22"/>
        </w:rPr>
        <w:t xml:space="preserve"> The advantages of redox flow cells over other energy storage technologies include their moderate cost, modularity, transportability, and flexible operation.</w:t>
      </w:r>
      <w:r w:rsidR="00622627">
        <w:rPr>
          <w:rFonts w:asciiTheme="minorHAnsi" w:hAnsiTheme="minorHAnsi"/>
          <w:sz w:val="22"/>
          <w:szCs w:val="22"/>
        </w:rPr>
        <w:fldChar w:fldCharType="begin"/>
      </w:r>
      <w:r w:rsidR="00622627">
        <w:rPr>
          <w:rFonts w:asciiTheme="minorHAnsi" w:hAnsiTheme="minorHAnsi"/>
          <w:sz w:val="22"/>
          <w:szCs w:val="22"/>
        </w:rPr>
        <w:instrText xml:space="preserve"> ADDIN ZOTERO_ITEM CSL_CITATION {"citationID":"2fuflqr46k","properties":{"formattedCitation":"{\\rtf \\super 1\\nosupersub{}}","plainCitation":"1"},"citationItems":[{"id":75,"uris":["http://zotero.org/users/local/rZ3AHC6s/items/B4ASCM9K"],"uri":["http://zotero.org/users/local/rZ3AHC6s/items/B4ASCM9K"],"itemData":{"id":75,"type":"article-journal","title":"Redox flow cells for energy conversion","container-title":"Journal of Power Sources","page":"716-732","volume":"160","issue":"1","abstract":"Energy storage technologies provide an alternative solution to the problem of balancing power generation and power consumption. Redox flow cells are designed to convert and store electrical energy into chemical energy and release it in a controlled fashion when required. Many redox couples and cell designs have being evaluated. In this paper, redox flow systems are compared in the light of characteristics such as open circuit potential, power density, energy efficiency and charge-discharge behaviour. The key advantages and disadvantages of redox flow cells are considered while areas for further research are highlighted.","DOI":"10.1016/j.jpowsour.2006.02.095","ISSN":"0378-7753","journalAbbreviation":"Journal of Power Sources","author":[{"family":"Ponce de León","given":"C."},{"family":"Frías-Ferrer","given":"A."},{"family":"González-García","given":"J."},{"family":"Szánto","given":"D.A."},{"family":"Walsh","given":"F.C."}],"issued":{"date-parts":[["2006",9,29]]}}}],"schema":"https://github.com/citation-style-language/schema/raw/master/csl-citation.json"} </w:instrText>
      </w:r>
      <w:r w:rsidR="00622627">
        <w:rPr>
          <w:rFonts w:asciiTheme="minorHAnsi" w:hAnsiTheme="minorHAnsi"/>
          <w:sz w:val="22"/>
          <w:szCs w:val="22"/>
        </w:rPr>
        <w:fldChar w:fldCharType="separate"/>
      </w:r>
      <w:r w:rsidR="00622627" w:rsidRPr="00622627">
        <w:rPr>
          <w:rFonts w:ascii="Calibri" w:hAnsi="Calibri"/>
          <w:sz w:val="22"/>
          <w:vertAlign w:val="superscript"/>
        </w:rPr>
        <w:t>1</w:t>
      </w:r>
      <w:r w:rsidR="00622627">
        <w:rPr>
          <w:rFonts w:asciiTheme="minorHAnsi" w:hAnsiTheme="minorHAnsi"/>
          <w:sz w:val="22"/>
          <w:szCs w:val="22"/>
        </w:rPr>
        <w:fldChar w:fldCharType="end"/>
      </w:r>
      <w:r w:rsidR="00247C56">
        <w:rPr>
          <w:rFonts w:asciiTheme="minorHAnsi" w:hAnsiTheme="minorHAnsi"/>
          <w:sz w:val="22"/>
          <w:szCs w:val="22"/>
        </w:rPr>
        <w:t xml:space="preserve"> Unlike traditional batteries, the energy capacity, which is a function of reactant concentration and storage tank size, and system power, which is determined by the number of cells in a stack and electrode area, of flow batteries may be optimized independently.</w:t>
      </w:r>
      <w:r w:rsidR="00247C56">
        <w:rPr>
          <w:rFonts w:asciiTheme="minorHAnsi" w:hAnsiTheme="minorHAnsi"/>
          <w:sz w:val="22"/>
          <w:szCs w:val="22"/>
        </w:rPr>
        <w:fldChar w:fldCharType="begin"/>
      </w:r>
      <w:r w:rsidR="00247C56">
        <w:rPr>
          <w:rFonts w:asciiTheme="minorHAnsi" w:hAnsiTheme="minorHAnsi"/>
          <w:sz w:val="22"/>
          <w:szCs w:val="22"/>
        </w:rPr>
        <w:instrText xml:space="preserve"> ADDIN ZOTERO_ITEM CSL_CITATION {"citationID":"hvklmk9op","properties":{"formattedCitation":"{\\rtf \\super 3\\nosupersub{}}","plainCitation":"3"},"citationItems":[{"id":46,"uris":["http://zotero.org/users/local/rZ3AHC6s/items/HPMVXCFW"],"uri":["http://zotero.org/users/local/rZ3AHC6s/items/HPMVXCFW"],"itemData":{"id":46,"type":"article-journal","title":"Progress in Flow Battery Research and Development","container-title":"Journal of The Electrochemical Society","page":"R55-R79","volume":"158","issue":"8","abstract":"The past few decades have shown a rapid and continuous exhaustion of the available energy resources which may lead to serious energy global crises. Researchers have been focusing on developing new and renewable energy resources to meet the increasing fuel demand and reduce greenhouse gas emissions. A surge of research effort is also being directed towards replacing fossil fuel based vehicles with hybrid and electric alternatives. Energy storage is now seen as a critical element in future “smart grid and electric vehicle” applications. Electrochemical energy storage systems offer the best combination of efficiency, cost and flexibility, with redox flow battery systems currently leading the way in this aspect. In this work, a panoramic overview is presented for the various redox flow battery systems and their hybrid alternatives. Relevant published work is reported and critically discussed. A comprehensive study of the available technologies is conducted in terms of technical aspects as well as economic and environmental consequences. Some of the flow battery limitations and technical challenges are also discussed and a range of further research opportunities are presented. Of the flow battery technologies that have been investigated, the all-vanadium redox flow battery has received the most attention and has shown most promise in various pre-commercial to commercial stationary applications to date, while new developments in hybrid redox fuel cells are promising to lead the way for future applications in mechanically and electrically “refuelable” electric vehicles.","DOI":"10.1149/1.3599565","journalAbbreviation":"Journal of The Electrochemical Society","author":[{"family":"Skyllas-Kazacos","given":"M."},{"family":"Chakrabarti","given":"M. H."},{"family":"Hajimolana","given":"S. A."},{"family":"Mjalli","given":"F. S."},{"family":"Saleem","given":"M."}],"issued":{"date-parts":[["2011",8,1]]}}}],"schema":"https://github.com/citation-style-language/schema/raw/master/csl-citation.json"} </w:instrText>
      </w:r>
      <w:r w:rsidR="00247C56">
        <w:rPr>
          <w:rFonts w:asciiTheme="minorHAnsi" w:hAnsiTheme="minorHAnsi"/>
          <w:sz w:val="22"/>
          <w:szCs w:val="22"/>
        </w:rPr>
        <w:fldChar w:fldCharType="separate"/>
      </w:r>
      <w:r w:rsidR="00247C56" w:rsidRPr="00247C56">
        <w:rPr>
          <w:rFonts w:ascii="Calibri" w:hAnsi="Calibri"/>
          <w:sz w:val="22"/>
          <w:vertAlign w:val="superscript"/>
        </w:rPr>
        <w:t>3</w:t>
      </w:r>
      <w:r w:rsidR="00247C56">
        <w:rPr>
          <w:rFonts w:asciiTheme="minorHAnsi" w:hAnsiTheme="minorHAnsi"/>
          <w:sz w:val="22"/>
          <w:szCs w:val="22"/>
        </w:rPr>
        <w:fldChar w:fldCharType="end"/>
      </w:r>
      <w:r w:rsidRPr="00223EB0">
        <w:rPr>
          <w:rFonts w:asciiTheme="minorHAnsi" w:hAnsiTheme="minorHAnsi"/>
          <w:sz w:val="22"/>
          <w:szCs w:val="22"/>
        </w:rPr>
        <w:t xml:space="preserve"> Many different chemistries are currently employed in redox flow batteries, including iron/chromium, bromine/polysulfide, and a</w:t>
      </w:r>
      <w:r>
        <w:rPr>
          <w:rFonts w:asciiTheme="minorHAnsi" w:hAnsiTheme="minorHAnsi"/>
          <w:sz w:val="22"/>
          <w:szCs w:val="22"/>
        </w:rPr>
        <w:t>ll-vanadium systems.</w:t>
      </w:r>
      <w:r>
        <w:rPr>
          <w:rFonts w:asciiTheme="minorHAnsi" w:hAnsiTheme="minorHAnsi"/>
          <w:sz w:val="22"/>
          <w:szCs w:val="22"/>
        </w:rPr>
        <w:fldChar w:fldCharType="begin"/>
      </w:r>
      <w:r>
        <w:rPr>
          <w:rFonts w:asciiTheme="minorHAnsi" w:hAnsiTheme="minorHAnsi"/>
          <w:sz w:val="22"/>
          <w:szCs w:val="22"/>
        </w:rPr>
        <w:instrText xml:space="preserve"> ADDIN ZOTERO_ITEM CSL_CITATION {"citationID":"1frscm5uj0","properties":{"formattedCitation":"{\\rtf \\super 2\\nosupersub{}}","plainCitation":"2"},"citationItems":[{"id":90,"uris":["http://zotero.org/users/local/rZ3AHC6s/items/2KDPCK28"],"uri":["http://zotero.org/users/local/rZ3AHC6s/items/2KDPCK28"],"itemData":{"id":90,"type":"article-journal","title":"Redox flow batteries: a review.","container-title":"Journal of Applied Electrochemistry","page":"1137-1164","volume":"41","issue":"10","source":"EBSCOhost","archive":"aph","abstract":"Redox flow batteries (RFBs) are enjoying a renaissance due to their ability to store large amounts of electrical energy relatively cheaply and efficiently. In this review, we examine the components of RFBs with a focus on understanding the underlying physical processes. The various transport and kinetic phenomena are discussed along with the most common redox couples. [ABSTRACT FROM AUTHOR]","ISSN":"0021891X","journalAbbreviation":"Journal of Applied Electrochemistry","author":[{"family":"Weber","given":"Adam"},{"family":"Mench","given":"Matthew"},{"family":"Meyers","given":"Jeremy"},{"family":"Ross","given":"Philip"},{"family":"Gostick","given":"Jeffrey"},{"family":"Liu","given":"Qinghua"}],"issued":{"date-parts":[["2011",10]]}}}],"schema":"https://github.com/citation-style-language/schema/raw/master/csl-citation.json"} </w:instrText>
      </w:r>
      <w:r>
        <w:rPr>
          <w:rFonts w:asciiTheme="minorHAnsi" w:hAnsiTheme="minorHAnsi"/>
          <w:sz w:val="22"/>
          <w:szCs w:val="22"/>
        </w:rPr>
        <w:fldChar w:fldCharType="separate"/>
      </w:r>
      <w:r w:rsidRPr="00223EB0">
        <w:rPr>
          <w:rFonts w:ascii="Calibri" w:hAnsi="Calibri"/>
          <w:sz w:val="22"/>
          <w:vertAlign w:val="superscript"/>
        </w:rPr>
        <w:t>2</w:t>
      </w:r>
      <w:r>
        <w:rPr>
          <w:rFonts w:asciiTheme="minorHAnsi" w:hAnsiTheme="minorHAnsi"/>
          <w:sz w:val="22"/>
          <w:szCs w:val="22"/>
        </w:rPr>
        <w:fldChar w:fldCharType="end"/>
      </w:r>
      <w:r w:rsidRPr="00223EB0">
        <w:rPr>
          <w:rFonts w:asciiTheme="minorHAnsi" w:hAnsiTheme="minorHAnsi"/>
          <w:sz w:val="22"/>
          <w:szCs w:val="22"/>
        </w:rPr>
        <w:t xml:space="preserve"> The </w:t>
      </w:r>
      <w:r w:rsidR="008142B6">
        <w:rPr>
          <w:rFonts w:asciiTheme="minorHAnsi" w:hAnsiTheme="minorHAnsi"/>
          <w:sz w:val="22"/>
          <w:szCs w:val="22"/>
        </w:rPr>
        <w:t>focus of this thesis is</w:t>
      </w:r>
      <w:r w:rsidRPr="00223EB0">
        <w:rPr>
          <w:rFonts w:asciiTheme="minorHAnsi" w:hAnsiTheme="minorHAnsi"/>
          <w:sz w:val="22"/>
          <w:szCs w:val="22"/>
        </w:rPr>
        <w:t xml:space="preserve"> understanding and improving cell performance using the all-vanadium chemistry. </w:t>
      </w:r>
    </w:p>
    <w:p w14:paraId="1B0DD592" w14:textId="7A189FDA" w:rsidR="00DC6E54" w:rsidRDefault="00DC6E54" w:rsidP="00055CFD">
      <w:pPr>
        <w:pStyle w:val="NormalWeb"/>
        <w:spacing w:line="480" w:lineRule="auto"/>
        <w:jc w:val="center"/>
        <w:rPr>
          <w:rFonts w:asciiTheme="minorHAnsi" w:hAnsiTheme="minorHAnsi"/>
          <w:sz w:val="22"/>
          <w:szCs w:val="22"/>
        </w:rPr>
      </w:pPr>
      <w:r>
        <w:rPr>
          <w:rFonts w:asciiTheme="minorHAnsi" w:hAnsiTheme="minorHAnsi"/>
          <w:noProof/>
          <w:sz w:val="22"/>
          <w:szCs w:val="22"/>
        </w:rPr>
        <w:lastRenderedPageBreak/>
        <w:drawing>
          <wp:inline distT="0" distB="0" distL="0" distR="0" wp14:anchorId="1DB964F6" wp14:editId="5DD503EF">
            <wp:extent cx="4295775" cy="2619375"/>
            <wp:effectExtent l="0" t="0" r="952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basic rfb setup - mench article.jpg"/>
                    <pic:cNvPicPr/>
                  </pic:nvPicPr>
                  <pic:blipFill>
                    <a:blip r:embed="rId9">
                      <a:extLst>
                        <a:ext uri="{28A0092B-C50C-407E-A947-70E740481C1C}">
                          <a14:useLocalDpi xmlns:a14="http://schemas.microsoft.com/office/drawing/2010/main" val="0"/>
                        </a:ext>
                      </a:extLst>
                    </a:blip>
                    <a:stretch>
                      <a:fillRect/>
                    </a:stretch>
                  </pic:blipFill>
                  <pic:spPr>
                    <a:xfrm>
                      <a:off x="0" y="0"/>
                      <a:ext cx="4295775" cy="2619375"/>
                    </a:xfrm>
                    <a:prstGeom prst="rect">
                      <a:avLst/>
                    </a:prstGeom>
                  </pic:spPr>
                </pic:pic>
              </a:graphicData>
            </a:graphic>
          </wp:inline>
        </w:drawing>
      </w:r>
    </w:p>
    <w:p w14:paraId="5004C9AE" w14:textId="5A58A979" w:rsidR="00DC6E54" w:rsidRPr="00223EB0" w:rsidRDefault="00DC6E54" w:rsidP="00055CFD">
      <w:pPr>
        <w:pStyle w:val="NormalWeb"/>
        <w:spacing w:line="480" w:lineRule="auto"/>
        <w:jc w:val="center"/>
        <w:rPr>
          <w:rFonts w:asciiTheme="minorHAnsi" w:hAnsiTheme="minorHAnsi"/>
          <w:sz w:val="22"/>
          <w:szCs w:val="22"/>
        </w:rPr>
      </w:pPr>
      <w:r w:rsidRPr="009A031E">
        <w:rPr>
          <w:rFonts w:asciiTheme="minorHAnsi" w:hAnsiTheme="minorHAnsi"/>
          <w:b/>
          <w:sz w:val="22"/>
          <w:szCs w:val="22"/>
        </w:rPr>
        <w:t>Figure 1</w:t>
      </w:r>
      <w:r>
        <w:rPr>
          <w:rFonts w:asciiTheme="minorHAnsi" w:hAnsiTheme="minorHAnsi"/>
          <w:sz w:val="22"/>
          <w:szCs w:val="22"/>
        </w:rPr>
        <w:t>: General Redox Flow Battery System</w:t>
      </w:r>
      <w:r>
        <w:rPr>
          <w:rFonts w:asciiTheme="minorHAnsi" w:hAnsiTheme="minorHAnsi"/>
          <w:sz w:val="22"/>
          <w:szCs w:val="22"/>
        </w:rPr>
        <w:fldChar w:fldCharType="begin"/>
      </w:r>
      <w:r>
        <w:rPr>
          <w:rFonts w:asciiTheme="minorHAnsi" w:hAnsiTheme="minorHAnsi"/>
          <w:sz w:val="22"/>
          <w:szCs w:val="22"/>
        </w:rPr>
        <w:instrText xml:space="preserve"> ADDIN ZOTERO_ITEM CSL_CITATION {"citationID":"2hunjp0s3b","properties":{"formattedCitation":"{\\rtf \\super 2\\nosupersub{}}","plainCitation":"2"},"citationItems":[{"id":90,"uris":["http://zotero.org/users/local/rZ3AHC6s/items/2KDPCK28"],"uri":["http://zotero.org/users/local/rZ3AHC6s/items/2KDPCK28"],"itemData":{"id":90,"type":"article-journal","title":"Redox flow batteries: a review.","container-title":"Journal of Applied Electrochemistry","page":"1137-1164","volume":"41","issue":"10","source":"EBSCOhost","archive":"aph","abstract":"Redox flow batteries (RFBs) are enjoying a renaissance due to their ability to store large amounts of electrical energy relatively cheaply and efficiently. In this review, we examine the components of RFBs with a focus on understanding the underlying physical processes. The various transport and kinetic phenomena are discussed along with the most common redox couples. [ABSTRACT FROM AUTHOR]","ISSN":"0021891X","journalAbbreviation":"Journal of Applied Electrochemistry","author":[{"family":"Weber","given":"Adam"},{"family":"Mench","given":"Matthew"},{"family":"Meyers","given":"Jeremy"},{"family":"Ross","given":"Philip"},{"family":"Gostick","given":"Jeffrey"},{"family":"Liu","given":"Qinghua"}],"issued":{"date-parts":[["2011",10]]}}}],"schema":"https://github.com/citation-style-language/schema/raw/master/csl-citation.json"} </w:instrText>
      </w:r>
      <w:r>
        <w:rPr>
          <w:rFonts w:asciiTheme="minorHAnsi" w:hAnsiTheme="minorHAnsi"/>
          <w:sz w:val="22"/>
          <w:szCs w:val="22"/>
        </w:rPr>
        <w:fldChar w:fldCharType="separate"/>
      </w:r>
      <w:r w:rsidRPr="00DC6E54">
        <w:rPr>
          <w:rFonts w:ascii="Calibri" w:hAnsi="Calibri"/>
          <w:sz w:val="22"/>
          <w:vertAlign w:val="superscript"/>
        </w:rPr>
        <w:t>2</w:t>
      </w:r>
      <w:r>
        <w:rPr>
          <w:rFonts w:asciiTheme="minorHAnsi" w:hAnsiTheme="minorHAnsi"/>
          <w:sz w:val="22"/>
          <w:szCs w:val="22"/>
        </w:rPr>
        <w:fldChar w:fldCharType="end"/>
      </w:r>
    </w:p>
    <w:p w14:paraId="1B31FD06" w14:textId="77777777" w:rsidR="0021028B" w:rsidRPr="00951C48" w:rsidRDefault="00D64BDF" w:rsidP="0021028B">
      <w:pPr>
        <w:pStyle w:val="NormalWeb"/>
        <w:spacing w:before="0" w:beforeAutospacing="0" w:after="0" w:afterAutospacing="0"/>
        <w:rPr>
          <w:rFonts w:asciiTheme="minorHAnsi" w:hAnsiTheme="minorHAnsi"/>
          <w:b/>
          <w:sz w:val="22"/>
          <w:szCs w:val="22"/>
        </w:rPr>
      </w:pPr>
      <w:r w:rsidRPr="00951C48">
        <w:rPr>
          <w:rFonts w:asciiTheme="minorHAnsi" w:hAnsiTheme="minorHAnsi"/>
          <w:b/>
          <w:sz w:val="22"/>
          <w:szCs w:val="22"/>
        </w:rPr>
        <w:t>2.2 What are vanadi</w:t>
      </w:r>
      <w:r w:rsidR="0021028B" w:rsidRPr="00951C48">
        <w:rPr>
          <w:rFonts w:asciiTheme="minorHAnsi" w:hAnsiTheme="minorHAnsi"/>
          <w:b/>
          <w:sz w:val="22"/>
          <w:szCs w:val="22"/>
        </w:rPr>
        <w:t>um redox flow batteries (VRBs)?</w:t>
      </w:r>
    </w:p>
    <w:p w14:paraId="43D680E2" w14:textId="77777777" w:rsidR="0021028B" w:rsidRDefault="0021028B" w:rsidP="0021028B">
      <w:pPr>
        <w:pStyle w:val="NormalWeb"/>
        <w:spacing w:before="0" w:beforeAutospacing="0" w:after="0" w:afterAutospacing="0"/>
        <w:rPr>
          <w:rFonts w:asciiTheme="minorHAnsi" w:hAnsiTheme="minorHAnsi"/>
          <w:sz w:val="22"/>
          <w:szCs w:val="22"/>
        </w:rPr>
      </w:pPr>
    </w:p>
    <w:p w14:paraId="585499F6" w14:textId="563CD2BE" w:rsidR="0021028B" w:rsidRDefault="00622627" w:rsidP="00BD36A8">
      <w:pPr>
        <w:pStyle w:val="NormalWeb"/>
        <w:spacing w:before="0" w:beforeAutospacing="0" w:after="0" w:afterAutospacing="0" w:line="480" w:lineRule="auto"/>
        <w:ind w:firstLine="720"/>
        <w:rPr>
          <w:rFonts w:asciiTheme="minorHAnsi" w:hAnsiTheme="minorHAnsi"/>
          <w:sz w:val="22"/>
          <w:szCs w:val="22"/>
        </w:rPr>
      </w:pPr>
      <w:r>
        <w:rPr>
          <w:rFonts w:asciiTheme="minorHAnsi" w:hAnsiTheme="minorHAnsi"/>
          <w:sz w:val="22"/>
          <w:szCs w:val="22"/>
        </w:rPr>
        <w:t>The all-vanadium redox flow battery</w:t>
      </w:r>
      <w:r w:rsidR="00247C56">
        <w:rPr>
          <w:rFonts w:asciiTheme="minorHAnsi" w:hAnsiTheme="minorHAnsi"/>
          <w:sz w:val="22"/>
          <w:szCs w:val="22"/>
        </w:rPr>
        <w:t xml:space="preserve"> (VRB)</w:t>
      </w:r>
      <w:r>
        <w:rPr>
          <w:rFonts w:asciiTheme="minorHAnsi" w:hAnsiTheme="minorHAnsi"/>
          <w:sz w:val="22"/>
          <w:szCs w:val="22"/>
        </w:rPr>
        <w:t xml:space="preserve"> was first proposed in 1984 by </w:t>
      </w:r>
      <w:proofErr w:type="spellStart"/>
      <w:r>
        <w:rPr>
          <w:rFonts w:asciiTheme="minorHAnsi" w:hAnsiTheme="minorHAnsi"/>
          <w:sz w:val="22"/>
          <w:szCs w:val="22"/>
        </w:rPr>
        <w:t>Skyllas-Kazacos</w:t>
      </w:r>
      <w:proofErr w:type="spellEnd"/>
      <w:r>
        <w:rPr>
          <w:rFonts w:asciiTheme="minorHAnsi" w:hAnsiTheme="minorHAnsi"/>
          <w:sz w:val="22"/>
          <w:szCs w:val="22"/>
        </w:rPr>
        <w:t xml:space="preserve"> at the University of New South Wales in Australia.</w:t>
      </w:r>
      <w:r>
        <w:rPr>
          <w:rFonts w:asciiTheme="minorHAnsi" w:hAnsiTheme="minorHAnsi"/>
          <w:sz w:val="22"/>
          <w:szCs w:val="22"/>
        </w:rPr>
        <w:fldChar w:fldCharType="begin"/>
      </w:r>
      <w:r>
        <w:rPr>
          <w:rFonts w:asciiTheme="minorHAnsi" w:hAnsiTheme="minorHAnsi"/>
          <w:sz w:val="22"/>
          <w:szCs w:val="22"/>
        </w:rPr>
        <w:instrText xml:space="preserve"> ADDIN ZOTERO_ITEM CSL_CITATION {"citationID":"7bscf55fb","properties":{"formattedCitation":"{\\rtf \\super 3,4\\nosupersub{}}","plainCitation":"3,4"},"citationItems":[{"id":46,"uris":["http://zotero.org/users/local/rZ3AHC6s/items/HPMVXCFW"],"uri":["http://zotero.org/users/local/rZ3AHC6s/items/HPMVXCFW"],"itemData":{"id":46,"type":"article-journal","title":"Progress in Flow Battery Research and Development","container-title":"Journal of The Electrochemical Society","page":"R55-R79","volume":"158","issue":"8","abstract":"The past few decades have shown a rapid and continuous exhaustion of the available energy resources which may lead to serious energy global crises. Researchers have been focusing on developing new and renewable energy resources to meet the increasing fuel demand and reduce greenhouse gas emissions. A surge of research effort is also being directed towards replacing fossil fuel based vehicles with hybrid and electric alternatives. Energy storage is now seen as a critical element in future “smart grid and electric vehicle” applications. Electrochemical energy storage systems offer the best combination of efficiency, cost and flexibility, with redox flow battery systems currently leading the way in this aspect. In this work, a panoramic overview is presented for the various redox flow battery systems and their hybrid alternatives. Relevant published work is reported and critically discussed. A comprehensive study of the available technologies is conducted in terms of technical aspects as well as economic and environmental consequences. Some of the flow battery limitations and technical challenges are also discussed and a range of further research opportunities are presented. Of the flow battery technologies that have been investigated, the all-vanadium redox flow battery has received the most attention and has shown most promise in various pre-commercial to commercial stationary applications to date, while new developments in hybrid redox fuel cells are promising to lead the way for future applications in mechanically and electrically “refuelable” electric vehicles.","DOI":"10.1149/1.3599565","journalAbbreviation":"Journal of The Electrochemical Society","author":[{"family":"Skyllas-Kazacos","given":"M."},{"family":"Chakrabarti","given":"M. H."},{"family":"Hajimolana","given":"S. A."},{"family":"Mjalli","given":"F. S."},{"family":"Saleem","given":"M."}],"issued":{"date-parts":[["2011",8,1]]}}},{"id":128,"uris":["http://zotero.org/users/local/rZ3AHC6s/items/PIT9VN5A"],"uri":["http://zotero.org/users/local/rZ3AHC6s/items/PIT9VN5A"],"itemData":{"id":128,"type":"article-journal","title":"NEW ALL-VANADIUM REDOX FLOW CELL.","container-title":"Journal of the Electrochemical Society","page":"1057-1058","volume":"133","issue":"5","archive":"Scopus","author":[{"family":"Skyllas-Kazacos","given":"M."},{"family":"Rychcik","given":"M."},{"family":"Robins","given":"R.G."},{"family":"Fane","given":"A.G."}],"issued":{"date-parts":[["1986"]]}}}],"schema":"https://github.com/citation-style-language/schema/raw/master/csl-citation.json"} </w:instrText>
      </w:r>
      <w:r>
        <w:rPr>
          <w:rFonts w:asciiTheme="minorHAnsi" w:hAnsiTheme="minorHAnsi"/>
          <w:sz w:val="22"/>
          <w:szCs w:val="22"/>
        </w:rPr>
        <w:fldChar w:fldCharType="separate"/>
      </w:r>
      <w:r w:rsidRPr="00622627">
        <w:rPr>
          <w:rFonts w:ascii="Calibri" w:hAnsi="Calibri"/>
          <w:sz w:val="22"/>
          <w:vertAlign w:val="superscript"/>
        </w:rPr>
        <w:t>3,4</w:t>
      </w:r>
      <w:r>
        <w:rPr>
          <w:rFonts w:asciiTheme="minorHAnsi" w:hAnsiTheme="minorHAnsi"/>
          <w:sz w:val="22"/>
          <w:szCs w:val="22"/>
        </w:rPr>
        <w:fldChar w:fldCharType="end"/>
      </w:r>
      <w:r>
        <w:rPr>
          <w:rFonts w:asciiTheme="minorHAnsi" w:hAnsiTheme="minorHAnsi"/>
          <w:sz w:val="22"/>
          <w:szCs w:val="22"/>
        </w:rPr>
        <w:t xml:space="preserve"> Two redox couples, u</w:t>
      </w:r>
      <w:r w:rsidR="0021028B">
        <w:rPr>
          <w:rFonts w:asciiTheme="minorHAnsi" w:hAnsiTheme="minorHAnsi"/>
          <w:sz w:val="22"/>
          <w:szCs w:val="22"/>
        </w:rPr>
        <w:t xml:space="preserve">tilizing </w:t>
      </w:r>
      <w:r>
        <w:rPr>
          <w:rFonts w:asciiTheme="minorHAnsi" w:hAnsiTheme="minorHAnsi"/>
          <w:sz w:val="22"/>
          <w:szCs w:val="22"/>
        </w:rPr>
        <w:t xml:space="preserve">four different vanadium oxidation states, are separated into two-half cells, each containing one of the redox couples. </w:t>
      </w:r>
      <w:r w:rsidR="00223EB0" w:rsidRPr="00223EB0">
        <w:rPr>
          <w:rFonts w:asciiTheme="minorHAnsi" w:hAnsiTheme="minorHAnsi"/>
          <w:sz w:val="22"/>
          <w:szCs w:val="22"/>
        </w:rPr>
        <w:t>The V</w:t>
      </w:r>
      <w:r w:rsidR="00223EB0" w:rsidRPr="008142B6">
        <w:rPr>
          <w:rFonts w:asciiTheme="minorHAnsi" w:hAnsiTheme="minorHAnsi"/>
          <w:sz w:val="22"/>
          <w:szCs w:val="22"/>
          <w:vertAlign w:val="superscript"/>
        </w:rPr>
        <w:t>4+</w:t>
      </w:r>
      <w:r w:rsidR="00223EB0" w:rsidRPr="00223EB0">
        <w:rPr>
          <w:rFonts w:asciiTheme="minorHAnsi" w:hAnsiTheme="minorHAnsi"/>
          <w:sz w:val="22"/>
          <w:szCs w:val="22"/>
        </w:rPr>
        <w:t>/V</w:t>
      </w:r>
      <w:r w:rsidR="00223EB0" w:rsidRPr="008142B6">
        <w:rPr>
          <w:rFonts w:asciiTheme="minorHAnsi" w:hAnsiTheme="minorHAnsi"/>
          <w:sz w:val="22"/>
          <w:szCs w:val="22"/>
          <w:vertAlign w:val="superscript"/>
        </w:rPr>
        <w:t>5+</w:t>
      </w:r>
      <w:r w:rsidR="008142B6">
        <w:rPr>
          <w:rFonts w:asciiTheme="minorHAnsi" w:hAnsiTheme="minorHAnsi"/>
          <w:sz w:val="22"/>
          <w:szCs w:val="22"/>
        </w:rPr>
        <w:t xml:space="preserve"> couple, which exists as VO</w:t>
      </w:r>
      <w:r w:rsidR="008142B6">
        <w:rPr>
          <w:rFonts w:asciiTheme="minorHAnsi" w:hAnsiTheme="minorHAnsi"/>
          <w:sz w:val="22"/>
          <w:szCs w:val="22"/>
          <w:vertAlign w:val="superscript"/>
        </w:rPr>
        <w:t>2+</w:t>
      </w:r>
      <w:r w:rsidR="008142B6">
        <w:rPr>
          <w:rFonts w:asciiTheme="minorHAnsi" w:hAnsiTheme="minorHAnsi"/>
          <w:sz w:val="22"/>
          <w:szCs w:val="22"/>
        </w:rPr>
        <w:t>/VO</w:t>
      </w:r>
      <w:r w:rsidR="008142B6">
        <w:rPr>
          <w:rFonts w:asciiTheme="minorHAnsi" w:hAnsiTheme="minorHAnsi"/>
          <w:sz w:val="22"/>
          <w:szCs w:val="22"/>
          <w:vertAlign w:val="subscript"/>
        </w:rPr>
        <w:t>2</w:t>
      </w:r>
      <w:r w:rsidR="008142B6">
        <w:rPr>
          <w:rFonts w:asciiTheme="minorHAnsi" w:hAnsiTheme="minorHAnsi"/>
          <w:sz w:val="22"/>
          <w:szCs w:val="22"/>
          <w:vertAlign w:val="superscript"/>
        </w:rPr>
        <w:t>+</w:t>
      </w:r>
      <w:r w:rsidR="008142B6">
        <w:rPr>
          <w:rFonts w:asciiTheme="minorHAnsi" w:hAnsiTheme="minorHAnsi"/>
          <w:sz w:val="22"/>
          <w:szCs w:val="22"/>
        </w:rPr>
        <w:t xml:space="preserve">, is present </w:t>
      </w:r>
      <w:r w:rsidR="0021028B">
        <w:rPr>
          <w:rFonts w:asciiTheme="minorHAnsi" w:hAnsiTheme="minorHAnsi"/>
          <w:sz w:val="22"/>
          <w:szCs w:val="22"/>
        </w:rPr>
        <w:t>at the positive electrode</w:t>
      </w:r>
      <w:r w:rsidR="00223EB0" w:rsidRPr="00223EB0">
        <w:rPr>
          <w:rFonts w:asciiTheme="minorHAnsi" w:hAnsiTheme="minorHAnsi"/>
          <w:sz w:val="22"/>
          <w:szCs w:val="22"/>
        </w:rPr>
        <w:t xml:space="preserve"> while the V</w:t>
      </w:r>
      <w:r w:rsidR="00223EB0" w:rsidRPr="008142B6">
        <w:rPr>
          <w:rFonts w:asciiTheme="minorHAnsi" w:hAnsiTheme="minorHAnsi"/>
          <w:sz w:val="22"/>
          <w:szCs w:val="22"/>
          <w:vertAlign w:val="superscript"/>
        </w:rPr>
        <w:t>2+</w:t>
      </w:r>
      <w:r w:rsidR="00223EB0" w:rsidRPr="00223EB0">
        <w:rPr>
          <w:rFonts w:asciiTheme="minorHAnsi" w:hAnsiTheme="minorHAnsi"/>
          <w:sz w:val="22"/>
          <w:szCs w:val="22"/>
        </w:rPr>
        <w:t>/V</w:t>
      </w:r>
      <w:r w:rsidR="00223EB0" w:rsidRPr="008142B6">
        <w:rPr>
          <w:rFonts w:asciiTheme="minorHAnsi" w:hAnsiTheme="minorHAnsi"/>
          <w:sz w:val="22"/>
          <w:szCs w:val="22"/>
          <w:vertAlign w:val="superscript"/>
        </w:rPr>
        <w:t>3+</w:t>
      </w:r>
      <w:r w:rsidR="008142B6">
        <w:rPr>
          <w:rFonts w:asciiTheme="minorHAnsi" w:hAnsiTheme="minorHAnsi"/>
          <w:sz w:val="22"/>
          <w:szCs w:val="22"/>
          <w:vertAlign w:val="superscript"/>
        </w:rPr>
        <w:t xml:space="preserve"> </w:t>
      </w:r>
      <w:r w:rsidR="00223EB0" w:rsidRPr="00223EB0">
        <w:rPr>
          <w:rFonts w:asciiTheme="minorHAnsi" w:hAnsiTheme="minorHAnsi"/>
          <w:sz w:val="22"/>
          <w:szCs w:val="22"/>
        </w:rPr>
        <w:t>couple res</w:t>
      </w:r>
      <w:r w:rsidR="008142B6">
        <w:rPr>
          <w:rFonts w:asciiTheme="minorHAnsi" w:hAnsiTheme="minorHAnsi"/>
          <w:sz w:val="22"/>
          <w:szCs w:val="22"/>
        </w:rPr>
        <w:t>ides at the negative electrode.</w:t>
      </w:r>
      <w:r w:rsidR="008142B6">
        <w:rPr>
          <w:rFonts w:asciiTheme="minorHAnsi" w:hAnsiTheme="minorHAnsi"/>
          <w:sz w:val="22"/>
          <w:szCs w:val="22"/>
        </w:rPr>
        <w:fldChar w:fldCharType="begin"/>
      </w:r>
      <w:r w:rsidR="008142B6">
        <w:rPr>
          <w:rFonts w:asciiTheme="minorHAnsi" w:hAnsiTheme="minorHAnsi"/>
          <w:sz w:val="22"/>
          <w:szCs w:val="22"/>
        </w:rPr>
        <w:instrText xml:space="preserve"> ADDIN ZOTERO_ITEM CSL_CITATION {"citationID":"8bsevk57q","properties":{"formattedCitation":"{\\rtf \\super 2\\nosupersub{}}","plainCitation":"2"},"citationItems":[{"id":90,"uris":["http://zotero.org/users/local/rZ3AHC6s/items/2KDPCK28"],"uri":["http://zotero.org/users/local/rZ3AHC6s/items/2KDPCK28"],"itemData":{"id":90,"type":"article-journal","title":"Redox flow batteries: a review.","container-title":"Journal of Applied Electrochemistry","page":"1137-1164","volume":"41","issue":"10","source":"EBSCOhost","archive":"aph","abstract":"Redox flow batteries (RFBs) are enjoying a renaissance due to their ability to store large amounts of electrical energy relatively cheaply and efficiently. In this review, we examine the components of RFBs with a focus on understanding the underlying physical processes. The various transport and kinetic phenomena are discussed along with the most common redox couples. [ABSTRACT FROM AUTHOR]","ISSN":"0021891X","journalAbbreviation":"Journal of Applied Electrochemistry","author":[{"family":"Weber","given":"Adam"},{"family":"Mench","given":"Matthew"},{"family":"Meyers","given":"Jeremy"},{"family":"Ross","given":"Philip"},{"family":"Gostick","given":"Jeffrey"},{"family":"Liu","given":"Qinghua"}],"issued":{"date-parts":[["2011",10]]}}}],"schema":"https://github.com/citation-style-language/schema/raw/master/csl-citation.json"} </w:instrText>
      </w:r>
      <w:r w:rsidR="008142B6">
        <w:rPr>
          <w:rFonts w:asciiTheme="minorHAnsi" w:hAnsiTheme="minorHAnsi"/>
          <w:sz w:val="22"/>
          <w:szCs w:val="22"/>
        </w:rPr>
        <w:fldChar w:fldCharType="separate"/>
      </w:r>
      <w:r w:rsidR="008142B6" w:rsidRPr="008142B6">
        <w:rPr>
          <w:rFonts w:ascii="Calibri" w:hAnsi="Calibri"/>
          <w:sz w:val="22"/>
          <w:vertAlign w:val="superscript"/>
        </w:rPr>
        <w:t>2</w:t>
      </w:r>
      <w:r w:rsidR="008142B6">
        <w:rPr>
          <w:rFonts w:asciiTheme="minorHAnsi" w:hAnsiTheme="minorHAnsi"/>
          <w:sz w:val="22"/>
          <w:szCs w:val="22"/>
        </w:rPr>
        <w:fldChar w:fldCharType="end"/>
      </w:r>
      <w:r w:rsidR="00223EB0" w:rsidRPr="00223EB0">
        <w:rPr>
          <w:rFonts w:asciiTheme="minorHAnsi" w:hAnsiTheme="minorHAnsi"/>
          <w:sz w:val="22"/>
          <w:szCs w:val="22"/>
        </w:rPr>
        <w:t xml:space="preserve"> V</w:t>
      </w:r>
      <w:r w:rsidR="00223EB0" w:rsidRPr="008142B6">
        <w:rPr>
          <w:rFonts w:asciiTheme="minorHAnsi" w:hAnsiTheme="minorHAnsi"/>
          <w:sz w:val="22"/>
          <w:szCs w:val="22"/>
          <w:vertAlign w:val="superscript"/>
        </w:rPr>
        <w:t>4+</w:t>
      </w:r>
      <w:r w:rsidR="00223EB0" w:rsidRPr="00223EB0">
        <w:rPr>
          <w:rFonts w:asciiTheme="minorHAnsi" w:hAnsiTheme="minorHAnsi"/>
          <w:sz w:val="22"/>
          <w:szCs w:val="22"/>
        </w:rPr>
        <w:t>is oxidized to V</w:t>
      </w:r>
      <w:r w:rsidR="00223EB0" w:rsidRPr="008142B6">
        <w:rPr>
          <w:rFonts w:asciiTheme="minorHAnsi" w:hAnsiTheme="minorHAnsi"/>
          <w:sz w:val="22"/>
          <w:szCs w:val="22"/>
          <w:vertAlign w:val="superscript"/>
        </w:rPr>
        <w:t>5+</w:t>
      </w:r>
      <w:r w:rsidR="008142B6">
        <w:rPr>
          <w:rFonts w:asciiTheme="minorHAnsi" w:hAnsiTheme="minorHAnsi"/>
          <w:sz w:val="22"/>
          <w:szCs w:val="22"/>
          <w:vertAlign w:val="superscript"/>
        </w:rPr>
        <w:t xml:space="preserve"> </w:t>
      </w:r>
      <w:r w:rsidR="00223EB0" w:rsidRPr="00223EB0">
        <w:rPr>
          <w:rFonts w:asciiTheme="minorHAnsi" w:hAnsiTheme="minorHAnsi"/>
          <w:sz w:val="22"/>
          <w:szCs w:val="22"/>
        </w:rPr>
        <w:t>during charging, while V</w:t>
      </w:r>
      <w:r w:rsidR="00223EB0" w:rsidRPr="008142B6">
        <w:rPr>
          <w:rFonts w:asciiTheme="minorHAnsi" w:hAnsiTheme="minorHAnsi"/>
          <w:sz w:val="22"/>
          <w:szCs w:val="22"/>
          <w:vertAlign w:val="superscript"/>
        </w:rPr>
        <w:t>3+</w:t>
      </w:r>
      <w:r w:rsidR="00223EB0" w:rsidRPr="00223EB0">
        <w:rPr>
          <w:rFonts w:asciiTheme="minorHAnsi" w:hAnsiTheme="minorHAnsi"/>
          <w:sz w:val="22"/>
          <w:szCs w:val="22"/>
        </w:rPr>
        <w:t xml:space="preserve"> is reduced to V</w:t>
      </w:r>
      <w:r w:rsidR="00223EB0" w:rsidRPr="008142B6">
        <w:rPr>
          <w:rFonts w:asciiTheme="minorHAnsi" w:hAnsiTheme="minorHAnsi"/>
          <w:sz w:val="22"/>
          <w:szCs w:val="22"/>
          <w:vertAlign w:val="superscript"/>
        </w:rPr>
        <w:t>2+</w:t>
      </w:r>
      <w:r w:rsidR="00223EB0" w:rsidRPr="00223EB0">
        <w:rPr>
          <w:rFonts w:asciiTheme="minorHAnsi" w:hAnsiTheme="minorHAnsi"/>
          <w:sz w:val="22"/>
          <w:szCs w:val="22"/>
        </w:rPr>
        <w:t>. During discharge, V</w:t>
      </w:r>
      <w:r w:rsidR="00223EB0" w:rsidRPr="008142B6">
        <w:rPr>
          <w:rFonts w:asciiTheme="minorHAnsi" w:hAnsiTheme="minorHAnsi"/>
          <w:sz w:val="22"/>
          <w:szCs w:val="22"/>
          <w:vertAlign w:val="superscript"/>
        </w:rPr>
        <w:t>5+</w:t>
      </w:r>
      <w:r w:rsidR="00223EB0" w:rsidRPr="00223EB0">
        <w:rPr>
          <w:rFonts w:asciiTheme="minorHAnsi" w:hAnsiTheme="minorHAnsi"/>
          <w:sz w:val="22"/>
          <w:szCs w:val="22"/>
        </w:rPr>
        <w:t xml:space="preserve"> reduces to V</w:t>
      </w:r>
      <w:r w:rsidR="00223EB0" w:rsidRPr="008142B6">
        <w:rPr>
          <w:rFonts w:asciiTheme="minorHAnsi" w:hAnsiTheme="minorHAnsi"/>
          <w:sz w:val="22"/>
          <w:szCs w:val="22"/>
          <w:vertAlign w:val="superscript"/>
        </w:rPr>
        <w:t>4+</w:t>
      </w:r>
      <w:r w:rsidR="00223EB0" w:rsidRPr="00223EB0">
        <w:rPr>
          <w:rFonts w:asciiTheme="minorHAnsi" w:hAnsiTheme="minorHAnsi"/>
          <w:sz w:val="22"/>
          <w:szCs w:val="22"/>
        </w:rPr>
        <w:t>, and V</w:t>
      </w:r>
      <w:r w:rsidR="00223EB0" w:rsidRPr="008142B6">
        <w:rPr>
          <w:rFonts w:asciiTheme="minorHAnsi" w:hAnsiTheme="minorHAnsi"/>
          <w:sz w:val="22"/>
          <w:szCs w:val="22"/>
          <w:vertAlign w:val="superscript"/>
        </w:rPr>
        <w:t>2+</w:t>
      </w:r>
      <w:r w:rsidR="00223EB0" w:rsidRPr="00223EB0">
        <w:rPr>
          <w:rFonts w:asciiTheme="minorHAnsi" w:hAnsiTheme="minorHAnsi"/>
          <w:sz w:val="22"/>
          <w:szCs w:val="22"/>
        </w:rPr>
        <w:t xml:space="preserve"> oxidizes to V</w:t>
      </w:r>
      <w:r w:rsidR="00223EB0" w:rsidRPr="008142B6">
        <w:rPr>
          <w:rFonts w:asciiTheme="minorHAnsi" w:hAnsiTheme="minorHAnsi"/>
          <w:sz w:val="22"/>
          <w:szCs w:val="22"/>
          <w:vertAlign w:val="superscript"/>
        </w:rPr>
        <w:t>3+</w:t>
      </w:r>
      <w:r w:rsidR="00223EB0" w:rsidRPr="00223EB0">
        <w:rPr>
          <w:rFonts w:asciiTheme="minorHAnsi" w:hAnsiTheme="minorHAnsi"/>
          <w:sz w:val="22"/>
          <w:szCs w:val="22"/>
        </w:rPr>
        <w:t>.</w:t>
      </w:r>
      <w:r w:rsidR="0021028B">
        <w:rPr>
          <w:rFonts w:asciiTheme="minorHAnsi" w:hAnsiTheme="minorHAnsi"/>
          <w:sz w:val="22"/>
          <w:szCs w:val="22"/>
        </w:rPr>
        <w:t xml:space="preserve"> V</w:t>
      </w:r>
      <w:r w:rsidR="0021028B">
        <w:rPr>
          <w:rFonts w:asciiTheme="minorHAnsi" w:hAnsiTheme="minorHAnsi"/>
          <w:sz w:val="22"/>
          <w:szCs w:val="22"/>
          <w:vertAlign w:val="superscript"/>
        </w:rPr>
        <w:t>2+</w:t>
      </w:r>
      <w:r w:rsidR="0021028B">
        <w:rPr>
          <w:rFonts w:asciiTheme="minorHAnsi" w:hAnsiTheme="minorHAnsi"/>
          <w:sz w:val="22"/>
          <w:szCs w:val="22"/>
        </w:rPr>
        <w:t xml:space="preserve"> is sensitive to atmospheric oxygen, requiring this couple to be kept in an inert atmosphere.</w:t>
      </w:r>
      <w:r w:rsidR="00223EB0" w:rsidRPr="00223EB0">
        <w:rPr>
          <w:rFonts w:asciiTheme="minorHAnsi" w:hAnsiTheme="minorHAnsi"/>
          <w:sz w:val="22"/>
          <w:szCs w:val="22"/>
        </w:rPr>
        <w:t xml:space="preserve"> </w:t>
      </w:r>
      <w:r>
        <w:rPr>
          <w:rFonts w:asciiTheme="minorHAnsi" w:hAnsiTheme="minorHAnsi"/>
          <w:sz w:val="22"/>
          <w:szCs w:val="22"/>
        </w:rPr>
        <w:t>Equations 1 and 2 contain the net chemistry of the system.</w:t>
      </w:r>
      <w:r>
        <w:rPr>
          <w:rFonts w:asciiTheme="minorHAnsi" w:hAnsiTheme="minorHAnsi"/>
          <w:sz w:val="22"/>
          <w:szCs w:val="22"/>
        </w:rPr>
        <w:fldChar w:fldCharType="begin"/>
      </w:r>
      <w:r>
        <w:rPr>
          <w:rFonts w:asciiTheme="minorHAnsi" w:hAnsiTheme="minorHAnsi"/>
          <w:sz w:val="22"/>
          <w:szCs w:val="22"/>
        </w:rPr>
        <w:instrText xml:space="preserve"> ADDIN ZOTERO_ITEM CSL_CITATION {"citationID":"1e03mveuuc","properties":{"formattedCitation":"{\\rtf \\super 2\\uc0\\u8211{}5\\nosupersub{}}","plainCitation":"2–5"},"citationItems":[{"id":128,"uris":["http://zotero.org/users/local/rZ3AHC6s/items/PIT9VN5A"],"uri":["http://zotero.org/users/local/rZ3AHC6s/items/PIT9VN5A"],"itemData":{"id":128,"type":"article-journal","title":"NEW ALL-VANADIUM REDOX FLOW CELL.","container-title":"Journal of the Electrochemical Society","page":"1057-1058","volume":"133","issue":"5","archive":"Scopus","author":[{"family":"Skyllas-Kazacos","given":"M."},{"family":"Rychcik","given":"M."},{"family":"Robins","given":"R.G."},{"family":"Fane","given":"A.G."}],"issued":{"date-parts":[["1986"]]}}},{"id":90,"uris":["http://zotero.org/users/local/rZ3AHC6s/items/2KDPCK28"],"uri":["http://zotero.org/users/local/rZ3AHC6s/items/2KDPCK28"],"itemData":{"id":90,"type":"article-journal","title":"Redox flow batteries: a review.","container-title":"Journal of Applied Electrochemistry","page":"1137-1164","volume":"41","issue":"10","source":"EBSCOhost","archive":"aph","abstract":"Redox flow batteries (RFBs) are enjoying a renaissance due to their ability to store large amounts of electrical energy relatively cheaply and efficiently. In this review, we examine the components of RFBs with a focus on understanding the underlying physical processes. The various transport and kinetic phenomena are discussed along with the most common redox couples. [ABSTRACT FROM AUTHOR]","ISSN":"0021891X","journalAbbreviation":"Journal of Applied Electrochemistry","author":[{"family":"Weber","given":"Adam"},{"family":"Mench","given":"Matthew"},{"family":"Meyers","given":"Jeremy"},{"family":"Ross","given":"Philip"},{"family":"Gostick","given":"Jeffrey"},{"family":"Liu","given":"Qinghua"}],"issued":{"date-parts":[["2011",10]]}}},{"id":46,"uris":["http://zotero.org/users/local/rZ3AHC6s/items/HPMVXCFW"],"uri":["http://zotero.org/users/local/rZ3AHC6s/items/HPMVXCFW"],"itemData":{"id":46,"type":"article-journal","title":"Progress in Flow Battery Research and Development","container-title":"Journal of The Electrochemical Society","page":"R55-R79","volume":"158","issue":"8","abstract":"The past few decades have shown a rapid and continuous exhaustion of the available energy resources which may lead to serious energy global crises. Researchers have been focusing on developing new and renewable energy resources to meet the increasing fuel demand and reduce greenhouse gas emissions. A surge of research effort is also being directed towards replacing fossil fuel based vehicles with hybrid and electric alternatives. Energy storage is now seen as a critical element in future “smart grid and electric vehicle” applications. Electrochemical energy storage systems offer the best combination of efficiency, cost and flexibility, with redox flow battery systems currently leading the way in this aspect. In this work, a panoramic overview is presented for the various redox flow battery systems and their hybrid alternatives. Relevant published work is reported and critically discussed. A comprehensive study of the available technologies is conducted in terms of technical aspects as well as economic and environmental consequences. Some of the flow battery limitations and technical challenges are also discussed and a range of further research opportunities are presented. Of the flow battery technologies that have been investigated, the all-vanadium redox flow battery has received the most attention and has shown most promise in various pre-commercial to commercial stationary applications to date, while new developments in hybrid redox fuel cells are promising to lead the way for future applications in mechanically and electrically “refuelable” electric vehicles.","DOI":"10.1149/1.3599565","journalAbbreviation":"Journal of The Electrochemical Society","author":[{"family":"Skyllas-Kazacos","given":"M."},{"family":"Chakrabarti","given":"M. H."},{"family":"Hajimolana","given":"S. A."},{"family":"Mjalli","given":"F. S."},{"family":"Saleem","given":"M."}],"issued":{"date-parts":[["2011",8,1]]}}},{"id":3,"uris":["http://zotero.org/users/local/rZ3AHC6s/items/2XJUVV4J"],"uri":["http://zotero.org/users/local/rZ3AHC6s/items/2XJUVV4J"],"itemData":{"id":3,"type":"article-journal","title":"The vanadium redox-battery: an efficient storage unit for photovoltaic systems","container-title":"Electrochimica Acta","page":"825-831","volume":"47","issue":"5","abstract":"The ‘all vanadium redox flow system’ is a promising candidate for the storage of photovoltaic energy. The reversible cell voltage of 1.3–1.4 V in charged state is well established at various electrode materials in particular carbon based substrate. The kinetics and mechanism were studied for the V2+/V3+ and VO++/VO2+ (V4+/V5+) couples and a one-electron transfer identified as the rate-determining step at smooth surface. The use of activation layers (carbon cloth, felt, etc.) decisively reduced the polarization. Catalysts, which are required for an increase of the reaction rate and the elimination of undesired side reactions, e.g. Ru(O)2 improved the behavior of the positive electrode. The influence of the separator material on mass transfer phenomena (diffusion, migration) and the charge–discharge characteristics were investigated. The requirements to be met as stand alone batteries for the energy supply of users in combination with photovoltaic plants considering the solar irradiation conditions in south Portugal were discussed and the future development goals defined.","DOI":"10.1016/S0013-4686(01)00763-0","ISSN":"0013-4686","journalAbbreviation":"Electrochimica Acta","author":[{"family":"Fabjan","given":"Ch"},{"family":"Garche","given":"J"},{"family":"Harrer","given":"B"},{"family":"Jörissen","given":"L"},{"family":"Kolbeck","given":"C"},{"family":"Philippi","given":"F"},{"family":"Tomazic","given":"G"},{"family":"Wagner","given":"F"}],"issued":{"date-parts":[["2001",12,3]]}}}],"schema":"https://github.com/citation-style-language/schema/raw/master/csl-citation.json"} </w:instrText>
      </w:r>
      <w:r>
        <w:rPr>
          <w:rFonts w:asciiTheme="minorHAnsi" w:hAnsiTheme="minorHAnsi"/>
          <w:sz w:val="22"/>
          <w:szCs w:val="22"/>
        </w:rPr>
        <w:fldChar w:fldCharType="separate"/>
      </w:r>
      <w:r w:rsidRPr="00622627">
        <w:rPr>
          <w:rFonts w:ascii="Calibri" w:hAnsi="Calibri"/>
          <w:sz w:val="22"/>
          <w:vertAlign w:val="superscript"/>
        </w:rPr>
        <w:t>2–5</w:t>
      </w:r>
      <w:r>
        <w:rPr>
          <w:rFonts w:asciiTheme="minorHAnsi" w:hAnsiTheme="minorHAnsi"/>
          <w:sz w:val="22"/>
          <w:szCs w:val="22"/>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5"/>
        <w:gridCol w:w="3448"/>
        <w:gridCol w:w="3117"/>
      </w:tblGrid>
      <w:tr w:rsidR="00622627" w14:paraId="6630C36B" w14:textId="77777777" w:rsidTr="00622627">
        <w:tc>
          <w:tcPr>
            <w:tcW w:w="2785" w:type="dxa"/>
          </w:tcPr>
          <w:p w14:paraId="40186051" w14:textId="77777777" w:rsidR="00622627" w:rsidRDefault="00622627" w:rsidP="00055CFD">
            <w:pPr>
              <w:pStyle w:val="NormalWeb"/>
              <w:spacing w:line="480" w:lineRule="auto"/>
              <w:rPr>
                <w:rFonts w:asciiTheme="minorHAnsi" w:hAnsiTheme="minorHAnsi"/>
                <w:sz w:val="22"/>
                <w:szCs w:val="22"/>
              </w:rPr>
            </w:pPr>
          </w:p>
        </w:tc>
        <w:tc>
          <w:tcPr>
            <w:tcW w:w="3448" w:type="dxa"/>
          </w:tcPr>
          <w:p w14:paraId="0233DA6C" w14:textId="264A3939" w:rsidR="00622627" w:rsidRDefault="00622627" w:rsidP="00055CFD">
            <w:pPr>
              <w:pStyle w:val="NormalWeb"/>
              <w:spacing w:line="480" w:lineRule="auto"/>
              <w:rPr>
                <w:rFonts w:asciiTheme="minorHAnsi" w:hAnsiTheme="minorHAnsi"/>
                <w:sz w:val="22"/>
                <w:szCs w:val="22"/>
              </w:rPr>
            </w:pPr>
            <m:oMathPara>
              <m:oMath>
                <m:r>
                  <w:rPr>
                    <w:rFonts w:ascii="Cambria Math" w:hAnsi="Cambria Math"/>
                    <w:sz w:val="22"/>
                    <w:szCs w:val="22"/>
                  </w:rPr>
                  <m:t>V</m:t>
                </m:r>
                <m:sSup>
                  <m:sSupPr>
                    <m:ctrlPr>
                      <w:rPr>
                        <w:rFonts w:ascii="Cambria Math" w:hAnsi="Cambria Math"/>
                        <w:i/>
                        <w:sz w:val="22"/>
                        <w:szCs w:val="22"/>
                      </w:rPr>
                    </m:ctrlPr>
                  </m:sSupPr>
                  <m:e>
                    <m:r>
                      <w:rPr>
                        <w:rFonts w:ascii="Cambria Math" w:hAnsi="Cambria Math"/>
                        <w:sz w:val="22"/>
                        <w:szCs w:val="22"/>
                      </w:rPr>
                      <m:t>O</m:t>
                    </m:r>
                  </m:e>
                  <m:sup>
                    <m:r>
                      <w:rPr>
                        <w:rFonts w:ascii="Cambria Math" w:hAnsi="Cambria Math"/>
                        <w:sz w:val="22"/>
                        <w:szCs w:val="22"/>
                      </w:rPr>
                      <m:t>2+</m:t>
                    </m:r>
                  </m:sup>
                </m:sSup>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2</m:t>
                    </m:r>
                  </m:sub>
                </m:sSub>
                <m:r>
                  <w:rPr>
                    <w:rFonts w:ascii="Cambria Math" w:hAnsi="Cambria Math"/>
                    <w:sz w:val="22"/>
                    <w:szCs w:val="22"/>
                  </w:rPr>
                  <m:t>O↔V</m:t>
                </m:r>
                <m:sSubSup>
                  <m:sSubSupPr>
                    <m:ctrlPr>
                      <w:rPr>
                        <w:rFonts w:ascii="Cambria Math" w:hAnsi="Cambria Math"/>
                        <w:i/>
                        <w:sz w:val="22"/>
                        <w:szCs w:val="22"/>
                      </w:rPr>
                    </m:ctrlPr>
                  </m:sSubSupPr>
                  <m:e>
                    <m:r>
                      <w:rPr>
                        <w:rFonts w:ascii="Cambria Math" w:hAnsi="Cambria Math"/>
                        <w:sz w:val="22"/>
                        <w:szCs w:val="22"/>
                      </w:rPr>
                      <m:t>O</m:t>
                    </m:r>
                  </m:e>
                  <m:sub>
                    <m:r>
                      <w:rPr>
                        <w:rFonts w:ascii="Cambria Math" w:hAnsi="Cambria Math"/>
                        <w:sz w:val="22"/>
                        <w:szCs w:val="22"/>
                      </w:rPr>
                      <m:t>2</m:t>
                    </m:r>
                  </m:sub>
                  <m:sup>
                    <m:r>
                      <w:rPr>
                        <w:rFonts w:ascii="Cambria Math" w:hAnsi="Cambria Math"/>
                        <w:sz w:val="22"/>
                        <w:szCs w:val="22"/>
                      </w:rPr>
                      <m:t>+</m:t>
                    </m:r>
                  </m:sup>
                </m:sSubSup>
                <m:r>
                  <w:rPr>
                    <w:rFonts w:ascii="Cambria Math" w:hAnsi="Cambria Math"/>
                    <w:sz w:val="22"/>
                    <w:szCs w:val="22"/>
                  </w:rPr>
                  <m:t>+2</m:t>
                </m:r>
                <m:sSup>
                  <m:sSupPr>
                    <m:ctrlPr>
                      <w:rPr>
                        <w:rFonts w:ascii="Cambria Math" w:hAnsi="Cambria Math"/>
                        <w:i/>
                        <w:sz w:val="22"/>
                        <w:szCs w:val="22"/>
                      </w:rPr>
                    </m:ctrlPr>
                  </m:sSupPr>
                  <m:e>
                    <m:r>
                      <w:rPr>
                        <w:rFonts w:ascii="Cambria Math" w:hAnsi="Cambria Math"/>
                        <w:sz w:val="22"/>
                        <w:szCs w:val="22"/>
                      </w:rPr>
                      <m:t>H</m:t>
                    </m:r>
                  </m:e>
                  <m:sup>
                    <m:r>
                      <w:rPr>
                        <w:rFonts w:ascii="Cambria Math" w:hAnsi="Cambria Math"/>
                        <w:sz w:val="22"/>
                        <w:szCs w:val="22"/>
                      </w:rPr>
                      <m:t>+</m:t>
                    </m:r>
                  </m:sup>
                </m:sSup>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e</m:t>
                    </m:r>
                  </m:e>
                  <m:sup>
                    <m:r>
                      <w:rPr>
                        <w:rFonts w:ascii="Cambria Math" w:hAnsi="Cambria Math"/>
                        <w:sz w:val="22"/>
                        <w:szCs w:val="22"/>
                      </w:rPr>
                      <m:t>-</m:t>
                    </m:r>
                  </m:sup>
                </m:sSup>
              </m:oMath>
            </m:oMathPara>
          </w:p>
        </w:tc>
        <w:tc>
          <w:tcPr>
            <w:tcW w:w="3117" w:type="dxa"/>
          </w:tcPr>
          <w:p w14:paraId="1A4F104B" w14:textId="7A8A6621" w:rsidR="00622627" w:rsidRDefault="00622627" w:rsidP="00055CFD">
            <w:pPr>
              <w:pStyle w:val="NormalWeb"/>
              <w:spacing w:line="480" w:lineRule="auto"/>
              <w:jc w:val="right"/>
              <w:rPr>
                <w:rFonts w:asciiTheme="minorHAnsi" w:hAnsiTheme="minorHAnsi"/>
                <w:sz w:val="22"/>
                <w:szCs w:val="22"/>
              </w:rPr>
            </w:pPr>
            <w:r>
              <w:rPr>
                <w:rFonts w:asciiTheme="minorHAnsi" w:hAnsiTheme="minorHAnsi"/>
                <w:sz w:val="22"/>
                <w:szCs w:val="22"/>
              </w:rPr>
              <w:t>(1)</w:t>
            </w:r>
          </w:p>
        </w:tc>
      </w:tr>
      <w:tr w:rsidR="00622627" w14:paraId="5A6E8C57" w14:textId="77777777" w:rsidTr="00622627">
        <w:tc>
          <w:tcPr>
            <w:tcW w:w="2785" w:type="dxa"/>
          </w:tcPr>
          <w:p w14:paraId="77C5DD39" w14:textId="77777777" w:rsidR="00622627" w:rsidRDefault="00622627" w:rsidP="00055CFD">
            <w:pPr>
              <w:pStyle w:val="NormalWeb"/>
              <w:spacing w:line="480" w:lineRule="auto"/>
              <w:rPr>
                <w:rFonts w:asciiTheme="minorHAnsi" w:hAnsiTheme="minorHAnsi"/>
                <w:sz w:val="22"/>
                <w:szCs w:val="22"/>
              </w:rPr>
            </w:pPr>
          </w:p>
        </w:tc>
        <w:tc>
          <w:tcPr>
            <w:tcW w:w="3448" w:type="dxa"/>
          </w:tcPr>
          <w:p w14:paraId="7CC4CF7C" w14:textId="2786D447" w:rsidR="00622627" w:rsidRDefault="00056C85" w:rsidP="00055CFD">
            <w:pPr>
              <w:pStyle w:val="NormalWeb"/>
              <w:spacing w:line="480" w:lineRule="auto"/>
              <w:rPr>
                <w:rFonts w:asciiTheme="minorHAnsi" w:hAnsiTheme="minorHAnsi"/>
                <w:sz w:val="22"/>
                <w:szCs w:val="22"/>
              </w:rPr>
            </w:pPr>
            <m:oMathPara>
              <m:oMath>
                <m:sSup>
                  <m:sSupPr>
                    <m:ctrlPr>
                      <w:rPr>
                        <w:rFonts w:ascii="Cambria Math" w:hAnsi="Cambria Math"/>
                        <w:i/>
                        <w:sz w:val="22"/>
                        <w:szCs w:val="22"/>
                      </w:rPr>
                    </m:ctrlPr>
                  </m:sSupPr>
                  <m:e>
                    <m:r>
                      <w:rPr>
                        <w:rFonts w:ascii="Cambria Math" w:hAnsi="Cambria Math"/>
                        <w:sz w:val="22"/>
                        <w:szCs w:val="22"/>
                      </w:rPr>
                      <m:t>V</m:t>
                    </m:r>
                  </m:e>
                  <m:sup>
                    <m:r>
                      <w:rPr>
                        <w:rFonts w:ascii="Cambria Math" w:hAnsi="Cambria Math"/>
                        <w:sz w:val="22"/>
                        <w:szCs w:val="22"/>
                      </w:rPr>
                      <m:t>3+</m:t>
                    </m:r>
                  </m:sup>
                </m:sSup>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e</m:t>
                    </m:r>
                  </m:e>
                  <m:sup>
                    <m:r>
                      <w:rPr>
                        <w:rFonts w:ascii="Cambria Math" w:hAnsi="Cambria Math"/>
                        <w:sz w:val="22"/>
                        <w:szCs w:val="22"/>
                      </w:rPr>
                      <m:t>-</m:t>
                    </m:r>
                  </m:sup>
                </m:sSup>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V</m:t>
                    </m:r>
                  </m:e>
                  <m:sup>
                    <m:r>
                      <w:rPr>
                        <w:rFonts w:ascii="Cambria Math" w:hAnsi="Cambria Math"/>
                        <w:sz w:val="22"/>
                        <w:szCs w:val="22"/>
                      </w:rPr>
                      <m:t>2+</m:t>
                    </m:r>
                  </m:sup>
                </m:sSup>
              </m:oMath>
            </m:oMathPara>
          </w:p>
        </w:tc>
        <w:tc>
          <w:tcPr>
            <w:tcW w:w="3117" w:type="dxa"/>
          </w:tcPr>
          <w:p w14:paraId="2558CAF3" w14:textId="2A7D04FD" w:rsidR="00622627" w:rsidRDefault="00622627" w:rsidP="00055CFD">
            <w:pPr>
              <w:pStyle w:val="NormalWeb"/>
              <w:spacing w:line="480" w:lineRule="auto"/>
              <w:jc w:val="right"/>
              <w:rPr>
                <w:rFonts w:asciiTheme="minorHAnsi" w:hAnsiTheme="minorHAnsi"/>
                <w:sz w:val="22"/>
                <w:szCs w:val="22"/>
              </w:rPr>
            </w:pPr>
            <w:r>
              <w:rPr>
                <w:rFonts w:asciiTheme="minorHAnsi" w:hAnsiTheme="minorHAnsi"/>
                <w:sz w:val="22"/>
                <w:szCs w:val="22"/>
              </w:rPr>
              <w:t>(2)</w:t>
            </w:r>
          </w:p>
        </w:tc>
      </w:tr>
    </w:tbl>
    <w:p w14:paraId="1B9A029C" w14:textId="3A007777" w:rsidR="00622627" w:rsidRDefault="00622627" w:rsidP="00BD36A8">
      <w:pPr>
        <w:pStyle w:val="NormalWeb"/>
        <w:spacing w:before="0" w:beforeAutospacing="0" w:after="0" w:afterAutospacing="0" w:line="480" w:lineRule="auto"/>
        <w:ind w:firstLine="720"/>
        <w:rPr>
          <w:rFonts w:asciiTheme="minorHAnsi" w:hAnsiTheme="minorHAnsi"/>
          <w:sz w:val="22"/>
          <w:szCs w:val="22"/>
        </w:rPr>
      </w:pPr>
      <w:r>
        <w:rPr>
          <w:rFonts w:asciiTheme="minorHAnsi" w:hAnsiTheme="minorHAnsi"/>
          <w:sz w:val="22"/>
          <w:szCs w:val="22"/>
        </w:rPr>
        <w:t>Color changes accompany the system as the battery charges and discharges. As the positive side charges from V</w:t>
      </w:r>
      <w:r>
        <w:rPr>
          <w:rFonts w:asciiTheme="minorHAnsi" w:hAnsiTheme="minorHAnsi"/>
          <w:sz w:val="22"/>
          <w:szCs w:val="22"/>
          <w:vertAlign w:val="superscript"/>
        </w:rPr>
        <w:t>4+</w:t>
      </w:r>
      <w:r>
        <w:rPr>
          <w:rFonts w:asciiTheme="minorHAnsi" w:hAnsiTheme="minorHAnsi"/>
          <w:sz w:val="22"/>
          <w:szCs w:val="22"/>
        </w:rPr>
        <w:t xml:space="preserve"> to V</w:t>
      </w:r>
      <w:r>
        <w:rPr>
          <w:rFonts w:asciiTheme="minorHAnsi" w:hAnsiTheme="minorHAnsi"/>
          <w:sz w:val="22"/>
          <w:szCs w:val="22"/>
          <w:vertAlign w:val="superscript"/>
        </w:rPr>
        <w:t>5+</w:t>
      </w:r>
      <w:r>
        <w:rPr>
          <w:rFonts w:asciiTheme="minorHAnsi" w:hAnsiTheme="minorHAnsi"/>
          <w:sz w:val="22"/>
          <w:szCs w:val="22"/>
        </w:rPr>
        <w:t xml:space="preserve">, the electrolyte color changes from blue to yellow or orange, depending on the </w:t>
      </w:r>
      <w:r>
        <w:rPr>
          <w:rFonts w:asciiTheme="minorHAnsi" w:hAnsiTheme="minorHAnsi"/>
          <w:sz w:val="22"/>
          <w:szCs w:val="22"/>
        </w:rPr>
        <w:lastRenderedPageBreak/>
        <w:t>concentration of the electrolyte. As the negative side charges from V</w:t>
      </w:r>
      <w:r>
        <w:rPr>
          <w:rFonts w:asciiTheme="minorHAnsi" w:hAnsiTheme="minorHAnsi"/>
          <w:sz w:val="22"/>
          <w:szCs w:val="22"/>
          <w:vertAlign w:val="superscript"/>
        </w:rPr>
        <w:t>3+</w:t>
      </w:r>
      <w:r>
        <w:rPr>
          <w:rFonts w:asciiTheme="minorHAnsi" w:hAnsiTheme="minorHAnsi"/>
          <w:sz w:val="22"/>
          <w:szCs w:val="22"/>
        </w:rPr>
        <w:t xml:space="preserve"> to V</w:t>
      </w:r>
      <w:r>
        <w:rPr>
          <w:rFonts w:asciiTheme="minorHAnsi" w:hAnsiTheme="minorHAnsi"/>
          <w:sz w:val="22"/>
          <w:szCs w:val="22"/>
          <w:vertAlign w:val="superscript"/>
        </w:rPr>
        <w:t>2+</w:t>
      </w:r>
      <w:r>
        <w:rPr>
          <w:rFonts w:asciiTheme="minorHAnsi" w:hAnsiTheme="minorHAnsi"/>
          <w:sz w:val="22"/>
          <w:szCs w:val="22"/>
        </w:rPr>
        <w:t>, the electrolyte color changes from green to lilac.</w:t>
      </w:r>
      <w:r>
        <w:rPr>
          <w:rFonts w:asciiTheme="minorHAnsi" w:hAnsiTheme="minorHAnsi"/>
          <w:sz w:val="22"/>
          <w:szCs w:val="22"/>
        </w:rPr>
        <w:fldChar w:fldCharType="begin"/>
      </w:r>
      <w:r>
        <w:rPr>
          <w:rFonts w:asciiTheme="minorHAnsi" w:hAnsiTheme="minorHAnsi"/>
          <w:sz w:val="22"/>
          <w:szCs w:val="22"/>
        </w:rPr>
        <w:instrText xml:space="preserve"> ADDIN ZOTERO_ITEM CSL_CITATION {"citationID":"13pkqeic7u","properties":{"formattedCitation":"{\\rtf \\super 5\\nosupersub{}}","plainCitation":"5"},"citationItems":[{"id":3,"uris":["http://zotero.org/users/local/rZ3AHC6s/items/2XJUVV4J"],"uri":["http://zotero.org/users/local/rZ3AHC6s/items/2XJUVV4J"],"itemData":{"id":3,"type":"article-journal","title":"The vanadium redox-battery: an efficient storage unit for photovoltaic systems","container-title":"Electrochimica Acta","page":"825-831","volume":"47","issue":"5","abstract":"The ‘all vanadium redox flow system’ is a promising candidate for the storage of photovoltaic energy. The reversible cell voltage of 1.3–1.4 V in charged state is well established at various electrode materials in particular carbon based substrate. The kinetics and mechanism were studied for the V2+/V3+ and VO++/VO2+ (V4+/V5+) couples and a one-electron transfer identified as the rate-determining step at smooth surface. The use of activation layers (carbon cloth, felt, etc.) decisively reduced the polarization. Catalysts, which are required for an increase of the reaction rate and the elimination of undesired side reactions, e.g. Ru(O)2 improved the behavior of the positive electrode. The influence of the separator material on mass transfer phenomena (diffusion, migration) and the charge–discharge characteristics were investigated. The requirements to be met as stand alone batteries for the energy supply of users in combination with photovoltaic plants considering the solar irradiation conditions in south Portugal were discussed and the future development goals defined.","DOI":"10.1016/S0013-4686(01)00763-0","ISSN":"0013-4686","journalAbbreviation":"Electrochimica Acta","author":[{"family":"Fabjan","given":"Ch"},{"family":"Garche","given":"J"},{"family":"Harrer","given":"B"},{"family":"Jörissen","given":"L"},{"family":"Kolbeck","given":"C"},{"family":"Philippi","given":"F"},{"family":"Tomazic","given":"G"},{"family":"Wagner","given":"F"}],"issued":{"date-parts":[["2001",12,3]]}}}],"schema":"https://github.com/citation-style-language/schema/raw/master/csl-citation.json"} </w:instrText>
      </w:r>
      <w:r>
        <w:rPr>
          <w:rFonts w:asciiTheme="minorHAnsi" w:hAnsiTheme="minorHAnsi"/>
          <w:sz w:val="22"/>
          <w:szCs w:val="22"/>
        </w:rPr>
        <w:fldChar w:fldCharType="separate"/>
      </w:r>
      <w:r w:rsidRPr="00622627">
        <w:rPr>
          <w:rFonts w:ascii="Calibri" w:hAnsi="Calibri"/>
          <w:sz w:val="22"/>
          <w:vertAlign w:val="superscript"/>
        </w:rPr>
        <w:t>5</w:t>
      </w:r>
      <w:r>
        <w:rPr>
          <w:rFonts w:asciiTheme="minorHAnsi" w:hAnsiTheme="minorHAnsi"/>
          <w:sz w:val="22"/>
          <w:szCs w:val="22"/>
        </w:rPr>
        <w:fldChar w:fldCharType="end"/>
      </w:r>
      <w:r w:rsidR="00247C56">
        <w:rPr>
          <w:rFonts w:asciiTheme="minorHAnsi" w:hAnsiTheme="minorHAnsi"/>
          <w:sz w:val="22"/>
          <w:szCs w:val="22"/>
        </w:rPr>
        <w:t xml:space="preserve"> </w:t>
      </w:r>
    </w:p>
    <w:p w14:paraId="77FF4972" w14:textId="17B19C6B" w:rsidR="00942F44" w:rsidRPr="00951C48" w:rsidRDefault="00942F44" w:rsidP="00BD36A8">
      <w:pPr>
        <w:pStyle w:val="NormalWeb"/>
        <w:spacing w:before="0" w:beforeAutospacing="0" w:after="0" w:afterAutospacing="0" w:line="480" w:lineRule="auto"/>
        <w:rPr>
          <w:rFonts w:asciiTheme="minorHAnsi" w:hAnsiTheme="minorHAnsi"/>
          <w:b/>
          <w:sz w:val="22"/>
          <w:szCs w:val="22"/>
        </w:rPr>
      </w:pPr>
      <w:r w:rsidRPr="00951C48">
        <w:rPr>
          <w:rFonts w:asciiTheme="minorHAnsi" w:hAnsiTheme="minorHAnsi"/>
          <w:b/>
          <w:sz w:val="22"/>
          <w:szCs w:val="22"/>
        </w:rPr>
        <w:t>2.2.1 Basic Construction</w:t>
      </w:r>
    </w:p>
    <w:p w14:paraId="535A4149" w14:textId="2A8A9DC6" w:rsidR="009A031E" w:rsidRDefault="009A031E" w:rsidP="00BD36A8">
      <w:pPr>
        <w:pStyle w:val="NormalWeb"/>
        <w:spacing w:before="0" w:beforeAutospacing="0" w:after="0" w:afterAutospacing="0" w:line="480" w:lineRule="auto"/>
        <w:ind w:firstLine="720"/>
        <w:rPr>
          <w:rFonts w:asciiTheme="minorHAnsi" w:hAnsiTheme="minorHAnsi"/>
          <w:sz w:val="22"/>
          <w:szCs w:val="22"/>
        </w:rPr>
      </w:pPr>
      <w:r>
        <w:rPr>
          <w:rFonts w:asciiTheme="minorHAnsi" w:hAnsiTheme="minorHAnsi"/>
          <w:sz w:val="22"/>
          <w:szCs w:val="22"/>
        </w:rPr>
        <w:t xml:space="preserve">At its base, flow battery hardware consists of flow field plates sandwiching two electrodes separated by an ion exchange membrane. </w:t>
      </w:r>
      <w:r w:rsidR="00BD36A8">
        <w:rPr>
          <w:rFonts w:asciiTheme="minorHAnsi" w:hAnsiTheme="minorHAnsi"/>
          <w:sz w:val="22"/>
          <w:szCs w:val="22"/>
        </w:rPr>
        <w:t>Current s</w:t>
      </w:r>
      <w:r>
        <w:rPr>
          <w:rFonts w:asciiTheme="minorHAnsi" w:hAnsiTheme="minorHAnsi"/>
          <w:sz w:val="22"/>
          <w:szCs w:val="22"/>
        </w:rPr>
        <w:t>tandard practice is to use a zero-gap architecture cell to</w:t>
      </w:r>
      <w:r w:rsidR="00BD36A8">
        <w:rPr>
          <w:rFonts w:asciiTheme="minorHAnsi" w:hAnsiTheme="minorHAnsi"/>
          <w:sz w:val="22"/>
          <w:szCs w:val="22"/>
        </w:rPr>
        <w:t xml:space="preserve"> minimize contact resistant in the cell, thereby</w:t>
      </w:r>
      <w:r>
        <w:rPr>
          <w:rFonts w:asciiTheme="minorHAnsi" w:hAnsiTheme="minorHAnsi"/>
          <w:sz w:val="22"/>
          <w:szCs w:val="22"/>
        </w:rPr>
        <w:t xml:space="preserve"> </w:t>
      </w:r>
      <w:r w:rsidR="00BD36A8">
        <w:rPr>
          <w:rFonts w:asciiTheme="minorHAnsi" w:hAnsiTheme="minorHAnsi"/>
          <w:sz w:val="22"/>
          <w:szCs w:val="22"/>
        </w:rPr>
        <w:t>improving</w:t>
      </w:r>
      <w:r>
        <w:rPr>
          <w:rFonts w:asciiTheme="minorHAnsi" w:hAnsiTheme="minorHAnsi"/>
          <w:sz w:val="22"/>
          <w:szCs w:val="22"/>
        </w:rPr>
        <w:t xml:space="preserve"> system performance.</w:t>
      </w:r>
      <w:r>
        <w:rPr>
          <w:rFonts w:asciiTheme="minorHAnsi" w:hAnsiTheme="minorHAnsi"/>
          <w:sz w:val="22"/>
          <w:szCs w:val="22"/>
        </w:rPr>
        <w:fldChar w:fldCharType="begin"/>
      </w:r>
      <w:r>
        <w:rPr>
          <w:rFonts w:asciiTheme="minorHAnsi" w:hAnsiTheme="minorHAnsi"/>
          <w:sz w:val="22"/>
          <w:szCs w:val="22"/>
        </w:rPr>
        <w:instrText xml:space="preserve"> ADDIN ZOTERO_ITEM CSL_CITATION {"citationID":"1jbb9nmfa7","properties":{"formattedCitation":"{\\rtf \\super 6\\nosupersub{}}","plainCitation":"6"},"citationItems":[{"id":86,"uris":["http://zotero.org/users/local/rZ3AHC6s/items/GSRWIGNZ"],"uri":["http://zotero.org/users/local/rZ3AHC6s/items/GSRWIGNZ"],"itemData":{"id":86,"type":"article-journal","title":"Dramatic performance gains in vanadium redox flow batteries through modified cell architecture","container-title":"Journal of Power Sources","page":"450-453","volume":"206","issue":"0","abstract":"We demonstrate a vanadium redox flow battery with a peak power density of 557 mW cm−2 at a state of charge of 60%. This power density, the highest reported to date, was obtained with a zero-gap flow field cell architecture and non-wetproofed carbon paper electrodes. The electrodes were comprised of stacked sheets of carbon paper and optimized through systematic variation of the total electrode thickness. We anticipate significant reductions in the ultimate system cost of redox flow battery systems based on this design.","DOI":"10.1016/j.jpowsour.2011.12.026","ISSN":"0378-7753","journalAbbreviation":"Journal of Power Sources","author":[{"family":"Aaron","given":"D.S."},{"family":"Liu","given":"Q."},{"family":"Tang","given":"Z."},{"family":"Grim","given":"G.M."},{"family":"Papandrew","given":"A.B."},{"family":"Turhan","given":"A."},{"family":"Zawodzinski","given":"T.A."},{"family":"Mench","given":"M.M."}],"issued":{"date-parts":[["2012",5,15]]}}}],"schema":"https://github.com/citation-style-language/schema/raw/master/csl-citation.json"} </w:instrText>
      </w:r>
      <w:r>
        <w:rPr>
          <w:rFonts w:asciiTheme="minorHAnsi" w:hAnsiTheme="minorHAnsi"/>
          <w:sz w:val="22"/>
          <w:szCs w:val="22"/>
        </w:rPr>
        <w:fldChar w:fldCharType="separate"/>
      </w:r>
      <w:r w:rsidRPr="009A031E">
        <w:rPr>
          <w:rFonts w:ascii="Calibri" w:hAnsi="Calibri"/>
          <w:sz w:val="22"/>
          <w:vertAlign w:val="superscript"/>
        </w:rPr>
        <w:t>6</w:t>
      </w:r>
      <w:r>
        <w:rPr>
          <w:rFonts w:asciiTheme="minorHAnsi" w:hAnsiTheme="minorHAnsi"/>
          <w:sz w:val="22"/>
          <w:szCs w:val="22"/>
        </w:rPr>
        <w:fldChar w:fldCharType="end"/>
      </w:r>
      <w:r w:rsidR="00E918AD">
        <w:rPr>
          <w:rFonts w:asciiTheme="minorHAnsi" w:hAnsiTheme="minorHAnsi"/>
          <w:sz w:val="22"/>
          <w:szCs w:val="22"/>
        </w:rPr>
        <w:t xml:space="preserve"> Figure</w:t>
      </w:r>
      <w:r w:rsidR="00B22E5B">
        <w:rPr>
          <w:rFonts w:asciiTheme="minorHAnsi" w:hAnsiTheme="minorHAnsi"/>
          <w:sz w:val="22"/>
          <w:szCs w:val="22"/>
        </w:rPr>
        <w:t xml:space="preserve"> 2 shows an expanded view of the components used in this zero-gap design.</w:t>
      </w:r>
    </w:p>
    <w:p w14:paraId="41AD7219" w14:textId="1398A3FA" w:rsidR="003C61D5" w:rsidRDefault="003C61D5" w:rsidP="00055CFD">
      <w:pPr>
        <w:pStyle w:val="NormalWeb"/>
        <w:spacing w:line="480" w:lineRule="auto"/>
        <w:jc w:val="center"/>
        <w:rPr>
          <w:rFonts w:asciiTheme="minorHAnsi" w:hAnsiTheme="minorHAnsi"/>
          <w:sz w:val="22"/>
          <w:szCs w:val="22"/>
        </w:rPr>
      </w:pPr>
      <w:r>
        <w:rPr>
          <w:rFonts w:asciiTheme="minorHAnsi" w:hAnsiTheme="minorHAnsi"/>
          <w:noProof/>
          <w:sz w:val="22"/>
          <w:szCs w:val="22"/>
        </w:rPr>
        <w:drawing>
          <wp:inline distT="0" distB="0" distL="0" distR="0" wp14:anchorId="61D77394" wp14:editId="5995FADE">
            <wp:extent cx="4572000" cy="1683143"/>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no gap cell architecture - dramatic perf gains in VRBs paper.jpg"/>
                    <pic:cNvPicPr/>
                  </pic:nvPicPr>
                  <pic:blipFill>
                    <a:blip r:embed="rId10">
                      <a:extLst>
                        <a:ext uri="{28A0092B-C50C-407E-A947-70E740481C1C}">
                          <a14:useLocalDpi xmlns:a14="http://schemas.microsoft.com/office/drawing/2010/main" val="0"/>
                        </a:ext>
                      </a:extLst>
                    </a:blip>
                    <a:stretch>
                      <a:fillRect/>
                    </a:stretch>
                  </pic:blipFill>
                  <pic:spPr>
                    <a:xfrm>
                      <a:off x="0" y="0"/>
                      <a:ext cx="4572000" cy="1683143"/>
                    </a:xfrm>
                    <a:prstGeom prst="rect">
                      <a:avLst/>
                    </a:prstGeom>
                  </pic:spPr>
                </pic:pic>
              </a:graphicData>
            </a:graphic>
          </wp:inline>
        </w:drawing>
      </w:r>
    </w:p>
    <w:p w14:paraId="6D82BD74" w14:textId="1CFE4ADE" w:rsidR="00DC6E54" w:rsidRDefault="00DC6E54" w:rsidP="00055CFD">
      <w:pPr>
        <w:pStyle w:val="NormalWeb"/>
        <w:spacing w:line="480" w:lineRule="auto"/>
        <w:jc w:val="center"/>
        <w:rPr>
          <w:rFonts w:asciiTheme="minorHAnsi" w:hAnsiTheme="minorHAnsi"/>
          <w:b/>
          <w:sz w:val="22"/>
          <w:szCs w:val="22"/>
        </w:rPr>
      </w:pPr>
      <w:r>
        <w:rPr>
          <w:rFonts w:asciiTheme="minorHAnsi" w:hAnsiTheme="minorHAnsi"/>
          <w:b/>
          <w:sz w:val="22"/>
          <w:szCs w:val="22"/>
        </w:rPr>
        <w:t>F</w:t>
      </w:r>
      <w:r w:rsidR="009A031E">
        <w:rPr>
          <w:rFonts w:asciiTheme="minorHAnsi" w:hAnsiTheme="minorHAnsi"/>
          <w:b/>
          <w:sz w:val="22"/>
          <w:szCs w:val="22"/>
        </w:rPr>
        <w:t>igure 2</w:t>
      </w:r>
      <w:r>
        <w:rPr>
          <w:rFonts w:asciiTheme="minorHAnsi" w:hAnsiTheme="minorHAnsi"/>
          <w:b/>
          <w:sz w:val="22"/>
          <w:szCs w:val="22"/>
        </w:rPr>
        <w:t>: Components of VRB Cell</w:t>
      </w:r>
      <w:r>
        <w:rPr>
          <w:rFonts w:asciiTheme="minorHAnsi" w:hAnsiTheme="minorHAnsi"/>
          <w:b/>
          <w:sz w:val="22"/>
          <w:szCs w:val="22"/>
        </w:rPr>
        <w:fldChar w:fldCharType="begin"/>
      </w:r>
      <w:r>
        <w:rPr>
          <w:rFonts w:asciiTheme="minorHAnsi" w:hAnsiTheme="minorHAnsi"/>
          <w:b/>
          <w:sz w:val="22"/>
          <w:szCs w:val="22"/>
        </w:rPr>
        <w:instrText xml:space="preserve"> ADDIN ZOTERO_ITEM CSL_CITATION {"citationID":"2difi7t8ne","properties":{"formattedCitation":"{\\rtf \\super 6\\nosupersub{}}","plainCitation":"6"},"citationItems":[{"id":86,"uris":["http://zotero.org/users/local/rZ3AHC6s/items/GSRWIGNZ"],"uri":["http://zotero.org/users/local/rZ3AHC6s/items/GSRWIGNZ"],"itemData":{"id":86,"type":"article-journal","title":"Dramatic performance gains in vanadium redox flow batteries through modified cell architecture","container-title":"Journal of Power Sources","page":"450-453","volume":"206","issue":"0","abstract":"We demonstrate a vanadium redox flow battery with a peak power density of 557 mW cm−2 at a state of charge of 60%. This power density, the highest reported to date, was obtained with a zero-gap flow field cell architecture and non-wetproofed carbon paper electrodes. The electrodes were comprised of stacked sheets of carbon paper and optimized through systematic variation of the total electrode thickness. We anticipate significant reductions in the ultimate system cost of redox flow battery systems based on this design.","DOI":"10.1016/j.jpowsour.2011.12.026","ISSN":"0378-7753","journalAbbreviation":"Journal of Power Sources","author":[{"family":"Aaron","given":"D.S."},{"family":"Liu","given":"Q."},{"family":"Tang","given":"Z."},{"family":"Grim","given":"G.M."},{"family":"Papandrew","given":"A.B."},{"family":"Turhan","given":"A."},{"family":"Zawodzinski","given":"T.A."},{"family":"Mench","given":"M.M."}],"issued":{"date-parts":[["2012",5,15]]}}}],"schema":"https://github.com/citation-style-language/schema/raw/master/csl-citation.json"} </w:instrText>
      </w:r>
      <w:r>
        <w:rPr>
          <w:rFonts w:asciiTheme="minorHAnsi" w:hAnsiTheme="minorHAnsi"/>
          <w:b/>
          <w:sz w:val="22"/>
          <w:szCs w:val="22"/>
        </w:rPr>
        <w:fldChar w:fldCharType="separate"/>
      </w:r>
      <w:r w:rsidRPr="00DC6E54">
        <w:rPr>
          <w:rFonts w:ascii="Calibri" w:hAnsi="Calibri"/>
          <w:sz w:val="22"/>
          <w:vertAlign w:val="superscript"/>
        </w:rPr>
        <w:t>6</w:t>
      </w:r>
      <w:r>
        <w:rPr>
          <w:rFonts w:asciiTheme="minorHAnsi" w:hAnsiTheme="minorHAnsi"/>
          <w:b/>
          <w:sz w:val="22"/>
          <w:szCs w:val="22"/>
        </w:rPr>
        <w:fldChar w:fldCharType="end"/>
      </w:r>
    </w:p>
    <w:p w14:paraId="38670A79" w14:textId="20FAA7A9" w:rsidR="00B22E5B" w:rsidRPr="00B22E5B" w:rsidRDefault="00B22E5B" w:rsidP="00055CFD">
      <w:pPr>
        <w:pStyle w:val="NormalWeb"/>
        <w:spacing w:line="480" w:lineRule="auto"/>
        <w:rPr>
          <w:rFonts w:asciiTheme="minorHAnsi" w:hAnsiTheme="minorHAnsi"/>
          <w:sz w:val="22"/>
          <w:szCs w:val="22"/>
        </w:rPr>
      </w:pPr>
      <w:r>
        <w:rPr>
          <w:rFonts w:asciiTheme="minorHAnsi" w:hAnsiTheme="minorHAnsi"/>
          <w:sz w:val="22"/>
          <w:szCs w:val="22"/>
        </w:rPr>
        <w:t>Figure 3 provides a more vivid representation of the three-dimensional carbon electrode structure</w:t>
      </w:r>
      <w:r w:rsidR="00BD36A8">
        <w:rPr>
          <w:rFonts w:asciiTheme="minorHAnsi" w:hAnsiTheme="minorHAnsi"/>
          <w:sz w:val="22"/>
          <w:szCs w:val="22"/>
        </w:rPr>
        <w:t>. Immediately noticeable is the</w:t>
      </w:r>
      <w:r>
        <w:rPr>
          <w:rFonts w:asciiTheme="minorHAnsi" w:hAnsiTheme="minorHAnsi"/>
          <w:sz w:val="22"/>
          <w:szCs w:val="22"/>
        </w:rPr>
        <w:t xml:space="preserve"> large amount of surface area that will be exposed to flowing electrolyte.</w:t>
      </w:r>
      <w:r w:rsidR="00BD36A8">
        <w:rPr>
          <w:rFonts w:asciiTheme="minorHAnsi" w:hAnsiTheme="minorHAnsi"/>
          <w:sz w:val="22"/>
          <w:szCs w:val="22"/>
        </w:rPr>
        <w:t xml:space="preserve"> This large surface area provides room for many reactions to take place, but t</w:t>
      </w:r>
      <w:r>
        <w:rPr>
          <w:rFonts w:asciiTheme="minorHAnsi" w:hAnsiTheme="minorHAnsi"/>
          <w:sz w:val="22"/>
          <w:szCs w:val="22"/>
        </w:rPr>
        <w:t>he small channels available for flow may cause mass transport limitations in the system if care is not taken</w:t>
      </w:r>
      <w:r w:rsidR="00BD36A8">
        <w:rPr>
          <w:rFonts w:asciiTheme="minorHAnsi" w:hAnsiTheme="minorHAnsi"/>
          <w:sz w:val="22"/>
          <w:szCs w:val="22"/>
        </w:rPr>
        <w:t xml:space="preserve"> with operating conditions</w:t>
      </w:r>
      <w:r>
        <w:rPr>
          <w:rFonts w:asciiTheme="minorHAnsi" w:hAnsiTheme="minorHAnsi"/>
          <w:sz w:val="22"/>
          <w:szCs w:val="22"/>
        </w:rPr>
        <w:t>.</w:t>
      </w:r>
    </w:p>
    <w:p w14:paraId="2FA1AB32" w14:textId="77777777" w:rsidR="00B22E5B" w:rsidRPr="00B22E5B" w:rsidRDefault="00B22E5B" w:rsidP="00055CFD">
      <w:pPr>
        <w:pStyle w:val="NormalWeb"/>
        <w:spacing w:line="480" w:lineRule="auto"/>
        <w:jc w:val="center"/>
        <w:rPr>
          <w:rFonts w:asciiTheme="minorHAnsi" w:hAnsiTheme="minorHAnsi"/>
          <w:sz w:val="22"/>
          <w:szCs w:val="22"/>
        </w:rPr>
      </w:pPr>
    </w:p>
    <w:p w14:paraId="070B8DBC" w14:textId="77777777" w:rsidR="003C61D5" w:rsidRDefault="003C61D5" w:rsidP="00055CFD">
      <w:pPr>
        <w:pStyle w:val="NormalWeb"/>
        <w:spacing w:line="480" w:lineRule="auto"/>
        <w:rPr>
          <w:rFonts w:asciiTheme="minorHAnsi" w:hAnsiTheme="minorHAnsi"/>
          <w:sz w:val="22"/>
          <w:szCs w:val="22"/>
        </w:rPr>
      </w:pPr>
    </w:p>
    <w:p w14:paraId="28360163" w14:textId="3ADFF547" w:rsidR="003C61D5" w:rsidRDefault="003C61D5" w:rsidP="00055CFD">
      <w:pPr>
        <w:pStyle w:val="NormalWeb"/>
        <w:spacing w:line="480" w:lineRule="auto"/>
        <w:jc w:val="center"/>
        <w:rPr>
          <w:rFonts w:asciiTheme="minorHAnsi" w:hAnsiTheme="minorHAnsi"/>
          <w:sz w:val="22"/>
          <w:szCs w:val="22"/>
        </w:rPr>
      </w:pPr>
      <w:r>
        <w:rPr>
          <w:noProof/>
        </w:rPr>
        <w:lastRenderedPageBreak/>
        <w:drawing>
          <wp:inline distT="0" distB="0" distL="0" distR="0" wp14:anchorId="30BE0BF5" wp14:editId="4DADF7DD">
            <wp:extent cx="2769870" cy="1978660"/>
            <wp:effectExtent l="0" t="0" r="0" b="2540"/>
            <wp:docPr id="48" name="Picture 10" descr="::::::private:var:folders:Qx:QxQdEynXFkqcgn13bsg1KE+++TI:-Tmp-:com.apple.mail.drag-T0x10051ffd0.tmp.2aDZuM:RFB-types.png"/>
            <wp:cNvGraphicFramePr/>
            <a:graphic xmlns:a="http://schemas.openxmlformats.org/drawingml/2006/main">
              <a:graphicData uri="http://schemas.openxmlformats.org/drawingml/2006/picture">
                <pic:pic xmlns:pic="http://schemas.openxmlformats.org/drawingml/2006/picture">
                  <pic:nvPicPr>
                    <pic:cNvPr id="11" name="Picture 10" descr="::::::private:var:folders:Qx:QxQdEynXFkqcgn13bsg1KE+++TI:-Tmp-:com.apple.mail.drag-T0x10051ffd0.tmp.2aDZuM:RFB-types.png"/>
                    <pic:cNvPicPr/>
                  </pic:nvPicPr>
                  <pic:blipFill>
                    <a:blip r:embed="rId11" cstate="print">
                      <a:extLst>
                        <a:ext uri="{28A0092B-C50C-407E-A947-70E740481C1C}">
                          <a14:useLocalDpi xmlns:a14="http://schemas.microsoft.com/office/drawing/2010/main" val="0"/>
                        </a:ext>
                      </a:extLst>
                    </a:blip>
                    <a:srcRect t="15367" b="25611"/>
                    <a:stretch>
                      <a:fillRect/>
                    </a:stretch>
                  </pic:blipFill>
                  <pic:spPr bwMode="auto">
                    <a:xfrm>
                      <a:off x="0" y="0"/>
                      <a:ext cx="2769870" cy="1978660"/>
                    </a:xfrm>
                    <a:prstGeom prst="rect">
                      <a:avLst/>
                    </a:prstGeom>
                    <a:noFill/>
                    <a:ln w="9525">
                      <a:noFill/>
                      <a:miter lim="800000"/>
                      <a:headEnd/>
                      <a:tailEnd/>
                    </a:ln>
                  </pic:spPr>
                </pic:pic>
              </a:graphicData>
            </a:graphic>
          </wp:inline>
        </w:drawing>
      </w:r>
    </w:p>
    <w:p w14:paraId="6831586E" w14:textId="3242669B" w:rsidR="00B22E5B" w:rsidRDefault="00B22E5B" w:rsidP="00951C48">
      <w:pPr>
        <w:pStyle w:val="NormalWeb"/>
        <w:spacing w:before="0" w:beforeAutospacing="0" w:after="0" w:afterAutospacing="0" w:line="480" w:lineRule="auto"/>
        <w:jc w:val="center"/>
        <w:rPr>
          <w:rFonts w:asciiTheme="minorHAnsi" w:hAnsiTheme="minorHAnsi"/>
          <w:b/>
          <w:sz w:val="22"/>
          <w:szCs w:val="22"/>
        </w:rPr>
      </w:pPr>
      <w:r>
        <w:rPr>
          <w:rFonts w:asciiTheme="minorHAnsi" w:hAnsiTheme="minorHAnsi"/>
          <w:b/>
          <w:sz w:val="22"/>
          <w:szCs w:val="22"/>
        </w:rPr>
        <w:t>Figure 3: Alternate View of Near-Electrode Construction</w:t>
      </w:r>
    </w:p>
    <w:p w14:paraId="674E1BAA" w14:textId="57C1B8AC" w:rsidR="00431C1F" w:rsidRPr="00961449" w:rsidRDefault="00961449" w:rsidP="00951C48">
      <w:pPr>
        <w:pStyle w:val="NormalWeb"/>
        <w:spacing w:before="0" w:beforeAutospacing="0" w:after="0" w:afterAutospacing="0" w:line="480" w:lineRule="auto"/>
        <w:rPr>
          <w:rFonts w:asciiTheme="minorHAnsi" w:hAnsiTheme="minorHAnsi"/>
          <w:sz w:val="22"/>
          <w:szCs w:val="22"/>
        </w:rPr>
      </w:pPr>
      <w:r>
        <w:rPr>
          <w:rFonts w:asciiTheme="minorHAnsi" w:hAnsiTheme="minorHAnsi"/>
          <w:sz w:val="22"/>
          <w:szCs w:val="22"/>
        </w:rPr>
        <w:t>The lab-scale operation used in this study is shown in Figure 4 with an explanation of labeled pieces.</w:t>
      </w:r>
    </w:p>
    <w:p w14:paraId="3DD67447" w14:textId="6737A0CE" w:rsidR="00961449" w:rsidRDefault="00431C1F" w:rsidP="00055CFD">
      <w:pPr>
        <w:pStyle w:val="NormalWeb"/>
        <w:spacing w:line="480" w:lineRule="auto"/>
        <w:rPr>
          <w:rFonts w:asciiTheme="minorHAnsi" w:hAnsiTheme="minorHAnsi"/>
          <w:sz w:val="22"/>
          <w:szCs w:val="22"/>
        </w:rPr>
      </w:pPr>
      <w:r>
        <w:rPr>
          <w:rFonts w:asciiTheme="minorHAnsi" w:hAnsiTheme="minorHAnsi"/>
          <w:noProof/>
          <w:sz w:val="22"/>
          <w:szCs w:val="22"/>
        </w:rPr>
        <w:drawing>
          <wp:inline distT="0" distB="0" distL="0" distR="0" wp14:anchorId="0D23BB1D" wp14:editId="2CDC1695">
            <wp:extent cx="5410200" cy="4050030"/>
            <wp:effectExtent l="0" t="0" r="0" b="762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labeled VRB setup.jpg"/>
                    <pic:cNvPicPr/>
                  </pic:nvPicPr>
                  <pic:blipFill rotWithShape="1">
                    <a:blip r:embed="rId12" cstate="print">
                      <a:extLst>
                        <a:ext uri="{28A0092B-C50C-407E-A947-70E740481C1C}">
                          <a14:useLocalDpi xmlns:a14="http://schemas.microsoft.com/office/drawing/2010/main" val="0"/>
                        </a:ext>
                      </a:extLst>
                    </a:blip>
                    <a:srcRect l="4487" t="5972" r="4487" b="5849"/>
                    <a:stretch/>
                  </pic:blipFill>
                  <pic:spPr bwMode="auto">
                    <a:xfrm>
                      <a:off x="0" y="0"/>
                      <a:ext cx="5410200" cy="4050030"/>
                    </a:xfrm>
                    <a:prstGeom prst="rect">
                      <a:avLst/>
                    </a:prstGeom>
                    <a:ln>
                      <a:noFill/>
                    </a:ln>
                    <a:extLst>
                      <a:ext uri="{53640926-AAD7-44D8-BBD7-CCE9431645EC}">
                        <a14:shadowObscured xmlns:a14="http://schemas.microsoft.com/office/drawing/2010/main"/>
                      </a:ext>
                    </a:extLst>
                  </pic:spPr>
                </pic:pic>
              </a:graphicData>
            </a:graphic>
          </wp:inline>
        </w:drawing>
      </w:r>
    </w:p>
    <w:p w14:paraId="5C20F6F2" w14:textId="29247921" w:rsidR="00961449" w:rsidRPr="00961449" w:rsidRDefault="00961449" w:rsidP="00BD36A8">
      <w:pPr>
        <w:pStyle w:val="NormalWeb"/>
        <w:spacing w:before="0" w:beforeAutospacing="0" w:after="0" w:afterAutospacing="0" w:line="480" w:lineRule="auto"/>
        <w:jc w:val="center"/>
        <w:rPr>
          <w:rFonts w:asciiTheme="minorHAnsi" w:hAnsiTheme="minorHAnsi"/>
          <w:sz w:val="22"/>
          <w:szCs w:val="22"/>
        </w:rPr>
      </w:pPr>
      <w:r>
        <w:rPr>
          <w:rFonts w:asciiTheme="minorHAnsi" w:hAnsiTheme="minorHAnsi"/>
          <w:b/>
          <w:sz w:val="22"/>
          <w:szCs w:val="22"/>
        </w:rPr>
        <w:t>Figure 4: Laboratory Setup</w:t>
      </w:r>
      <w:r>
        <w:rPr>
          <w:rFonts w:asciiTheme="minorHAnsi" w:hAnsiTheme="minorHAnsi"/>
          <w:sz w:val="22"/>
          <w:szCs w:val="22"/>
        </w:rPr>
        <w:t xml:space="preserve">. (1) </w:t>
      </w:r>
      <w:proofErr w:type="spellStart"/>
      <w:r>
        <w:rPr>
          <w:rFonts w:asciiTheme="minorHAnsi" w:hAnsiTheme="minorHAnsi"/>
          <w:sz w:val="22"/>
          <w:szCs w:val="22"/>
        </w:rPr>
        <w:t>Potentiostat</w:t>
      </w:r>
      <w:proofErr w:type="spellEnd"/>
      <w:r>
        <w:rPr>
          <w:rFonts w:asciiTheme="minorHAnsi" w:hAnsiTheme="minorHAnsi"/>
          <w:sz w:val="22"/>
          <w:szCs w:val="22"/>
        </w:rPr>
        <w:t xml:space="preserve"> leads (2) Battery hardware (3) DHE leads (4) Peristaltic pump (5) Electrolyte </w:t>
      </w:r>
      <w:proofErr w:type="spellStart"/>
      <w:r>
        <w:rPr>
          <w:rFonts w:asciiTheme="minorHAnsi" w:hAnsiTheme="minorHAnsi"/>
          <w:sz w:val="22"/>
          <w:szCs w:val="22"/>
        </w:rPr>
        <w:t>resovoirs</w:t>
      </w:r>
      <w:proofErr w:type="spellEnd"/>
    </w:p>
    <w:p w14:paraId="2C791C75" w14:textId="2D5EFB14" w:rsidR="00247C56" w:rsidRPr="00951C48" w:rsidRDefault="00247C56" w:rsidP="00951C48">
      <w:pPr>
        <w:pStyle w:val="NormalWeb"/>
        <w:spacing w:before="0" w:beforeAutospacing="0" w:after="0" w:afterAutospacing="0" w:line="480" w:lineRule="auto"/>
        <w:rPr>
          <w:rFonts w:asciiTheme="minorHAnsi" w:hAnsiTheme="minorHAnsi"/>
          <w:b/>
          <w:sz w:val="22"/>
          <w:szCs w:val="22"/>
        </w:rPr>
      </w:pPr>
      <w:r w:rsidRPr="00951C48">
        <w:rPr>
          <w:rFonts w:asciiTheme="minorHAnsi" w:hAnsiTheme="minorHAnsi"/>
          <w:b/>
          <w:sz w:val="22"/>
          <w:szCs w:val="22"/>
        </w:rPr>
        <w:lastRenderedPageBreak/>
        <w:t>2.3 State of the Field</w:t>
      </w:r>
    </w:p>
    <w:p w14:paraId="3D4579D0" w14:textId="1CD751AB" w:rsidR="00247C56" w:rsidRDefault="00247C56" w:rsidP="00BD36A8">
      <w:pPr>
        <w:pStyle w:val="NormalWeb"/>
        <w:spacing w:before="0" w:beforeAutospacing="0" w:after="0" w:afterAutospacing="0" w:line="480" w:lineRule="auto"/>
        <w:ind w:firstLine="720"/>
        <w:rPr>
          <w:rFonts w:asciiTheme="minorHAnsi" w:hAnsiTheme="minorHAnsi"/>
          <w:sz w:val="22"/>
          <w:szCs w:val="22"/>
        </w:rPr>
      </w:pPr>
      <w:r>
        <w:rPr>
          <w:rFonts w:asciiTheme="minorHAnsi" w:hAnsiTheme="minorHAnsi"/>
          <w:sz w:val="22"/>
          <w:szCs w:val="22"/>
        </w:rPr>
        <w:t>Fully charged VRBs have an open circuit potential of approximately 1.6 volts. The specific energy density of the</w:t>
      </w:r>
      <w:r w:rsidR="00831F51">
        <w:rPr>
          <w:rFonts w:asciiTheme="minorHAnsi" w:hAnsiTheme="minorHAnsi"/>
          <w:sz w:val="22"/>
          <w:szCs w:val="22"/>
        </w:rPr>
        <w:t xml:space="preserve"> traditional pure sulf</w:t>
      </w:r>
      <w:r w:rsidR="00B153CD">
        <w:rPr>
          <w:rFonts w:asciiTheme="minorHAnsi" w:hAnsiTheme="minorHAnsi"/>
          <w:sz w:val="22"/>
          <w:szCs w:val="22"/>
        </w:rPr>
        <w:t>ate</w:t>
      </w:r>
      <w:r w:rsidR="00BD36A8">
        <w:rPr>
          <w:rFonts w:asciiTheme="minorHAnsi" w:hAnsiTheme="minorHAnsi"/>
          <w:sz w:val="22"/>
          <w:szCs w:val="22"/>
        </w:rPr>
        <w:t xml:space="preserve"> electrolyte</w:t>
      </w:r>
      <w:r>
        <w:rPr>
          <w:rFonts w:asciiTheme="minorHAnsi" w:hAnsiTheme="minorHAnsi"/>
          <w:sz w:val="22"/>
          <w:szCs w:val="22"/>
        </w:rPr>
        <w:t xml:space="preserve"> system is 25-35 </w:t>
      </w:r>
      <w:proofErr w:type="spellStart"/>
      <w:r>
        <w:rPr>
          <w:rFonts w:asciiTheme="minorHAnsi" w:hAnsiTheme="minorHAnsi"/>
          <w:sz w:val="22"/>
          <w:szCs w:val="22"/>
        </w:rPr>
        <w:t>Wh</w:t>
      </w:r>
      <w:proofErr w:type="spellEnd"/>
      <w:r>
        <w:rPr>
          <w:rFonts w:asciiTheme="minorHAnsi" w:hAnsiTheme="minorHAnsi"/>
          <w:sz w:val="22"/>
          <w:szCs w:val="22"/>
        </w:rPr>
        <w:t xml:space="preserve"> kg</w:t>
      </w:r>
      <w:r>
        <w:rPr>
          <w:rFonts w:asciiTheme="minorHAnsi" w:hAnsiTheme="minorHAnsi"/>
          <w:sz w:val="22"/>
          <w:szCs w:val="22"/>
          <w:vertAlign w:val="superscript"/>
        </w:rPr>
        <w:t>-1</w:t>
      </w:r>
      <w:r>
        <w:rPr>
          <w:rFonts w:asciiTheme="minorHAnsi" w:hAnsiTheme="minorHAnsi"/>
          <w:sz w:val="22"/>
          <w:szCs w:val="22"/>
        </w:rPr>
        <w:t>, which is limited by the solubility of vanadium.</w:t>
      </w:r>
      <w:r>
        <w:rPr>
          <w:rFonts w:asciiTheme="minorHAnsi" w:hAnsiTheme="minorHAnsi"/>
          <w:sz w:val="22"/>
          <w:szCs w:val="22"/>
        </w:rPr>
        <w:fldChar w:fldCharType="begin"/>
      </w:r>
      <w:r w:rsidR="00DC6E54">
        <w:rPr>
          <w:rFonts w:asciiTheme="minorHAnsi" w:hAnsiTheme="minorHAnsi"/>
          <w:sz w:val="22"/>
          <w:szCs w:val="22"/>
        </w:rPr>
        <w:instrText xml:space="preserve"> ADDIN ZOTERO_ITEM CSL_CITATION {"citationID":"22apmaa9h2","properties":{"formattedCitation":"{\\rtf \\super 1,7\\nosupersub{}}","plainCitation":"1,7"},"citationItems":[{"id":75,"uris":["http://zotero.org/users/local/rZ3AHC6s/items/B4ASCM9K"],"uri":["http://zotero.org/users/local/rZ3AHC6s/items/B4ASCM9K"],"itemData":{"id":75,"type":"article-journal","title":"Redox flow cells for energy conversion","container-title":"Journal of Power Sources","page":"716-732","volume":"160","issue":"1","abstract":"Energy storage technologies provide an alternative solution to the problem of balancing power generation and power consumption. Redox flow cells are designed to convert and store electrical energy into chemical energy and release it in a controlled fashion when required. Many redox couples and cell designs have being evaluated. In this paper, redox flow systems are compared in the light of characteristics such as open circuit potential, power density, energy efficiency and charge-discharge behaviour. The key advantages and disadvantages of redox flow cells are considered while areas for further research are highlighted.","DOI":"10.1016/j.jpowsour.2006.02.095","ISSN":"0378-7753","journalAbbreviation":"Journal of Power Sources","author":[{"family":"Ponce de León","given":"C."},{"family":"Frías-Ferrer","given":"A."},{"family":"González-García","given":"J."},{"family":"Szánto","given":"D.A."},{"family":"Walsh","given":"F.C."}],"issued":{"date-parts":[["2006",9,29]]}}},{"id":43,"uris":["http://zotero.org/users/local/rZ3AHC6s/items/62FH8WB8"],"uri":["http://zotero.org/users/local/rZ3AHC6s/items/62FH8WB8"],"itemData":{"id":43,"type":"article-journal","title":"A Stable Vanadium Redox-Flow Battery with High Energy Density for Large-Scale Energy Storage","container-title":"Advanced Energy Materials","page":"394-400","volume":"1","issue":"3","DOI":"10.1002/aenm.201100008","ISSN":"1614-6840","journalAbbreviation":"Adv. Energy Mater.","author":[{"family":"Li","given":"Liyu"},{"family":"Kim","given":"Soowhan"},{"family":"Wang","given":"Wei"},{"family":"Vijayakumar","given":"M."},{"family":"Nie","given":"Zimin"},{"family":"Chen","given":"Baowei"},{"family":"Zhang","given":"Jianlu"},{"family":"Xia","given":"Guanguang"},{"family":"Hu","given":"Jianzhi"},{"family":"Graff","given":"Gordon"},{"family":"Liu","given":"Jun"},{"family":"Yang","given":"Zhenguo"}],"issued":{"date-parts":[["2011"]]}}}],"schema":"https://github.com/citation-style-language/schema/raw/master/csl-citation.json"} </w:instrText>
      </w:r>
      <w:r>
        <w:rPr>
          <w:rFonts w:asciiTheme="minorHAnsi" w:hAnsiTheme="minorHAnsi"/>
          <w:sz w:val="22"/>
          <w:szCs w:val="22"/>
        </w:rPr>
        <w:fldChar w:fldCharType="separate"/>
      </w:r>
      <w:r w:rsidR="00DC6E54" w:rsidRPr="00DC6E54">
        <w:rPr>
          <w:rFonts w:ascii="Calibri" w:hAnsi="Calibri"/>
          <w:sz w:val="22"/>
          <w:vertAlign w:val="superscript"/>
        </w:rPr>
        <w:t>1,7</w:t>
      </w:r>
      <w:r>
        <w:rPr>
          <w:rFonts w:asciiTheme="minorHAnsi" w:hAnsiTheme="minorHAnsi"/>
          <w:sz w:val="22"/>
          <w:szCs w:val="22"/>
        </w:rPr>
        <w:fldChar w:fldCharType="end"/>
      </w:r>
      <w:r w:rsidR="00B153CD">
        <w:rPr>
          <w:rFonts w:asciiTheme="minorHAnsi" w:hAnsiTheme="minorHAnsi"/>
          <w:sz w:val="22"/>
          <w:szCs w:val="22"/>
        </w:rPr>
        <w:t xml:space="preserve"> The system has a successful temperature operating window of 10°C to 40°C.</w:t>
      </w:r>
      <w:r w:rsidR="00B153CD">
        <w:rPr>
          <w:rFonts w:asciiTheme="minorHAnsi" w:hAnsiTheme="minorHAnsi"/>
          <w:sz w:val="22"/>
          <w:szCs w:val="22"/>
        </w:rPr>
        <w:fldChar w:fldCharType="begin"/>
      </w:r>
      <w:r w:rsidR="00B153CD">
        <w:rPr>
          <w:rFonts w:asciiTheme="minorHAnsi" w:hAnsiTheme="minorHAnsi"/>
          <w:sz w:val="22"/>
          <w:szCs w:val="22"/>
        </w:rPr>
        <w:instrText xml:space="preserve"> ADDIN ZOTERO_ITEM CSL_CITATION {"citationID":"hdau7d16p","properties":{"formattedCitation":"{\\rtf \\super 3\\nosupersub{}}","plainCitation":"3"},"citationItems":[{"id":46,"uris":["http://zotero.org/users/local/rZ3AHC6s/items/HPMVXCFW"],"uri":["http://zotero.org/users/local/rZ3AHC6s/items/HPMVXCFW"],"itemData":{"id":46,"type":"article-journal","title":"Progress in Flow Battery Research and Development","container-title":"Journal of The Electrochemical Society","page":"R55-R79","volume":"158","issue":"8","abstract":"The past few decades have shown a rapid and continuous exhaustion of the available energy resources which may lead to serious energy global crises. Researchers have been focusing on developing new and renewable energy resources to meet the increasing fuel demand and reduce greenhouse gas emissions. A surge of research effort is also being directed towards replacing fossil fuel based vehicles with hybrid and electric alternatives. Energy storage is now seen as a critical element in future “smart grid and electric vehicle” applications. Electrochemical energy storage systems offer the best combination of efficiency, cost and flexibility, with redox flow battery systems currently leading the way in this aspect. In this work, a panoramic overview is presented for the various redox flow battery systems and their hybrid alternatives. Relevant published work is reported and critically discussed. A comprehensive study of the available technologies is conducted in terms of technical aspects as well as economic and environmental consequences. Some of the flow battery limitations and technical challenges are also discussed and a range of further research opportunities are presented. Of the flow battery technologies that have been investigated, the all-vanadium redox flow battery has received the most attention and has shown most promise in various pre-commercial to commercial stationary applications to date, while new developments in hybrid redox fuel cells are promising to lead the way for future applications in mechanically and electrically “refuelable” electric vehicles.","DOI":"10.1149/1.3599565","journalAbbreviation":"Journal of The Electrochemical Society","author":[{"family":"Skyllas-Kazacos","given":"M."},{"family":"Chakrabarti","given":"M. H."},{"family":"Hajimolana","given":"S. A."},{"family":"Mjalli","given":"F. S."},{"family":"Saleem","given":"M."}],"issued":{"date-parts":[["2011",8,1]]}}}],"schema":"https://github.com/citation-style-language/schema/raw/master/csl-citation.json"} </w:instrText>
      </w:r>
      <w:r w:rsidR="00B153CD">
        <w:rPr>
          <w:rFonts w:asciiTheme="minorHAnsi" w:hAnsiTheme="minorHAnsi"/>
          <w:sz w:val="22"/>
          <w:szCs w:val="22"/>
        </w:rPr>
        <w:fldChar w:fldCharType="separate"/>
      </w:r>
      <w:r w:rsidR="00B153CD" w:rsidRPr="00B153CD">
        <w:rPr>
          <w:rFonts w:ascii="Calibri" w:hAnsi="Calibri"/>
          <w:sz w:val="22"/>
          <w:vertAlign w:val="superscript"/>
        </w:rPr>
        <w:t>3</w:t>
      </w:r>
      <w:r w:rsidR="00B153CD">
        <w:rPr>
          <w:rFonts w:asciiTheme="minorHAnsi" w:hAnsiTheme="minorHAnsi"/>
          <w:sz w:val="22"/>
          <w:szCs w:val="22"/>
        </w:rPr>
        <w:fldChar w:fldCharType="end"/>
      </w:r>
      <w:r w:rsidR="00B153CD">
        <w:rPr>
          <w:rFonts w:asciiTheme="minorHAnsi" w:hAnsiTheme="minorHAnsi"/>
          <w:sz w:val="22"/>
          <w:szCs w:val="22"/>
        </w:rPr>
        <w:t xml:space="preserve"> Peak power densities of 767 </w:t>
      </w:r>
      <w:proofErr w:type="spellStart"/>
      <w:r w:rsidR="00B153CD">
        <w:rPr>
          <w:rFonts w:asciiTheme="minorHAnsi" w:hAnsiTheme="minorHAnsi"/>
          <w:sz w:val="22"/>
          <w:szCs w:val="22"/>
        </w:rPr>
        <w:t>mW</w:t>
      </w:r>
      <w:proofErr w:type="spellEnd"/>
      <w:r w:rsidR="00B153CD">
        <w:rPr>
          <w:rFonts w:asciiTheme="minorHAnsi" w:hAnsiTheme="minorHAnsi"/>
          <w:sz w:val="22"/>
          <w:szCs w:val="22"/>
        </w:rPr>
        <w:t xml:space="preserve"> cm</w:t>
      </w:r>
      <w:r w:rsidR="00B153CD">
        <w:rPr>
          <w:rFonts w:asciiTheme="minorHAnsi" w:hAnsiTheme="minorHAnsi"/>
          <w:sz w:val="22"/>
          <w:szCs w:val="22"/>
          <w:vertAlign w:val="superscript"/>
        </w:rPr>
        <w:t>-2</w:t>
      </w:r>
      <w:r w:rsidR="00B153CD">
        <w:rPr>
          <w:rFonts w:asciiTheme="minorHAnsi" w:hAnsiTheme="minorHAnsi"/>
          <w:sz w:val="22"/>
          <w:szCs w:val="22"/>
        </w:rPr>
        <w:t xml:space="preserve"> have been achieved in zero-gap architecture cells with serpentine flow fields and optimized carbon paper electrode and membrane selection.</w:t>
      </w:r>
      <w:r w:rsidR="00B153CD">
        <w:rPr>
          <w:rFonts w:asciiTheme="minorHAnsi" w:hAnsiTheme="minorHAnsi"/>
          <w:sz w:val="22"/>
          <w:szCs w:val="22"/>
        </w:rPr>
        <w:fldChar w:fldCharType="begin"/>
      </w:r>
      <w:r w:rsidR="00DC6E54">
        <w:rPr>
          <w:rFonts w:asciiTheme="minorHAnsi" w:hAnsiTheme="minorHAnsi"/>
          <w:sz w:val="22"/>
          <w:szCs w:val="22"/>
        </w:rPr>
        <w:instrText xml:space="preserve"> ADDIN ZOTERO_ITEM CSL_CITATION {"citationID":"82sapebm7","properties":{"formattedCitation":"{\\rtf \\super 8\\nosupersub{}}","plainCitation":"8"},"citationItems":[{"id":134,"uris":["http://zotero.org/users/local/rZ3AHC6s/items/U77GMZU2"],"uri":["http://zotero.org/users/local/rZ3AHC6s/items/U77GMZU2"],"itemData":{"id":134,"type":"article-journal","title":"High Performance Vanadium Redox Flow Batteries with Optimized Electrode Configuration and Membrane Selection","container-title":"Journal of The Electrochemical Society","page":"A1246-A1252","volume":"159","issue":"8","abstract":"The performance of a vanadium flow battery with no-gap architecture was significantly improved via several techniques. Specifically, gains arising from variation of the overall electrode thickness, membrane thickness, and electrode thermal treatment were studied. There is a trade-off between apparent kinetic losses, mass transfer losses, and ionic resistance as the electrode thickness is varied at the anode and cathode. Oxidative thermal pretreatment of the carbon paper electrode increased the peak power density by 16%. Results of the pretreatment in air showed greater improvement in peak power density compared to that obtained with pretreatment in an argon environment. The highest peak power density in a VRB yet published to the author's knowledge was achieved at a value of 767 mW cm−2 with optimized membrane and electrode engineering.","DOI":"10.1149/2.051208jes","journalAbbreviation":"Journal of The Electrochemical Society","author":[{"family":"Liu","given":"Q. H."},{"family":"Grim","given":"G. M."},{"family":"Papandrew","given":"A. B."},{"family":"Turhan","given":"A."},{"family":"Zawodzinski","given":"T. A."},{"family":"Mench","given":"M. M."}],"issued":{"date-parts":[["2012",1,1]]}}}],"schema":"https://github.com/citation-style-language/schema/raw/master/csl-citation.json"} </w:instrText>
      </w:r>
      <w:r w:rsidR="00B153CD">
        <w:rPr>
          <w:rFonts w:asciiTheme="minorHAnsi" w:hAnsiTheme="minorHAnsi"/>
          <w:sz w:val="22"/>
          <w:szCs w:val="22"/>
        </w:rPr>
        <w:fldChar w:fldCharType="separate"/>
      </w:r>
      <w:r w:rsidR="00DC6E54" w:rsidRPr="00DC6E54">
        <w:rPr>
          <w:rFonts w:ascii="Calibri" w:hAnsi="Calibri"/>
          <w:sz w:val="22"/>
          <w:vertAlign w:val="superscript"/>
        </w:rPr>
        <w:t>8</w:t>
      </w:r>
      <w:r w:rsidR="00B153CD">
        <w:rPr>
          <w:rFonts w:asciiTheme="minorHAnsi" w:hAnsiTheme="minorHAnsi"/>
          <w:sz w:val="22"/>
          <w:szCs w:val="22"/>
        </w:rPr>
        <w:fldChar w:fldCharType="end"/>
      </w:r>
      <w:r w:rsidR="00B153CD">
        <w:rPr>
          <w:rFonts w:asciiTheme="minorHAnsi" w:hAnsiTheme="minorHAnsi"/>
          <w:sz w:val="22"/>
          <w:szCs w:val="22"/>
        </w:rPr>
        <w:t xml:space="preserve"> For further significant improvement, the limiting processes within the battery must be identified in order to systematically alleviate the issues. </w:t>
      </w:r>
    </w:p>
    <w:p w14:paraId="2C31231B" w14:textId="3E7598BD" w:rsidR="00831F51" w:rsidRDefault="00B153CD" w:rsidP="00BD36A8">
      <w:pPr>
        <w:pStyle w:val="NormalWeb"/>
        <w:spacing w:before="0" w:beforeAutospacing="0" w:after="0" w:afterAutospacing="0" w:line="480" w:lineRule="auto"/>
        <w:ind w:firstLine="720"/>
        <w:rPr>
          <w:rFonts w:asciiTheme="minorHAnsi" w:hAnsiTheme="minorHAnsi"/>
          <w:sz w:val="22"/>
          <w:szCs w:val="22"/>
        </w:rPr>
      </w:pPr>
      <w:r>
        <w:rPr>
          <w:rFonts w:asciiTheme="minorHAnsi" w:hAnsiTheme="minorHAnsi"/>
          <w:sz w:val="22"/>
          <w:szCs w:val="22"/>
        </w:rPr>
        <w:t>Polarization curve analysis is common in the assessment of fuel cell performance but was not used as a flow battery performance analysis tool until recently.</w:t>
      </w:r>
      <w:r w:rsidR="00831F51">
        <w:rPr>
          <w:rFonts w:asciiTheme="minorHAnsi" w:hAnsiTheme="minorHAnsi"/>
          <w:sz w:val="22"/>
          <w:szCs w:val="22"/>
        </w:rPr>
        <w:t xml:space="preserve"> The primary losses in VRBs were identified as kinetic activation polarization, </w:t>
      </w:r>
      <w:proofErr w:type="spellStart"/>
      <w:r w:rsidR="00831F51">
        <w:rPr>
          <w:rFonts w:asciiTheme="minorHAnsi" w:hAnsiTheme="minorHAnsi"/>
          <w:sz w:val="22"/>
          <w:szCs w:val="22"/>
        </w:rPr>
        <w:t>iR</w:t>
      </w:r>
      <w:proofErr w:type="spellEnd"/>
      <w:r w:rsidR="00831F51">
        <w:rPr>
          <w:rFonts w:asciiTheme="minorHAnsi" w:hAnsiTheme="minorHAnsi"/>
          <w:sz w:val="22"/>
          <w:szCs w:val="22"/>
        </w:rPr>
        <w:t xml:space="preserve"> (</w:t>
      </w:r>
      <w:proofErr w:type="spellStart"/>
      <w:r w:rsidR="00831F51">
        <w:rPr>
          <w:rFonts w:asciiTheme="minorHAnsi" w:hAnsiTheme="minorHAnsi"/>
          <w:sz w:val="22"/>
          <w:szCs w:val="22"/>
        </w:rPr>
        <w:t>ohmic</w:t>
      </w:r>
      <w:proofErr w:type="spellEnd"/>
      <w:r w:rsidR="00831F51">
        <w:rPr>
          <w:rFonts w:asciiTheme="minorHAnsi" w:hAnsiTheme="minorHAnsi"/>
          <w:sz w:val="22"/>
          <w:szCs w:val="22"/>
        </w:rPr>
        <w:t xml:space="preserve">) losses, and mass transport limitations. Contact resistance between cell components was determined to be the primary component of </w:t>
      </w:r>
      <w:proofErr w:type="spellStart"/>
      <w:r w:rsidR="00831F51">
        <w:rPr>
          <w:rFonts w:asciiTheme="minorHAnsi" w:hAnsiTheme="minorHAnsi"/>
          <w:sz w:val="22"/>
          <w:szCs w:val="22"/>
        </w:rPr>
        <w:t>iR</w:t>
      </w:r>
      <w:proofErr w:type="spellEnd"/>
      <w:r w:rsidR="00831F51">
        <w:rPr>
          <w:rFonts w:asciiTheme="minorHAnsi" w:hAnsiTheme="minorHAnsi"/>
          <w:sz w:val="22"/>
          <w:szCs w:val="22"/>
        </w:rPr>
        <w:t xml:space="preserve"> losses, and these losses could be decrease</w:t>
      </w:r>
      <w:r w:rsidR="00BD36A8">
        <w:rPr>
          <w:rFonts w:asciiTheme="minorHAnsi" w:hAnsiTheme="minorHAnsi"/>
          <w:sz w:val="22"/>
          <w:szCs w:val="22"/>
        </w:rPr>
        <w:t>d</w:t>
      </w:r>
      <w:r w:rsidR="00831F51">
        <w:rPr>
          <w:rFonts w:asciiTheme="minorHAnsi" w:hAnsiTheme="minorHAnsi"/>
          <w:sz w:val="22"/>
          <w:szCs w:val="22"/>
        </w:rPr>
        <w:t xml:space="preserve"> by increasing the compression of the cell to ensure good contact between components. Increasing the flow rate of electrolyte shifted mass transport control to successively lower cell voltages.</w:t>
      </w:r>
      <w:r w:rsidR="00831F51">
        <w:rPr>
          <w:rFonts w:asciiTheme="minorHAnsi" w:hAnsiTheme="minorHAnsi"/>
          <w:sz w:val="22"/>
          <w:szCs w:val="22"/>
        </w:rPr>
        <w:fldChar w:fldCharType="begin"/>
      </w:r>
      <w:r w:rsidR="00DC6E54">
        <w:rPr>
          <w:rFonts w:asciiTheme="minorHAnsi" w:hAnsiTheme="minorHAnsi"/>
          <w:sz w:val="22"/>
          <w:szCs w:val="22"/>
        </w:rPr>
        <w:instrText xml:space="preserve"> ADDIN ZOTERO_ITEM CSL_CITATION {"citationID":"2c5qmq81t5","properties":{"formattedCitation":"{\\rtf \\super 9\\nosupersub{}}","plainCitation":"9"},"citationItems":[{"id":53,"uris":["http://zotero.org/users/local/rZ3AHC6s/items/XD4GM5QN"],"uri":["http://zotero.org/users/local/rZ3AHC6s/items/XD4GM5QN"],"itemData":{"id":53,"type":"article-journal","title":"Polarization curve analysis of all-vanadium redox flow batteries.","container-title":"Journal of Applied Electrochemistry","page":"1175-1182","volume":"41","issue":"10","source":"EBSCOhost","archive":"aph","abstract":"We outline the analysis of performance of redox flow batteries (RFBs) using polarization curves. This method allows the researcher immediate access to sources of performance losses in flow batteries operating at steady state. We provide guidance on 'best practices' for use of this tool, illustrated using examples from single cells operating as vanadium redox batteries. [ABSTRACT FROM AUTHOR]","ISSN":"0021891X","journalAbbreviation":"Journal of Applied Electrochemistry","author":[{"family":"Aaron","given":"Doug"},{"family":"Tang","given":"Zhijiang"},{"family":"Papandrew","given":"Alexander"},{"family":"Zawodzinski","given":"Thomas"}],"issued":{"date-parts":[["2011",10]]}}}],"schema":"https://github.com/citation-style-language/schema/raw/master/csl-citation.json"} </w:instrText>
      </w:r>
      <w:r w:rsidR="00831F51">
        <w:rPr>
          <w:rFonts w:asciiTheme="minorHAnsi" w:hAnsiTheme="minorHAnsi"/>
          <w:sz w:val="22"/>
          <w:szCs w:val="22"/>
        </w:rPr>
        <w:fldChar w:fldCharType="separate"/>
      </w:r>
      <w:r w:rsidR="00DC6E54" w:rsidRPr="00DC6E54">
        <w:rPr>
          <w:rFonts w:ascii="Calibri" w:hAnsi="Calibri"/>
          <w:sz w:val="22"/>
          <w:vertAlign w:val="superscript"/>
        </w:rPr>
        <w:t>9</w:t>
      </w:r>
      <w:r w:rsidR="00831F51">
        <w:rPr>
          <w:rFonts w:asciiTheme="minorHAnsi" w:hAnsiTheme="minorHAnsi"/>
          <w:sz w:val="22"/>
          <w:szCs w:val="22"/>
        </w:rPr>
        <w:fldChar w:fldCharType="end"/>
      </w:r>
      <w:r w:rsidR="00831F51">
        <w:rPr>
          <w:rFonts w:asciiTheme="minorHAnsi" w:hAnsiTheme="minorHAnsi"/>
          <w:sz w:val="22"/>
          <w:szCs w:val="22"/>
        </w:rPr>
        <w:t xml:space="preserve"> Thus, the final loss to be assigned was the source of the kinetic loss in the system.</w:t>
      </w:r>
    </w:p>
    <w:p w14:paraId="1239002B" w14:textId="6289FE00" w:rsidR="00B153CD" w:rsidRDefault="00831F51" w:rsidP="00BD36A8">
      <w:pPr>
        <w:pStyle w:val="NormalWeb"/>
        <w:spacing w:before="0" w:beforeAutospacing="0" w:after="0" w:afterAutospacing="0" w:line="480" w:lineRule="auto"/>
        <w:ind w:firstLine="720"/>
        <w:rPr>
          <w:rFonts w:asciiTheme="minorHAnsi" w:hAnsiTheme="minorHAnsi"/>
          <w:sz w:val="22"/>
          <w:szCs w:val="22"/>
        </w:rPr>
      </w:pPr>
      <w:r>
        <w:rPr>
          <w:rFonts w:asciiTheme="minorHAnsi" w:hAnsiTheme="minorHAnsi"/>
          <w:sz w:val="22"/>
          <w:szCs w:val="22"/>
        </w:rPr>
        <w:t>Individual electrode limitations cannot be assessed without the inclusi</w:t>
      </w:r>
      <w:r w:rsidR="00BD36A8">
        <w:rPr>
          <w:rFonts w:asciiTheme="minorHAnsi" w:hAnsiTheme="minorHAnsi"/>
          <w:sz w:val="22"/>
          <w:szCs w:val="22"/>
        </w:rPr>
        <w:t>on of a reference electrode in</w:t>
      </w:r>
      <w:r>
        <w:rPr>
          <w:rFonts w:asciiTheme="minorHAnsi" w:hAnsiTheme="minorHAnsi"/>
          <w:sz w:val="22"/>
          <w:szCs w:val="22"/>
        </w:rPr>
        <w:t xml:space="preserve"> the system. However</w:t>
      </w:r>
      <w:r w:rsidR="00BD36A8">
        <w:rPr>
          <w:rFonts w:asciiTheme="minorHAnsi" w:hAnsiTheme="minorHAnsi"/>
          <w:sz w:val="22"/>
          <w:szCs w:val="22"/>
        </w:rPr>
        <w:t>, the no gap architecture of</w:t>
      </w:r>
      <w:r>
        <w:rPr>
          <w:rFonts w:asciiTheme="minorHAnsi" w:hAnsiTheme="minorHAnsi"/>
          <w:sz w:val="22"/>
          <w:szCs w:val="22"/>
        </w:rPr>
        <w:t xml:space="preserve"> VRB cells inhibits the inclusion of traditional reference electrodes. A dynamic hydrogen electrode (DHE), composed of two platinum wires attached to a membrane or sandwiched between t</w:t>
      </w:r>
      <w:r w:rsidR="00BD36A8">
        <w:rPr>
          <w:rFonts w:asciiTheme="minorHAnsi" w:hAnsiTheme="minorHAnsi"/>
          <w:sz w:val="22"/>
          <w:szCs w:val="22"/>
        </w:rPr>
        <w:t>w</w:t>
      </w:r>
      <w:r>
        <w:rPr>
          <w:rFonts w:asciiTheme="minorHAnsi" w:hAnsiTheme="minorHAnsi"/>
          <w:sz w:val="22"/>
          <w:szCs w:val="22"/>
        </w:rPr>
        <w:t>o membranes, was connected to a 9V battery to form an in-situ</w:t>
      </w:r>
      <w:r w:rsidRPr="00B153CD">
        <w:rPr>
          <w:rFonts w:asciiTheme="minorHAnsi" w:hAnsiTheme="minorHAnsi"/>
          <w:sz w:val="22"/>
          <w:szCs w:val="22"/>
        </w:rPr>
        <w:t xml:space="preserve"> </w:t>
      </w:r>
      <w:r>
        <w:rPr>
          <w:rFonts w:asciiTheme="minorHAnsi" w:hAnsiTheme="minorHAnsi"/>
          <w:sz w:val="22"/>
          <w:szCs w:val="22"/>
        </w:rPr>
        <w:t>reference electrode.</w:t>
      </w:r>
      <w:r>
        <w:rPr>
          <w:rFonts w:asciiTheme="minorHAnsi" w:hAnsiTheme="minorHAnsi"/>
          <w:sz w:val="22"/>
          <w:szCs w:val="22"/>
        </w:rPr>
        <w:fldChar w:fldCharType="begin"/>
      </w:r>
      <w:r w:rsidR="00DC6E54">
        <w:rPr>
          <w:rFonts w:asciiTheme="minorHAnsi" w:hAnsiTheme="minorHAnsi"/>
          <w:sz w:val="22"/>
          <w:szCs w:val="22"/>
        </w:rPr>
        <w:instrText xml:space="preserve"> ADDIN ZOTERO_ITEM CSL_CITATION {"citationID":"7gi18cjd7","properties":{"formattedCitation":"{\\rtf \\super 10\\nosupersub{}}","plainCitation":"10"},"citationItems":[{"id":83,"uris":["http://zotero.org/users/local/rZ3AHC6s/items/KVD48ERQ"],"uri":["http://zotero.org/users/local/rZ3AHC6s/items/KVD48ERQ"],"itemData":{"id":83,"type":"article-journal","title":"In Situ Single Electrode Studies of an All-Vanadium Redox Flow Battery","container-title":"ECS Transactions","page":"43-51","volume":"41","issue":"23","abstract":"We use polarization curves and a dynamic hydrogen reference electrode (DHE) to study the effects of electrode material and state of charge on all-vanadium redox flow battery (VRB) performance. The current trend in studying these systems is to evaluate new materials or designs based on voltage, charge and power efficiency metrics.  However, such characterization does not allude to which processes may be limiting performance or which electrode dominates performance loss.  At moderate state of charge, the negative electrode dominated cell overpotential at all current densities.  As state of charge increased, the overpotential was dominated less by the negative electrode.  Thicker carbon paper showed better performance while partially wet-proofed carbon paper had a negative impact on performance compared to untreated carbon paper.  Through improvements made to the design and materials, VRB power output increased from 77 mW/cm2 to 404 mW/cm2.","DOI":"10.1149/1.3697453","journalAbbreviation":"ECS Transactions","author":[{"family":"Aaron","given":"Douglas S."},{"family":"Tang","given":"Zhijiang"},{"family":"Lawton","given":"Jamie S."},{"family":"Papandrew","given":"Alexander P."},{"family":"Zawodzinski","given":"Thomas A."}],"issued":{"date-parts":[["2012",5,4]]}}}],"schema":"https://github.com/citation-style-language/schema/raw/master/csl-citation.json"} </w:instrText>
      </w:r>
      <w:r>
        <w:rPr>
          <w:rFonts w:asciiTheme="minorHAnsi" w:hAnsiTheme="minorHAnsi"/>
          <w:sz w:val="22"/>
          <w:szCs w:val="22"/>
        </w:rPr>
        <w:fldChar w:fldCharType="separate"/>
      </w:r>
      <w:r w:rsidR="00DC6E54" w:rsidRPr="00DC6E54">
        <w:rPr>
          <w:rFonts w:ascii="Calibri" w:hAnsi="Calibri"/>
          <w:sz w:val="22"/>
          <w:vertAlign w:val="superscript"/>
        </w:rPr>
        <w:t>10</w:t>
      </w:r>
      <w:r>
        <w:rPr>
          <w:rFonts w:asciiTheme="minorHAnsi" w:hAnsiTheme="minorHAnsi"/>
          <w:sz w:val="22"/>
          <w:szCs w:val="22"/>
        </w:rPr>
        <w:fldChar w:fldCharType="end"/>
      </w:r>
      <w:r>
        <w:rPr>
          <w:rFonts w:asciiTheme="minorHAnsi" w:hAnsiTheme="minorHAnsi"/>
          <w:sz w:val="22"/>
          <w:szCs w:val="22"/>
        </w:rPr>
        <w:t xml:space="preserve"> The final result of this work is the determination that the negative electrode was the limiting process in the battery</w:t>
      </w:r>
      <w:r w:rsidR="00BD36A8">
        <w:rPr>
          <w:rFonts w:asciiTheme="minorHAnsi" w:hAnsiTheme="minorHAnsi"/>
          <w:sz w:val="22"/>
          <w:szCs w:val="22"/>
        </w:rPr>
        <w:t xml:space="preserve"> at approximately fifty-percent state of charge</w:t>
      </w:r>
      <w:r>
        <w:rPr>
          <w:rFonts w:asciiTheme="minorHAnsi" w:hAnsiTheme="minorHAnsi"/>
          <w:sz w:val="22"/>
          <w:szCs w:val="22"/>
        </w:rPr>
        <w:t xml:space="preserve">, contrary to previous </w:t>
      </w:r>
      <w:r>
        <w:rPr>
          <w:rFonts w:asciiTheme="minorHAnsi" w:hAnsiTheme="minorHAnsi"/>
          <w:i/>
          <w:sz w:val="22"/>
          <w:szCs w:val="22"/>
        </w:rPr>
        <w:t>ex-situ</w:t>
      </w:r>
      <w:r>
        <w:rPr>
          <w:rFonts w:asciiTheme="minorHAnsi" w:hAnsiTheme="minorHAnsi"/>
          <w:sz w:val="22"/>
          <w:szCs w:val="22"/>
        </w:rPr>
        <w:t xml:space="preserve"> results found in the literature.</w:t>
      </w:r>
      <w:r>
        <w:rPr>
          <w:rFonts w:asciiTheme="minorHAnsi" w:hAnsiTheme="minorHAnsi"/>
          <w:sz w:val="22"/>
          <w:szCs w:val="22"/>
        </w:rPr>
        <w:fldChar w:fldCharType="begin"/>
      </w:r>
      <w:r w:rsidR="00DC6E54">
        <w:rPr>
          <w:rFonts w:asciiTheme="minorHAnsi" w:hAnsiTheme="minorHAnsi"/>
          <w:sz w:val="22"/>
          <w:szCs w:val="22"/>
        </w:rPr>
        <w:instrText xml:space="preserve"> ADDIN ZOTERO_ITEM CSL_CITATION {"citationID":"1oi8eepc7d","properties":{"formattedCitation":"{\\rtf \\super 5,10\\uc0\\u8211{}12\\nosupersub{}}","plainCitation":"5,10–12"},"citationItems":[{"id":83,"uris":["http://zotero.org/users/local/rZ3AHC6s/items/KVD48ERQ"],"uri":["http://zotero.org/users/local/rZ3AHC6s/items/KVD48ERQ"],"itemData":{"id":83,"type":"article-journal","title":"In Situ Single Electrode Studies of an All-Vanadium Redox Flow Battery","container-title":"ECS Transactions","page":"43-51","volume":"41","issue":"23","abstract":"We use polarization curves and a dynamic hydrogen reference electrode (DHE) to study the effects of electrode material and state of charge on all-vanadium redox flow battery (VRB) performance. The current trend in studying these systems is to evaluate new materials or designs based on voltage, charge and power efficiency metrics.  However, such characterization does not allude to which processes may be limiting performance or which electrode dominates performance loss.  At moderate state of charge, the negative electrode dominated cell overpotential at all current densities.  As state of charge increased, the overpotential was dominated less by the negative electrode.  Thicker carbon paper showed better performance while partially wet-proofed carbon paper had a negative impact on performance compared to untreated carbon paper.  Through improvements made to the design and materials, VRB power output increased from 77 mW/cm2 to 404 mW/cm2.","DOI":"10.1149/1.3697453","journalAbbreviation":"ECS Transactions","author":[{"family":"Aaron","given":"Douglas S."},{"family":"Tang","given":"Zhijiang"},{"family":"Lawton","given":"Jamie S."},{"family":"Papandrew","given":"Alexander P."},{"family":"Zawodzinski","given":"Thomas A."}],"issued":{"date-parts":[["2012",5,4]]}}},{"id":3,"uris":["http://zotero.org/users/local/rZ3AHC6s/items/2XJUVV4J"],"uri":["http://zotero.org/users/local/rZ3AHC6s/items/2XJUVV4J"],"itemData":{"id":3,"type":"article-journal","title":"The vanadium redox-battery: an efficient storage unit for photovoltaic systems","container-title":"Electrochimica Acta","page":"825-831","volume":"47","issue":"5","abstract":"The ‘all vanadium redox flow system’ is a promising candidate for the storage of photovoltaic energy. The reversible cell voltage of 1.3–1.4 V in charged state is well established at various electrode materials in particular carbon based substrate. The kinetics and mechanism were studied for the V2+/V3+ and VO++/VO2+ (V4+/V5+) couples and a one-electron transfer identified as the rate-determining step at smooth surface. The use of activation layers (carbon cloth, felt, etc.) decisively reduced the polarization. Catalysts, which are required for an increase of the reaction rate and the elimination of undesired side reactions, e.g. Ru(O)2 improved the behavior of the positive electrode. The influence of the separator material on mass transfer phenomena (diffusion, migration) and the charge–discharge characteristics were investigated. The requirements to be met as stand alone batteries for the energy supply of users in combination with photovoltaic plants considering the solar irradiation conditions in south Portugal were discussed and the future development goals defined.","DOI":"10.1016/S0013-4686(01)00763-0","ISSN":"0013-4686","journalAbbreviation":"Electrochimica Acta","author":[{"family":"Fabjan","given":"Ch"},{"family":"Garche","given":"J"},{"family":"Harrer","given":"B"},{"family":"Jörissen","given":"L"},{"family":"Kolbeck","given":"C"},{"family":"Philippi","given":"F"},{"family":"Tomazic","given":"G"},{"family":"Wagner","given":"F"}],"issued":{"date-parts":[["2001",12,3]]}}},{"id":40,"uris":["http://zotero.org/users/local/rZ3AHC6s/items/IZZMUAPI"],"uri":["http://zotero.org/users/local/rZ3AHC6s/items/IZZMUAPI"],"itemData":{"id":40,"type":"article-journal","title":"Study of the Mechanism of the Vanadium 4+/5+ Redox Reaction in Acidic Solutions","container-title":"Journal of The Electrochemical Society","page":"A123-A130","volume":"151","issue":"1","abstract":"The mechanism of the vanadium \n\nVO\n\n2\n+\n\n\n/\n\nVO\n\n2\n\n\n+\n\n\n\n\nredox couple has been examined in acidic aqueous solutions. A detailed understanding of this chemistry is of interest for improving and optimizing the performance of vanadium redox-flow batteries, a promising electrochemical electricity storage technology. The vanadium 4+/5+ redox reactions were studied at a rotating disk graphite electrode and polarization curves were obtained in sulfuric acid and perchloric acid, with varying pH and vanadium concentrations. The results were compared to model predictions for different mechanisms. The data were consistent with a model with a multistep chemical-electrochemical-chemical mechanism at low overpotentials, which changes to a multistep electrochemical-chemical-chemical mechanism at higher anodic or cathodic overpotentials. Unusually high Tafel slopes (350-450 mV/decade) were observed for the reduction of\n\nVO\n\n2\n\n\n+\n\n\n\n\nat higher overpotentials. While this could not be directly explained by the model, insights gained through the use of the model can provide the basis for some suggestions. © 2003 The Electrochemical Society. All rights reserved.","DOI":"10.1149/1.1630594","journalAbbreviation":"Journal of The Electrochemical Society","author":[{"family":"Gattrell","given":"M."},{"family":"Park","given":"J."},{"family":"MacDougall","given":"B."},{"family":"Apte","given":"J."},{"family":"McCarthy","given":"S."},{"family":"Wu","given":"C. W."}],"issued":{"date-parts":[["2004",1,1]]}}},{"id":44,"uris":["http://zotero.org/users/local/rZ3AHC6s/items/REMIPJAC"],"uri":["http://zotero.org/users/local/rZ3AHC6s/items/REMIPJAC"],"itemData":{"id":44,"type":"article-journal","title":"Vanadium redox reactions and carbon electrodes for vanadium redox flow battery","container-title":"Electrochimica Acta","page":"1191-1196","volume":"36","issue":"7","abstract":"The redox reactions of vanadium ions in sulfuric ,acid, which are used for anolyte and catholyte in a redox flow battery, have been investigated on a GRC (graphite reinforcement carbon) electrode. Two types of carbon fiber electrodes (GF-20 and BW-309) have been evaluated for the battery electrode. As a result, the BW-309 was found to be the best. Cyclic voltammetry has been used to estimate electrode reaction rate constants of the ions on a GRC electrode and two carbon fiber electrodes and to determine the suitable concentration of sulfuric acid for vanadium redox reactions in the battery. A charge—discharge experiment of V—V system in 2 M (mol dm−3) sulfuric acid solution has also been carried out on the carbon cloth (BW-309) electrode.","DOI":"10.1016/0013-4686(91)85108-J","ISSN":"0013-4686","journalAbbreviation":"Electrochimica Acta","author":[{"family":"Kaneko","given":"Hiroko"},{"family":"Nozaki","given":"Ken"},{"family":"Wada","given":"Yutaka"},{"family":"Aoki","given":"Takamichi"},{"family":"Negishi","given":"Akira"},{"family":"Kamimoto","given":"Masayuki"}],"issued":{"date-parts":[["1991"]]}}}],"schema":"https://github.com/citation-style-language/schema/raw/master/csl-citation.json"} </w:instrText>
      </w:r>
      <w:r>
        <w:rPr>
          <w:rFonts w:asciiTheme="minorHAnsi" w:hAnsiTheme="minorHAnsi"/>
          <w:sz w:val="22"/>
          <w:szCs w:val="22"/>
        </w:rPr>
        <w:fldChar w:fldCharType="separate"/>
      </w:r>
      <w:r w:rsidR="00DC6E54" w:rsidRPr="00DC6E54">
        <w:rPr>
          <w:rFonts w:ascii="Calibri" w:hAnsi="Calibri"/>
          <w:sz w:val="22"/>
          <w:vertAlign w:val="superscript"/>
        </w:rPr>
        <w:t>5,10–12</w:t>
      </w:r>
      <w:r>
        <w:rPr>
          <w:rFonts w:asciiTheme="minorHAnsi" w:hAnsiTheme="minorHAnsi"/>
          <w:sz w:val="22"/>
          <w:szCs w:val="22"/>
        </w:rPr>
        <w:fldChar w:fldCharType="end"/>
      </w:r>
    </w:p>
    <w:p w14:paraId="6C36B328" w14:textId="1F73C702" w:rsidR="0043514B" w:rsidRPr="00831F51" w:rsidRDefault="0043514B" w:rsidP="00BD36A8">
      <w:pPr>
        <w:pStyle w:val="NormalWeb"/>
        <w:spacing w:before="0" w:beforeAutospacing="0" w:after="0" w:afterAutospacing="0" w:line="480" w:lineRule="auto"/>
        <w:ind w:firstLine="720"/>
        <w:rPr>
          <w:rFonts w:asciiTheme="minorHAnsi" w:hAnsiTheme="minorHAnsi"/>
          <w:sz w:val="22"/>
          <w:szCs w:val="22"/>
        </w:rPr>
      </w:pPr>
      <w:r>
        <w:rPr>
          <w:rFonts w:asciiTheme="minorHAnsi" w:hAnsiTheme="minorHAnsi"/>
          <w:sz w:val="22"/>
          <w:szCs w:val="22"/>
        </w:rPr>
        <w:lastRenderedPageBreak/>
        <w:t xml:space="preserve">Significant research attention has been placed on improving the kinetic performance of VRBs.  The progress of the field is divided into two approaches: </w:t>
      </w:r>
      <w:r w:rsidR="00BD36A8">
        <w:rPr>
          <w:rFonts w:asciiTheme="minorHAnsi" w:hAnsiTheme="minorHAnsi"/>
          <w:sz w:val="22"/>
          <w:szCs w:val="22"/>
        </w:rPr>
        <w:t xml:space="preserve">modification of </w:t>
      </w:r>
      <w:r>
        <w:rPr>
          <w:rFonts w:asciiTheme="minorHAnsi" w:hAnsiTheme="minorHAnsi"/>
          <w:sz w:val="22"/>
          <w:szCs w:val="22"/>
        </w:rPr>
        <w:t>electrode characteristics and</w:t>
      </w:r>
      <w:r w:rsidR="00BD36A8">
        <w:rPr>
          <w:rFonts w:asciiTheme="minorHAnsi" w:hAnsiTheme="minorHAnsi"/>
          <w:sz w:val="22"/>
          <w:szCs w:val="22"/>
        </w:rPr>
        <w:t xml:space="preserve"> modification of</w:t>
      </w:r>
      <w:r>
        <w:rPr>
          <w:rFonts w:asciiTheme="minorHAnsi" w:hAnsiTheme="minorHAnsi"/>
          <w:sz w:val="22"/>
          <w:szCs w:val="22"/>
        </w:rPr>
        <w:t xml:space="preserve"> electrolyte composition.</w:t>
      </w:r>
      <w:r>
        <w:rPr>
          <w:rFonts w:asciiTheme="minorHAnsi" w:hAnsiTheme="minorHAnsi"/>
          <w:sz w:val="22"/>
          <w:szCs w:val="22"/>
        </w:rPr>
        <w:fldChar w:fldCharType="begin"/>
      </w:r>
      <w:r w:rsidR="00DC6E54">
        <w:rPr>
          <w:rFonts w:asciiTheme="minorHAnsi" w:hAnsiTheme="minorHAnsi"/>
          <w:sz w:val="22"/>
          <w:szCs w:val="22"/>
        </w:rPr>
        <w:instrText xml:space="preserve"> ADDIN ZOTERO_ITEM CSL_CITATION {"citationID":"v0739dgka","properties":{"formattedCitation":"{\\rtf \\super 7,8,13\\uc0\\u8211{}15\\nosupersub{}}","plainCitation":"7,8,13–15"},"citationItems":[{"id":109,"uris":["http://zotero.org/users/local/rZ3AHC6s/items/M3DD82KP"],"uri":["http://zotero.org/users/local/rZ3AHC6s/items/M3DD82KP"],"itemData":{"id":109,"type":"article-journal","title":"Modification of graphite electrode materials for vanadium redox flow battery application—I. Thermal treatment","container-title":"Electrochimica Acta","page":"1253-1260","volume":"37","issue":"7","abstract":"The thermal activation of graphite felt was investigated at a range of temperatures and treatment times so as to enhance the electrochemical performance of this material for use in the vanadium redox cell. Graphite felt treated thermally at 400°C exhibited the greatest improvement in performance of the vanadium cell. Energy efficiencies of over 88% were obtained after this treatment compared with only 78% for the untreated felt. Results from XPS analysis showed that surface functional groups of C</w:instrText>
      </w:r>
      <w:r w:rsidR="00DC6E54">
        <w:rPr>
          <w:rFonts w:asciiTheme="minorHAnsi" w:hAnsiTheme="minorHAnsi" w:hint="eastAsia"/>
          <w:sz w:val="22"/>
          <w:szCs w:val="22"/>
        </w:rPr>
        <w:instrText></w:instrText>
      </w:r>
      <w:r w:rsidR="00DC6E54">
        <w:rPr>
          <w:rFonts w:asciiTheme="minorHAnsi" w:hAnsiTheme="minorHAnsi"/>
          <w:sz w:val="22"/>
          <w:szCs w:val="22"/>
        </w:rPr>
        <w:instrText xml:space="preserve">O and C </w:instrText>
      </w:r>
      <w:r w:rsidR="00DC6E54">
        <w:rPr>
          <w:rFonts w:asciiTheme="minorHAnsi" w:hAnsiTheme="minorHAnsi" w:hint="eastAsia"/>
          <w:sz w:val="22"/>
          <w:szCs w:val="22"/>
        </w:rPr>
        <w:instrText></w:instrText>
      </w:r>
      <w:r w:rsidR="00DC6E54">
        <w:rPr>
          <w:rFonts w:asciiTheme="minorHAnsi" w:hAnsiTheme="minorHAnsi"/>
          <w:sz w:val="22"/>
          <w:szCs w:val="22"/>
        </w:rPr>
        <w:instrText xml:space="preserve"> O increased dramatically compared with untreated samples, suggesting that these functional groups behave as active sites for the vanadium redox reactions.","DOI":"10.1016/0013-4686(92)85064-R","ISSN":"0013-4686","journalAbbreviation":"Electrochimica Acta","author":[{"family":"Sun","given":"B."},{"family":"Skyllas-Kazacos","given":"M."}],"issued":{"date-parts":[["1992",6]]}}},{"id":110,"uris":["http://zotero.org/users/local/rZ3AHC6s/items/JJFA2ETS"],"uri":["http://zotero.org/users/local/rZ3AHC6s/items/JJFA2ETS"],"itemData":{"id":110,"type":"article-journal","title":"Chemical modification of graphite electrode materials for vanadium redox flow battery application—part II. Acid treatments","container-title":"Electrochimica Acta","page":"2459-2465","volume":"37","issue":"13","abstract":"The surface modification of graphite felt with concentrated sulphuric acid has led to dramatic improvement in the electroactivity of this material in the vanadium redox cell. A cell resistance of 2.50 Ω cm2 and energy efficiency of 91% were obtained in the vanadium cell, after the graphite felt electrode material was treated with boiling concentrated sulphuric acid for 5h. The electrochemical activity of the graphite felt was found to increase with increasing sulphuric acid concentration. Treatment of graphite felt with nitric acid and mixtures of sulphuric and nitric acids, however, led to higher cell resistance values compared with the sulphuric acid treatment. Surface analysis of treated and untreated felts using the XPS method has shown that the functional groups C</w:instrText>
      </w:r>
      <w:r w:rsidR="00DC6E54">
        <w:rPr>
          <w:rFonts w:asciiTheme="minorHAnsi" w:hAnsiTheme="minorHAnsi" w:hint="eastAsia"/>
          <w:sz w:val="22"/>
          <w:szCs w:val="22"/>
        </w:rPr>
        <w:instrText></w:instrText>
      </w:r>
      <w:r w:rsidR="00DC6E54">
        <w:rPr>
          <w:rFonts w:asciiTheme="minorHAnsi" w:hAnsiTheme="minorHAnsi"/>
          <w:sz w:val="22"/>
          <w:szCs w:val="22"/>
        </w:rPr>
        <w:instrText>O and C</w:instrText>
      </w:r>
      <w:r w:rsidR="00DC6E54">
        <w:rPr>
          <w:rFonts w:asciiTheme="minorHAnsi" w:hAnsiTheme="minorHAnsi" w:hint="eastAsia"/>
          <w:sz w:val="22"/>
          <w:szCs w:val="22"/>
        </w:rPr>
        <w:instrText></w:instrText>
      </w:r>
      <w:r w:rsidR="00DC6E54">
        <w:rPr>
          <w:rFonts w:asciiTheme="minorHAnsi" w:hAnsiTheme="minorHAnsi"/>
          <w:sz w:val="22"/>
          <w:szCs w:val="22"/>
        </w:rPr>
        <w:instrText xml:space="preserve">O increased dramatically compared with untreated samples. A sequence reaction mechanism was proposed for the VO2+ </w:instrText>
      </w:r>
      <w:r w:rsidR="00DC6E54">
        <w:rPr>
          <w:rFonts w:ascii="Cambria Math" w:hAnsi="Cambria Math" w:cs="Cambria Math"/>
          <w:sz w:val="22"/>
          <w:szCs w:val="22"/>
        </w:rPr>
        <w:instrText>⇌</w:instrText>
      </w:r>
      <w:r w:rsidR="00DC6E54">
        <w:rPr>
          <w:rFonts w:asciiTheme="minorHAnsi" w:hAnsiTheme="minorHAnsi"/>
          <w:sz w:val="22"/>
          <w:szCs w:val="22"/>
        </w:rPr>
        <w:instrText xml:space="preserve"> VO+2 and V2+ </w:instrText>
      </w:r>
      <w:r w:rsidR="00DC6E54">
        <w:rPr>
          <w:rFonts w:ascii="Cambria Math" w:hAnsi="Cambria Math" w:cs="Cambria Math"/>
          <w:sz w:val="22"/>
          <w:szCs w:val="22"/>
        </w:rPr>
        <w:instrText>⇌</w:instrText>
      </w:r>
      <w:r w:rsidR="00DC6E54">
        <w:rPr>
          <w:rFonts w:asciiTheme="minorHAnsi" w:hAnsiTheme="minorHAnsi"/>
          <w:sz w:val="22"/>
          <w:szCs w:val="22"/>
        </w:rPr>
        <w:instrText xml:space="preserve"> V3+ charge-discharge reactions occurring in the positive and negative 12-cells, respectively of the vanadium redox battery.","DOI":"10.1016/0013-4686(92)87084-D","ISSN":"0013-4686","journalAbbreviation":"Electrochimica Acta","author":[{"family":"Sun","given":"Bianting"},{"family":"Skyllas-Kazacos","given":"Maria"}],"issued":{"date-parts":[["1992",10]]}}},{"id":113,"uris":["http://zotero.org/users/local/rZ3AHC6s/items/R4WQGCFJ"],"uri":["http://zotero.org/users/local/rZ3AHC6s/items/R4WQGCFJ"],"itemData":{"id":113,"type":"article-journal","title":"Graphene oxide nanoplatelets as excellent electrochemical active materials for VO2+/ and V2+/V3+ redox couples for a vanadium redox flow battery","container-title":"Carbon","page":"693-700","volume":"49","issue":"2","abstract":"Graphene oxide nanoplatelets (GONPs) are presented as electrochemical active materials for VO2+/ VO 2 + and V2+/V3+ redox couples for a vanadium redox flow battery. The structures and electrochemical properties of GONPs treated at different temperatures were investigated by transmission electron microscopy, X-ray diffraction, Fourier transform infrared spectroscopy, X-ray photoelectron spectroscopy, Raman spectroscopy and cyclic voltammetry. The results indicate that GONPs treated at 50 °C (GONP-50) possess highly hydroxylated and carboxylated groups and exhibit an excellent electrocatalytic activity towards VO2+/ VO 2 + and V2+/V3+ redox couples, while the pristine graphite only shows a reversible electrocatalytic activity towards VO2+/ VO 2 + , suggesting that the V2+/V3+ redox reaction more strongly depends on the oxygen-containing groups attached on graphite surface than does the VO2+/ VO 2 + . With the increase of treatment temperature, the polarization is reduced significantly. GONPs treated at 120 °C (GNOP-120) exhibit a lower electrochemical polarization than that of GONP-50 because of relatively higher electrical conductivity despite moderate electrocatalytic activity. The diffusion of VO2+ is faster on the surface of GONP-50 than on the pristine graphite and GNOP-120.","DOI":"10.1016/j.carbon.2010.10.022","ISSN":"0008-6223","journalAbbreviation":"Carbon","author":[{"family":"Han","given":"Pengxian"},{"family":"Wang","given":"Haibo"},{"family":"Liu","given":"Zhihong"},{"family":"Chen","given":"Xiao"},{"family":"Ma","given":"Wen"},{"family":"Yao","given":"Jianhua"},{"family":"Zhu","given":"Yuwei"},{"family":"Cui","given":"Guanglei"}],"issued":{"date-parts":[["2011",2]]}}},{"id":134,"uris":["http://zotero.org/users/local/rZ3AHC6s/items/U77GMZU2"],"uri":["http://zotero.org/users/local/rZ3AHC6s/items/U77GMZU2"],"itemData":{"id":134,"type":"article-journal","title":"High Performance Vanadium Redox Flow Batteries with Optimized Electrode Configuration and Membrane Selection","container-title":"Journal of The Electrochemical Society","page":"A1246-A1252","volume":"159","issue":"8","abstract":"The performance of a vanadium flow battery with no-gap architecture was significantly improved via several techniques. Specifically, gains arising from variation of the overall electrode thickness, membrane thickness, and electrode thermal treatment were studied. There is a trade-off between apparent kinetic losses, mass transfer losses, and ionic resistance as the electrode thickness is varied at the anode and cathode. Oxidative thermal pretreatment of the carbon paper electrode increased the peak power density by 16%. Results of the pretreatment in air showed greater improvement in peak power density compared to that obtained with pretreatment in an argon environment. The highest peak power density in a VRB yet published to the author's knowledge was achieved at a value of 767 mW cm−2 with optimized membrane and electrode engineering.","DOI":"10.1149/2.051208jes","journalAbbreviation":"Journal of The Electrochemical Society","author":[{"family":"Liu","given":"Q. H."},{"family":"Grim","given":"G. M."},{"family":"Papandrew","given":"A. B."},{"family":"Turhan","given":"A."},{"family":"Zawodzinski","given":"T. A."},{"family":"Mench","given":"M. M."}],"issued":{"date-parts":[["2012",1,1]]}}},{"id":43,"uris":["http://zotero.org/users/local/rZ3AHC6s/items/62FH8WB8"],"uri":["http://zotero.org/users/local/rZ3AHC6s/items/62FH8WB8"],"itemData":{"id":43,"type":"article-journal","title":"A Stable Vanadium Redox-Flow Battery with High Energy Density for Large-Scale Energy Storage","container-title":"Advanced Energy Materials","page":"394-400","volume":"1","issue":"3","DOI":"10.1002/aenm.201100008","ISSN":"1614-6840","journalAbbreviation":"Adv. Energy Mater.","author":[{"family":"Li","given":"Liyu"},{"family":"Kim","given":"Soowhan"},{"family":"Wang","given":"Wei"},{"family":"Vijayakumar","given":"M."},{"family":"Nie","given":"Zimin"},{"family":"Chen","given":"Baowei"},{"family":"Zhang","given":"Jianlu"},{"family":"Xia","given":"Guanguang"},{"family":"Hu","given":"Jianzhi"},{"family":"Graff","given":"Gordon"},{"family":"Liu","given":"Jun"},{"family":"Yang","given":"Zhenguo"}],"issued":{"date-parts":[["2011"]]}}}],"schema":"https://github.com/citation-style-language/schema/raw/master/csl-citation.json"} </w:instrText>
      </w:r>
      <w:r>
        <w:rPr>
          <w:rFonts w:asciiTheme="minorHAnsi" w:hAnsiTheme="minorHAnsi"/>
          <w:sz w:val="22"/>
          <w:szCs w:val="22"/>
        </w:rPr>
        <w:fldChar w:fldCharType="separate"/>
      </w:r>
      <w:r w:rsidR="00DC6E54" w:rsidRPr="00DC6E54">
        <w:rPr>
          <w:rFonts w:ascii="Calibri" w:hAnsi="Calibri"/>
          <w:sz w:val="22"/>
          <w:vertAlign w:val="superscript"/>
        </w:rPr>
        <w:t>7,8,13–15</w:t>
      </w:r>
      <w:r>
        <w:rPr>
          <w:rFonts w:asciiTheme="minorHAnsi" w:hAnsiTheme="minorHAnsi"/>
          <w:sz w:val="22"/>
          <w:szCs w:val="22"/>
        </w:rPr>
        <w:fldChar w:fldCharType="end"/>
      </w:r>
      <w:r>
        <w:rPr>
          <w:rFonts w:asciiTheme="minorHAnsi" w:hAnsiTheme="minorHAnsi"/>
          <w:sz w:val="22"/>
          <w:szCs w:val="22"/>
        </w:rPr>
        <w:t xml:space="preserve"> Electrode characteristics are modified by both acid and heat treatment to increase the concentration of surface oxides o</w:t>
      </w:r>
      <w:r w:rsidR="00BD36A8">
        <w:rPr>
          <w:rFonts w:asciiTheme="minorHAnsi" w:hAnsiTheme="minorHAnsi"/>
          <w:sz w:val="22"/>
          <w:szCs w:val="22"/>
        </w:rPr>
        <w:t>n the carbon electrodes which are known to positively influence</w:t>
      </w:r>
      <w:r>
        <w:rPr>
          <w:rFonts w:asciiTheme="minorHAnsi" w:hAnsiTheme="minorHAnsi"/>
          <w:sz w:val="22"/>
          <w:szCs w:val="22"/>
        </w:rPr>
        <w:t xml:space="preserve"> kinetic performance.</w:t>
      </w:r>
      <w:r>
        <w:rPr>
          <w:rFonts w:asciiTheme="minorHAnsi" w:hAnsiTheme="minorHAnsi"/>
          <w:sz w:val="22"/>
          <w:szCs w:val="22"/>
        </w:rPr>
        <w:fldChar w:fldCharType="begin"/>
      </w:r>
      <w:r w:rsidR="00DC6E54">
        <w:rPr>
          <w:rFonts w:asciiTheme="minorHAnsi" w:hAnsiTheme="minorHAnsi"/>
          <w:sz w:val="22"/>
          <w:szCs w:val="22"/>
        </w:rPr>
        <w:instrText xml:space="preserve"> ADDIN ZOTERO_ITEM CSL_CITATION {"citationID":"2b87h9hepe","properties":{"formattedCitation":"{\\rtf \\super 8,13,14\\nosupersub{}}","plainCitation":"8,13,14"},"citationItems":[{"id":109,"uris":["http://zotero.org/users/local/rZ3AHC6s/items/M3DD82KP"],"uri":["http://zotero.org/users/local/rZ3AHC6s/items/M3DD82KP"],"itemData":{"id":109,"type":"article-journal","title":"Modification of graphite electrode materials for vanadium redox flow battery application—I. Thermal treatment","container-title":"Electrochimica Acta","page":"1253-1260","volume":"37","issue":"7","abstract":"The thermal activation of graphite felt was investigated at a range of temperatures and treatment times so as to enhance the electrochemical performance of this material for use in the vanadium redox cell. Graphite felt treated thermally at 400°C exhibited the greatest improvement in performance of the vanadium cell. Energy efficiencies of over 88% were obtained after this treatment compared with only 78% for the untreated felt. Results from XPS analysis showed that surface functional groups of C</w:instrText>
      </w:r>
      <w:r w:rsidR="00DC6E54">
        <w:rPr>
          <w:rFonts w:asciiTheme="minorHAnsi" w:hAnsiTheme="minorHAnsi" w:hint="eastAsia"/>
          <w:sz w:val="22"/>
          <w:szCs w:val="22"/>
        </w:rPr>
        <w:instrText></w:instrText>
      </w:r>
      <w:r w:rsidR="00DC6E54">
        <w:rPr>
          <w:rFonts w:asciiTheme="minorHAnsi" w:hAnsiTheme="minorHAnsi"/>
          <w:sz w:val="22"/>
          <w:szCs w:val="22"/>
        </w:rPr>
        <w:instrText xml:space="preserve">O and C </w:instrText>
      </w:r>
      <w:r w:rsidR="00DC6E54">
        <w:rPr>
          <w:rFonts w:asciiTheme="minorHAnsi" w:hAnsiTheme="minorHAnsi" w:hint="eastAsia"/>
          <w:sz w:val="22"/>
          <w:szCs w:val="22"/>
        </w:rPr>
        <w:instrText></w:instrText>
      </w:r>
      <w:r w:rsidR="00DC6E54">
        <w:rPr>
          <w:rFonts w:asciiTheme="minorHAnsi" w:hAnsiTheme="minorHAnsi"/>
          <w:sz w:val="22"/>
          <w:szCs w:val="22"/>
        </w:rPr>
        <w:instrText xml:space="preserve"> O increased dramatically compared with untreated samples, suggesting that these functional groups behave as active sites for the vanadium redox reactions.","DOI":"10.1016/0013-4686(92)85064-R","ISSN":"0013-4686","journalAbbreviation":"Electrochimica Acta","author":[{"family":"Sun","given":"B."},{"family":"Skyllas-Kazacos","given":"M."}],"issued":{"date-parts":[["1992",6]]}}},{"id":110,"uris":["http://zotero.org/users/local/rZ3AHC6s/items/JJFA2ETS"],"uri":["http://zotero.org/users/local/rZ3AHC6s/items/JJFA2ETS"],"itemData":{"id":110,"type":"article-journal","title":"Chemical modification of graphite electrode materials for vanadium redox flow battery application—part II. Acid treatments","container-title":"Electrochimica Acta","page":"2459-2465","volume":"37","issue":"13","abstract":"The surface modification of graphite felt with concentrated sulphuric acid has led to dramatic improvement in the electroactivity of this material in the vanadium redox cell. A cell resistance of 2.50 Ω cm2 and energy efficiency of 91% were obtained in the vanadium cell, after the graphite felt electrode material was treated with boiling concentrated sulphuric acid for 5h. The electrochemical activity of the graphite felt was found to increase with increasing sulphuric acid concentration. Treatment of graphite felt with nitric acid and mixtures of sulphuric and nitric acids, however, led to higher cell resistance values compared with the sulphuric acid treatment. Surface analysis of treated and untreated felts using the XPS method has shown that the functional groups C</w:instrText>
      </w:r>
      <w:r w:rsidR="00DC6E54">
        <w:rPr>
          <w:rFonts w:asciiTheme="minorHAnsi" w:hAnsiTheme="minorHAnsi" w:hint="eastAsia"/>
          <w:sz w:val="22"/>
          <w:szCs w:val="22"/>
        </w:rPr>
        <w:instrText></w:instrText>
      </w:r>
      <w:r w:rsidR="00DC6E54">
        <w:rPr>
          <w:rFonts w:asciiTheme="minorHAnsi" w:hAnsiTheme="minorHAnsi"/>
          <w:sz w:val="22"/>
          <w:szCs w:val="22"/>
        </w:rPr>
        <w:instrText>O and C</w:instrText>
      </w:r>
      <w:r w:rsidR="00DC6E54">
        <w:rPr>
          <w:rFonts w:asciiTheme="minorHAnsi" w:hAnsiTheme="minorHAnsi" w:hint="eastAsia"/>
          <w:sz w:val="22"/>
          <w:szCs w:val="22"/>
        </w:rPr>
        <w:instrText></w:instrText>
      </w:r>
      <w:r w:rsidR="00DC6E54">
        <w:rPr>
          <w:rFonts w:asciiTheme="minorHAnsi" w:hAnsiTheme="minorHAnsi"/>
          <w:sz w:val="22"/>
          <w:szCs w:val="22"/>
        </w:rPr>
        <w:instrText xml:space="preserve">O increased dramatically compared with untreated samples. A sequence reaction mechanism was proposed for the VO2+ </w:instrText>
      </w:r>
      <w:r w:rsidR="00DC6E54">
        <w:rPr>
          <w:rFonts w:ascii="Cambria Math" w:hAnsi="Cambria Math" w:cs="Cambria Math"/>
          <w:sz w:val="22"/>
          <w:szCs w:val="22"/>
        </w:rPr>
        <w:instrText>⇌</w:instrText>
      </w:r>
      <w:r w:rsidR="00DC6E54">
        <w:rPr>
          <w:rFonts w:asciiTheme="minorHAnsi" w:hAnsiTheme="minorHAnsi"/>
          <w:sz w:val="22"/>
          <w:szCs w:val="22"/>
        </w:rPr>
        <w:instrText xml:space="preserve"> VO+2 and V2+ </w:instrText>
      </w:r>
      <w:r w:rsidR="00DC6E54">
        <w:rPr>
          <w:rFonts w:ascii="Cambria Math" w:hAnsi="Cambria Math" w:cs="Cambria Math"/>
          <w:sz w:val="22"/>
          <w:szCs w:val="22"/>
        </w:rPr>
        <w:instrText>⇌</w:instrText>
      </w:r>
      <w:r w:rsidR="00DC6E54">
        <w:rPr>
          <w:rFonts w:asciiTheme="minorHAnsi" w:hAnsiTheme="minorHAnsi"/>
          <w:sz w:val="22"/>
          <w:szCs w:val="22"/>
        </w:rPr>
        <w:instrText xml:space="preserve"> V3+ charge-discharge reactions occurring in the positive and negative 12-cells, respectively of the vanadium redox battery.","DOI":"10.1016/0013-4686(92)87084-D","ISSN":"0013-4686","journalAbbreviation":"Electrochimica Acta","author":[{"family":"Sun","given":"Bianting"},{"family":"Skyllas-Kazacos","given":"Maria"}],"issued":{"date-parts":[["1992",10]]}}},{"id":134,"uris":["http://zotero.org/users/local/rZ3AHC6s/items/U77GMZU2"],"uri":["http://zotero.org/users/local/rZ3AHC6s/items/U77GMZU2"],"itemData":{"id":134,"type":"article-journal","title":"High Performance Vanadium Redox Flow Batteries with Optimized Electrode Configuration and Membrane Selection","container-title":"Journal of The Electrochemical Society","page":"A1246-A1252","volume":"159","issue":"8","abstract":"The performance of a vanadium flow battery with no-gap architecture was significantly improved via several techniques. Specifically, gains arising from variation of the overall electrode thickness, membrane thickness, and electrode thermal treatment were studied. There is a trade-off between apparent kinetic losses, mass transfer losses, and ionic resistance as the electrode thickness is varied at the anode and cathode. Oxidative thermal pretreatment of the carbon paper electrode increased the peak power density by 16%. Results of the pretreatment in air showed greater improvement in peak power density compared to that obtained with pretreatment in an argon environment. The highest peak power density in a VRB yet published to the author's knowledge was achieved at a value of 767 mW cm−2 with optimized membrane and electrode engineering.","DOI":"10.1149/2.051208jes","journalAbbreviation":"Journal of The Electrochemical Society","author":[{"family":"Liu","given":"Q. H."},{"family":"Grim","given":"G. M."},{"family":"Papandrew","given":"A. B."},{"family":"Turhan","given":"A."},{"family":"Zawodzinski","given":"T. A."},{"family":"Mench","given":"M. M."}],"issued":{"date-parts":[["2012",1,1]]}}}],"schema":"https://github.com/citation-style-language/schema/raw/master/csl-citation.json"} </w:instrText>
      </w:r>
      <w:r>
        <w:rPr>
          <w:rFonts w:asciiTheme="minorHAnsi" w:hAnsiTheme="minorHAnsi"/>
          <w:sz w:val="22"/>
          <w:szCs w:val="22"/>
        </w:rPr>
        <w:fldChar w:fldCharType="separate"/>
      </w:r>
      <w:r w:rsidR="00DC6E54" w:rsidRPr="00DC6E54">
        <w:rPr>
          <w:rFonts w:ascii="Calibri" w:hAnsi="Calibri"/>
          <w:sz w:val="22"/>
          <w:vertAlign w:val="superscript"/>
        </w:rPr>
        <w:t>8,13,14</w:t>
      </w:r>
      <w:r>
        <w:rPr>
          <w:rFonts w:asciiTheme="minorHAnsi" w:hAnsiTheme="minorHAnsi"/>
          <w:sz w:val="22"/>
          <w:szCs w:val="22"/>
        </w:rPr>
        <w:fldChar w:fldCharType="end"/>
      </w:r>
      <w:r>
        <w:rPr>
          <w:rFonts w:asciiTheme="minorHAnsi" w:hAnsiTheme="minorHAnsi"/>
          <w:sz w:val="22"/>
          <w:szCs w:val="22"/>
        </w:rPr>
        <w:t xml:space="preserve"> Researchers at Pacific Northwest National Laboratory (PNNL) propose a mixed hydrochloric acid-sulfuric acid system, citing that the system enjoys significantly improved vanadium solubility and wider temperature operating window</w:t>
      </w:r>
      <w:r w:rsidR="00BD36A8">
        <w:rPr>
          <w:rFonts w:asciiTheme="minorHAnsi" w:hAnsiTheme="minorHAnsi"/>
          <w:sz w:val="22"/>
          <w:szCs w:val="22"/>
        </w:rPr>
        <w:t>. They further claim that the mixed-acid electrolyte demonstrates</w:t>
      </w:r>
      <w:r>
        <w:rPr>
          <w:rFonts w:asciiTheme="minorHAnsi" w:hAnsiTheme="minorHAnsi"/>
          <w:sz w:val="22"/>
          <w:szCs w:val="22"/>
        </w:rPr>
        <w:t xml:space="preserve"> kinetic improvement without significant chlorine side reactions.</w:t>
      </w:r>
      <w:r>
        <w:rPr>
          <w:rFonts w:asciiTheme="minorHAnsi" w:hAnsiTheme="minorHAnsi"/>
          <w:sz w:val="22"/>
          <w:szCs w:val="22"/>
        </w:rPr>
        <w:fldChar w:fldCharType="begin"/>
      </w:r>
      <w:r w:rsidR="00DC6E54">
        <w:rPr>
          <w:rFonts w:asciiTheme="minorHAnsi" w:hAnsiTheme="minorHAnsi"/>
          <w:sz w:val="22"/>
          <w:szCs w:val="22"/>
        </w:rPr>
        <w:instrText xml:space="preserve"> ADDIN ZOTERO_ITEM CSL_CITATION {"citationID":"l2j6f218d","properties":{"formattedCitation":"{\\rtf \\super 7\\nosupersub{}}","plainCitation":"7"},"citationItems":[{"id":43,"uris":["http://zotero.org/users/local/rZ3AHC6s/items/62FH8WB8"],"uri":["http://zotero.org/users/local/rZ3AHC6s/items/62FH8WB8"],"itemData":{"id":43,"type":"article-journal","title":"A Stable Vanadium Redox-Flow Battery with High Energy Density for Large-Scale Energy Storage","container-title":"Advanced Energy Materials","page":"394-400","volume":"1","issue":"3","DOI":"10.1002/aenm.201100008","ISSN":"1614-6840","journalAbbreviation":"Adv. Energy Mater.","author":[{"family":"Li","given":"Liyu"},{"family":"Kim","given":"Soowhan"},{"family":"Wang","given":"Wei"},{"family":"Vijayakumar","given":"M."},{"family":"Nie","given":"Zimin"},{"family":"Chen","given":"Baowei"},{"family":"Zhang","given":"Jianlu"},{"family":"Xia","given":"Guanguang"},{"family":"Hu","given":"Jianzhi"},{"family":"Graff","given":"Gordon"},{"family":"Liu","given":"Jun"},{"family":"Yang","given":"Zhenguo"}],"issued":{"date-parts":[["2011"]]}}}],"schema":"https://github.com/citation-style-language/schema/raw/master/csl-citation.json"} </w:instrText>
      </w:r>
      <w:r>
        <w:rPr>
          <w:rFonts w:asciiTheme="minorHAnsi" w:hAnsiTheme="minorHAnsi"/>
          <w:sz w:val="22"/>
          <w:szCs w:val="22"/>
        </w:rPr>
        <w:fldChar w:fldCharType="separate"/>
      </w:r>
      <w:r w:rsidR="00DC6E54" w:rsidRPr="00DC6E54">
        <w:rPr>
          <w:rFonts w:ascii="Calibri" w:hAnsi="Calibri"/>
          <w:sz w:val="22"/>
          <w:vertAlign w:val="superscript"/>
        </w:rPr>
        <w:t>7</w:t>
      </w:r>
      <w:r>
        <w:rPr>
          <w:rFonts w:asciiTheme="minorHAnsi" w:hAnsiTheme="minorHAnsi"/>
          <w:sz w:val="22"/>
          <w:szCs w:val="22"/>
        </w:rPr>
        <w:fldChar w:fldCharType="end"/>
      </w:r>
      <w:r>
        <w:rPr>
          <w:rFonts w:asciiTheme="minorHAnsi" w:hAnsiTheme="minorHAnsi"/>
          <w:sz w:val="22"/>
          <w:szCs w:val="22"/>
        </w:rPr>
        <w:t xml:space="preserve"> </w:t>
      </w:r>
    </w:p>
    <w:p w14:paraId="188A8F59" w14:textId="22A2C6E6" w:rsidR="0043514B" w:rsidRPr="0043514B" w:rsidRDefault="0043514B" w:rsidP="00951C48">
      <w:pPr>
        <w:pStyle w:val="NormalWeb"/>
        <w:spacing w:before="0" w:beforeAutospacing="0" w:after="0" w:afterAutospacing="0" w:line="480" w:lineRule="auto"/>
        <w:ind w:firstLine="720"/>
        <w:rPr>
          <w:rFonts w:asciiTheme="minorHAnsi" w:hAnsiTheme="minorHAnsi"/>
          <w:sz w:val="22"/>
          <w:szCs w:val="22"/>
        </w:rPr>
      </w:pPr>
      <w:r>
        <w:rPr>
          <w:rFonts w:asciiTheme="minorHAnsi" w:hAnsiTheme="minorHAnsi"/>
          <w:sz w:val="22"/>
          <w:szCs w:val="22"/>
        </w:rPr>
        <w:t>To fully optimize VRBs,</w:t>
      </w:r>
      <w:r w:rsidR="006E4676">
        <w:rPr>
          <w:rFonts w:asciiTheme="minorHAnsi" w:hAnsiTheme="minorHAnsi"/>
          <w:sz w:val="22"/>
          <w:szCs w:val="22"/>
        </w:rPr>
        <w:t xml:space="preserve"> one must combine</w:t>
      </w:r>
      <w:r>
        <w:rPr>
          <w:rFonts w:asciiTheme="minorHAnsi" w:hAnsiTheme="minorHAnsi"/>
          <w:sz w:val="22"/>
          <w:szCs w:val="22"/>
        </w:rPr>
        <w:t xml:space="preserve"> electrode and electrolyte approaches with an eye towards understanding fundamental interactions within the system. Therefore, </w:t>
      </w:r>
      <w:r w:rsidR="00E82A68">
        <w:rPr>
          <w:rFonts w:asciiTheme="minorHAnsi" w:hAnsiTheme="minorHAnsi"/>
          <w:sz w:val="22"/>
          <w:szCs w:val="22"/>
        </w:rPr>
        <w:t xml:space="preserve">the driving purpose of </w:t>
      </w:r>
      <w:r>
        <w:rPr>
          <w:rFonts w:asciiTheme="minorHAnsi" w:hAnsiTheme="minorHAnsi"/>
          <w:sz w:val="22"/>
          <w:szCs w:val="22"/>
        </w:rPr>
        <w:t xml:space="preserve">this study </w:t>
      </w:r>
      <w:r w:rsidR="00E82A68">
        <w:rPr>
          <w:rFonts w:asciiTheme="minorHAnsi" w:hAnsiTheme="minorHAnsi"/>
          <w:sz w:val="22"/>
          <w:szCs w:val="22"/>
        </w:rPr>
        <w:t>is to optimize VRB performance by combining both approaches while understanding what is fundamentally occurring at each electrode in the battery.</w:t>
      </w:r>
    </w:p>
    <w:p w14:paraId="33E69356" w14:textId="59B51DAD" w:rsidR="00A75D60" w:rsidRPr="00951C48" w:rsidRDefault="006E4676" w:rsidP="00951C48">
      <w:pPr>
        <w:spacing w:after="0" w:line="480" w:lineRule="auto"/>
        <w:rPr>
          <w:b/>
        </w:rPr>
      </w:pPr>
      <w:r w:rsidRPr="00951C48">
        <w:rPr>
          <w:b/>
        </w:rPr>
        <w:t>3. Motivation</w:t>
      </w:r>
    </w:p>
    <w:p w14:paraId="15A9631B" w14:textId="543CD74F" w:rsidR="00961449" w:rsidRDefault="00A75D60" w:rsidP="00951C48">
      <w:pPr>
        <w:spacing w:after="0" w:line="480" w:lineRule="auto"/>
        <w:ind w:firstLine="720"/>
      </w:pPr>
      <w:r>
        <w:t xml:space="preserve">Previous </w:t>
      </w:r>
      <w:r>
        <w:rPr>
          <w:i/>
        </w:rPr>
        <w:t>in-situ</w:t>
      </w:r>
      <w:r>
        <w:t xml:space="preserve"> kinetics work by our group found</w:t>
      </w:r>
      <w:r w:rsidR="00851D33">
        <w:t xml:space="preserve"> the negative electrode of an operating </w:t>
      </w:r>
      <w:r w:rsidR="006E4676">
        <w:t xml:space="preserve">VRB </w:t>
      </w:r>
      <w:r w:rsidR="00851D33">
        <w:t>to be the limiting electrode in the system at fifty-percent state of charge</w:t>
      </w:r>
      <w:r w:rsidR="006E4676">
        <w:t>,</w:t>
      </w:r>
      <w:r w:rsidR="0043514B">
        <w:t xml:space="preserve"> accounting for ninety-four percent of the cell overpotential</w:t>
      </w:r>
      <w:r w:rsidR="00851D33">
        <w:t>.</w:t>
      </w:r>
      <w:r w:rsidR="00851D33">
        <w:fldChar w:fldCharType="begin"/>
      </w:r>
      <w:r w:rsidR="00DC6E54">
        <w:instrText xml:space="preserve"> ADDIN ZOTERO_ITEM CSL_CITATION {"citationID":"229nu6ucuh","properties":{"formattedCitation":"{\\rtf \\super 10\\nosupersub{}}","plainCitation":"10"},"citationItems":[{"id":83,"uris":["http://zotero.org/users/local/rZ3AHC6s/items/KVD48ERQ"],"uri":["http://zotero.org/users/local/rZ3AHC6s/items/KVD48ERQ"],"itemData":{"id":83,"type":"article-journal","title":"In Situ Single Electrode Studies of an All-Vanadium Redox Flow Battery","container-title":"ECS Transactions","page":"43-51","volume":"41","issue":"23","abstract":"We use polarization curves and a dynamic hydrogen reference electrode (DHE) to study the effects of electrode material and state of charge on all-vanadium redox flow battery (VRB) performance. The current trend in studying these systems is to evaluate new materials or designs based on voltage, charge and power efficiency metrics.  However, such characterization does not allude to which processes may be limiting performance or which electrode dominates performance loss.  At moderate state of charge, the negative electrode dominated cell overpotential at all current densities.  As state of charge increased, the overpotential was dominated less by the negative electrode.  Thicker carbon paper showed better performance while partially wet-proofed carbon paper had a negative impact on performance compared to untreated carbon paper.  Through improvements made to the design and materials, VRB power output increased from 77 mW/cm2 to 404 mW/cm2.","DOI":"10.1149/1.3697453","journalAbbreviation":"ECS Transactions","author":[{"family":"Aaron","given":"Douglas S."},{"family":"Tang","given":"Zhijiang"},{"family":"Lawton","given":"Jamie S."},{"family":"Papandrew","given":"Alexander P."},{"family":"Zawodzinski","given":"Thomas A."}],"issued":{"date-parts":[["2012",5,4]]}}}],"schema":"https://github.com/citation-style-language/schema/raw/master/csl-citation.json"} </w:instrText>
      </w:r>
      <w:r w:rsidR="00851D33">
        <w:fldChar w:fldCharType="separate"/>
      </w:r>
      <w:r w:rsidR="00DC6E54" w:rsidRPr="00DC6E54">
        <w:rPr>
          <w:rFonts w:ascii="Calibri" w:hAnsi="Calibri" w:cs="Times New Roman"/>
          <w:szCs w:val="24"/>
          <w:vertAlign w:val="superscript"/>
        </w:rPr>
        <w:t>10</w:t>
      </w:r>
      <w:r w:rsidR="00851D33">
        <w:fldChar w:fldCharType="end"/>
      </w:r>
      <w:r w:rsidR="00851D33">
        <w:t xml:space="preserve"> This result is surprising as previous </w:t>
      </w:r>
      <w:r w:rsidR="00851D33" w:rsidRPr="00851D33">
        <w:rPr>
          <w:i/>
        </w:rPr>
        <w:t>ex-situ</w:t>
      </w:r>
      <w:r w:rsidR="00851D33">
        <w:t xml:space="preserve"> work done by the flow battery community established the kinetic superiority of the V</w:t>
      </w:r>
      <w:r w:rsidR="00851D33">
        <w:rPr>
          <w:vertAlign w:val="superscript"/>
        </w:rPr>
        <w:t>3+</w:t>
      </w:r>
      <w:r w:rsidR="00851D33">
        <w:t>/V</w:t>
      </w:r>
      <w:r w:rsidR="00851D33">
        <w:rPr>
          <w:vertAlign w:val="superscript"/>
        </w:rPr>
        <w:t>2+</w:t>
      </w:r>
      <w:r w:rsidR="00851D33">
        <w:t xml:space="preserve"> couple.</w:t>
      </w:r>
      <w:r w:rsidR="00AE381B" w:rsidRPr="00AE381B">
        <w:t xml:space="preserve"> </w:t>
      </w:r>
      <w:r w:rsidR="00AE381B" w:rsidRPr="00AE381B">
        <w:fldChar w:fldCharType="begin"/>
      </w:r>
      <w:r w:rsidR="00DC6E54">
        <w:instrText xml:space="preserve"> ADDIN ZOTERO_ITEM CSL_CITATION {"citationID":"MygYqEfD","properties":{"formattedCitation":"{\\rtf \\super 5,10\\uc0\\u8211{}12\\nosupersub{}}","plainCitation":"5,10–12"},"citationItems":[{"id":83,"uris":["http://zotero.org/users/local/rZ3AHC6s/items/KVD48ERQ"],"uri":["http://zotero.org/users/local/rZ3AHC6s/items/KVD48ERQ"],"itemData":{"id":83,"type":"article-journal","title":"In Situ Single Electrode Studies of an All-Vanadium Redox Flow Battery","container-title":"ECS Transactions","page":"43-51","volume":"41","issue":"23","abstract":"We use polarization curves and a dynamic hydrogen reference electrode (DHE) to study the effects of electrode material and state of charge on all-vanadium redox flow battery (VRB) performance. The current trend in studying these systems is to evaluate new materials or designs based on voltage, charge and power efficiency metrics.  However, such characterization does not allude to which processes may be limiting performance or which electrode dominates performance loss.  At moderate state of charge, the negative electrode dominated cell overpotential at all current densities.  As state of charge increased, the overpotential was dominated less by the negative electrode.  Thicker carbon paper showed better performance while partially wet-proofed carbon paper had a negative impact on performance compared to untreated carbon paper.  Through improvements made to the design and materials, VRB power output increased from 77 mW/cm2 to 404 mW/cm2.","DOI":"10.1149/1.3697453","journalAbbreviation":"ECS Transactions","author":[{"family":"Aaron","given":"Douglas S."},{"family":"Tang","given":"Zhijiang"},{"family":"Lawton","given":"Jamie S."},{"family":"Papandrew","given":"Alexander P."},{"family":"Zawodzinski","given":"Thomas A."}],"issued":{"date-parts":[["2012",5,4]]}}},{"id":3,"uris":["http://zotero.org/users/local/rZ3AHC6s/items/2XJUVV4J"],"uri":["http://zotero.org/users/local/rZ3AHC6s/items/2XJUVV4J"],"itemData":{"id":3,"type":"article-journal","title":"The vanadium redox-battery: an efficient storage unit for photovoltaic systems","container-title":"Electrochimica Acta","page":"825-831","volume":"47","issue":"5","abstract":"The ‘all vanadium redox flow system’ is a promising candidate for the storage of photovoltaic energy. The reversible cell voltage of 1.3–1.4 V in charged state is well established at various electrode materials in particular carbon based substrate. The kinetics and mechanism were studied for the V2+/V3+ and VO++/VO2+ (V4+/V5+) couples and a one-electron transfer identified as the rate-determining step at smooth surface. The use of activation layers (carbon cloth, felt, etc.) decisively reduced the polarization. Catalysts, which are required for an increase of the reaction rate and the elimination of undesired side reactions, e.g. Ru(O)2 improved the behavior of the positive electrode. The influence of the separator material on mass transfer phenomena (diffusion, migration) and the charge–discharge characteristics were investigated. The requirements to be met as stand alone batteries for the energy supply of users in combination with photovoltaic plants considering the solar irradiation conditions in south Portugal were discussed and the future development goals defined.","DOI":"10.1016/S0013-4686(01)00763-0","ISSN":"0013-4686","journalAbbreviation":"Electrochimica Acta","author":[{"family":"Fabjan","given":"Ch"},{"family":"Garche","given":"J"},{"family":"Harrer","given":"B"},{"family":"Jörissen","given":"L"},{"family":"Kolbeck","given":"C"},{"family":"Philippi","given":"F"},{"family":"Tomazic","given":"G"},{"family":"Wagner","given":"F"}],"issued":{"date-parts":[["2001",12,3]]}}},{"id":40,"uris":["http://zotero.org/users/local/rZ3AHC6s/items/IZZMUAPI"],"uri":["http://zotero.org/users/local/rZ3AHC6s/items/IZZMUAPI"],"itemData":{"id":40,"type":"article-journal","title":"Study of the Mechanism of the Vanadium 4+/5+ Redox Reaction in Acidic Solutions","container-title":"Journal of The Electrochemical Society","page":"A123-A130","volume":"151","issue":"1","abstract":"The mechanism of the vanadium \n\nVO\n\n2\n+\n\n\n/\n\nVO\n\n2\n\n\n+\n\n\n\n\nredox couple has been examined in acidic aqueous solutions. A detailed understanding of this chemistry is of interest for improving and optimizing the performance of vanadium redox-flow batteries, a promising electrochemical electricity storage technology. The vanadium 4+/5+ redox reactions were studied at a rotating disk graphite electrode and polarization curves were obtained in sulfuric acid and perchloric acid, with varying pH and vanadium concentrations. The results were compared to model predictions for different mechanisms. The data were consistent with a model with a multistep chemical-electrochemical-chemical mechanism at low overpotentials, which changes to a multistep electrochemical-chemical-chemical mechanism at higher anodic or cathodic overpotentials. Unusually high Tafel slopes (350-450 mV/decade) were observed for the reduction of\n\nVO\n\n2\n\n\n+\n\n\n\n\nat higher overpotentials. While this could not be directly explained by the model, insights gained through the use of the model can provide the basis for some suggestions. © 2003 The Electrochemical Society. All rights reserved.","DOI":"10.1149/1.1630594","journalAbbreviation":"Journal of The Electrochemical Society","author":[{"family":"Gattrell","given":"M."},{"family":"Park","given":"J."},{"family":"MacDougall","given":"B."},{"family":"Apte","given":"J."},{"family":"McCarthy","given":"S."},{"family":"Wu","given":"C. W."}],"issued":{"date-parts":[["2004",1,1]]}}},{"id":44,"uris":["http://zotero.org/users/local/rZ3AHC6s/items/REMIPJAC"],"uri":["http://zotero.org/users/local/rZ3AHC6s/items/REMIPJAC"],"itemData":{"id":44,"type":"article-journal","title":"Vanadium redox reactions and carbon electrodes for vanadium redox flow battery","container-title":"Electrochimica Acta","page":"1191-1196","volume":"36","issue":"7","abstract":"The redox reactions of vanadium ions in sulfuric ,acid, which are used for anolyte and catholyte in a redox flow battery, have been investigated on a GRC (graphite reinforcement carbon) electrode. Two types of carbon fiber electrodes (GF-20 and BW-309) have been evaluated for the battery electrode. As a result, the BW-309 was found to be the best. Cyclic voltammetry has been used to estimate electrode reaction rate constants of the ions on a GRC electrode and two carbon fiber electrodes and to determine the suitable concentration of sulfuric acid for vanadium redox reactions in the battery. A charge—discharge experiment of V—V system in 2 M (mol dm−3) sulfuric acid solution has also been carried out on the carbon cloth (BW-309) electrode.","DOI":"10.1016/0013-4686(91)85108-J","ISSN":"0013-4686","journalAbbreviation":"Electrochimica Acta","author":[{"family":"Kaneko","given":"Hiroko"},{"family":"Nozaki","given":"Ken"},{"family":"Wada","given":"Yutaka"},{"family":"Aoki","given":"Takamichi"},{"family":"Negishi","given":"Akira"},{"family":"Kamimoto","given":"Masayuki"}],"issued":{"date-parts":[["1991"]]}}}],"schema":"https://github.com/citation-style-language/schema/raw/master/csl-citation.json"} </w:instrText>
      </w:r>
      <w:r w:rsidR="00AE381B" w:rsidRPr="00AE381B">
        <w:fldChar w:fldCharType="separate"/>
      </w:r>
      <w:r w:rsidR="00DC6E54" w:rsidRPr="00DC6E54">
        <w:rPr>
          <w:rFonts w:ascii="Calibri" w:hAnsi="Calibri" w:cs="Times New Roman"/>
          <w:szCs w:val="24"/>
          <w:vertAlign w:val="superscript"/>
        </w:rPr>
        <w:t>5,10–12</w:t>
      </w:r>
      <w:r w:rsidR="00AE381B" w:rsidRPr="00AE381B">
        <w:fldChar w:fldCharType="end"/>
      </w:r>
      <w:r w:rsidR="00851D33">
        <w:t xml:space="preserve"> A primary motivation of this work was to determine if the performanc</w:t>
      </w:r>
      <w:r w:rsidR="006E4676">
        <w:t>e of the negative couple limits</w:t>
      </w:r>
      <w:r w:rsidR="00851D33">
        <w:t xml:space="preserve"> the kinetic performance of the battery at all states of charge, and if so, to what extent.</w:t>
      </w:r>
      <w:r w:rsidR="00CC0E19">
        <w:t xml:space="preserve"> State of charge (</w:t>
      </w:r>
      <w:proofErr w:type="spellStart"/>
      <w:r w:rsidR="00CC0E19">
        <w:t>SoC</w:t>
      </w:r>
      <w:proofErr w:type="spellEnd"/>
      <w:r w:rsidR="00CC0E19">
        <w:t xml:space="preserve">) for each side of the battery is defined in </w:t>
      </w:r>
      <w:r w:rsidR="006E4676">
        <w:t>E</w:t>
      </w:r>
      <w:r w:rsidR="006E4676" w:rsidRPr="006E4676">
        <w:t>quations 3 and 4</w:t>
      </w:r>
      <w:r w:rsidR="00CC0E19">
        <w:t>.</w:t>
      </w:r>
      <w:r w:rsidR="00CC0E19">
        <w:fldChar w:fldCharType="begin"/>
      </w:r>
      <w:r w:rsidR="00CC0E19">
        <w:instrText xml:space="preserve"> ADDIN ZOTERO_ITEM CSL_CITATION {"citationID":"22ggtiqh9s","properties":{"formattedCitation":"{\\rtf \\super 16\\nosupersub{}}","plainCitation":"16"},"citationItems":[{"id":67,"uris":["http://zotero.org/users/local/rZ3AHC6s/items/BZNH9W2I"],"uri":["http://zotero.org/users/local/rZ3AHC6s/items/BZNH9W2I"],"itemData":{"id":67,"type":"article-journal","title":"Monitoring the State of Charge of Operating Vanadium Redox Flow Batteries","container-title":"ECS Transactions","page":"1-9","volume":"41","issue":"23","abstract":"We describe methods for assessment of the state of charge (SOC) of vanadium redox flow batteries during operation using UV-vis spectrophotometry and full cell OCV measurements.  The absorbance of the negative electrolyte solution at 433 nm, 600 nm and 750 nm is linear in SOC for SOC &gt; 0.2.  The absorbance of the positive electrolyte does not display a linear relationship with SOC, which we attribute to the formation of a strongly absorbing third species. An analysis of the excess absorbance of the positive electrolyte suggests that a complex with 1:1 stoichiometry is formed by VO2+ and VO2+.  Full-cell OCV measurements were found to be an inaccurate gauge of the state of charge of the battery.","DOI":"10.1149/1.3697449","journalAbbreviation":"ECS Transactions","author":[{"family":"Tang","given":"Zhijiang"},{"family":"Aaron","given":"Douglas S."},{"family":"Papandrew","given":"Alexander B."},{"family":"Zawodzinski","given":"Thomas A."}],"issued":{"date-parts":[["2012",5,4]]}}}],"schema":"https://github.com/citation-style-language/schema/raw/master/csl-citation.json"} </w:instrText>
      </w:r>
      <w:r w:rsidR="00CC0E19">
        <w:fldChar w:fldCharType="separate"/>
      </w:r>
      <w:r w:rsidR="00CC0E19" w:rsidRPr="00CC0E19">
        <w:rPr>
          <w:rFonts w:ascii="Calibri" w:hAnsi="Calibri" w:cs="Times New Roman"/>
          <w:szCs w:val="24"/>
          <w:vertAlign w:val="superscript"/>
        </w:rPr>
        <w:t>16</w:t>
      </w:r>
      <w:r w:rsidR="00CC0E19">
        <w:fldChar w:fldCharType="end"/>
      </w:r>
      <w:r w:rsidR="00851D33">
        <w:t xml:space="preserve"> The extent to which the battery was limited was gauged by the </w:t>
      </w:r>
      <w:r w:rsidR="006E4676">
        <w:t>exchange current density at</w:t>
      </w:r>
      <w:r w:rsidR="00851D33">
        <w:t xml:space="preserve"> each electrode at all measured states of charge. From the results of this </w:t>
      </w:r>
      <w:r w:rsidR="006E4676">
        <w:t>work, I</w:t>
      </w:r>
      <w:r w:rsidR="00851D33">
        <w:t xml:space="preserve"> further seek to </w:t>
      </w:r>
      <w:r w:rsidR="006E4676">
        <w:t>identify vanadium species present in both positive and negative electrolytes as a function of state</w:t>
      </w:r>
      <w:r w:rsidR="00851D33">
        <w:t xml:space="preserve"> of charge.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C0E19" w14:paraId="1918ED70" w14:textId="77777777" w:rsidTr="00CC0E19">
        <w:tc>
          <w:tcPr>
            <w:tcW w:w="3116" w:type="dxa"/>
          </w:tcPr>
          <w:p w14:paraId="79290E94" w14:textId="77777777" w:rsidR="00CC0E19" w:rsidRDefault="00CC0E19" w:rsidP="006E4676">
            <w:pPr>
              <w:spacing w:after="0" w:line="480" w:lineRule="auto"/>
            </w:pPr>
          </w:p>
        </w:tc>
        <w:tc>
          <w:tcPr>
            <w:tcW w:w="3117" w:type="dxa"/>
          </w:tcPr>
          <w:p w14:paraId="37213582" w14:textId="1BF903F1" w:rsidR="00CC0E19" w:rsidRDefault="00056C85" w:rsidP="006E4676">
            <w:pPr>
              <w:spacing w:after="0" w:line="480" w:lineRule="auto"/>
              <w:jc w:val="center"/>
            </w:pPr>
            <m:oMathPara>
              <m:oMath>
                <m:sSub>
                  <m:sSubPr>
                    <m:ctrlPr>
                      <w:rPr>
                        <w:rFonts w:ascii="Cambria Math" w:hAnsi="Cambria Math"/>
                        <w:i/>
                      </w:rPr>
                    </m:ctrlPr>
                  </m:sSubPr>
                  <m:e>
                    <m:r>
                      <w:rPr>
                        <w:rFonts w:ascii="Cambria Math" w:hAnsi="Cambria Math"/>
                      </w:rPr>
                      <m:t>SoC</m:t>
                    </m:r>
                  </m:e>
                  <m:sub>
                    <m:r>
                      <w:rPr>
                        <w:rFonts w:ascii="Cambria Math" w:hAnsi="Cambria Math"/>
                      </w:rPr>
                      <m:t>anode</m:t>
                    </m:r>
                  </m:sub>
                </m:sSub>
                <m:f>
                  <m:fPr>
                    <m:ctrlPr>
                      <w:rPr>
                        <w:rFonts w:ascii="Cambria Math" w:hAnsi="Cambria Math"/>
                        <w:i/>
                      </w:rPr>
                    </m:ctrlPr>
                  </m:fPr>
                  <m:num>
                    <m:r>
                      <w:rPr>
                        <w:rFonts w:ascii="Cambria Math" w:hAnsi="Cambria Math"/>
                      </w:rPr>
                      <m:t>[</m:t>
                    </m:r>
                    <m:sSup>
                      <m:sSupPr>
                        <m:ctrlPr>
                          <w:rPr>
                            <w:rFonts w:ascii="Cambria Math" w:hAnsi="Cambria Math"/>
                            <w:i/>
                          </w:rPr>
                        </m:ctrlPr>
                      </m:sSupPr>
                      <m:e>
                        <m:r>
                          <w:rPr>
                            <w:rFonts w:ascii="Cambria Math" w:hAnsi="Cambria Math"/>
                          </w:rPr>
                          <m:t>V</m:t>
                        </m:r>
                      </m:e>
                      <m:sup>
                        <m:r>
                          <w:rPr>
                            <w:rFonts w:ascii="Cambria Math" w:hAnsi="Cambria Math"/>
                          </w:rPr>
                          <m:t>2+</m:t>
                        </m:r>
                      </m:sup>
                    </m:sSup>
                    <m:r>
                      <w:rPr>
                        <w:rFonts w:ascii="Cambria Math" w:hAnsi="Cambria Math"/>
                      </w:rPr>
                      <m:t>]</m:t>
                    </m:r>
                  </m:num>
                  <m:den>
                    <m:d>
                      <m:dPr>
                        <m:begChr m:val="["/>
                        <m:endChr m:val="]"/>
                        <m:ctrlPr>
                          <w:rPr>
                            <w:rFonts w:ascii="Cambria Math" w:hAnsi="Cambria Math"/>
                            <w:i/>
                          </w:rPr>
                        </m:ctrlPr>
                      </m:dPr>
                      <m:e>
                        <m:sSup>
                          <m:sSupPr>
                            <m:ctrlPr>
                              <w:rPr>
                                <w:rFonts w:ascii="Cambria Math" w:hAnsi="Cambria Math"/>
                                <w:i/>
                              </w:rPr>
                            </m:ctrlPr>
                          </m:sSupPr>
                          <m:e>
                            <m:r>
                              <w:rPr>
                                <w:rFonts w:ascii="Cambria Math" w:hAnsi="Cambria Math"/>
                              </w:rPr>
                              <m:t>V</m:t>
                            </m:r>
                          </m:e>
                          <m:sup>
                            <m:r>
                              <w:rPr>
                                <w:rFonts w:ascii="Cambria Math" w:hAnsi="Cambria Math"/>
                              </w:rPr>
                              <m:t>2+</m:t>
                            </m:r>
                          </m:sup>
                        </m:sSup>
                      </m:e>
                    </m:d>
                    <m:r>
                      <w:rPr>
                        <w:rFonts w:ascii="Cambria Math" w:hAnsi="Cambria Math"/>
                      </w:rPr>
                      <m:t>+[</m:t>
                    </m:r>
                    <m:sSup>
                      <m:sSupPr>
                        <m:ctrlPr>
                          <w:rPr>
                            <w:rFonts w:ascii="Cambria Math" w:hAnsi="Cambria Math"/>
                            <w:i/>
                          </w:rPr>
                        </m:ctrlPr>
                      </m:sSupPr>
                      <m:e>
                        <m:r>
                          <w:rPr>
                            <w:rFonts w:ascii="Cambria Math" w:hAnsi="Cambria Math"/>
                          </w:rPr>
                          <m:t>V</m:t>
                        </m:r>
                      </m:e>
                      <m:sup>
                        <m:r>
                          <w:rPr>
                            <w:rFonts w:ascii="Cambria Math" w:hAnsi="Cambria Math"/>
                          </w:rPr>
                          <m:t>3+</m:t>
                        </m:r>
                      </m:sup>
                    </m:sSup>
                    <m:r>
                      <w:rPr>
                        <w:rFonts w:ascii="Cambria Math" w:hAnsi="Cambria Math"/>
                      </w:rPr>
                      <m:t>]</m:t>
                    </m:r>
                  </m:den>
                </m:f>
              </m:oMath>
            </m:oMathPara>
          </w:p>
        </w:tc>
        <w:tc>
          <w:tcPr>
            <w:tcW w:w="3117" w:type="dxa"/>
          </w:tcPr>
          <w:p w14:paraId="100E8BE1" w14:textId="59386902" w:rsidR="00CC0E19" w:rsidRDefault="006E4676" w:rsidP="006E4676">
            <w:pPr>
              <w:spacing w:after="0" w:line="480" w:lineRule="auto"/>
              <w:jc w:val="right"/>
            </w:pPr>
            <w:r>
              <w:t>(3</w:t>
            </w:r>
            <w:r w:rsidR="00CC0E19">
              <w:t>)</w:t>
            </w:r>
          </w:p>
        </w:tc>
      </w:tr>
      <w:tr w:rsidR="00CC0E19" w14:paraId="4B4BD377" w14:textId="77777777" w:rsidTr="00CC0E19">
        <w:tc>
          <w:tcPr>
            <w:tcW w:w="3116" w:type="dxa"/>
          </w:tcPr>
          <w:p w14:paraId="6C59AC17" w14:textId="77777777" w:rsidR="00CC0E19" w:rsidRDefault="00CC0E19" w:rsidP="006E4676">
            <w:pPr>
              <w:spacing w:after="0" w:line="480" w:lineRule="auto"/>
            </w:pPr>
          </w:p>
        </w:tc>
        <w:tc>
          <w:tcPr>
            <w:tcW w:w="3117" w:type="dxa"/>
          </w:tcPr>
          <w:p w14:paraId="472BD65B" w14:textId="369C842D" w:rsidR="00CC0E19" w:rsidRDefault="00056C85" w:rsidP="006E4676">
            <w:pPr>
              <w:spacing w:after="0" w:line="480" w:lineRule="auto"/>
            </w:pPr>
            <m:oMathPara>
              <m:oMath>
                <m:sSub>
                  <m:sSubPr>
                    <m:ctrlPr>
                      <w:rPr>
                        <w:rFonts w:ascii="Cambria Math" w:hAnsi="Cambria Math"/>
                        <w:i/>
                      </w:rPr>
                    </m:ctrlPr>
                  </m:sSubPr>
                  <m:e>
                    <m:r>
                      <w:rPr>
                        <w:rFonts w:ascii="Cambria Math" w:hAnsi="Cambria Math"/>
                      </w:rPr>
                      <m:t>SoC</m:t>
                    </m:r>
                  </m:e>
                  <m:sub>
                    <m:r>
                      <w:rPr>
                        <w:rFonts w:ascii="Cambria Math" w:hAnsi="Cambria Math"/>
                      </w:rPr>
                      <m:t>cathode</m:t>
                    </m:r>
                  </m:sub>
                </m:sSub>
                <m:r>
                  <w:rPr>
                    <w:rFonts w:ascii="Cambria Math" w:hAnsi="Cambria Math"/>
                  </w:rPr>
                  <m:t>=</m:t>
                </m:r>
                <m:f>
                  <m:fPr>
                    <m:ctrlPr>
                      <w:rPr>
                        <w:rFonts w:ascii="Cambria Math" w:hAnsi="Cambria Math"/>
                        <w:i/>
                      </w:rPr>
                    </m:ctrlPr>
                  </m:fPr>
                  <m:num>
                    <m:r>
                      <w:rPr>
                        <w:rFonts w:ascii="Cambria Math" w:hAnsi="Cambria Math"/>
                      </w:rPr>
                      <m:t>[</m:t>
                    </m:r>
                    <m:sSubSup>
                      <m:sSubSupPr>
                        <m:ctrlPr>
                          <w:rPr>
                            <w:rFonts w:ascii="Cambria Math" w:hAnsi="Cambria Math"/>
                            <w:i/>
                          </w:rPr>
                        </m:ctrlPr>
                      </m:sSubSupPr>
                      <m:e>
                        <m:r>
                          <w:rPr>
                            <w:rFonts w:ascii="Cambria Math" w:hAnsi="Cambria Math"/>
                          </w:rPr>
                          <m:t>VO</m:t>
                        </m:r>
                      </m:e>
                      <m:sub>
                        <m:r>
                          <w:rPr>
                            <w:rFonts w:ascii="Cambria Math" w:hAnsi="Cambria Math"/>
                          </w:rPr>
                          <m:t>2</m:t>
                        </m:r>
                      </m:sub>
                      <m:sup>
                        <m:r>
                          <w:rPr>
                            <w:rFonts w:ascii="Cambria Math" w:hAnsi="Cambria Math"/>
                          </w:rPr>
                          <m:t>+</m:t>
                        </m:r>
                      </m:sup>
                    </m:sSubSup>
                    <m:r>
                      <w:rPr>
                        <w:rFonts w:ascii="Cambria Math" w:hAnsi="Cambria Math"/>
                      </w:rPr>
                      <m:t>]</m:t>
                    </m:r>
                  </m:num>
                  <m:den>
                    <m:d>
                      <m:dPr>
                        <m:begChr m:val="["/>
                        <m:endChr m:val="]"/>
                        <m:ctrlPr>
                          <w:rPr>
                            <w:rFonts w:ascii="Cambria Math" w:hAnsi="Cambria Math"/>
                            <w:i/>
                          </w:rPr>
                        </m:ctrlPr>
                      </m:dPr>
                      <m:e>
                        <m:sSup>
                          <m:sSupPr>
                            <m:ctrlPr>
                              <w:rPr>
                                <w:rFonts w:ascii="Cambria Math" w:hAnsi="Cambria Math"/>
                                <w:i/>
                              </w:rPr>
                            </m:ctrlPr>
                          </m:sSupPr>
                          <m:e>
                            <m:r>
                              <w:rPr>
                                <w:rFonts w:ascii="Cambria Math" w:hAnsi="Cambria Math"/>
                              </w:rPr>
                              <m:t>VO</m:t>
                            </m:r>
                          </m:e>
                          <m:sup>
                            <m:r>
                              <w:rPr>
                                <w:rFonts w:ascii="Cambria Math" w:hAnsi="Cambria Math"/>
                              </w:rPr>
                              <m:t>2+</m:t>
                            </m:r>
                          </m:sup>
                        </m:sSup>
                      </m:e>
                    </m:d>
                    <m:r>
                      <w:rPr>
                        <w:rFonts w:ascii="Cambria Math" w:hAnsi="Cambria Math"/>
                      </w:rPr>
                      <m:t>+[</m:t>
                    </m:r>
                    <m:sSubSup>
                      <m:sSubSupPr>
                        <m:ctrlPr>
                          <w:rPr>
                            <w:rFonts w:ascii="Cambria Math" w:hAnsi="Cambria Math"/>
                            <w:i/>
                          </w:rPr>
                        </m:ctrlPr>
                      </m:sSubSupPr>
                      <m:e>
                        <m:r>
                          <w:rPr>
                            <w:rFonts w:ascii="Cambria Math" w:hAnsi="Cambria Math"/>
                          </w:rPr>
                          <m:t>VO</m:t>
                        </m:r>
                      </m:e>
                      <m:sub>
                        <m:r>
                          <w:rPr>
                            <w:rFonts w:ascii="Cambria Math" w:hAnsi="Cambria Math"/>
                          </w:rPr>
                          <m:t>2</m:t>
                        </m:r>
                      </m:sub>
                      <m:sup>
                        <m:r>
                          <w:rPr>
                            <w:rFonts w:ascii="Cambria Math" w:hAnsi="Cambria Math"/>
                          </w:rPr>
                          <m:t>+</m:t>
                        </m:r>
                      </m:sup>
                    </m:sSubSup>
                    <m:r>
                      <w:rPr>
                        <w:rFonts w:ascii="Cambria Math" w:hAnsi="Cambria Math"/>
                      </w:rPr>
                      <m:t>]</m:t>
                    </m:r>
                  </m:den>
                </m:f>
              </m:oMath>
            </m:oMathPara>
          </w:p>
        </w:tc>
        <w:tc>
          <w:tcPr>
            <w:tcW w:w="3117" w:type="dxa"/>
          </w:tcPr>
          <w:p w14:paraId="77CB3F64" w14:textId="40264BBD" w:rsidR="00CC0E19" w:rsidRDefault="006E4676" w:rsidP="006E4676">
            <w:pPr>
              <w:spacing w:after="0" w:line="480" w:lineRule="auto"/>
              <w:jc w:val="right"/>
            </w:pPr>
            <w:r>
              <w:t>(4</w:t>
            </w:r>
            <w:r w:rsidR="00CC0E19">
              <w:t>)</w:t>
            </w:r>
          </w:p>
        </w:tc>
      </w:tr>
    </w:tbl>
    <w:p w14:paraId="28957FF5" w14:textId="631C6D50" w:rsidR="006D06E3" w:rsidRDefault="00163D29" w:rsidP="003A1C5E">
      <w:pPr>
        <w:spacing w:after="0" w:line="480" w:lineRule="auto"/>
        <w:ind w:firstLine="720"/>
      </w:pPr>
      <w:r>
        <w:t xml:space="preserve">A second motivation of this study is to assess the influence of the mixed valence </w:t>
      </w:r>
      <w:proofErr w:type="spellStart"/>
      <w:r>
        <w:t>cation:cation</w:t>
      </w:r>
      <w:proofErr w:type="spellEnd"/>
      <w:r>
        <w:t xml:space="preserve"> complex V</w:t>
      </w:r>
      <w:r>
        <w:rPr>
          <w:vertAlign w:val="subscript"/>
        </w:rPr>
        <w:t>2</w:t>
      </w:r>
      <w:r>
        <w:t>O</w:t>
      </w:r>
      <w:r>
        <w:rPr>
          <w:vertAlign w:val="subscript"/>
        </w:rPr>
        <w:t>3</w:t>
      </w:r>
      <w:r>
        <w:rPr>
          <w:vertAlign w:val="superscript"/>
        </w:rPr>
        <w:t>3+</w:t>
      </w:r>
      <w:r>
        <w:t xml:space="preserve"> formed by a 1:1 stoichiometry between VO</w:t>
      </w:r>
      <w:r>
        <w:rPr>
          <w:vertAlign w:val="superscript"/>
        </w:rPr>
        <w:t>2+</w:t>
      </w:r>
      <w:r>
        <w:t xml:space="preserve"> and VO</w:t>
      </w:r>
      <w:r>
        <w:rPr>
          <w:vertAlign w:val="subscript"/>
        </w:rPr>
        <w:t>2</w:t>
      </w:r>
      <w:r>
        <w:rPr>
          <w:vertAlign w:val="superscript"/>
        </w:rPr>
        <w:t>+</w:t>
      </w:r>
      <w:r>
        <w:t>.</w:t>
      </w:r>
      <w:r w:rsidR="003739F7">
        <w:fldChar w:fldCharType="begin"/>
      </w:r>
      <w:r w:rsidR="003739F7">
        <w:instrText xml:space="preserve"> ADDIN ZOTERO_ITEM CSL_CITATION {"citationID":"11bdf6s4ol","properties":{"formattedCitation":"{\\rtf \\super 16\\nosupersub{}}","plainCitation":"16"},"citationItems":[{"id":67,"uris":["http://zotero.org/users/local/rZ3AHC6s/items/BZNH9W2I"],"uri":["http://zotero.org/users/local/rZ3AHC6s/items/BZNH9W2I"],"itemData":{"id":67,"type":"article-journal","title":"Monitoring the State of Charge of Operating Vanadium Redox Flow Batteries","container-title":"ECS Transactions","page":"1-9","volume":"41","issue":"23","abstract":"We describe methods for assessment of the state of charge (SOC) of vanadium redox flow batteries during operation using UV-vis spectrophotometry and full cell OCV measurements.  The absorbance of the negative electrolyte solution at 433 nm, 600 nm and 750 nm is linear in SOC for SOC &gt; 0.2.  The absorbance of the positive electrolyte does not display a linear relationship with SOC, which we attribute to the formation of a strongly absorbing third species. An analysis of the excess absorbance of the positive electrolyte suggests that a complex with 1:1 stoichiometry is formed by VO2+ and VO2+.  Full-cell OCV measurements were found to be an inaccurate gauge of the state of charge of the battery.","DOI":"10.1149/1.3697449","journalAbbreviation":"ECS Transactions","author":[{"family":"Tang","given":"Zhijiang"},{"family":"Aaron","given":"Douglas S."},{"family":"Papandrew","given":"Alexander B."},{"family":"Zawodzinski","given":"Thomas A."}],"issued":{"date-parts":[["2012",5,4]]}}}],"schema":"https://github.com/citation-style-language/schema/raw/master/csl-citation.json"} </w:instrText>
      </w:r>
      <w:r w:rsidR="003739F7">
        <w:fldChar w:fldCharType="separate"/>
      </w:r>
      <w:r w:rsidR="003739F7" w:rsidRPr="003739F7">
        <w:rPr>
          <w:rFonts w:ascii="Calibri" w:hAnsi="Calibri" w:cs="Times New Roman"/>
          <w:szCs w:val="24"/>
          <w:vertAlign w:val="superscript"/>
        </w:rPr>
        <w:t>16</w:t>
      </w:r>
      <w:r w:rsidR="003739F7">
        <w:fldChar w:fldCharType="end"/>
      </w:r>
      <w:r w:rsidR="00851D33">
        <w:t xml:space="preserve"> Coupling the measured per</w:t>
      </w:r>
      <w:r w:rsidR="003A1C5E">
        <w:t>formance of the battery with</w:t>
      </w:r>
      <w:r w:rsidR="00851D33">
        <w:t xml:space="preserve"> kn</w:t>
      </w:r>
      <w:r w:rsidR="003A1C5E">
        <w:t>owledge of species present in electrolyte</w:t>
      </w:r>
      <w:r w:rsidR="00851D33">
        <w:t xml:space="preserve"> ultimately results in the ability to better design electrodes. The surface chemistry of electrodes is known to significantly affect kinetic performance in batteries, and this surface chemistry could be tailored to interact with the vanadium species present </w:t>
      </w:r>
      <w:r w:rsidR="003A1C5E">
        <w:t xml:space="preserve">in such a way </w:t>
      </w:r>
      <w:r w:rsidR="00851D33">
        <w:t>to produce optimal performance.</w:t>
      </w:r>
      <w:r w:rsidR="001D1CB2">
        <w:t xml:space="preserve"> To this end, the kinetic performance of the battery will be measure </w:t>
      </w:r>
      <w:r w:rsidR="001D1CB2">
        <w:rPr>
          <w:i/>
        </w:rPr>
        <w:t>in-situ</w:t>
      </w:r>
      <w:r w:rsidR="001D1CB2">
        <w:t xml:space="preserve"> and evaluated via appropriate kinetic models. The species composition of the electrolyte will be determined through a combination of Fourier transform infrared spectroscopy (FTIR) and </w:t>
      </w:r>
      <w:r w:rsidR="003A1C5E">
        <w:t>micro-</w:t>
      </w:r>
      <w:r w:rsidR="001D1CB2">
        <w:t>Raman spectroscopy.</w:t>
      </w:r>
      <w:r>
        <w:t xml:space="preserve"> Finally, I will seek to draw conclusions about the effect of the mixed-valence </w:t>
      </w:r>
      <w:proofErr w:type="spellStart"/>
      <w:r>
        <w:t>cation</w:t>
      </w:r>
      <w:proofErr w:type="gramStart"/>
      <w:r>
        <w:t>:cation</w:t>
      </w:r>
      <w:proofErr w:type="spellEnd"/>
      <w:proofErr w:type="gramEnd"/>
      <w:r>
        <w:t xml:space="preserve"> complex on the kinetic performance of the battery.</w:t>
      </w:r>
    </w:p>
    <w:p w14:paraId="123EB7D9" w14:textId="47363AE3" w:rsidR="00A90E9B" w:rsidRPr="00951C48" w:rsidRDefault="006D06E3" w:rsidP="003A1C5E">
      <w:pPr>
        <w:spacing w:after="0" w:line="480" w:lineRule="auto"/>
        <w:rPr>
          <w:b/>
        </w:rPr>
      </w:pPr>
      <w:r w:rsidRPr="00951C48">
        <w:rPr>
          <w:b/>
        </w:rPr>
        <w:t>3.1 Van</w:t>
      </w:r>
      <w:r w:rsidR="004441AC" w:rsidRPr="00951C48">
        <w:rPr>
          <w:b/>
        </w:rPr>
        <w:t>a</w:t>
      </w:r>
      <w:r w:rsidR="003A1C5E" w:rsidRPr="00951C48">
        <w:rPr>
          <w:b/>
        </w:rPr>
        <w:t>dium Chemistry in Solution</w:t>
      </w:r>
    </w:p>
    <w:p w14:paraId="0E903889" w14:textId="7B4EA4F8" w:rsidR="000F03A9" w:rsidRDefault="00A90E9B" w:rsidP="003A1C5E">
      <w:pPr>
        <w:spacing w:after="0" w:line="480" w:lineRule="auto"/>
        <w:ind w:firstLine="720"/>
      </w:pPr>
      <w:r>
        <w:t xml:space="preserve">Operating </w:t>
      </w:r>
      <w:r w:rsidR="003A1C5E">
        <w:t>VRBs</w:t>
      </w:r>
      <w:r>
        <w:t xml:space="preserve"> use four different vanadium oxidation states: V</w:t>
      </w:r>
      <w:r>
        <w:rPr>
          <w:vertAlign w:val="superscript"/>
        </w:rPr>
        <w:t>2+</w:t>
      </w:r>
      <w:r>
        <w:t>, V</w:t>
      </w:r>
      <w:r>
        <w:rPr>
          <w:vertAlign w:val="superscript"/>
        </w:rPr>
        <w:t>3+</w:t>
      </w:r>
      <w:r>
        <w:t>, V</w:t>
      </w:r>
      <w:r>
        <w:rPr>
          <w:vertAlign w:val="superscript"/>
        </w:rPr>
        <w:t>4+</w:t>
      </w:r>
      <w:r>
        <w:t>, and V</w:t>
      </w:r>
      <w:r>
        <w:rPr>
          <w:vertAlign w:val="superscript"/>
        </w:rPr>
        <w:t>5+</w:t>
      </w:r>
      <w:r>
        <w:t>. Additionally, V</w:t>
      </w:r>
      <w:r>
        <w:rPr>
          <w:vertAlign w:val="superscript"/>
        </w:rPr>
        <w:t>4+</w:t>
      </w:r>
      <w:r>
        <w:t xml:space="preserve"> and V</w:t>
      </w:r>
      <w:r>
        <w:rPr>
          <w:vertAlign w:val="superscript"/>
        </w:rPr>
        <w:t>5+</w:t>
      </w:r>
      <w:r>
        <w:t xml:space="preserve"> form a mixed-valence cation-cation complex of 1:1 stoichiometry.</w:t>
      </w:r>
      <w:r w:rsidR="001929E1">
        <w:fldChar w:fldCharType="begin"/>
      </w:r>
      <w:r w:rsidR="003739F7">
        <w:instrText xml:space="preserve"> ADDIN ZOTERO_ITEM CSL_CITATION {"citationID":"jmqqbj7gu","properties":{"formattedCitation":"{\\rtf \\super 16\\uc0\\u8211{}18\\nosupersub{}}","plainCitation":"16–18"},"citationItems":[{"id":96,"uris":["http://zotero.org/users/local/rZ3AHC6s/items/5I2JMDRF"],"uri":["http://zotero.org/users/local/rZ3AHC6s/items/5I2JMDRF"],"itemData":{"id":96,"type":"article-journal","title":"Spectrophotometric identification of a mixed-valence cation-cation complex between aquadioxovanadium(V) and aquaoxovanadium(IV) ions in perchloric, sulfuric, and hydrochloric acid media","container-title":"Inorganic Chemistry","page":"2923-2928","volume":"21","issue":"8","DOI":"10.1021/ic00138a003","ISSN":"0020-1669","journalAbbreviation":"Inorg. Chem.","author":[{"family":"Blanc","given":"P."},{"family":"Madic","given":"C."},{"family":"Launay","given":"J. P."}],"issued":{"date-parts":[["1982",8,1]]}}},{"id":24,"uris":["http://zotero.org/users/local/rZ3AHC6s/items/C54BT63J"],"uri":["http://zotero.org/users/local/rZ3AHC6s/items/C54BT63J"],"itemData":{"id":24,"type":"article-journal","title":"Study of vanadium(IV) species and corresponding electrochemical performance in concentrated sulfuric acid media","container-title":"Electrochimica Acta","page":"10197-10203","volume":"56","issue":"27","abstract":"The vanadium(IV) ion is found to form the [VO(SO4)(H2O)4]·H2O complex, as well as the dimer, [VO(H2O)3]2(μ-SO4)2, in concentrated H2SO4 media. Their formation mechanisms were investigated by UV–Visible spectroscopy (UV–Vis), Raman spectroscopy, X-ray diffraction (XRD), cyclic voltammetry (CV) and electrochemical impedance spectroscopy (EIS). UV–Vis spectroscopy study showed that [VO(SO4)(H2O)4]·H2O concentration in H2SO4 solution was proportional to concentrations of VO2+ and SO42−. The increased deviation from the near centrosymmetry of the octahedral complexes is due to the replacement of an equatorial water oxygen in [VO(H2O)5]SO4 by a sulfate oxygen in [VO(SO4)(H2O)4]·H2O. The dimer shows symmetrical structure, which correlates very well with non-activity in UV–Vis spectroscopic analysis. Structural information on both vanadium(IV) species can be confirmed by Raman and XRD measurements of crystals from the supersaturated solution of VOSO4 in 1 M, 6 M and 12 M sulfuric acid. A solution of vanadium(IV) (0.05 M) in 12 M H2SO4, in which the vanadium(IV) species is [VO(H2O)3]2(μ-SO4)2, exhibits a reversible redox behavior near 1.14 V (vs. SCE) on the carbon paper electrode.","DOI":"10.1016/j.electacta.2011.09.006","ISSN":"0013-4686","journalAbbreviation":"Electrochimica Acta","author":[{"family":"Wu","given":"Xuewen"},{"family":"Wang","given":"Jinjin"},{"family":"Liu","given":"Suqin"},{"family":"Wu","given":"Xiongwei"},{"family":"Li","given":"Sha"}],"issued":{"date-parts":[["2011",11,30]]}}},{"id":67,"uris":["http://zotero.org/users/local/rZ3AHC6s/items/BZNH9W2I"],"uri":["http://zotero.org/users/local/rZ3AHC6s/items/BZNH9W2I"],"itemData":{"id":67,"type":"article-journal","title":"Monitoring the State of Charge of Operating Vanadium Redox Flow Batteries","container-title":"ECS Transactions","page":"1-9","volume":"41","issue":"23","abstract":"We describe methods for assessment of the state of charge (SOC) of vanadium redox flow batteries during operation using UV-vis spectrophotometry and full cell OCV measurements.  The absorbance of the negative electrolyte solution at 433 nm, 600 nm and 750 nm is linear in SOC for SOC &gt; 0.2.  The absorbance of the positive electrolyte does not display a linear relationship with SOC, which we attribute to the formation of a strongly absorbing third species. An analysis of the excess absorbance of the positive electrolyte suggests that a complex with 1:1 stoichiometry is formed by VO2+ and VO2+.  Full-cell OCV measurements were found to be an inaccurate gauge of the state of charge of the battery.","DOI":"10.1149/1.3697449","journalAbbreviation":"ECS Transactions","author":[{"family":"Tang","given":"Zhijiang"},{"family":"Aaron","given":"Douglas S."},{"family":"Papandrew","given":"Alexander B."},{"family":"Zawodzinski","given":"Thomas A."}],"issued":{"date-parts":[["2012",5,4]]}}}],"schema":"https://github.com/citation-style-language/schema/raw/master/csl-citation.json"} </w:instrText>
      </w:r>
      <w:r w:rsidR="001929E1">
        <w:fldChar w:fldCharType="separate"/>
      </w:r>
      <w:r w:rsidR="003739F7" w:rsidRPr="003739F7">
        <w:rPr>
          <w:rFonts w:ascii="Calibri" w:hAnsi="Calibri" w:cs="Times New Roman"/>
          <w:szCs w:val="24"/>
          <w:vertAlign w:val="superscript"/>
        </w:rPr>
        <w:t>16–18</w:t>
      </w:r>
      <w:r w:rsidR="001929E1">
        <w:fldChar w:fldCharType="end"/>
      </w:r>
      <w:r w:rsidR="00DE3E85">
        <w:rPr>
          <w:vertAlign w:val="superscript"/>
        </w:rPr>
        <w:t>,</w:t>
      </w:r>
      <w:r w:rsidR="00DE3E85">
        <w:rPr>
          <w:vertAlign w:val="superscript"/>
        </w:rPr>
        <w:fldChar w:fldCharType="begin"/>
      </w:r>
      <w:r w:rsidR="00DC6E54">
        <w:rPr>
          <w:vertAlign w:val="superscript"/>
        </w:rPr>
        <w:instrText xml:space="preserve"> ADDIN ZOTERO_ITEM CSL_CITATION {"citationID":"26c807h6k1","properties":{"formattedCitation":"{\\rtf \\super 11\\nosupersub{}}","plainCitation":"11"},"citationItems":[{"id":40,"uris":["http://zotero.org/users/local/rZ3AHC6s/items/IZZMUAPI"],"uri":["http://zotero.org/users/local/rZ3AHC6s/items/IZZMUAPI"],"itemData":{"id":40,"type":"article-journal","title":"Study of the Mechanism of the Vanadium 4+/5+ Redox Reaction in Acidic Solutions","container-title":"Journal of The Electrochemical Society","page":"A123-A130","volume":"151","issue":"1","abstract":"The mechanism of the vanadium \n\nVO\n\n2\n+\n\n\n/\n\nVO\n\n2\n\n\n+\n\n\n\n\nredox couple has been examined in acidic aqueous solutions. A detailed understanding of this chemistry is of interest for improving and optimizing the performance of vanadium redox-flow batteries, a promising electrochemical electricity storage technology. The vanadium 4+/5+ redox reactions were studied at a rotating disk graphite electrode and polarization curves were obtained in sulfuric acid and perchloric acid, with varying pH and vanadium concentrations. The results were compared to model predictions for different mechanisms. The data were consistent with a model with a multistep chemical-electrochemical-chemical mechanism at low overpotentials, which changes to a multistep electrochemical-chemical-chemical mechanism at higher anodic or cathodic overpotentials. Unusually high Tafel slopes (350-450 mV/decade) were observed for the reduction of\n\nVO\n\n2\n\n\n+\n\n\n\n\nat higher overpotentials. While this could not be directly explained by the model, insights gained through the use of the model can provide the basis for some suggestions. © 2003 The Electrochemical Society. All rights reserved.","DOI":"10.1149/1.1630594","journalAbbreviation":"Journal of The Electrochemical Society","author":[{"family":"Gattrell","given":"M."},{"family":"Park","given":"J."},{"family":"MacDougall","given":"B."},{"family":"Apte","given":"J."},{"family":"McCarthy","given":"S."},{"family":"Wu","given":"C. W."}],"issued":{"date-parts":[["2004",1,1]]}}}],"schema":"https://github.com/citation-style-language/schema/raw/master/csl-citation.json"} </w:instrText>
      </w:r>
      <w:r w:rsidR="00DE3E85">
        <w:rPr>
          <w:vertAlign w:val="superscript"/>
        </w:rPr>
        <w:fldChar w:fldCharType="separate"/>
      </w:r>
      <w:r w:rsidR="00DC6E54" w:rsidRPr="00DC6E54">
        <w:rPr>
          <w:rFonts w:ascii="Calibri" w:hAnsi="Calibri" w:cs="Times New Roman"/>
          <w:szCs w:val="24"/>
          <w:vertAlign w:val="superscript"/>
        </w:rPr>
        <w:t>11</w:t>
      </w:r>
      <w:r w:rsidR="00DE3E85">
        <w:rPr>
          <w:vertAlign w:val="superscript"/>
        </w:rPr>
        <w:fldChar w:fldCharType="end"/>
      </w:r>
      <w:r>
        <w:t xml:space="preserve"> These oxidation states exist in </w:t>
      </w:r>
      <w:proofErr w:type="spellStart"/>
      <w:r>
        <w:t>complex</w:t>
      </w:r>
      <w:r w:rsidR="003A1C5E">
        <w:t>ed</w:t>
      </w:r>
      <w:proofErr w:type="spellEnd"/>
      <w:r>
        <w:t xml:space="preserve"> form with water and sulfate. Important to this chemistry is the concept of inner and outer hydration shells. Inner hydrations shells are comprised of ligands that interact</w:t>
      </w:r>
      <w:r w:rsidR="00D96F03">
        <w:t xml:space="preserve"> directly with the metal cation. V</w:t>
      </w:r>
      <w:r w:rsidR="00D96F03">
        <w:rPr>
          <w:vertAlign w:val="superscript"/>
        </w:rPr>
        <w:t>2+</w:t>
      </w:r>
      <w:r w:rsidR="00D96F03">
        <w:t xml:space="preserve"> and V</w:t>
      </w:r>
      <w:r w:rsidR="00D96F03">
        <w:rPr>
          <w:vertAlign w:val="superscript"/>
        </w:rPr>
        <w:t>3+</w:t>
      </w:r>
      <w:r w:rsidR="00D96F03">
        <w:t xml:space="preserve"> are generally thought to have an octahedral inner hydration shell of six water molecules, though V</w:t>
      </w:r>
      <w:r w:rsidR="00D96F03">
        <w:rPr>
          <w:vertAlign w:val="superscript"/>
        </w:rPr>
        <w:t>3+</w:t>
      </w:r>
      <w:r w:rsidR="00D96F03">
        <w:t xml:space="preserve"> is known to exchange one of the water molecules for a sulfate group.</w:t>
      </w:r>
      <w:r w:rsidR="00D96F03">
        <w:fldChar w:fldCharType="begin"/>
      </w:r>
      <w:r w:rsidR="00DC6E54">
        <w:instrText xml:space="preserve"> ADDIN ZOTERO_ITEM CSL_CITATION {"citationID":"hubtp2rql","properties":{"formattedCitation":"{\\rtf \\super 19\\uc0\\u8211{}21\\nosupersub{}}","plainCitation":"19–21"},"citationItems":[{"id":100,"uris":["http://zotero.org/users/local/rZ3AHC6s/items/NRRTU4AS"],"uri":["http://zotero.org/users/local/rZ3AHC6s/items/NRRTU4AS"],"itemData":{"id":100,"type":"article-journal","title":"The solvation structure and thermodynamics of aqueous vanadium cations","container-title":"Chemical Physics Letters","page":"53-58","volume":"585","issue":"0","abstract":"Abstract\nThe present work seeks to understand the chemical structure and solvation thermodynamics of aqueous vanadium cations commonly employed in vanadium redox flow batteries. First principles based electronic structure calculations were performed to obtain the hydration structure and partial charges distributions of the cations in bulk water. The thermodynamics of solvation was determined within the context of a quasi-chemical theory of solution. The free energies of solvation for the V2+, V3+, VO2+, and VO 2 + cations were computed to be: −440.0, −1018.8, −457.2, and −184.4 kcal/mol, respectively, which agree well with available experimental values.","DOI":"10.1016/j.cplett.2013.08.089","ISSN":"0009-2614","journalAbbreviation":"Chemical Physics Letters","author":[{"family":"Sepehr","given":"Fatemeh"},{"family":"Paddison","given":"Stephen J."}],"issued":{"date-parts":[["2013",10,14]]}}},{"id":92,"uris":["http://zotero.org/users/local/rZ3AHC6s/items/9N43ATNB"],"uri":["http://zotero.org/users/local/rZ3AHC6s/items/9N43ATNB"],"itemData":{"id":92,"type":"article-journal","title":"A Coordination Chemistry Study of Hydrated and Solvated Cationic Vanadium Ions in Oxidation States +III, +IV, and +V in Solution and Solid State","container-title":"Inorganic Chemistry","page":"9598-9609","volume":"51","issue":"18","DOI":"10.1021/ic300202f","ISSN":"0020-1669","journalAbbreviation":"Inorg. Chem.","author":[{"family":"Krakowiak","given":"Joanna"},{"family":"Lundberg","given":"Daniel"},{"family":"Persson","given":"Ingmar"}],"issued":{"date-parts":[["2012",9,17]]}}},{"id":103,"uris":["http://zotero.org/users/local/rZ3AHC6s/items/HJKE29KP"],"uri":["http://zotero.org/users/local/rZ3AHC6s/items/HJKE29KP"],"itemData":{"id":103,"type":"article-journal","title":"Structure and stability of hexa-aqua V(iii) cations in vanadium redox flow battery electrolytes","container-title":"Physical Chemistry Chemical Physics","page":"10233-10242","volume":"14","issue":"29","abstract":"The vanadium(iii) cation structure in mixed acid based electrolyte solution from vanadium redox flow batteries is studied by 17O and 35/37Cl nuclear magnetic resonance (NMR) spectroscopy, electronic spectroscopy and density functional theory (DFT) based computational modelling. Both computational and experimental results reveal that the V(iii) species can complex with counter anions (sulfate/chlorine) depending on the composition of its solvation sphere. By analyzing the powder precipitate it was found that the formation of sulfate complexed V(iii) species is the crucial process in the precipitation reaction. The precipitation occurs through nucleation of neutral species formed through deprotonation and ion-pair formation process. However, the powder precipitate shows a multiphase nature which warrants multiple reaction pathways for precipitation reaction.","DOI":"10.1039/C2CP40707H","ISSN":"1463-9076","journalAbbreviation":"Phys. Chem. Chem. Phys.","author":[{"family":"Vijayakumar","given":"M."},{"family":"Li","given":"Liyu"},{"family":"Nie","given":"Zimin"},{"family":"Yang","given":"Zhenguo"},{"family":"Hu","given":"JianZhi"}],"issued":{"date-parts":[["2012"]]}}}],"schema":"https://github.com/citation-style-language/schema/raw/master/csl-citation.json"} </w:instrText>
      </w:r>
      <w:r w:rsidR="00D96F03">
        <w:fldChar w:fldCharType="separate"/>
      </w:r>
      <w:r w:rsidR="00DC6E54" w:rsidRPr="00DC6E54">
        <w:rPr>
          <w:rFonts w:ascii="Calibri" w:hAnsi="Calibri" w:cs="Times New Roman"/>
          <w:szCs w:val="24"/>
          <w:vertAlign w:val="superscript"/>
        </w:rPr>
        <w:t>19–21</w:t>
      </w:r>
      <w:r w:rsidR="00D96F03">
        <w:fldChar w:fldCharType="end"/>
      </w:r>
      <w:r w:rsidR="00D96F03">
        <w:t xml:space="preserve"> V</w:t>
      </w:r>
      <w:r w:rsidR="00D96F03">
        <w:rPr>
          <w:vertAlign w:val="superscript"/>
        </w:rPr>
        <w:t>4+</w:t>
      </w:r>
      <w:r w:rsidR="00E90CE4">
        <w:t xml:space="preserve"> has one axial double-bonded oxygen, one axial water molecule, and four planar water molecules.</w:t>
      </w:r>
      <w:r w:rsidR="00E90CE4">
        <w:fldChar w:fldCharType="begin"/>
      </w:r>
      <w:r w:rsidR="00CC0E19">
        <w:instrText xml:space="preserve"> ADDIN ZOTERO_ITEM CSL_CITATION {"citationID":"2mvui85ue3","properties":{"formattedCitation":"{\\rtf \\super 17\\uc0\\u8211{}20,22\\nosupersub{}}","plainCitation":"17–20,22"},"citationItems":[{"id":100,"uris":["http://zotero.org/users/local/rZ3AHC6s/items/NRRTU4AS"],"uri":["http://zotero.org/users/local/rZ3AHC6s/items/NRRTU4AS"],"itemData":{"id":100,"type":"article-journal","title":"The solvation structure and thermodynamics of aqueous vanadium cations","container-title":"Chemical Physics Letters","page":"53-58","volume":"585","issue":"0","abstract":"Abstract\nThe present work seeks to understand the chemical structure and solvation thermodynamics of aqueous vanadium cations commonly employed in vanadium redox flow batteries. First principles based electronic structure calculations were performed to obtain the hydration structure and partial charges distributions of the cations in bulk water. The thermodynamics of solvation was determined within the context of a quasi-chemical theory of solution. The free energies of solvation for the V2+, V3+, VO2+, and VO 2 + cations were computed to be: −440.0, −1018.8, −457.2, and −184.4 kcal/mol, respectively, which agree well with available experimental values.","DOI":"10.1016/j.cplett.2013.08.089","ISSN":"0009-2614","journalAbbreviation":"Chemical Physics Letters","author":[{"family":"Sepehr","given":"Fatemeh"},{"family":"Paddison","given":"Stephen J."}],"issued":{"date-parts":[["2013",10,14]]}}},{"id":92,"uris":["http://zotero.org/users/local/rZ3AHC6s/items/9N43ATNB"],"uri":["http://zotero.org/users/local/rZ3AHC6s/items/9N43ATNB"],"itemData":{"id":92,"type":"article-journal","title":"A Coordination Chemistry Study of Hydrated and Solvated Cationic Vanadium Ions in Oxidation States +III, +IV, and +V in Solution and Solid State","container-title":"Inorganic Chemistry","page":"9598-9609","volume":"51","issue":"18","DOI":"10.1021/ic300202f","ISSN":"0020-1669","journalAbbreviation":"Inorg. Chem.","author":[{"family":"Krakowiak","given":"Joanna"},{"family":"Lundberg","given":"Daniel"},{"family":"Persson","given":"Ingmar"}],"issued":{"date-parts":[["2012",9,17]]}}},{"id":96,"uris":["http://zotero.org/users/local/rZ3AHC6s/items/5I2JMDRF"],"uri":["http://zotero.org/users/local/rZ3AHC6s/items/5I2JMDRF"],"itemData":{"id":96,"type":"article-journal","title":"Spectrophotometric identification of a mixed-valence cation-cation complex between aquadioxovanadium(V) and aquaoxovanadium(IV) ions in perchloric, sulfuric, and hydrochloric acid media","container-title":"Inorganic Chemistry","page":"2923-2928","volume":"21","issue":"8","DOI":"10.1021/ic00138a003","ISSN":"0020-1669","journalAbbreviation":"Inorg. Chem.","author":[{"family":"Blanc","given":"P."},{"family":"Madic","given":"C."},{"family":"Launay","given":"J. P."}],"issued":{"date-parts":[["1982",8,1]]}}},{"id":24,"uris":["http://zotero.org/users/local/rZ3AHC6s/items/C54BT63J"],"uri":["http://zotero.org/users/local/rZ3AHC6s/items/C54BT63J"],"itemData":{"id":24,"type":"article-journal","title":"Study of vanadium(IV) species and corresponding electrochemical performance in concentrated sulfuric acid media","container-title":"Electrochimica Acta","page":"10197-10203","volume":"56","issue":"27","abstract":"The vanadium(IV) ion is found to form the [VO(SO4)(H2O)4]·H2O complex, as well as the dimer, [VO(H2O)3]2(μ-SO4)2, in concentrated H2SO4 media. Their formation mechanisms were investigated by UV–Visible spectroscopy (UV–Vis), Raman spectroscopy, X-ray diffraction (XRD), cyclic voltammetry (CV) and electrochemical impedance spectroscopy (EIS). UV–Vis spectroscopy study showed that [VO(SO4)(H2O)4]·H2O concentration in H2SO4 solution was proportional to concentrations of VO2+ and SO42−. The increased deviation from the near centrosymmetry of the octahedral complexes is due to the replacement of an equatorial water oxygen in [VO(H2O)5]SO4 by a sulfate oxygen in [VO(SO4)(H2O)4]·H2O. The dimer shows symmetrical structure, which correlates very well with non-activity in UV–Vis spectroscopic analysis. Structural information on both vanadium(IV) species can be confirmed by Raman and XRD measurements of crystals from the supersaturated solution of VOSO4 in 1 M, 6 M and 12 M sulfuric acid. A solution of vanadium(IV) (0.05 M) in 12 M H2SO4, in which the vanadium(IV) species is [VO(H2O)3]2(μ-SO4)2, exhibits a reversible redox behavior near 1.14 V (vs. SCE) on the carbon paper electrode.","DOI":"10.1016/j.electacta.2011.09.006","ISSN":"0013-4686","journalAbbreviation":"Electrochimica Acta","author":[{"family":"Wu","given":"Xuewen"},{"family":"Wang","given":"Jinjin"},{"family":"Liu","given":"Suqin"},{"family":"Wu","given":"Xiongwei"},{"family":"Li","given":"Sha"}],"issued":{"date-parts":[["2011",11,30]]}}},{"id":23,"uris":["http://zotero.org/users/local/rZ3AHC6s/items/8AS7Z2QU"],"uri":["http://zotero.org/users/local/rZ3AHC6s/items/8AS7Z2QU"],"itemData":{"id":23,"type":"article-journal","title":"Nuclear magnetic resonance studies on vanadium(IV) electrolyte solutions for vanadium redox flow battery","container-title":"Journal of Power Sources","page":"7709-7717","volume":"195","issue":"22","abstract":"The vanadium(IV) electrolyte solutions with various vanadium concentrations are studied by variable temperature 1H and 17O nuclear magnetic resonance (NMR) spectroscopy. The structure and kinetics of vanadium(IV) species in the electrolyte solutions are explored with respect to vanadium concentration and temperature. It was found that the vanadium(IV) species exist as hydrated vanadyl ion, i.e. [VO(H2O)5]2+ forming an octahedral coordination with vanadyl oxygen in the axial position and the remaining positions occupied by water molecules. This hydrated vanadyl ion structure is stable in vanadium concentrations up to 3 M and in the temperature range of 240–340 K. The sulfate anions in the electrolyte solutions are found to be weekly bound to this hydrated vanadyl ion and occupies its second-coordination sphere. The possible effects of these sulfate anions in proton and water exchange between vanadyl ion and solvent molecules are discussed based on 1H and 17O NMR results.","DOI":"10.1016/j.jpowsour.2010.05.008","ISSN":"0378-7753","journalAbbreviation":"Journal of Power Sources","author":[{"family":"Vijayakumar","given":"M."},{"family":"Burton","given":"Sarah D."},{"family":"Huang","given":"Cheng"},{"family":"Li","given":"Liyu"},{"family":"Yang","given":"Zhenguo"},{"family":"Graff","given":"Gordon L."},{"family":"Liu","given":"Jun"},{"family":"Hu","given":"Jianzhi"},{"family":"Skyllas-Kazacos","given":"Maria"}],"issued":{"date-parts":[["2010",11,15]]}}}],"schema":"https://github.com/citation-style-language/schema/raw/master/csl-citation.json"} </w:instrText>
      </w:r>
      <w:r w:rsidR="00E90CE4">
        <w:fldChar w:fldCharType="separate"/>
      </w:r>
      <w:r w:rsidR="00CC0E19" w:rsidRPr="00CC0E19">
        <w:rPr>
          <w:rFonts w:ascii="Calibri" w:hAnsi="Calibri" w:cs="Times New Roman"/>
          <w:szCs w:val="24"/>
          <w:vertAlign w:val="superscript"/>
        </w:rPr>
        <w:t>17–20,22</w:t>
      </w:r>
      <w:r w:rsidR="00E90CE4">
        <w:fldChar w:fldCharType="end"/>
      </w:r>
      <w:r w:rsidR="00E90CE4">
        <w:t xml:space="preserve"> V</w:t>
      </w:r>
      <w:r w:rsidR="00E90CE4">
        <w:rPr>
          <w:vertAlign w:val="superscript"/>
        </w:rPr>
        <w:t>4+</w:t>
      </w:r>
      <w:r w:rsidR="00E90CE4">
        <w:t xml:space="preserve"> may then form an outer sphere complex with either a sulfate group or a water molecule which may react to form an equilibrium with a V</w:t>
      </w:r>
      <w:r w:rsidR="00E90CE4">
        <w:rPr>
          <w:vertAlign w:val="superscript"/>
        </w:rPr>
        <w:t>4+</w:t>
      </w:r>
      <w:r w:rsidR="00E90CE4">
        <w:t xml:space="preserve"> with a sulfate group in</w:t>
      </w:r>
      <w:r w:rsidR="003A1C5E">
        <w:t xml:space="preserve"> its inner hydration sphere, expelling</w:t>
      </w:r>
      <w:r w:rsidR="00E90CE4">
        <w:t xml:space="preserve"> one free water molecule. The sulfate group in the inner sphere may then </w:t>
      </w:r>
      <w:proofErr w:type="spellStart"/>
      <w:r w:rsidR="00E90CE4">
        <w:t>dimerize</w:t>
      </w:r>
      <w:proofErr w:type="spellEnd"/>
      <w:r w:rsidR="00E90CE4">
        <w:t xml:space="preserve"> the </w:t>
      </w:r>
      <w:r w:rsidR="00E90CE4">
        <w:lastRenderedPageBreak/>
        <w:t>structure using sulfate groups as bridges under certain solution conditions.</w:t>
      </w:r>
      <w:r w:rsidR="00E90CE4">
        <w:fldChar w:fldCharType="begin"/>
      </w:r>
      <w:r w:rsidR="00CC0E19">
        <w:instrText xml:space="preserve"> ADDIN ZOTERO_ITEM CSL_CITATION {"citationID":"1gjk69fk7t","properties":{"formattedCitation":"{\\rtf \\super 18\\nosupersub{}}","plainCitation":"18"},"citationItems":[{"id":24,"uris":["http://zotero.org/users/local/rZ3AHC6s/items/C54BT63J"],"uri":["http://zotero.org/users/local/rZ3AHC6s/items/C54BT63J"],"itemData":{"id":24,"type":"article-journal","title":"Study of vanadium(IV) species and corresponding electrochemical performance in concentrated sulfuric acid media","container-title":"Electrochimica Acta","page":"10197-10203","volume":"56","issue":"27","abstract":"The vanadium(IV) ion is found to form the [VO(SO4)(H2O)4]·H2O complex, as well as the dimer, [VO(H2O)3]2(μ-SO4)2, in concentrated H2SO4 media. Their formation mechanisms were investigated by UV–Visible spectroscopy (UV–Vis), Raman spectroscopy, X-ray diffraction (XRD), cyclic voltammetry (CV) and electrochemical impedance spectroscopy (EIS). UV–Vis spectroscopy study showed that [VO(SO4)(H2O)4]·H2O concentration in H2SO4 solution was proportional to concentrations of VO2+ and SO42−. The increased deviation from the near centrosymmetry of the octahedral complexes is due to the replacement of an equatorial water oxygen in [VO(H2O)5]SO4 by a sulfate oxygen in [VO(SO4)(H2O)4]·H2O. The dimer shows symmetrical structure, which correlates very well with non-activity in UV–Vis spectroscopic analysis. Structural information on both vanadium(IV) species can be confirmed by Raman and XRD measurements of crystals from the supersaturated solution of VOSO4 in 1 M, 6 M and 12 M sulfuric acid. A solution of vanadium(IV) (0.05 M) in 12 M H2SO4, in which the vanadium(IV) species is [VO(H2O)3]2(μ-SO4)2, exhibits a reversible redox behavior near 1.14 V (vs. SCE) on the carbon paper electrode.","DOI":"10.1016/j.electacta.2011.09.006","ISSN":"0013-4686","journalAbbreviation":"Electrochimica Acta","author":[{"family":"Wu","given":"Xuewen"},{"family":"Wang","given":"Jinjin"},{"family":"Liu","given":"Suqin"},{"family":"Wu","given":"Xiongwei"},{"family":"Li","given":"Sha"}],"issued":{"date-parts":[["2011",11,30]]}}}],"schema":"https://github.com/citation-style-language/schema/raw/master/csl-citation.json"} </w:instrText>
      </w:r>
      <w:r w:rsidR="00E90CE4">
        <w:fldChar w:fldCharType="separate"/>
      </w:r>
      <w:r w:rsidR="00CC0E19" w:rsidRPr="00CC0E19">
        <w:rPr>
          <w:rFonts w:ascii="Calibri" w:hAnsi="Calibri" w:cs="Times New Roman"/>
          <w:szCs w:val="24"/>
          <w:vertAlign w:val="superscript"/>
        </w:rPr>
        <w:t>18</w:t>
      </w:r>
      <w:r w:rsidR="00E90CE4">
        <w:fldChar w:fldCharType="end"/>
      </w:r>
      <w:r w:rsidR="00E90CE4">
        <w:t xml:space="preserve"> </w:t>
      </w:r>
      <w:r w:rsidR="001E3EA9">
        <w:t>V</w:t>
      </w:r>
      <w:r w:rsidR="001E3EA9">
        <w:rPr>
          <w:vertAlign w:val="superscript"/>
        </w:rPr>
        <w:t>5+</w:t>
      </w:r>
      <w:r w:rsidR="001E3EA9">
        <w:t xml:space="preserve"> has two known relatively sta</w:t>
      </w:r>
      <w:r w:rsidR="003A1C5E">
        <w:t>ble structures. One structure has</w:t>
      </w:r>
      <w:r w:rsidR="001E3EA9">
        <w:t xml:space="preserve"> two double-bonded oxygen atoms bonded to the vanadium center with four water molecules completing the inner hydration shell. The second structure has two double-bonded oxygen atoms with three water molecules completing the inner hydration shell and one water molecule known to be in a second hydration shell. The second structure is more stable and thus more prevalent in solution.</w:t>
      </w:r>
      <w:r w:rsidR="001E3EA9">
        <w:fldChar w:fldCharType="begin"/>
      </w:r>
      <w:r w:rsidR="00DC6E54">
        <w:instrText xml:space="preserve"> ADDIN ZOTERO_ITEM CSL_CITATION {"citationID":"477h6812n","properties":{"formattedCitation":"{\\rtf \\super 19\\nosupersub{}}","plainCitation":"19"},"citationItems":[{"id":100,"uris":["http://zotero.org/users/local/rZ3AHC6s/items/NRRTU4AS"],"uri":["http://zotero.org/users/local/rZ3AHC6s/items/NRRTU4AS"],"itemData":{"id":100,"type":"article-journal","title":"The solvation structure and thermodynamics of aqueous vanadium cations","container-title":"Chemical Physics Letters","page":"53-58","volume":"585","issue":"0","abstract":"Abstract\nThe present work seeks to understand the chemical structure and solvation thermodynamics of aqueous vanadium cations commonly employed in vanadium redox flow batteries. First principles based electronic structure calculations were performed to obtain the hydration structure and partial charges distributions of the cations in bulk water. The thermodynamics of solvation was determined within the context of a quasi-chemical theory of solution. The free energies of solvation for the V2+, V3+, VO2+, and VO 2 + cations were computed to be: −440.0, −1018.8, −457.2, and −184.4 kcal/mol, respectively, which agree well with available experimental values.","DOI":"10.1016/j.cplett.2013.08.089","ISSN":"0009-2614","journalAbbreviation":"Chemical Physics Letters","author":[{"family":"Sepehr","given":"Fatemeh"},{"family":"Paddison","given":"Stephen J."}],"issued":{"date-parts":[["2013",10,14]]}}}],"schema":"https://github.com/citation-style-language/schema/raw/master/csl-citation.json"} </w:instrText>
      </w:r>
      <w:r w:rsidR="001E3EA9">
        <w:fldChar w:fldCharType="separate"/>
      </w:r>
      <w:r w:rsidR="00DC6E54" w:rsidRPr="00DC6E54">
        <w:rPr>
          <w:rFonts w:ascii="Calibri" w:hAnsi="Calibri" w:cs="Times New Roman"/>
          <w:szCs w:val="24"/>
          <w:vertAlign w:val="superscript"/>
        </w:rPr>
        <w:t>19</w:t>
      </w:r>
      <w:r w:rsidR="001E3EA9">
        <w:fldChar w:fldCharType="end"/>
      </w:r>
      <w:r w:rsidR="001929E1">
        <w:t xml:space="preserve">  T</w:t>
      </w:r>
      <w:r w:rsidR="000F03A9">
        <w:t>hese hydration shells may influence electron transfer</w:t>
      </w:r>
      <w:r w:rsidR="001929E1">
        <w:t xml:space="preserve"> mechanisms in redox reactions and species’ interactions with surface functional groups on carbon electrodes, making knowledge of their structure of utmost importance to this study.</w:t>
      </w:r>
    </w:p>
    <w:p w14:paraId="784688E1" w14:textId="131BAA38" w:rsidR="000F03A9" w:rsidRDefault="000F03A9" w:rsidP="003A1C5E">
      <w:pPr>
        <w:spacing w:line="480" w:lineRule="auto"/>
        <w:ind w:firstLine="720"/>
      </w:pPr>
      <w:r>
        <w:t>Of particular interest to my study is the V</w:t>
      </w:r>
      <w:r>
        <w:rPr>
          <w:vertAlign w:val="subscript"/>
        </w:rPr>
        <w:t>2</w:t>
      </w:r>
      <w:r>
        <w:t>O</w:t>
      </w:r>
      <w:r>
        <w:rPr>
          <w:vertAlign w:val="subscript"/>
        </w:rPr>
        <w:t>3</w:t>
      </w:r>
      <w:r>
        <w:rPr>
          <w:vertAlign w:val="superscript"/>
        </w:rPr>
        <w:t>3+</w:t>
      </w:r>
      <w:r>
        <w:t xml:space="preserve"> mixed valence cation-cation complex formed by V</w:t>
      </w:r>
      <w:r>
        <w:rPr>
          <w:vertAlign w:val="superscript"/>
        </w:rPr>
        <w:t>4+</w:t>
      </w:r>
      <w:r>
        <w:t xml:space="preserve"> and V</w:t>
      </w:r>
      <w:r>
        <w:rPr>
          <w:vertAlign w:val="superscript"/>
        </w:rPr>
        <w:t>5+</w:t>
      </w:r>
      <w:r>
        <w:t>. The following reaction is proposed for its formation:</w:t>
      </w:r>
    </w:p>
    <w:p w14:paraId="089AF22D" w14:textId="275DDE04" w:rsidR="000F03A9" w:rsidRDefault="006D61A5" w:rsidP="00055CFD">
      <w:pPr>
        <w:spacing w:line="480" w:lineRule="auto"/>
      </w:pPr>
      <w:r>
        <w:rPr>
          <w:noProof/>
        </w:rPr>
        <w:drawing>
          <wp:inline distT="0" distB="0" distL="0" distR="0" wp14:anchorId="4F4F30B1" wp14:editId="33DEAED3">
            <wp:extent cx="5943600" cy="141097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V2O3 formation.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1410970"/>
                    </a:xfrm>
                    <a:prstGeom prst="rect">
                      <a:avLst/>
                    </a:prstGeom>
                  </pic:spPr>
                </pic:pic>
              </a:graphicData>
            </a:graphic>
          </wp:inline>
        </w:drawing>
      </w:r>
    </w:p>
    <w:p w14:paraId="159969BD" w14:textId="05F6180F" w:rsidR="00A90E9B" w:rsidRDefault="000F03A9" w:rsidP="003A1C5E">
      <w:pPr>
        <w:spacing w:after="0" w:line="480" w:lineRule="auto"/>
      </w:pPr>
      <w:r w:rsidRPr="003A1C5E">
        <w:rPr>
          <w:b/>
        </w:rPr>
        <w:t xml:space="preserve">Figure </w:t>
      </w:r>
      <w:r w:rsidR="003A1C5E" w:rsidRPr="003A1C5E">
        <w:rPr>
          <w:b/>
        </w:rPr>
        <w:t>5</w:t>
      </w:r>
      <w:r>
        <w:t>: Formation of V</w:t>
      </w:r>
      <w:r>
        <w:rPr>
          <w:vertAlign w:val="subscript"/>
        </w:rPr>
        <w:t>2</w:t>
      </w:r>
      <w:r>
        <w:t>O</w:t>
      </w:r>
      <w:r>
        <w:rPr>
          <w:vertAlign w:val="subscript"/>
        </w:rPr>
        <w:t>3</w:t>
      </w:r>
      <w:r>
        <w:rPr>
          <w:vertAlign w:val="superscript"/>
        </w:rPr>
        <w:t>3+</w:t>
      </w:r>
    </w:p>
    <w:p w14:paraId="1AED65F1" w14:textId="2F18817C" w:rsidR="001929E1" w:rsidRDefault="001929E1" w:rsidP="003A1C5E">
      <w:pPr>
        <w:spacing w:after="0" w:line="480" w:lineRule="auto"/>
        <w:ind w:firstLine="720"/>
      </w:pPr>
      <w:r>
        <w:t>The V</w:t>
      </w:r>
      <w:r>
        <w:rPr>
          <w:vertAlign w:val="subscript"/>
        </w:rPr>
        <w:t>2</w:t>
      </w:r>
      <w:r>
        <w:t>O</w:t>
      </w:r>
      <w:r>
        <w:rPr>
          <w:vertAlign w:val="subscript"/>
        </w:rPr>
        <w:t>3</w:t>
      </w:r>
      <w:r>
        <w:rPr>
          <w:vertAlign w:val="superscript"/>
        </w:rPr>
        <w:t>3+</w:t>
      </w:r>
      <w:r>
        <w:t xml:space="preserve"> complex will form whenever both V</w:t>
      </w:r>
      <w:r>
        <w:rPr>
          <w:vertAlign w:val="superscript"/>
        </w:rPr>
        <w:t>4+</w:t>
      </w:r>
      <w:r>
        <w:t xml:space="preserve"> and V</w:t>
      </w:r>
      <w:r>
        <w:rPr>
          <w:vertAlign w:val="superscript"/>
        </w:rPr>
        <w:t>5+</w:t>
      </w:r>
      <w:r>
        <w:t xml:space="preserve"> are present on the positive side of the battery. Thus, the complex will be present at all states of charge except 0% and 100%. For practical purposes, the complex is always present in an operating VRB with its concentration dictated by state of charge. To our knowledge, no study has elucidated the complex’s role in the kinetic performance of an operating VRB. A major focus of this study is to elucidate the complex’s effect on kinetic performance of a VRB.</w:t>
      </w:r>
    </w:p>
    <w:p w14:paraId="3FFC3E49" w14:textId="77777777" w:rsidR="001929E1" w:rsidRPr="001929E1" w:rsidRDefault="001929E1" w:rsidP="00055CFD">
      <w:pPr>
        <w:spacing w:line="480" w:lineRule="auto"/>
      </w:pPr>
    </w:p>
    <w:p w14:paraId="50B0054F" w14:textId="426D320D" w:rsidR="006D06E3" w:rsidRDefault="003A1C5E" w:rsidP="00055CFD">
      <w:pPr>
        <w:spacing w:line="480" w:lineRule="auto"/>
      </w:pPr>
      <w:r w:rsidRPr="003A1C5E">
        <w:rPr>
          <w:b/>
        </w:rPr>
        <w:lastRenderedPageBreak/>
        <w:t>Table 1</w:t>
      </w:r>
      <w:r w:rsidR="00A90E9B">
        <w:t>: Kno</w:t>
      </w:r>
      <w:r>
        <w:t>wn Vanadium Species in Solution</w:t>
      </w:r>
    </w:p>
    <w:tbl>
      <w:tblPr>
        <w:tblStyle w:val="PlainTable2"/>
        <w:tblW w:w="0" w:type="auto"/>
        <w:tblLook w:val="04A0" w:firstRow="1" w:lastRow="0" w:firstColumn="1" w:lastColumn="0" w:noHBand="0" w:noVBand="1"/>
      </w:tblPr>
      <w:tblGrid>
        <w:gridCol w:w="1932"/>
        <w:gridCol w:w="5502"/>
        <w:gridCol w:w="1926"/>
      </w:tblGrid>
      <w:tr w:rsidR="006D06E3" w14:paraId="0F658740" w14:textId="77777777" w:rsidTr="008305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2D2793D1" w14:textId="55E9EE88" w:rsidR="006D06E3" w:rsidRDefault="006D06E3" w:rsidP="00055CFD">
            <w:pPr>
              <w:spacing w:line="480" w:lineRule="auto"/>
              <w:jc w:val="center"/>
            </w:pPr>
            <w:r>
              <w:t>Vanadium Species</w:t>
            </w:r>
          </w:p>
        </w:tc>
        <w:tc>
          <w:tcPr>
            <w:tcW w:w="3117" w:type="dxa"/>
            <w:vAlign w:val="center"/>
          </w:tcPr>
          <w:p w14:paraId="625E8FB1" w14:textId="0A70BB24" w:rsidR="006D06E3" w:rsidRDefault="006D06E3" w:rsidP="00055CFD">
            <w:pPr>
              <w:spacing w:line="480" w:lineRule="auto"/>
              <w:jc w:val="center"/>
              <w:cnfStyle w:val="100000000000" w:firstRow="1" w:lastRow="0" w:firstColumn="0" w:lastColumn="0" w:oddVBand="0" w:evenVBand="0" w:oddHBand="0" w:evenHBand="0" w:firstRowFirstColumn="0" w:firstRowLastColumn="0" w:lastRowFirstColumn="0" w:lastRowLastColumn="0"/>
            </w:pPr>
            <w:r>
              <w:t>Structure</w:t>
            </w:r>
          </w:p>
        </w:tc>
        <w:tc>
          <w:tcPr>
            <w:tcW w:w="3117" w:type="dxa"/>
          </w:tcPr>
          <w:p w14:paraId="60BB602D" w14:textId="21C7FE7D" w:rsidR="006D06E3" w:rsidRDefault="006D06E3" w:rsidP="00055CFD">
            <w:pPr>
              <w:spacing w:line="480" w:lineRule="auto"/>
              <w:jc w:val="center"/>
              <w:cnfStyle w:val="100000000000" w:firstRow="1" w:lastRow="0" w:firstColumn="0" w:lastColumn="0" w:oddVBand="0" w:evenVBand="0" w:oddHBand="0" w:evenHBand="0" w:firstRowFirstColumn="0" w:firstRowLastColumn="0" w:lastRowFirstColumn="0" w:lastRowLastColumn="0"/>
            </w:pPr>
            <w:r>
              <w:t>Reference</w:t>
            </w:r>
          </w:p>
        </w:tc>
      </w:tr>
      <w:tr w:rsidR="006D06E3" w14:paraId="57CFD70D" w14:textId="77777777" w:rsidTr="008305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4502611D" w14:textId="3459DF71" w:rsidR="006D06E3" w:rsidRPr="004441AC" w:rsidRDefault="004441AC" w:rsidP="00055CFD">
            <w:pPr>
              <w:spacing w:line="480" w:lineRule="auto"/>
            </w:pPr>
            <w:r>
              <w:t>V</w:t>
            </w:r>
            <w:r>
              <w:rPr>
                <w:vertAlign w:val="superscript"/>
              </w:rPr>
              <w:t>2+</w:t>
            </w:r>
          </w:p>
        </w:tc>
        <w:tc>
          <w:tcPr>
            <w:tcW w:w="3117" w:type="dxa"/>
            <w:vAlign w:val="center"/>
          </w:tcPr>
          <w:p w14:paraId="07547E97" w14:textId="32E9FDC6" w:rsidR="006D06E3" w:rsidRDefault="004441AC" w:rsidP="00055CFD">
            <w:pPr>
              <w:spacing w:line="480" w:lineRule="auto"/>
              <w:jc w:val="center"/>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55B959F0" wp14:editId="48B7F8F2">
                  <wp:extent cx="2446232" cy="22099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46232" cy="2209992"/>
                          </a:xfrm>
                          <a:prstGeom prst="rect">
                            <a:avLst/>
                          </a:prstGeom>
                        </pic:spPr>
                      </pic:pic>
                    </a:graphicData>
                  </a:graphic>
                </wp:inline>
              </w:drawing>
            </w:r>
          </w:p>
        </w:tc>
        <w:tc>
          <w:tcPr>
            <w:tcW w:w="3117" w:type="dxa"/>
          </w:tcPr>
          <w:p w14:paraId="4F890D4B" w14:textId="3D65D221" w:rsidR="006D06E3" w:rsidRDefault="004441AC" w:rsidP="00055CFD">
            <w:pPr>
              <w:spacing w:line="480" w:lineRule="auto"/>
              <w:jc w:val="center"/>
              <w:cnfStyle w:val="000000100000" w:firstRow="0" w:lastRow="0" w:firstColumn="0" w:lastColumn="0" w:oddVBand="0" w:evenVBand="0" w:oddHBand="1" w:evenHBand="0" w:firstRowFirstColumn="0" w:firstRowLastColumn="0" w:lastRowFirstColumn="0" w:lastRowLastColumn="0"/>
            </w:pPr>
            <w:r>
              <w:fldChar w:fldCharType="begin"/>
            </w:r>
            <w:r w:rsidR="00DC6E54">
              <w:instrText xml:space="preserve"> ADDIN ZOTERO_ITEM CSL_CITATION {"citationID":"1fsrvoktr7","properties":{"formattedCitation":"{\\rtf \\super 19\\nosupersub{}}","plainCitation":"19"},"citationItems":[{"id":100,"uris":["http://zotero.org/users/local/rZ3AHC6s/items/NRRTU4AS"],"uri":["http://zotero.org/users/local/rZ3AHC6s/items/NRRTU4AS"],"itemData":{"id":100,"type":"article-journal","title":"The solvation structure and thermodynamics of aqueous vanadium cations","container-title":"Chemical Physics Letters","page":"53-58","volume":"585","issue":"0","abstract":"Abstract\nThe present work seeks to understand the chemical structure and solvation thermodynamics of aqueous vanadium cations commonly employed in vanadium redox flow batteries. First principles based electronic structure calculations were performed to obtain the hydration structure and partial charges distributions of the cations in bulk water. The thermodynamics of solvation was determined within the context of a quasi-chemical theory of solution. The free energies of solvation for the V2+, V3+, VO2+, and VO 2 + cations were computed to be: −440.0, −1018.8, −457.2, and −184.4 kcal/mol, respectively, which agree well with available experimental values.","DOI":"10.1016/j.cplett.2013.08.089","ISSN":"0009-2614","journalAbbreviation":"Chemical Physics Letters","author":[{"family":"Sepehr","given":"Fatemeh"},{"family":"Paddison","given":"Stephen J."}],"issued":{"date-parts":[["2013",10,14]]}}}],"schema":"https://github.com/citation-style-language/schema/raw/master/csl-citation.json"} </w:instrText>
            </w:r>
            <w:r>
              <w:fldChar w:fldCharType="separate"/>
            </w:r>
            <w:r w:rsidR="00DC6E54" w:rsidRPr="00DC6E54">
              <w:rPr>
                <w:rFonts w:ascii="Calibri" w:hAnsi="Calibri" w:cs="Times New Roman"/>
                <w:szCs w:val="24"/>
                <w:vertAlign w:val="superscript"/>
              </w:rPr>
              <w:t>19</w:t>
            </w:r>
            <w:r>
              <w:fldChar w:fldCharType="end"/>
            </w:r>
          </w:p>
        </w:tc>
      </w:tr>
      <w:tr w:rsidR="006D06E3" w14:paraId="73E4480C" w14:textId="77777777" w:rsidTr="0083051E">
        <w:tc>
          <w:tcPr>
            <w:cnfStyle w:val="001000000000" w:firstRow="0" w:lastRow="0" w:firstColumn="1" w:lastColumn="0" w:oddVBand="0" w:evenVBand="0" w:oddHBand="0" w:evenHBand="0" w:firstRowFirstColumn="0" w:firstRowLastColumn="0" w:lastRowFirstColumn="0" w:lastRowLastColumn="0"/>
            <w:tcW w:w="3116" w:type="dxa"/>
          </w:tcPr>
          <w:p w14:paraId="5B7A01A3" w14:textId="4779BF64" w:rsidR="006D06E3" w:rsidRPr="004441AC" w:rsidRDefault="004441AC" w:rsidP="00055CFD">
            <w:pPr>
              <w:spacing w:line="480" w:lineRule="auto"/>
            </w:pPr>
            <w:r>
              <w:t>V</w:t>
            </w:r>
            <w:r>
              <w:rPr>
                <w:vertAlign w:val="superscript"/>
              </w:rPr>
              <w:t>3+</w:t>
            </w:r>
            <w:r>
              <w:t xml:space="preserve"> </w:t>
            </w:r>
          </w:p>
        </w:tc>
        <w:tc>
          <w:tcPr>
            <w:tcW w:w="3117" w:type="dxa"/>
            <w:vAlign w:val="center"/>
          </w:tcPr>
          <w:p w14:paraId="24B03114" w14:textId="77777777" w:rsidR="006D06E3" w:rsidRDefault="004441AC" w:rsidP="00055CFD">
            <w:pPr>
              <w:spacing w:line="480" w:lineRule="auto"/>
              <w:jc w:val="cente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07CF45F2" wp14:editId="100C10EF">
                  <wp:extent cx="2373836" cy="208044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3+ pristin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73836" cy="2080440"/>
                          </a:xfrm>
                          <a:prstGeom prst="rect">
                            <a:avLst/>
                          </a:prstGeom>
                        </pic:spPr>
                      </pic:pic>
                    </a:graphicData>
                  </a:graphic>
                </wp:inline>
              </w:drawing>
            </w:r>
          </w:p>
          <w:p w14:paraId="16578643" w14:textId="77777777" w:rsidR="004441AC" w:rsidRDefault="004441AC" w:rsidP="00055CFD">
            <w:pPr>
              <w:spacing w:line="480" w:lineRule="auto"/>
              <w:jc w:val="center"/>
              <w:cnfStyle w:val="000000000000" w:firstRow="0" w:lastRow="0" w:firstColumn="0" w:lastColumn="0" w:oddVBand="0" w:evenVBand="0" w:oddHBand="0" w:evenHBand="0" w:firstRowFirstColumn="0" w:firstRowLastColumn="0" w:lastRowFirstColumn="0" w:lastRowLastColumn="0"/>
            </w:pPr>
          </w:p>
          <w:p w14:paraId="729DA3FA" w14:textId="78871B8A" w:rsidR="004441AC" w:rsidRDefault="004441AC" w:rsidP="00055CFD">
            <w:pPr>
              <w:spacing w:line="480" w:lineRule="auto"/>
              <w:jc w:val="center"/>
              <w:cnfStyle w:val="000000000000" w:firstRow="0" w:lastRow="0" w:firstColumn="0" w:lastColumn="0" w:oddVBand="0" w:evenVBand="0" w:oddHBand="0" w:evenHBand="0" w:firstRowFirstColumn="0" w:firstRowLastColumn="0" w:lastRowFirstColumn="0" w:lastRowLastColumn="0"/>
            </w:pPr>
            <w:r>
              <w:rPr>
                <w:noProof/>
              </w:rPr>
              <w:lastRenderedPageBreak/>
              <w:drawing>
                <wp:inline distT="0" distB="0" distL="0" distR="0" wp14:anchorId="72386BF3" wp14:editId="7A357912">
                  <wp:extent cx="2069009" cy="2168078"/>
                  <wp:effectExtent l="0" t="0" r="762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3+ with sulfat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69009" cy="2168078"/>
                          </a:xfrm>
                          <a:prstGeom prst="rect">
                            <a:avLst/>
                          </a:prstGeom>
                        </pic:spPr>
                      </pic:pic>
                    </a:graphicData>
                  </a:graphic>
                </wp:inline>
              </w:drawing>
            </w:r>
          </w:p>
        </w:tc>
        <w:tc>
          <w:tcPr>
            <w:tcW w:w="3117" w:type="dxa"/>
          </w:tcPr>
          <w:p w14:paraId="24A89EE4" w14:textId="45C6A095" w:rsidR="006D06E3" w:rsidRDefault="004441AC" w:rsidP="00055CFD">
            <w:pPr>
              <w:spacing w:line="480" w:lineRule="auto"/>
              <w:jc w:val="center"/>
              <w:cnfStyle w:val="000000000000" w:firstRow="0" w:lastRow="0" w:firstColumn="0" w:lastColumn="0" w:oddVBand="0" w:evenVBand="0" w:oddHBand="0" w:evenHBand="0" w:firstRowFirstColumn="0" w:firstRowLastColumn="0" w:lastRowFirstColumn="0" w:lastRowLastColumn="0"/>
            </w:pPr>
            <w:r>
              <w:lastRenderedPageBreak/>
              <w:fldChar w:fldCharType="begin"/>
            </w:r>
            <w:r w:rsidR="00DC6E54">
              <w:instrText xml:space="preserve"> ADDIN ZOTERO_ITEM CSL_CITATION {"citationID":"19bb9tshh2","properties":{"formattedCitation":"{\\rtf \\super 19\\uc0\\u8211{}21\\nosupersub{}}","plainCitation":"19–21"},"citationItems":[{"id":100,"uris":["http://zotero.org/users/local/rZ3AHC6s/items/NRRTU4AS"],"uri":["http://zotero.org/users/local/rZ3AHC6s/items/NRRTU4AS"],"itemData":{"id":100,"type":"article-journal","title":"The solvation structure and thermodynamics of aqueous vanadium cations","container-title":"Chemical Physics Letters","page":"53-58","volume":"585","issue":"0","abstract":"Abstract\nThe present work seeks to understand the chemical structure and solvation thermodynamics of aqueous vanadium cations commonly employed in vanadium redox flow batteries. First principles based electronic structure calculations were performed to obtain the hydration structure and partial charges distributions of the cations in bulk water. The thermodynamics of solvation was determined within the context of a quasi-chemical theory of solution. The free energies of solvation for the V2+, V3+, VO2+, and VO 2 + cations were computed to be: −440.0, −1018.8, −457.2, and −184.4 kcal/mol, respectively, which agree well with available experimental values.","DOI":"10.1016/j.cplett.2013.08.089","ISSN":"0009-2614","journalAbbreviation":"Chemical Physics Letters","author":[{"family":"Sepehr","given":"Fatemeh"},{"family":"Paddison","given":"Stephen J."}],"issued":{"date-parts":[["2013",10,14]]}}},{"id":92,"uris":["http://zotero.org/users/local/rZ3AHC6s/items/9N43ATNB"],"uri":["http://zotero.org/users/local/rZ3AHC6s/items/9N43ATNB"],"itemData":{"id":92,"type":"article-journal","title":"A Coordination Chemistry Study of Hydrated and Solvated Cationic Vanadium Ions in Oxidation States +III, +IV, and +V in Solution and Solid State","container-title":"Inorganic Chemistry","page":"9598-9609","volume":"51","issue":"18","DOI":"10.1021/ic300202f","ISSN":"0020-1669","journalAbbreviation":"Inorg. Chem.","author":[{"family":"Krakowiak","given":"Joanna"},{"family":"Lundberg","given":"Daniel"},{"family":"Persson","given":"Ingmar"}],"issued":{"date-parts":[["2012",9,17]]}}},{"id":103,"uris":["http://zotero.org/users/local/rZ3AHC6s/items/HJKE29KP"],"uri":["http://zotero.org/users/local/rZ3AHC6s/items/HJKE29KP"],"itemData":{"id":103,"type":"article-journal","title":"Structure and stability of hexa-aqua V(iii) cations in vanadium redox flow battery electrolytes","container-title":"Physical Chemistry Chemical Physics","page":"10233-10242","volume":"14","issue":"29","abstract":"The vanadium(iii) cation structure in mixed acid based electrolyte solution from vanadium redox flow batteries is studied by 17O and 35/37Cl nuclear magnetic resonance (NMR) spectroscopy, electronic spectroscopy and density functional theory (DFT) based computational modelling. Both computational and experimental results reveal that the V(iii) species can complex with counter anions (sulfate/chlorine) depending on the composition of its solvation sphere. By analyzing the powder precipitate it was found that the formation of sulfate complexed V(iii) species is the crucial process in the precipitation reaction. The precipitation occurs through nucleation of neutral species formed through deprotonation and ion-pair formation process. However, the powder precipitate shows a multiphase nature which warrants multiple reaction pathways for precipitation reaction.","DOI":"10.1039/C2CP40707H","ISSN":"1463-9076","journalAbbreviation":"Phys. Chem. Chem. Phys.","author":[{"family":"Vijayakumar","given":"M."},{"family":"Li","given":"Liyu"},{"family":"Nie","given":"Zimin"},{"family":"Yang","given":"Zhenguo"},{"family":"Hu","given":"JianZhi"}],"issued":{"date-parts":[["2012"]]}}}],"schema":"https://github.com/citation-style-language/schema/raw/master/csl-citation.json"} </w:instrText>
            </w:r>
            <w:r>
              <w:fldChar w:fldCharType="separate"/>
            </w:r>
            <w:r w:rsidR="00DC6E54" w:rsidRPr="00DC6E54">
              <w:rPr>
                <w:rFonts w:ascii="Calibri" w:hAnsi="Calibri" w:cs="Times New Roman"/>
                <w:szCs w:val="24"/>
                <w:vertAlign w:val="superscript"/>
              </w:rPr>
              <w:t>19–21</w:t>
            </w:r>
            <w:r>
              <w:fldChar w:fldCharType="end"/>
            </w:r>
          </w:p>
        </w:tc>
      </w:tr>
      <w:tr w:rsidR="006D06E3" w14:paraId="615584D3" w14:textId="77777777" w:rsidTr="008305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17ACEF8B" w14:textId="5CC907BB" w:rsidR="006D06E3" w:rsidRPr="004441AC" w:rsidRDefault="004441AC" w:rsidP="00055CFD">
            <w:pPr>
              <w:spacing w:line="480" w:lineRule="auto"/>
            </w:pPr>
            <w:r>
              <w:lastRenderedPageBreak/>
              <w:t>V</w:t>
            </w:r>
            <w:r>
              <w:rPr>
                <w:vertAlign w:val="superscript"/>
              </w:rPr>
              <w:t>4+</w:t>
            </w:r>
            <w:r>
              <w:t xml:space="preserve"> (VO</w:t>
            </w:r>
            <w:r>
              <w:rPr>
                <w:vertAlign w:val="superscript"/>
              </w:rPr>
              <w:t>2+</w:t>
            </w:r>
            <w:r>
              <w:t>)</w:t>
            </w:r>
          </w:p>
        </w:tc>
        <w:tc>
          <w:tcPr>
            <w:tcW w:w="3117" w:type="dxa"/>
            <w:vAlign w:val="center"/>
          </w:tcPr>
          <w:p w14:paraId="606E72A6" w14:textId="1074B9BA" w:rsidR="006D06E3" w:rsidRDefault="004441AC" w:rsidP="00055CFD">
            <w:pPr>
              <w:spacing w:line="480" w:lineRule="auto"/>
              <w:jc w:val="center"/>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6905DF0C" wp14:editId="4DFBB215">
                  <wp:extent cx="2411939" cy="2145216"/>
                  <wp:effectExtent l="0" t="0" r="762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11939" cy="2145216"/>
                          </a:xfrm>
                          <a:prstGeom prst="rect">
                            <a:avLst/>
                          </a:prstGeom>
                        </pic:spPr>
                      </pic:pic>
                    </a:graphicData>
                  </a:graphic>
                </wp:inline>
              </w:drawing>
            </w:r>
          </w:p>
        </w:tc>
        <w:tc>
          <w:tcPr>
            <w:tcW w:w="3117" w:type="dxa"/>
          </w:tcPr>
          <w:p w14:paraId="08312B44" w14:textId="20E84C07" w:rsidR="006D06E3" w:rsidRDefault="004441AC" w:rsidP="00055CFD">
            <w:pPr>
              <w:spacing w:line="480" w:lineRule="auto"/>
              <w:jc w:val="center"/>
              <w:cnfStyle w:val="000000100000" w:firstRow="0" w:lastRow="0" w:firstColumn="0" w:lastColumn="0" w:oddVBand="0" w:evenVBand="0" w:oddHBand="1" w:evenHBand="0" w:firstRowFirstColumn="0" w:firstRowLastColumn="0" w:lastRowFirstColumn="0" w:lastRowLastColumn="0"/>
            </w:pPr>
            <w:r>
              <w:fldChar w:fldCharType="begin"/>
            </w:r>
            <w:r w:rsidR="00CC0E19">
              <w:instrText xml:space="preserve"> ADDIN ZOTERO_ITEM CSL_CITATION {"citationID":"tuoce17ve","properties":{"formattedCitation":"{\\rtf \\super 17\\uc0\\u8211{}20,22\\nosupersub{}}","plainCitation":"17–20,22"},"citationItems":[{"id":96,"uris":["http://zotero.org/users/local/rZ3AHC6s/items/5I2JMDRF"],"uri":["http://zotero.org/users/local/rZ3AHC6s/items/5I2JMDRF"],"itemData":{"id":96,"type":"article-journal","title":"Spectrophotometric identification of a mixed-valence cation-cation complex between aquadioxovanadium(V) and aquaoxovanadium(IV) ions in perchloric, sulfuric, and hydrochloric acid media","container-title":"Inorganic Chemistry","page":"2923-2928","volume":"21","issue":"8","DOI":"10.1021/ic00138a003","ISSN":"0020-1669","journalAbbreviation":"Inorg. Chem.","author":[{"family":"Blanc","given":"P."},{"family":"Madic","given":"C."},{"family":"Launay","given":"J. P."}],"issued":{"date-parts":[["1982",8,1]]}}},{"id":24,"uris":["http://zotero.org/users/local/rZ3AHC6s/items/C54BT63J"],"uri":["http://zotero.org/users/local/rZ3AHC6s/items/C54BT63J"],"itemData":{"id":24,"type":"article-journal","title":"Study of vanadium(IV) species and corresponding electrochemical performance in concentrated sulfuric acid media","container-title":"Electrochimica Acta","page":"10197-10203","volume":"56","issue":"27","abstract":"The vanadium(IV) ion is found to form the [VO(SO4)(H2O)4]·H2O complex, as well as the dimer, [VO(H2O)3]2(μ-SO4)2, in concentrated H2SO4 media. Their formation mechanisms were investigated by UV–Visible spectroscopy (UV–Vis), Raman spectroscopy, X-ray diffraction (XRD), cyclic voltammetry (CV) and electrochemical impedance spectroscopy (EIS). UV–Vis spectroscopy study showed that [VO(SO4)(H2O)4]·H2O concentration in H2SO4 solution was proportional to concentrations of VO2+ and SO42−. The increased deviation from the near centrosymmetry of the octahedral complexes is due to the replacement of an equatorial water oxygen in [VO(H2O)5]SO4 by a sulfate oxygen in [VO(SO4)(H2O)4]·H2O. The dimer shows symmetrical structure, which correlates very well with non-activity in UV–Vis spectroscopic analysis. Structural information on both vanadium(IV) species can be confirmed by Raman and XRD measurements of crystals from the supersaturated solution of VOSO4 in 1 M, 6 M and 12 M sulfuric acid. A solution of vanadium(IV) (0.05 M) in 12 M H2SO4, in which the vanadium(IV) species is [VO(H2O)3]2(μ-SO4)2, exhibits a reversible redox behavior near 1.14 V (vs. SCE) on the carbon paper electrode.","DOI":"10.1016/j.electacta.2011.09.006","ISSN":"0013-4686","journalAbbreviation":"Electrochimica Acta","author":[{"family":"Wu","given":"Xuewen"},{"family":"Wang","given":"Jinjin"},{"family":"Liu","given":"Suqin"},{"family":"Wu","given":"Xiongwei"},{"family":"Li","given":"Sha"}],"issued":{"date-parts":[["2011",11,30]]}}},{"id":100,"uris":["http://zotero.org/users/local/rZ3AHC6s/items/NRRTU4AS"],"uri":["http://zotero.org/users/local/rZ3AHC6s/items/NRRTU4AS"],"itemData":{"id":100,"type":"article-journal","title":"The solvation structure and thermodynamics of aqueous vanadium cations","container-title":"Chemical Physics Letters","page":"53-58","volume":"585","issue":"0","abstract":"Abstract\nThe present work seeks to understand the chemical structure and solvation thermodynamics of aqueous vanadium cations commonly employed in vanadium redox flow batteries. First principles based electronic structure calculations were performed to obtain the hydration structure and partial charges distributions of the cations in bulk water. The thermodynamics of solvation was determined within the context of a quasi-chemical theory of solution. The free energies of solvation for the V2+, V3+, VO2+, and VO 2 + cations were computed to be: −440.0, −1018.8, −457.2, and −184.4 kcal/mol, respectively, which agree well with available experimental values.","DOI":"10.1016/j.cplett.2013.08.089","ISSN":"0009-2614","journalAbbreviation":"Chemical Physics Letters","author":[{"family":"Sepehr","given":"Fatemeh"},{"family":"Paddison","given":"Stephen J."}],"issued":{"date-parts":[["2013",10,14]]}}},{"id":23,"uris":["http://zotero.org/users/local/rZ3AHC6s/items/8AS7Z2QU"],"uri":["http://zotero.org/users/local/rZ3AHC6s/items/8AS7Z2QU"],"itemData":{"id":23,"type":"article-journal","title":"Nuclear magnetic resonance studies on vanadium(IV) electrolyte solutions for vanadium redox flow battery","container-title":"Journal of Power Sources","page":"7709-7717","volume":"195","issue":"22","abstract":"The vanadium(IV) electrolyte solutions with various vanadium concentrations are studied by variable temperature 1H and 17O nuclear magnetic resonance (NMR) spectroscopy. The structure and kinetics of vanadium(IV) species in the electrolyte solutions are explored with respect to vanadium concentration and temperature. It was found that the vanadium(IV) species exist as hydrated vanadyl ion, i.e. [VO(H2O)5]2+ forming an octahedral coordination with vanadyl oxygen in the axial position and the remaining positions occupied by water molecules. This hydrated vanadyl ion structure is stable in vanadium concentrations up to 3 M and in the temperature range of 240–340 K. The sulfate anions in the electrolyte solutions are found to be weekly bound to this hydrated vanadyl ion and occupies its second-coordination sphere. The possible effects of these sulfate anions in proton and water exchange between vanadyl ion and solvent molecules are discussed based on 1H and 17O NMR results.","DOI":"10.1016/j.jpowsour.2010.05.008","ISSN":"0378-7753","journalAbbreviation":"Journal of Power Sources","author":[{"family":"Vijayakumar","given":"M."},{"family":"Burton","given":"Sarah D."},{"family":"Huang","given":"Cheng"},{"family":"Li","given":"Liyu"},{"family":"Yang","given":"Zhenguo"},{"family":"Graff","given":"Gordon L."},{"family":"Liu","given":"Jun"},{"family":"Hu","given":"Jianzhi"},{"family":"Skyllas-Kazacos","given":"Maria"}],"issued":{"date-parts":[["2010",11,15]]}}},{"id":92,"uris":["http://zotero.org/users/local/rZ3AHC6s/items/9N43ATNB"],"uri":["http://zotero.org/users/local/rZ3AHC6s/items/9N43ATNB"],"itemData":{"id":92,"type":"article-journal","title":"A Coordination Chemistry Study of Hydrated and Solvated Cationic Vanadium Ions in Oxidation States +III, +IV, and +V in Solution and Solid State","container-title":"Inorganic Chemistry","page":"9598-9609","volume":"51","issue":"18","DOI":"10.1021/ic300202f","ISSN":"0020-1669","journalAbbreviation":"Inorg. Chem.","author":[{"family":"Krakowiak","given":"Joanna"},{"family":"Lundberg","given":"Daniel"},{"family":"Persson","given":"Ingmar"}],"issued":{"date-parts":[["2012",9,17]]}}}],"schema":"https://github.com/citation-style-language/schema/raw/master/csl-citation.json"} </w:instrText>
            </w:r>
            <w:r>
              <w:fldChar w:fldCharType="separate"/>
            </w:r>
            <w:r w:rsidR="00CC0E19" w:rsidRPr="00CC0E19">
              <w:rPr>
                <w:rFonts w:ascii="Calibri" w:hAnsi="Calibri" w:cs="Times New Roman"/>
                <w:szCs w:val="24"/>
                <w:vertAlign w:val="superscript"/>
              </w:rPr>
              <w:t>17–20,22</w:t>
            </w:r>
            <w:r>
              <w:fldChar w:fldCharType="end"/>
            </w:r>
            <w:r w:rsidR="00DE3E85">
              <w:rPr>
                <w:vertAlign w:val="superscript"/>
              </w:rPr>
              <w:t>,</w:t>
            </w:r>
            <w:r w:rsidR="00DE3E85">
              <w:fldChar w:fldCharType="begin"/>
            </w:r>
            <w:r w:rsidR="00DC6E54">
              <w:instrText xml:space="preserve"> ADDIN ZOTERO_ITEM CSL_CITATION {"citationID":"2q6iiak0e","properties":{"formattedCitation":"{\\rtf \\super 11\\nosupersub{}}","plainCitation":"11"},"citationItems":[{"id":40,"uris":["http://zotero.org/users/local/rZ3AHC6s/items/IZZMUAPI"],"uri":["http://zotero.org/users/local/rZ3AHC6s/items/IZZMUAPI"],"itemData":{"id":40,"type":"article-journal","title":"Study of the Mechanism of the Vanadium 4+/5+ Redox Reaction in Acidic Solutions","container-title":"Journal of The Electrochemical Society","page":"A123-A130","volume":"151","issue":"1","abstract":"The mechanism of the vanadium \n\nVO\n\n2\n+\n\n\n/\n\nVO\n\n2\n\n\n+\n\n\n\n\nredox couple has been examined in acidic aqueous solutions. A detailed understanding of this chemistry is of interest for improving and optimizing the performance of vanadium redox-flow batteries, a promising electrochemical electricity storage technology. The vanadium 4+/5+ redox reactions were studied at a rotating disk graphite electrode and polarization curves were obtained in sulfuric acid and perchloric acid, with varying pH and vanadium concentrations. The results were compared to model predictions for different mechanisms. The data were consistent with a model with a multistep chemical-electrochemical-chemical mechanism at low overpotentials, which changes to a multistep electrochemical-chemical-chemical mechanism at higher anodic or cathodic overpotentials. Unusually high Tafel slopes (350-450 mV/decade) were observed for the reduction of\n\nVO\n\n2\n\n\n+\n\n\n\n\nat higher overpotentials. While this could not be directly explained by the model, insights gained through the use of the model can provide the basis for some suggestions. © 2003 The Electrochemical Society. All rights reserved.","DOI":"10.1149/1.1630594","journalAbbreviation":"Journal of The Electrochemical Society","author":[{"family":"Gattrell","given":"M."},{"family":"Park","given":"J."},{"family":"MacDougall","given":"B."},{"family":"Apte","given":"J."},{"family":"McCarthy","given":"S."},{"family":"Wu","given":"C. W."}],"issued":{"date-parts":[["2004",1,1]]}}}],"schema":"https://github.com/citation-style-language/schema/raw/master/csl-citation.json"} </w:instrText>
            </w:r>
            <w:r w:rsidR="00DE3E85">
              <w:fldChar w:fldCharType="separate"/>
            </w:r>
            <w:r w:rsidR="00DC6E54" w:rsidRPr="00DC6E54">
              <w:rPr>
                <w:rFonts w:ascii="Calibri" w:hAnsi="Calibri" w:cs="Times New Roman"/>
                <w:szCs w:val="24"/>
                <w:vertAlign w:val="superscript"/>
              </w:rPr>
              <w:t>11</w:t>
            </w:r>
            <w:r w:rsidR="00DE3E85">
              <w:fldChar w:fldCharType="end"/>
            </w:r>
          </w:p>
        </w:tc>
      </w:tr>
      <w:tr w:rsidR="006D06E3" w14:paraId="5D7E6B5E" w14:textId="77777777" w:rsidTr="0083051E">
        <w:tc>
          <w:tcPr>
            <w:cnfStyle w:val="001000000000" w:firstRow="0" w:lastRow="0" w:firstColumn="1" w:lastColumn="0" w:oddVBand="0" w:evenVBand="0" w:oddHBand="0" w:evenHBand="0" w:firstRowFirstColumn="0" w:firstRowLastColumn="0" w:lastRowFirstColumn="0" w:lastRowLastColumn="0"/>
            <w:tcW w:w="3116" w:type="dxa"/>
          </w:tcPr>
          <w:p w14:paraId="28D58A8A" w14:textId="1566E1B0" w:rsidR="006D06E3" w:rsidRPr="004441AC" w:rsidRDefault="004441AC" w:rsidP="00055CFD">
            <w:pPr>
              <w:spacing w:line="480" w:lineRule="auto"/>
            </w:pPr>
            <w:r>
              <w:t>V</w:t>
            </w:r>
            <w:r>
              <w:rPr>
                <w:vertAlign w:val="subscript"/>
              </w:rPr>
              <w:t>2</w:t>
            </w:r>
            <w:r>
              <w:t>O</w:t>
            </w:r>
            <w:r>
              <w:rPr>
                <w:vertAlign w:val="subscript"/>
              </w:rPr>
              <w:t>3</w:t>
            </w:r>
            <w:r>
              <w:rPr>
                <w:vertAlign w:val="superscript"/>
              </w:rPr>
              <w:t>3+</w:t>
            </w:r>
          </w:p>
        </w:tc>
        <w:tc>
          <w:tcPr>
            <w:tcW w:w="3117" w:type="dxa"/>
            <w:vAlign w:val="center"/>
          </w:tcPr>
          <w:p w14:paraId="23309B96" w14:textId="5C8DFF36" w:rsidR="006D06E3" w:rsidRDefault="006D61A5" w:rsidP="00055CFD">
            <w:pPr>
              <w:spacing w:line="480" w:lineRule="auto"/>
              <w:jc w:val="cente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E84A098" wp14:editId="32618007">
                  <wp:extent cx="3356901" cy="206138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2O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56901" cy="2061389"/>
                          </a:xfrm>
                          <a:prstGeom prst="rect">
                            <a:avLst/>
                          </a:prstGeom>
                        </pic:spPr>
                      </pic:pic>
                    </a:graphicData>
                  </a:graphic>
                </wp:inline>
              </w:drawing>
            </w:r>
          </w:p>
        </w:tc>
        <w:tc>
          <w:tcPr>
            <w:tcW w:w="3117" w:type="dxa"/>
          </w:tcPr>
          <w:p w14:paraId="1ACD9FF6" w14:textId="5644B9E9" w:rsidR="006D06E3" w:rsidRPr="00DE3E85" w:rsidRDefault="004441AC" w:rsidP="00055CFD">
            <w:pPr>
              <w:spacing w:line="480" w:lineRule="auto"/>
              <w:jc w:val="center"/>
              <w:cnfStyle w:val="000000000000" w:firstRow="0" w:lastRow="0" w:firstColumn="0" w:lastColumn="0" w:oddVBand="0" w:evenVBand="0" w:oddHBand="0" w:evenHBand="0" w:firstRowFirstColumn="0" w:firstRowLastColumn="0" w:lastRowFirstColumn="0" w:lastRowLastColumn="0"/>
              <w:rPr>
                <w:vertAlign w:val="superscript"/>
              </w:rPr>
            </w:pPr>
            <w:r>
              <w:fldChar w:fldCharType="begin"/>
            </w:r>
            <w:r w:rsidR="00CC0E19">
              <w:instrText xml:space="preserve"> ADDIN ZOTERO_ITEM CSL_CITATION {"citationID":"2g6p7u9htd","properties":{"formattedCitation":"{\\rtf \\super 17\\nosupersub{}}","plainCitation":"17"},"citationItems":[{"id":96,"uris":["http://zotero.org/users/local/rZ3AHC6s/items/5I2JMDRF"],"uri":["http://zotero.org/users/local/rZ3AHC6s/items/5I2JMDRF"],"itemData":{"id":96,"type":"article-journal","title":"Spectrophotometric identification of a mixed-valence cation-cation complex between aquadioxovanadium(V) and aquaoxovanadium(IV) ions in perchloric, sulfuric, and hydrochloric acid media","container-title":"Inorganic Chemistry","page":"2923-2928","volume":"21","issue":"8","DOI":"10.1021/ic00138a003","ISSN":"0020-1669","journalAbbreviation":"Inorg. Chem.","author":[{"family":"Blanc","given":"P."},{"family":"Madic","given":"C."},{"family":"Launay","given":"J. P."}],"issued":{"date-parts":[["1982",8,1]]}}}],"schema":"https://github.com/citation-style-language/schema/raw/master/csl-citation.json"} </w:instrText>
            </w:r>
            <w:r>
              <w:fldChar w:fldCharType="separate"/>
            </w:r>
            <w:r w:rsidR="00CC0E19" w:rsidRPr="00CC0E19">
              <w:rPr>
                <w:rFonts w:ascii="Calibri" w:hAnsi="Calibri" w:cs="Times New Roman"/>
                <w:szCs w:val="24"/>
                <w:vertAlign w:val="superscript"/>
              </w:rPr>
              <w:t>17</w:t>
            </w:r>
            <w:r>
              <w:fldChar w:fldCharType="end"/>
            </w:r>
          </w:p>
        </w:tc>
      </w:tr>
      <w:tr w:rsidR="004441AC" w14:paraId="04064A07" w14:textId="77777777" w:rsidTr="008305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105126E" w14:textId="0751D987" w:rsidR="004441AC" w:rsidRPr="004441AC" w:rsidRDefault="004441AC" w:rsidP="00055CFD">
            <w:pPr>
              <w:spacing w:line="480" w:lineRule="auto"/>
            </w:pPr>
            <w:r>
              <w:lastRenderedPageBreak/>
              <w:t>V</w:t>
            </w:r>
            <w:r>
              <w:rPr>
                <w:vertAlign w:val="superscript"/>
              </w:rPr>
              <w:t>5+</w:t>
            </w:r>
            <w:r>
              <w:t xml:space="preserve"> (VO</w:t>
            </w:r>
            <w:r>
              <w:rPr>
                <w:vertAlign w:val="subscript"/>
              </w:rPr>
              <w:t>2</w:t>
            </w:r>
            <w:r>
              <w:rPr>
                <w:vertAlign w:val="superscript"/>
              </w:rPr>
              <w:t>+</w:t>
            </w:r>
            <w:r>
              <w:t>)</w:t>
            </w:r>
          </w:p>
        </w:tc>
        <w:tc>
          <w:tcPr>
            <w:tcW w:w="3117" w:type="dxa"/>
            <w:vAlign w:val="center"/>
          </w:tcPr>
          <w:p w14:paraId="5C8D9C9E" w14:textId="77777777" w:rsidR="004441AC" w:rsidRDefault="004441AC" w:rsidP="00055CFD">
            <w:pPr>
              <w:spacing w:line="480" w:lineRule="auto"/>
              <w:jc w:val="center"/>
              <w:cnfStyle w:val="000000100000" w:firstRow="0" w:lastRow="0" w:firstColumn="0" w:lastColumn="0" w:oddVBand="0" w:evenVBand="0" w:oddHBand="1" w:evenHBand="0" w:firstRowFirstColumn="0" w:firstRowLastColumn="0" w:lastRowFirstColumn="0" w:lastRowLastColumn="0"/>
              <w:rPr>
                <w:noProof/>
              </w:rPr>
            </w:pPr>
            <w:r>
              <w:rPr>
                <w:noProof/>
              </w:rPr>
              <w:drawing>
                <wp:inline distT="0" distB="0" distL="0" distR="0" wp14:anchorId="00100F49" wp14:editId="0D930759">
                  <wp:extent cx="2350974" cy="210330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5+ octahedral.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50974" cy="2103302"/>
                          </a:xfrm>
                          <a:prstGeom prst="rect">
                            <a:avLst/>
                          </a:prstGeom>
                        </pic:spPr>
                      </pic:pic>
                    </a:graphicData>
                  </a:graphic>
                </wp:inline>
              </w:drawing>
            </w:r>
          </w:p>
          <w:p w14:paraId="1AA0E7E5" w14:textId="0178D57D" w:rsidR="004441AC" w:rsidRDefault="004441AC" w:rsidP="00055CFD">
            <w:pPr>
              <w:spacing w:line="480" w:lineRule="auto"/>
              <w:jc w:val="center"/>
              <w:cnfStyle w:val="000000100000" w:firstRow="0" w:lastRow="0" w:firstColumn="0" w:lastColumn="0" w:oddVBand="0" w:evenVBand="0" w:oddHBand="1" w:evenHBand="0" w:firstRowFirstColumn="0" w:firstRowLastColumn="0" w:lastRowFirstColumn="0" w:lastRowLastColumn="0"/>
              <w:rPr>
                <w:noProof/>
              </w:rPr>
            </w:pPr>
            <w:r>
              <w:rPr>
                <w:noProof/>
              </w:rPr>
              <w:drawing>
                <wp:inline distT="0" distB="0" distL="0" distR="0" wp14:anchorId="13A2CCD1" wp14:editId="615E06D4">
                  <wp:extent cx="2583404" cy="2107113"/>
                  <wp:effectExtent l="0" t="0" r="762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5+ trigonal pyramidal.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83404" cy="2107113"/>
                          </a:xfrm>
                          <a:prstGeom prst="rect">
                            <a:avLst/>
                          </a:prstGeom>
                        </pic:spPr>
                      </pic:pic>
                    </a:graphicData>
                  </a:graphic>
                </wp:inline>
              </w:drawing>
            </w:r>
          </w:p>
        </w:tc>
        <w:tc>
          <w:tcPr>
            <w:tcW w:w="3117" w:type="dxa"/>
          </w:tcPr>
          <w:p w14:paraId="29ECFF2E" w14:textId="4B13D084" w:rsidR="004441AC" w:rsidRDefault="004441AC" w:rsidP="00055CFD">
            <w:pPr>
              <w:spacing w:line="480" w:lineRule="auto"/>
              <w:jc w:val="center"/>
              <w:cnfStyle w:val="000000100000" w:firstRow="0" w:lastRow="0" w:firstColumn="0" w:lastColumn="0" w:oddVBand="0" w:evenVBand="0" w:oddHBand="1" w:evenHBand="0" w:firstRowFirstColumn="0" w:firstRowLastColumn="0" w:lastRowFirstColumn="0" w:lastRowLastColumn="0"/>
            </w:pPr>
            <w:r>
              <w:fldChar w:fldCharType="begin"/>
            </w:r>
            <w:r w:rsidR="00CC0E19">
              <w:instrText xml:space="preserve"> ADDIN ZOTERO_ITEM CSL_CITATION {"citationID":"1ojrni8k71","properties":{"formattedCitation":"{\\rtf \\super 17,19,20,23\\nosupersub{}}","plainCitation":"17,19,20,23"},"citationItems":[{"id":96,"uris":["http://zotero.org/users/local/rZ3AHC6s/items/5I2JMDRF"],"uri":["http://zotero.org/users/local/rZ3AHC6s/items/5I2JMDRF"],"itemData":{"id":96,"type":"article-journal","title":"Spectrophotometric identification of a mixed-valence cation-cation complex between aquadioxovanadium(V) and aquaoxovanadium(IV) ions in perchloric, sulfuric, and hydrochloric acid media","container-title":"Inorganic Chemistry","page":"2923-2928","volume":"21","issue":"8","DOI":"10.1021/ic00138a003","ISSN":"0020-1669","journalAbbreviation":"Inorg. Chem.","author":[{"family":"Blanc","given":"P."},{"family":"Madic","given":"C."},{"family":"Launay","given":"J. P."}],"issued":{"date-parts":[["1982",8,1]]}}},{"id":100,"uris":["http://zotero.org/users/local/rZ3AHC6s/items/NRRTU4AS"],"uri":["http://zotero.org/users/local/rZ3AHC6s/items/NRRTU4AS"],"itemData":{"id":100,"type":"article-journal","title":"The solvation structure and thermodynamics of aqueous vanadium cations","container-title":"Chemical Physics Letters","page":"53-58","volume":"585","issue":"0","abstract":"Abstract\nThe present work seeks to understand the chemical structure and solvation thermodynamics of aqueous vanadium cations commonly employed in vanadium redox flow batteries. First principles based electronic structure calculations were performed to obtain the hydration structure and partial charges distributions of the cations in bulk water. The thermodynamics of solvation was determined within the context of a quasi-chemical theory of solution. The free energies of solvation for the V2+, V3+, VO2+, and VO 2 + cations were computed to be: −440.0, −1018.8, −457.2, and −184.4 kcal/mol, respectively, which agree well with available experimental values.","DOI":"10.1016/j.cplett.2013.08.089","ISSN":"0009-2614","journalAbbreviation":"Chemical Physics Letters","author":[{"family":"Sepehr","given":"Fatemeh"},{"family":"Paddison","given":"Stephen J."}],"issued":{"date-parts":[["2013",10,14]]}}},{"id":92,"uris":["http://zotero.org/users/local/rZ3AHC6s/items/9N43ATNB"],"uri":["http://zotero.org/users/local/rZ3AHC6s/items/9N43ATNB"],"itemData":{"id":92,"type":"article-journal","title":"A Coordination Chemistry Study of Hydrated and Solvated Cationic Vanadium Ions in Oxidation States +III, +IV, and +V in Solution and Solid State","container-title":"Inorganic Chemistry","page":"9598-9609","volume":"51","issue":"18","DOI":"10.1021/ic300202f","ISSN":"0020-1669","journalAbbreviation":"Inorg. Chem.","author":[{"family":"Krakowiak","given":"Joanna"},{"family":"Lundberg","given":"Daniel"},{"family":"Persson","given":"Ingmar"}],"issued":{"date-parts":[["2012",9,17]]}}},{"id":22,"uris":["http://zotero.org/users/local/rZ3AHC6s/items/I92WF2F6"],"uri":["http://zotero.org/users/local/rZ3AHC6s/items/I92WF2F6"],"itemData":{"id":22,"type":"article-journal","title":"Towards understanding the poor thermal stability of V5+ electrolyte solution in Vanadium Redox Flow Batteries","container-title":"Journal of Power Sources","page":"3669-3672","volume":"196","issue":"7","abstract":"The V5+ electrolyte solution from Vanadium Redox Flow Batteries was studied by variable temperature O-17 and V-51 Nuclear Magnetic Resonance (NMR) spectroscopy and density functional theory (DFT) based computational modeling. It was found that the V5+ species exist as hydrated penta co-ordinated vanadate ion, i.e. [VO2(H2O)(3)](1+). This hydrated structure is not stable at elevated temperature and change into neutral H3VO4 molecule via a deprotonation process and subsequently leading to the observed V2O5 precipitation in Vs electrolyte solutions. (C) 2010 Elsevier B.V. All rights reserved.","DOI":"10.1016/j.jpowsour.2010.11.126","ISSN":"0378-7753","note":"WOS:000289325000040","journalAbbreviation":"J. Power Sources","language":"English","author":[{"family":"Vijayakumar","given":"M."},{"family":"Li","given":"Liyu"},{"family":"Graff","given":"Gordon"},{"family":"Liu","given":"Jun"},{"family":"Zhang","given":"Huamin"},{"family":"Yang","given":"Zhenguo"},{"family":"Hu","given":"Jian Zhi"}],"issued":{"date-parts":[["2011",4,1]]}}}],"schema":"https://github.com/citation-style-language/schema/raw/master/csl-citation.json"} </w:instrText>
            </w:r>
            <w:r>
              <w:fldChar w:fldCharType="separate"/>
            </w:r>
            <w:r w:rsidR="00CC0E19" w:rsidRPr="00CC0E19">
              <w:rPr>
                <w:rFonts w:ascii="Calibri" w:hAnsi="Calibri" w:cs="Times New Roman"/>
                <w:szCs w:val="24"/>
                <w:vertAlign w:val="superscript"/>
              </w:rPr>
              <w:t>17,19,20,23</w:t>
            </w:r>
            <w:r>
              <w:fldChar w:fldCharType="end"/>
            </w:r>
            <w:r w:rsidR="00DE3E85">
              <w:rPr>
                <w:vertAlign w:val="superscript"/>
              </w:rPr>
              <w:t>,</w:t>
            </w:r>
            <w:r w:rsidR="00DE3E85">
              <w:fldChar w:fldCharType="begin"/>
            </w:r>
            <w:r w:rsidR="00DC6E54">
              <w:instrText xml:space="preserve"> ADDIN ZOTERO_ITEM CSL_CITATION {"citationID":"rqkqm8ind","properties":{"formattedCitation":"{\\rtf \\super 11\\nosupersub{}}","plainCitation":"11"},"citationItems":[{"id":40,"uris":["http://zotero.org/users/local/rZ3AHC6s/items/IZZMUAPI"],"uri":["http://zotero.org/users/local/rZ3AHC6s/items/IZZMUAPI"],"itemData":{"id":40,"type":"article-journal","title":"Study of the Mechanism of the Vanadium 4+/5+ Redox Reaction in Acidic Solutions","container-title":"Journal of The Electrochemical Society","page":"A123-A130","volume":"151","issue":"1","abstract":"The mechanism of the vanadium \n\nVO\n\n2\n+\n\n\n/\n\nVO\n\n2\n\n\n+\n\n\n\n\nredox couple has been examined in acidic aqueous solutions. A detailed understanding of this chemistry is of interest for improving and optimizing the performance of vanadium redox-flow batteries, a promising electrochemical electricity storage technology. The vanadium 4+/5+ redox reactions were studied at a rotating disk graphite electrode and polarization curves were obtained in sulfuric acid and perchloric acid, with varying pH and vanadium concentrations. The results were compared to model predictions for different mechanisms. The data were consistent with a model with a multistep chemical-electrochemical-chemical mechanism at low overpotentials, which changes to a multistep electrochemical-chemical-chemical mechanism at higher anodic or cathodic overpotentials. Unusually high Tafel slopes (350-450 mV/decade) were observed for the reduction of\n\nVO\n\n2\n\n\n+\n\n\n\n\nat higher overpotentials. While this could not be directly explained by the model, insights gained through the use of the model can provide the basis for some suggestions. © 2003 The Electrochemical Society. All rights reserved.","DOI":"10.1149/1.1630594","journalAbbreviation":"Journal of The Electrochemical Society","author":[{"family":"Gattrell","given":"M."},{"family":"Park","given":"J."},{"family":"MacDougall","given":"B."},{"family":"Apte","given":"J."},{"family":"McCarthy","given":"S."},{"family":"Wu","given":"C. W."}],"issued":{"date-parts":[["2004",1,1]]}}}],"schema":"https://github.com/citation-style-language/schema/raw/master/csl-citation.json"} </w:instrText>
            </w:r>
            <w:r w:rsidR="00DE3E85">
              <w:fldChar w:fldCharType="separate"/>
            </w:r>
            <w:r w:rsidR="00DC6E54" w:rsidRPr="00DC6E54">
              <w:rPr>
                <w:rFonts w:ascii="Calibri" w:hAnsi="Calibri" w:cs="Times New Roman"/>
                <w:szCs w:val="24"/>
                <w:vertAlign w:val="superscript"/>
              </w:rPr>
              <w:t>11</w:t>
            </w:r>
            <w:r w:rsidR="00DE3E85">
              <w:fldChar w:fldCharType="end"/>
            </w:r>
          </w:p>
        </w:tc>
      </w:tr>
    </w:tbl>
    <w:p w14:paraId="280FA66F" w14:textId="77777777" w:rsidR="006D06E3" w:rsidRDefault="006D06E3" w:rsidP="00951C48">
      <w:pPr>
        <w:spacing w:after="0" w:line="480" w:lineRule="auto"/>
      </w:pPr>
    </w:p>
    <w:p w14:paraId="40AB8380" w14:textId="365C7961" w:rsidR="00993378" w:rsidRPr="00951C48" w:rsidRDefault="001929E1" w:rsidP="00951C48">
      <w:pPr>
        <w:spacing w:after="0" w:line="480" w:lineRule="auto"/>
        <w:rPr>
          <w:b/>
        </w:rPr>
      </w:pPr>
      <w:r w:rsidRPr="00951C48">
        <w:rPr>
          <w:b/>
        </w:rPr>
        <w:t>3.2 Vanadium Intera</w:t>
      </w:r>
      <w:r w:rsidR="003A1C5E" w:rsidRPr="00951C48">
        <w:rPr>
          <w:b/>
        </w:rPr>
        <w:t>ctions with Electrode Materials</w:t>
      </w:r>
    </w:p>
    <w:p w14:paraId="061B9058" w14:textId="3CF4480D" w:rsidR="003F1384" w:rsidRDefault="00D86770" w:rsidP="003A1C5E">
      <w:pPr>
        <w:spacing w:after="0" w:line="480" w:lineRule="auto"/>
        <w:ind w:firstLine="720"/>
      </w:pPr>
      <w:r>
        <w:t>Well-designed electrodes for VRBs accomplish two goals: maximizing kinetic performance of both V</w:t>
      </w:r>
      <w:r>
        <w:rPr>
          <w:vertAlign w:val="superscript"/>
        </w:rPr>
        <w:t>4+</w:t>
      </w:r>
      <w:r>
        <w:t>/V</w:t>
      </w:r>
      <w:r>
        <w:rPr>
          <w:vertAlign w:val="superscript"/>
        </w:rPr>
        <w:t>5+</w:t>
      </w:r>
      <w:r>
        <w:t xml:space="preserve"> and V</w:t>
      </w:r>
      <w:r>
        <w:rPr>
          <w:vertAlign w:val="superscript"/>
        </w:rPr>
        <w:t>3+</w:t>
      </w:r>
      <w:r>
        <w:t>/V</w:t>
      </w:r>
      <w:r>
        <w:rPr>
          <w:vertAlign w:val="superscript"/>
        </w:rPr>
        <w:t>2+</w:t>
      </w:r>
      <w:r>
        <w:t xml:space="preserve"> redox couples and minimizing harmful side reactions at the electrodes. </w:t>
      </w:r>
      <w:r w:rsidR="00485091">
        <w:t>The highly oxidizing nature of V</w:t>
      </w:r>
      <w:r w:rsidR="00485091">
        <w:rPr>
          <w:vertAlign w:val="superscript"/>
        </w:rPr>
        <w:t>5+</w:t>
      </w:r>
      <w:r w:rsidR="00485091">
        <w:t xml:space="preserve"> makes electrode material choice particularly difficult for VRBs. Despite its thermodynamic instability, </w:t>
      </w:r>
      <w:r w:rsidR="003A1C5E">
        <w:t xml:space="preserve">carbon and graphite are suitable electrode materials due to </w:t>
      </w:r>
      <w:r w:rsidR="00485091">
        <w:t>the slow kinetics of its thermodynamic degradation and ability to reasonably withstand the oxidizing environment.</w:t>
      </w:r>
      <w:r w:rsidR="00485091">
        <w:fldChar w:fldCharType="begin"/>
      </w:r>
      <w:r w:rsidR="00DC6E54">
        <w:instrText xml:space="preserve"> ADDIN ZOTERO_ITEM CSL_CITATION {"citationID":"qdfeipns4","properties":{"formattedCitation":"{\\rtf \\super 3,24\\nosupersub{}}","plainCitation":"3,24"},"citationItems":[{"id":46,"uris":["http://zotero.org/users/local/rZ3AHC6s/items/HPMVXCFW"],"uri":["http://zotero.org/users/local/rZ3AHC6s/items/HPMVXCFW"],"itemData":{"id":46,"type":"article-journal","title":"Progress in Flow Battery Research and Development","container-title":"Journal of The Electrochemical Society","page":"R55-R79","volume":"158","issue":"8","abstract":"The past few decades have shown a rapid and continuous exhaustion of the available energy resources which may lead to serious energy global crises. Researchers have been focusing on developing new and renewable energy resources to meet the increasing fuel demand and reduce greenhouse gas emissions. A surge of research effort is also being directed towards replacing fossil fuel based vehicles with hybrid and electric alternatives. Energy storage is now seen as a critical element in future “smart grid and electric vehicle” applications. Electrochemical energy storage systems offer the best combination of efficiency, cost and flexibility, with redox flow battery systems currently leading the way in this aspect. In this work, a panoramic overview is presented for the various redox flow battery systems and their hybrid alternatives. Relevant published work is reported and critically discussed. A comprehensive study of the available technologies is conducted in terms of technical aspects as well as economic and environmental consequences. Some of the flow battery limitations and technical challenges are also discussed and a range of further research opportunities are presented. Of the flow battery technologies that have been investigated, the all-vanadium redox flow battery has received the most attention and has shown most promise in various pre-commercial to commercial stationary applications to date, while new developments in hybrid redox fuel cells are promising to lead the way for future applications in mechanically and electrically “refuelable” electric vehicles.","DOI":"10.1149/1.3599565","journalAbbreviation":"Journal of The Electrochemical Society","author":[{"family":"Skyllas-Kazacos","given":"M."},{"family":"Chakrabarti","given":"M. H."},{"family":"Hajimolana","given":"S. A."},{"family":"Mjalli","given":"F. S."},{"family":"Saleem","given":"M."}],"issued":{"date-parts":[["2011",8,1]]}}},{"id":71,"uris":["http://zotero.org/users/local/rZ3AHC6s/items/9WXFFH4Z"],"uri":["http://zotero.org/users/local/rZ3AHC6s/items/9WXFFH4Z"],"itemData":{"id":71,"type":"article-journal","title":"Corrosion behavior of a positive graphite electrode in vanadium redox flow battery","container-title":"Electrochimica Acta","page":"8783-8790","volume":"56","issue":"24","abstract":"The graphite plate is easily suffered from corosion because of CO2 evolution when it acts as the positive electrode for vanadium redox flow battery. The aim is to obtain the initial potential for gas evolution on a positive graphite electrode in 2 mol dm−3 H2SO4 + 2 mol dm−3 VOSO4 solution. The effects of polarization potential, operating temperature and polarization time on extent of graphite corrosion are investigated by potentiodynamic and potentiostatic techniques. The surface characteristics of graphite electrode before and after corrosion are examined by scanning electron microscopy, atomic force microscopy, and X-ray photoelectron spectroscopy. The results show that the gas begins to evolve on the graphite electrode when the anodic polarization potential is higher than 1.60 V vs saturated calomel electrode at 20 °C. The CO2 evolution on the graphite electrode can lead to intergranular corrosion of the graphite when the polarization potential reaches 1.75 V. In addition, the functional groups of COOH and CO introduced on the surface of graphite electrode during corrosion can catalyze the formation of CO2, therefore, accelerates the corrosion rate of graphite electrode.","DOI":"10.1016/j.electacta.2011.07.083","ISSN":"0013-4686","journalAbbreviation":"Electrochimica Acta","author":[{"family":"Liu","given":"Huijun"},{"family":"Xu","given":"Qian"},{"family":"Yan","given":"Chuanwei"},{"family":"Qiao","given":"Yonglian"}],"issued":{"date-parts":[["2011",10,1]]}}}],"schema":"https://github.com/citation-style-language/schema/raw/master/csl-citation.json"} </w:instrText>
      </w:r>
      <w:r w:rsidR="00485091">
        <w:fldChar w:fldCharType="separate"/>
      </w:r>
      <w:r w:rsidR="00DC6E54" w:rsidRPr="00DC6E54">
        <w:rPr>
          <w:rFonts w:ascii="Calibri" w:hAnsi="Calibri" w:cs="Times New Roman"/>
          <w:szCs w:val="24"/>
          <w:vertAlign w:val="superscript"/>
        </w:rPr>
        <w:t>3,24</w:t>
      </w:r>
      <w:r w:rsidR="00485091">
        <w:fldChar w:fldCharType="end"/>
      </w:r>
      <w:r w:rsidR="00485091">
        <w:t xml:space="preserve"> Many materials choices exist within the realm of carbon electrode materials, differing in their surface functionality and </w:t>
      </w:r>
      <w:r w:rsidR="003A1C5E">
        <w:t xml:space="preserve">specific </w:t>
      </w:r>
      <w:r w:rsidR="00485091">
        <w:t xml:space="preserve">surface area. In particular, electrode materials with significant carboxylic acid and </w:t>
      </w:r>
      <w:r w:rsidR="003A1C5E">
        <w:t>hydroxyl</w:t>
      </w:r>
      <w:r w:rsidR="00485091">
        <w:t xml:space="preserve"> group content enhance kinetic performance.</w:t>
      </w:r>
      <w:r w:rsidR="00485091">
        <w:fldChar w:fldCharType="begin"/>
      </w:r>
      <w:r w:rsidR="003739F7">
        <w:instrText xml:space="preserve"> ADDIN ZOTERO_ITEM CSL_CITATION {"citationID":"2c1g7u5l5d","properties":{"formattedCitation":"{\\rtf \\super 2,3,13\\uc0\\u8211{}15\\nosupersub{}}","plainCitation":"2,3,13–15"},"citationItems":[{"id":46,"uris":["http://zotero.org/users/local/rZ3AHC6s/items/HPMVXCFW"],"uri":["http://zotero.org/users/local/rZ3AHC6s/items/HPMVXCFW"],"itemData":{"id":46,"type":"article-journal","title":"Progress in Flow Battery Research and Development","container-title":"Journal of The Electrochemical Society","page":"R55-R79","volume":"158","issue":"8","abstract":"The past few decades have shown a rapid and continuous exhaustion of the available energy resources which may lead to serious energy global crises. Researchers have been focusing on developing new and renewable energy resources to meet the increasing fuel demand and reduce greenhouse gas emissions. A surge of research effort is also being directed towards replacing fossil fuel based vehicles with hybrid and electric alternatives. Energy storage is now seen as a critical element in future “smart grid and electric vehicle” applications. Electrochemical energy storage systems offer the best combination of efficiency, cost and flexibility, with redox flow battery systems currently leading the way in this aspect. In this work, a panoramic overview is presented for the various redox flow battery systems and their hybrid alternatives. Relevant published work is reported and critically discussed. A comprehensive study of the available technologies is conducted in terms of technical aspects as well as economic and environmental consequences. Some of the flow battery limitations and technical challenges are also discussed and a range of further research opportunities are presented. Of the flow battery technologies that have been investigated, the all-vanadium redox flow battery has received the most attention and has shown most promise in various pre-commercial to commercial stationary applications to date, while new developments in hybrid redox fuel cells are promising to lead the way for future applications in mechanically and electrically “refuelable” electric vehicles.","DOI":"10.1149/1.3599565","journalAbbreviation":"Journal of The Electrochemical Society","author":[{"family":"Skyllas-Kazacos","given":"M."},{"family":"Chakrabarti","given":"M. H."},{"family":"Hajimolana","given":"S. A."},{"family":"Mjalli","given":"F. S."},{"family":"Saleem","given":"M."}],"issued":{"date-parts":[["2011",8,1]]}}},{"id":90,"uris":["http://zotero.org/users/local/rZ3AHC6s/items/2KDPCK28"],"uri":["http://zotero.org/users/local/rZ3AHC6s/items/2KDPCK28"],"itemData":{"id":90,"type":"article-journal","title":"Redox flow batteries: a review.","container-title":"Journal of Applied Electrochemistry","page":"1137-1164","volume":"41","issue":"10","source":"EBSCOhost","archive":"aph","abstract":"Redox flow batteries (RFBs) are enjoying a renaissance due to their ability to store large amounts of electrical energy relatively cheaply and efficiently. In this review, we examine the components of RFBs with a focus on understanding the underlying physical processes. The various transport and kinetic phenomena are discussed along with the most common redox couples. [ABSTRACT FROM AUTHOR]","ISSN":"0021891X","journalAbbreviation":"Journal of Applied Electrochemistry","author":[{"family":"Weber","given":"Adam"},{"family":"Mench","given":"Matthew"},{"family":"Meyers","given":"Jeremy"},{"family":"Ross","given":"Philip"},{"family":"Gostick","given":"Jeffrey"},{"family":"Liu","given":"Qinghua"}],"issued":{"date-parts":[["2011",10]]}}},{"id":110,"uris":["http://zotero.org/users/local/rZ3AHC6s/items/JJFA2ETS"],"uri":["http://zotero.org/users/local/rZ3AHC6s/items/JJFA2ETS"],"itemData":{"id":110,"type":"article-journal","title":"Chemical modification of graphite electrode materials for vanadium redox flow battery application—part II. Acid treatments","container-title":"Electrochimica Acta","page":"2459-2465","volume":"37","issue":"13","abstract":"The surface modification of graphite felt with concentrated sulphuric acid has led to dramatic improvement in the electroactivity of this material in the vanadium redox cell. A cell resistance of 2.50 Ω cm2 and energy efficiency of 91% were obtained in the vanadium cell, after the graphite felt electrode material was treated with boiling concentrated sulphuric acid for 5h. The electrochemical activity of the graphite felt was found to increase with increasing sulphuric acid concentration. Treatment of graphite felt with nitric acid and mixtures of sulphuric and nitric acids, however, led to higher cell resistance values compared with the sulphuric acid treatment. Surface analysis of treated and untreated felts using the XPS method has shown that the functional groups C</w:instrText>
      </w:r>
      <w:r w:rsidR="003739F7">
        <w:rPr>
          <w:rFonts w:hint="eastAsia"/>
        </w:rPr>
        <w:instrText></w:instrText>
      </w:r>
      <w:r w:rsidR="003739F7">
        <w:instrText>O and C</w:instrText>
      </w:r>
      <w:r w:rsidR="003739F7">
        <w:rPr>
          <w:rFonts w:hint="eastAsia"/>
        </w:rPr>
        <w:instrText></w:instrText>
      </w:r>
      <w:r w:rsidR="003739F7">
        <w:instrText xml:space="preserve">O increased dramatically compared with untreated samples. A sequence reaction mechanism was proposed for the VO2+ </w:instrText>
      </w:r>
      <w:r w:rsidR="003739F7">
        <w:rPr>
          <w:rFonts w:ascii="Cambria Math" w:hAnsi="Cambria Math" w:cs="Cambria Math"/>
        </w:rPr>
        <w:instrText>⇌</w:instrText>
      </w:r>
      <w:r w:rsidR="003739F7">
        <w:instrText xml:space="preserve"> VO+2 and V2+ </w:instrText>
      </w:r>
      <w:r w:rsidR="003739F7">
        <w:rPr>
          <w:rFonts w:ascii="Cambria Math" w:hAnsi="Cambria Math" w:cs="Cambria Math"/>
        </w:rPr>
        <w:instrText>⇌</w:instrText>
      </w:r>
      <w:r w:rsidR="003739F7">
        <w:instrText xml:space="preserve"> V3+ charge-discharge reactions occurring in the positive and negative 12-cells, respectively of the vanadium redox battery.","DOI":"10.1016/0013-4686(92)87084-D","ISSN":"0013-4686","journalAbbreviation":"Electrochimica Acta","author":[{"family":"Sun","given":"Bianting"},{"family":"Skyllas-Kazacos","given":"Maria"}],"issued":{"date-parts":[["1992",10]]}}},{"id":109,"uris":["http://zotero.org/users/local/rZ3AHC6s/items/M3DD82KP"],"uri":["http://zotero.org/users/local/rZ3AHC6s/items/M3DD82KP"],"itemData":{"id":109,"type":"article-journal","title":"Modification of graphite electrode materials for vanadium redox flow battery application—I. Thermal treatment","container-title":"Electrochimica Acta","page":"1253-1260","volume":"37","issue":"7","abstract":"The thermal activation of graphite felt was investigated at a range of temperatures and treatment times so as to enhance the electrochemical performance of this material for use in the vanadium redox cell. Graphite felt treated thermally at 400°C exhibited the greatest improvement in performance of the vanadium cell. Energy efficiencies of over 88% were obtained after this treatment compared with only 78% for the untreated felt. Results from XPS analysis showed that surface functional groups of C</w:instrText>
      </w:r>
      <w:r w:rsidR="003739F7">
        <w:rPr>
          <w:rFonts w:hint="eastAsia"/>
        </w:rPr>
        <w:instrText></w:instrText>
      </w:r>
      <w:r w:rsidR="003739F7">
        <w:instrText xml:space="preserve">O and C </w:instrText>
      </w:r>
      <w:r w:rsidR="003739F7">
        <w:rPr>
          <w:rFonts w:hint="eastAsia"/>
        </w:rPr>
        <w:instrText></w:instrText>
      </w:r>
      <w:r w:rsidR="003739F7">
        <w:instrText xml:space="preserve"> O increased dramatically compared with untreated samples, suggesting that these functional groups behave as active sites for the vanadium redox reactions.","DOI":"10.1016/0013-4686(92)85064-R","ISSN":"0013-4686","journalAbbreviation":"Electrochimica Acta","author":[{"family":"Sun","given":"B."},{"family":"Skyllas-Kazacos","given":"M."}],"issued":{"date-parts":[["1992",6]]}}},{"id":113,"uris":["http://zotero.org/users/local/rZ3AHC6s/items/R4WQGCFJ"],"uri":["http://zotero.org/users/local/rZ3AHC6s/items/R4WQGCFJ"],"itemData":{"id":113,"type":"article-journal","title":"Graphene oxide nanoplatelets as excellent electrochemical active materials for VO2+/ and V2+/V3+ redox couples for a vanadium redox flow battery","container-title":"Carbon","page":"693-700","volume":"49","issue":"2","abstract":"Graphene oxide nanoplatelets (GONPs) are presented as electrochemical active materials for VO2+/ VO 2 + and V2+/V3+ redox couples for a vanadium redox flow battery. The structures and electrochemical properties of GONPs treated at different temperatures were investigated by transmission electron microscopy, X-ray diffraction, Fourier transform infrared spectroscopy, X-ray photoelectron spectroscopy, Raman spectroscopy and cyclic voltammetry. The results indicate that GONPs treated at 50 °C (GONP-50) possess highly hydroxylated and carboxylated groups and exhibit an excellent electrocatalytic activity towards VO2+/ VO 2 + and V2+/V3+ redox couples, while the pristine graphite only shows a reversible electrocatalytic activity towards VO2+/ VO 2 + , suggesting that the V2+/V3+ redox reaction more strongly depends on the oxygen-containing groups attached on graphite surface than does the VO2+/ VO 2 + . With the increase of treatment temperature, the polarization is reduced significantly. GONPs treated at 120 °C (GNOP-120) exhibit a lower electrochemical polarization than that of GONP-50 because of relatively higher electrical conductivity despite moderate electrocatalytic activity. The diffusion of VO2+ is faster on the surface of GONP-50 than on the pristine graphite and GNOP-120.","DOI":"10.1016/j.carbon.2010.10.022","ISSN":"0008-6223","journalAbbreviation":"Carbon","author":[{"family":"Han","given":"Pengxian"},{"family":"Wang","given":"Haibo"},{"family":"Liu","given":"Zhihong"},{"family":"Chen","given":"Xiao"},{"family":"Ma","given":"Wen"},{"family":"Yao","given":"Jianhua"},{"family":"Zhu","given":"Yuwei"},{"family":"Cui","given":"Guanglei"}],"issued":{"date-parts":[["2011",2]]}}}],"schema":"https://github.com/citation-style-language/schema/raw/master/csl-citation.json"} </w:instrText>
      </w:r>
      <w:r w:rsidR="00485091">
        <w:fldChar w:fldCharType="separate"/>
      </w:r>
      <w:r w:rsidR="003739F7" w:rsidRPr="003739F7">
        <w:rPr>
          <w:rFonts w:ascii="Calibri" w:hAnsi="Calibri" w:cs="Times New Roman"/>
          <w:szCs w:val="24"/>
          <w:vertAlign w:val="superscript"/>
        </w:rPr>
        <w:t>2,3,13–15</w:t>
      </w:r>
      <w:r w:rsidR="00485091">
        <w:fldChar w:fldCharType="end"/>
      </w:r>
      <w:r w:rsidR="00485091">
        <w:t xml:space="preserve"> </w:t>
      </w:r>
      <w:r w:rsidR="003A1C5E">
        <w:t>Such surface oxides likely provide</w:t>
      </w:r>
      <w:r w:rsidR="00035BA6">
        <w:t xml:space="preserve"> </w:t>
      </w:r>
      <w:r w:rsidR="00035BA6">
        <w:lastRenderedPageBreak/>
        <w:t xml:space="preserve">adsorption sites for polar compounds such as the </w:t>
      </w:r>
      <w:proofErr w:type="spellStart"/>
      <w:r w:rsidR="00035BA6">
        <w:t>oxo</w:t>
      </w:r>
      <w:proofErr w:type="spellEnd"/>
      <w:r w:rsidR="00035BA6">
        <w:t xml:space="preserve">-vanadium species </w:t>
      </w:r>
      <w:r w:rsidR="003A1C5E">
        <w:t>present in</w:t>
      </w:r>
      <w:r w:rsidR="00035BA6">
        <w:t xml:space="preserve"> VRB operation, in turn catalyzing the redox reactions.</w:t>
      </w:r>
      <w:r w:rsidR="00035BA6">
        <w:fldChar w:fldCharType="begin"/>
      </w:r>
      <w:r w:rsidR="003739F7">
        <w:instrText xml:space="preserve"> ADDIN ZOTERO_ITEM CSL_CITATION {"citationID":"1aa35a63m7","properties":{"formattedCitation":"{\\rtf \\super 13,14\\nosupersub{}}","plainCitation":"13,14"},"citationItems":[{"id":109,"uris":["http://zotero.org/users/local/rZ3AHC6s/items/M3DD82KP"],"uri":["http://zotero.org/users/local/rZ3AHC6s/items/M3DD82KP"],"itemData":{"id":109,"type":"article-journal","title":"Modification of graphite electrode materials for vanadium redox flow battery application—I. Thermal treatment","container-title":"Electrochimica Acta","page":"1253-1260","volume":"37","issue":"7","abstract":"The thermal activation of graphite felt was investigated at a range of temperatures and treatment times so as to enhance the electrochemical performance of this material for use in the vanadium redox cell. Graphite felt treated thermally at 400°C exhibited the greatest improvement in performance of the vanadium cell. Energy efficiencies of over 88% were obtained after this treatment compared with only 78% for the untreated felt. Results from XPS analysis showed that surface functional groups of C</w:instrText>
      </w:r>
      <w:r w:rsidR="003739F7">
        <w:rPr>
          <w:rFonts w:hint="eastAsia"/>
        </w:rPr>
        <w:instrText></w:instrText>
      </w:r>
      <w:r w:rsidR="003739F7">
        <w:instrText xml:space="preserve">O and C </w:instrText>
      </w:r>
      <w:r w:rsidR="003739F7">
        <w:rPr>
          <w:rFonts w:hint="eastAsia"/>
        </w:rPr>
        <w:instrText></w:instrText>
      </w:r>
      <w:r w:rsidR="003739F7">
        <w:instrText xml:space="preserve"> O increased dramatically compared with untreated samples, suggesting that these functional groups behave as active sites for the vanadium redox reactions.","DOI":"10.1016/0013-4686(92)85064-R","ISSN":"0013-4686","journalAbbreviation":"Electrochimica Acta","author":[{"family":"Sun","given":"B."},{"family":"Skyllas-Kazacos","given":"M."}],"issued":{"date-parts":[["1992",6]]}}},{"id":110,"uris":["http://zotero.org/users/local/rZ3AHC6s/items/JJFA2ETS"],"uri":["http://zotero.org/users/local/rZ3AHC6s/items/JJFA2ETS"],"itemData":{"id":110,"type":"article-journal","title":"Chemical modification of graphite electrode materials for vanadium redox flow battery application—part II. Acid treatments","container-title":"Electrochimica Acta","page":"2459-2465","volume":"37","issue":"13","abstract":"The surface modification of graphite felt with concentrated sulphuric acid has led to dramatic improvement in the electroactivity of this material in the vanadium redox cell. A cell resistance of 2.50 Ω cm2 and energy efficiency of 91% were obtained in the vanadium cell, after the graphite felt electrode material was treated with boiling concentrated sulphuric acid for 5h. The electrochemical activity of the graphite felt was found to increase with increasing sulphuric acid concentration. Treatment of graphite felt with nitric acid and mixtures of sulphuric and nitric acids, however, led to higher cell resistance values compared with the sulphuric acid treatment. Surface analysis of treated and untreated felts using the XPS method has shown that the functional groups C</w:instrText>
      </w:r>
      <w:r w:rsidR="003739F7">
        <w:rPr>
          <w:rFonts w:hint="eastAsia"/>
        </w:rPr>
        <w:instrText></w:instrText>
      </w:r>
      <w:r w:rsidR="003739F7">
        <w:instrText>O and C</w:instrText>
      </w:r>
      <w:r w:rsidR="003739F7">
        <w:rPr>
          <w:rFonts w:hint="eastAsia"/>
        </w:rPr>
        <w:instrText></w:instrText>
      </w:r>
      <w:r w:rsidR="003739F7">
        <w:instrText xml:space="preserve">O increased dramatically compared with untreated samples. A sequence reaction mechanism was proposed for the VO2+ </w:instrText>
      </w:r>
      <w:r w:rsidR="003739F7">
        <w:rPr>
          <w:rFonts w:ascii="Cambria Math" w:hAnsi="Cambria Math" w:cs="Cambria Math"/>
        </w:rPr>
        <w:instrText>⇌</w:instrText>
      </w:r>
      <w:r w:rsidR="003739F7">
        <w:instrText xml:space="preserve"> VO+2 and V2+ </w:instrText>
      </w:r>
      <w:r w:rsidR="003739F7">
        <w:rPr>
          <w:rFonts w:ascii="Cambria Math" w:hAnsi="Cambria Math" w:cs="Cambria Math"/>
        </w:rPr>
        <w:instrText>⇌</w:instrText>
      </w:r>
      <w:r w:rsidR="003739F7">
        <w:instrText xml:space="preserve"> V3+ charge-discharge reactions occurring in the positive and negative 12-cells, respectively of the vanadium redox battery.","DOI":"10.1016/0013-4686(92)87084-D","ISSN":"0013-4686","journalAbbreviation":"Electrochimica Acta","author":[{"family":"Sun","given":"Bianting"},{"family":"Skyllas-Kazacos","given":"Maria"}],"issued":{"date-parts":[["1992",10]]}}}],"schema":"https://github.com/citation-style-language/schema/raw/master/csl-citation.json"} </w:instrText>
      </w:r>
      <w:r w:rsidR="00035BA6">
        <w:fldChar w:fldCharType="separate"/>
      </w:r>
      <w:r w:rsidR="003739F7" w:rsidRPr="003739F7">
        <w:rPr>
          <w:rFonts w:ascii="Calibri" w:hAnsi="Calibri" w:cs="Times New Roman"/>
          <w:szCs w:val="24"/>
          <w:vertAlign w:val="superscript"/>
        </w:rPr>
        <w:t>13,14</w:t>
      </w:r>
      <w:r w:rsidR="00035BA6">
        <w:fldChar w:fldCharType="end"/>
      </w:r>
      <w:r w:rsidR="00035BA6">
        <w:t xml:space="preserve"> </w:t>
      </w:r>
      <w:r w:rsidR="001A0896">
        <w:t>Researchers turn to three main methods to increase the surface oxide content of electrode materials: heat treatment, acid treatment, and addition of graphite/graphene nanoparticles.</w:t>
      </w:r>
      <w:r w:rsidR="001A0896">
        <w:fldChar w:fldCharType="begin"/>
      </w:r>
      <w:r w:rsidR="003739F7">
        <w:instrText xml:space="preserve"> ADDIN ZOTERO_ITEM CSL_CITATION {"citationID":"12t979cumu","properties":{"formattedCitation":"{\\rtf \\super 13\\uc0\\u8211{}15\\nosupersub{}}","plainCitation":"13–15"},"citationItems":[{"id":109,"uris":["http://zotero.org/users/local/rZ3AHC6s/items/M3DD82KP"],"uri":["http://zotero.org/users/local/rZ3AHC6s/items/M3DD82KP"],"itemData":{"id":109,"type":"article-journal","title":"Modification of graphite electrode materials for vanadium redox flow battery application—I. Thermal treatment","container-title":"Electrochimica Acta","page":"1253-1260","volume":"37","issue":"7","abstract":"The thermal activation of graphite felt was investigated at a range of temperatures and treatment times so as to enhance the electrochemical performance of this material for use in the vanadium redox cell. Graphite felt treated thermally at 400°C exhibited the greatest improvement in performance of the vanadium cell. Energy efficiencies of over 88% were obtained after this treatment compared with only 78% for the untreated felt. Results from XPS analysis showed that surface functional groups of C</w:instrText>
      </w:r>
      <w:r w:rsidR="003739F7">
        <w:rPr>
          <w:rFonts w:hint="eastAsia"/>
        </w:rPr>
        <w:instrText></w:instrText>
      </w:r>
      <w:r w:rsidR="003739F7">
        <w:instrText xml:space="preserve">O and C </w:instrText>
      </w:r>
      <w:r w:rsidR="003739F7">
        <w:rPr>
          <w:rFonts w:hint="eastAsia"/>
        </w:rPr>
        <w:instrText></w:instrText>
      </w:r>
      <w:r w:rsidR="003739F7">
        <w:instrText xml:space="preserve"> O increased dramatically compared with untreated samples, suggesting that these functional groups behave as active sites for the vanadium redox reactions.","DOI":"10.1016/0013-4686(92)85064-R","ISSN":"0013-4686","journalAbbreviation":"Electrochimica Acta","author":[{"family":"Sun","given":"B."},{"family":"Skyllas-Kazacos","given":"M."}],"issued":{"date-parts":[["1992",6]]}}},{"id":110,"uris":["http://zotero.org/users/local/rZ3AHC6s/items/JJFA2ETS"],"uri":["http://zotero.org/users/local/rZ3AHC6s/items/JJFA2ETS"],"itemData":{"id":110,"type":"article-journal","title":"Chemical modification of graphite electrode materials for vanadium redox flow battery application—part II. Acid treatments","container-title":"Electrochimica Acta","page":"2459-2465","volume":"37","issue":"13","abstract":"The surface modification of graphite felt with concentrated sulphuric acid has led to dramatic improvement in the electroactivity of this material in the vanadium redox cell. A cell resistance of 2.50 Ω cm2 and energy efficiency of 91% were obtained in the vanadium cell, after the graphite felt electrode material was treated with boiling concentrated sulphuric acid for 5h. The electrochemical activity of the graphite felt was found to increase with increasing sulphuric acid concentration. Treatment of graphite felt with nitric acid and mixtures of sulphuric and nitric acids, however, led to higher cell resistance values compared with the sulphuric acid treatment. Surface analysis of treated and untreated felts using the XPS method has shown that the functional groups C</w:instrText>
      </w:r>
      <w:r w:rsidR="003739F7">
        <w:rPr>
          <w:rFonts w:hint="eastAsia"/>
        </w:rPr>
        <w:instrText></w:instrText>
      </w:r>
      <w:r w:rsidR="003739F7">
        <w:instrText>O and C</w:instrText>
      </w:r>
      <w:r w:rsidR="003739F7">
        <w:rPr>
          <w:rFonts w:hint="eastAsia"/>
        </w:rPr>
        <w:instrText></w:instrText>
      </w:r>
      <w:r w:rsidR="003739F7">
        <w:instrText xml:space="preserve">O increased dramatically compared with untreated samples. A sequence reaction mechanism was proposed for the VO2+ </w:instrText>
      </w:r>
      <w:r w:rsidR="003739F7">
        <w:rPr>
          <w:rFonts w:ascii="Cambria Math" w:hAnsi="Cambria Math" w:cs="Cambria Math"/>
        </w:rPr>
        <w:instrText>⇌</w:instrText>
      </w:r>
      <w:r w:rsidR="003739F7">
        <w:instrText xml:space="preserve"> VO+2 and V2+ </w:instrText>
      </w:r>
      <w:r w:rsidR="003739F7">
        <w:rPr>
          <w:rFonts w:ascii="Cambria Math" w:hAnsi="Cambria Math" w:cs="Cambria Math"/>
        </w:rPr>
        <w:instrText>⇌</w:instrText>
      </w:r>
      <w:r w:rsidR="003739F7">
        <w:instrText xml:space="preserve"> V3+ charge-discharge reactions occurring in the positive and negative 12-cells, respectively of the vanadium redox battery.","DOI":"10.1016/0013-4686(92)87084-D","ISSN":"0013-4686","journalAbbreviation":"Electrochimica Acta","author":[{"family":"Sun","given":"Bianting"},{"family":"Skyllas-Kazacos","given":"Maria"}],"issued":{"date-parts":[["1992",10]]}}},{"id":113,"uris":["http://zotero.org/users/local/rZ3AHC6s/items/R4WQGCFJ"],"uri":["http://zotero.org/users/local/rZ3AHC6s/items/R4WQGCFJ"],"itemData":{"id":113,"type":"article-journal","title":"Graphene oxide nanoplatelets as excellent electrochemical active materials for VO2+/ and V2+/V3+ redox couples for a vanadium redox flow battery","container-title":"Carbon","page":"693-700","volume":"49","issue":"2","abstract":"Graphene oxide nanoplatelets (GONPs) are presented as electrochemical active materials for VO2+/ VO 2 + and V2+/V3+ redox couples for a vanadium redox flow battery. The structures and electrochemical properties of GONPs treated at different temperatures were investigated by transmission electron microscopy, X-ray diffraction, Fourier transform infrared spectroscopy, X-ray photoelectron spectroscopy, Raman spectroscopy and cyclic voltammetry. The results indicate that GONPs treated at 50 °C (GONP-50) possess highly hydroxylated and carboxylated groups and exhibit an excellent electrocatalytic activity towards VO2+/ VO 2 + and V2+/V3+ redox couples, while the pristine graphite only shows a reversible electrocatalytic activity towards VO2+/ VO 2 + , suggesting that the V2+/V3+ redox reaction more strongly depends on the oxygen-containing groups attached on graphite surface than does the VO2+/ VO 2 + . With the increase of treatment temperature, the polarization is reduced significantly. GONPs treated at 120 °C (GNOP-120) exhibit a lower electrochemical polarization than that of GONP-50 because of relatively higher electrical conductivity despite moderate electrocatalytic activity. The diffusion of VO2+ is faster on the surface of GONP-50 than on the pristine graphite and GNOP-120.","DOI":"10.1016/j.carbon.2010.10.022","ISSN":"0008-6223","journalAbbreviation":"Carbon","author":[{"family":"Han","given":"Pengxian"},{"family":"Wang","given":"Haibo"},{"family":"Liu","given":"Zhihong"},{"family":"Chen","given":"Xiao"},{"family":"Ma","given":"Wen"},{"family":"Yao","given":"Jianhua"},{"family":"Zhu","given":"Yuwei"},{"family":"Cui","given":"Guanglei"}],"issued":{"date-parts":[["2011",2]]}}}],"schema":"https://github.com/citation-style-language/schema/raw/master/csl-citation.json"} </w:instrText>
      </w:r>
      <w:r w:rsidR="001A0896">
        <w:fldChar w:fldCharType="separate"/>
      </w:r>
      <w:r w:rsidR="003739F7" w:rsidRPr="003739F7">
        <w:rPr>
          <w:rFonts w:ascii="Calibri" w:hAnsi="Calibri" w:cs="Times New Roman"/>
          <w:szCs w:val="24"/>
          <w:vertAlign w:val="superscript"/>
        </w:rPr>
        <w:t>13–15</w:t>
      </w:r>
      <w:r w:rsidR="001A0896">
        <w:fldChar w:fldCharType="end"/>
      </w:r>
      <w:r w:rsidR="001A0896">
        <w:t xml:space="preserve"> </w:t>
      </w:r>
      <w:r w:rsidR="00035BA6">
        <w:t xml:space="preserve">Sun, </w:t>
      </w:r>
      <w:proofErr w:type="gramStart"/>
      <w:r w:rsidR="00035BA6">
        <w:t>et</w:t>
      </w:r>
      <w:proofErr w:type="gramEnd"/>
      <w:r w:rsidR="00035BA6">
        <w:t>. al. proposed two</w:t>
      </w:r>
      <w:r w:rsidR="003F1384">
        <w:t xml:space="preserve"> three-step</w:t>
      </w:r>
      <w:r w:rsidR="00035BA6">
        <w:t xml:space="preserve"> mechanisms to explain the reaction mechanism of V</w:t>
      </w:r>
      <w:r w:rsidR="00035BA6">
        <w:rPr>
          <w:vertAlign w:val="superscript"/>
        </w:rPr>
        <w:t>4+</w:t>
      </w:r>
      <w:r w:rsidR="00035BA6">
        <w:t>/V</w:t>
      </w:r>
      <w:r w:rsidR="00035BA6">
        <w:rPr>
          <w:vertAlign w:val="superscript"/>
        </w:rPr>
        <w:t>5+</w:t>
      </w:r>
      <w:r w:rsidR="00035BA6">
        <w:t xml:space="preserve"> on surface </w:t>
      </w:r>
      <w:r w:rsidR="003F1384">
        <w:t>hydroxyl</w:t>
      </w:r>
      <w:r w:rsidR="003A1C5E">
        <w:t xml:space="preserve"> groups (Figure 6</w:t>
      </w:r>
      <w:r w:rsidR="00035BA6">
        <w:t>).</w:t>
      </w:r>
      <w:r w:rsidR="00035BA6">
        <w:fldChar w:fldCharType="begin"/>
      </w:r>
      <w:r w:rsidR="00DC6E54">
        <w:instrText xml:space="preserve"> ADDIN ZOTERO_ITEM CSL_CITATION {"citationID":"2bpksl95p2","properties":{"formattedCitation":"{\\rtf \\super 13\\nosupersub{}}","plainCitation":"13"},"citationItems":[{"id":109,"uris":["http://zotero.org/users/local/rZ3AHC6s/items/M3DD82KP"],"uri":["http://zotero.org/users/local/rZ3AHC6s/items/M3DD82KP"],"itemData":{"id":109,"type":"article-journal","title":"Modification of graphite electrode materials for vanadium redox flow battery application—I. Thermal treatment","container-title":"Electrochimica Acta","page":"1253-1260","volume":"37","issue":"7","abstract":"The thermal activation of graphite felt was investigated at a range of temperatures and treatment times so as to enhance the electrochemical performance of this material for use in the vanadium redox cell. Graphite felt treated thermally at 400°C exhibited the greatest improvement in performance of the vanadium cell. Energy efficiencies of over 88% were obtained after this treatment compared with only 78% for the untreated felt. Results from XPS analysis showed that surface functional groups of C</w:instrText>
      </w:r>
      <w:r w:rsidR="00DC6E54">
        <w:rPr>
          <w:rFonts w:hint="eastAsia"/>
        </w:rPr>
        <w:instrText></w:instrText>
      </w:r>
      <w:r w:rsidR="00DC6E54">
        <w:instrText xml:space="preserve">O and C </w:instrText>
      </w:r>
      <w:r w:rsidR="00DC6E54">
        <w:rPr>
          <w:rFonts w:hint="eastAsia"/>
        </w:rPr>
        <w:instrText></w:instrText>
      </w:r>
      <w:r w:rsidR="00DC6E54">
        <w:instrText xml:space="preserve"> O increased dramatically compared with untreated samples, suggesting that these functional groups behave as active sites for the vanadium redox reactions.","DOI":"10.1016/0013-4686(92)85064-R","ISSN":"0013-4686","journalAbbreviation":"Electrochimica Acta","author":[{"family":"Sun","given":"B."},{"family":"Skyllas-Kazacos","given":"M."}],"issued":{"date-parts":[["1992",6]]}}}],"schema":"https://github.com/citation-style-language/schema/raw/master/csl-citation.json"} </w:instrText>
      </w:r>
      <w:r w:rsidR="00035BA6">
        <w:fldChar w:fldCharType="separate"/>
      </w:r>
      <w:r w:rsidR="00DC6E54" w:rsidRPr="00DC6E54">
        <w:rPr>
          <w:rFonts w:ascii="Calibri" w:hAnsi="Calibri" w:cs="Times New Roman"/>
          <w:szCs w:val="24"/>
          <w:vertAlign w:val="superscript"/>
        </w:rPr>
        <w:t>13</w:t>
      </w:r>
      <w:r w:rsidR="00035BA6">
        <w:fldChar w:fldCharType="end"/>
      </w:r>
      <w:r w:rsidR="001A0896">
        <w:t xml:space="preserve">  Though this mechanism was developed based on traditional graphite materials, the mechanism still applies to graphene oxide nanoparticles as the number</w:t>
      </w:r>
      <w:r w:rsidR="003A1C5E">
        <w:t>,</w:t>
      </w:r>
      <w:r w:rsidR="001A0896">
        <w:t xml:space="preserve"> but not type</w:t>
      </w:r>
      <w:r w:rsidR="003A1C5E">
        <w:t>,</w:t>
      </w:r>
      <w:r w:rsidR="001A0896">
        <w:t xml:space="preserve"> of surface functional group changes.</w:t>
      </w:r>
      <w:r w:rsidR="001A0896">
        <w:fldChar w:fldCharType="begin"/>
      </w:r>
      <w:r w:rsidR="00DC6E54">
        <w:instrText xml:space="preserve"> ADDIN ZOTERO_ITEM CSL_CITATION {"citationID":"2o01fug75c","properties":{"formattedCitation":"{\\rtf \\super 15\\nosupersub{}}","plainCitation":"15"},"citationItems":[{"id":113,"uris":["http://zotero.org/users/local/rZ3AHC6s/items/R4WQGCFJ"],"uri":["http://zotero.org/users/local/rZ3AHC6s/items/R4WQGCFJ"],"itemData":{"id":113,"type":"article-journal","title":"Graphene oxide nanoplatelets as excellent electrochemical active materials for VO2+/ and V2+/V3+ redox couples for a vanadium redox flow battery","container-title":"Carbon","page":"693-700","volume":"49","issue":"2","abstract":"Graphene oxide nanoplatelets (GONPs) are presented as electrochemical active materials for VO2+/ VO 2 + and V2+/V3+ redox couples for a vanadium redox flow battery. The structures and electrochemical properties of GONPs treated at different temperatures were investigated by transmission electron microscopy, X-ray diffraction, Fourier transform infrared spectroscopy, X-ray photoelectron spectroscopy, Raman spectroscopy and cyclic voltammetry. The results indicate that GONPs treated at 50 °C (GONP-50) possess highly hydroxylated and carboxylated groups and exhibit an excellent electrocatalytic activity towards VO2+/ VO 2 + and V2+/V3+ redox couples, while the pristine graphite only shows a reversible electrocatalytic activity towards VO2+/ VO 2 + , suggesting that the V2+/V3+ redox reaction more strongly depends on the oxygen-containing groups attached on graphite surface than does the VO2+/ VO 2 + . With the increase of treatment temperature, the polarization is reduced significantly. GONPs treated at 120 °C (GNOP-120) exhibit a lower electrochemical polarization than that of GONP-50 because of relatively higher electrical conductivity despite moderate electrocatalytic activity. The diffusion of VO2+ is faster on the surface of GONP-50 than on the pristine graphite and GNOP-120.","DOI":"10.1016/j.carbon.2010.10.022","ISSN":"0008-6223","journalAbbreviation":"Carbon","author":[{"family":"Han","given":"Pengxian"},{"family":"Wang","given":"Haibo"},{"family":"Liu","given":"Zhihong"},{"family":"Chen","given":"Xiao"},{"family":"Ma","given":"Wen"},{"family":"Yao","given":"Jianhua"},{"family":"Zhu","given":"Yuwei"},{"family":"Cui","given":"Guanglei"}],"issued":{"date-parts":[["2011",2]]}}}],"schema":"https://github.com/citation-style-language/schema/raw/master/csl-citation.json"} </w:instrText>
      </w:r>
      <w:r w:rsidR="001A0896">
        <w:fldChar w:fldCharType="separate"/>
      </w:r>
      <w:r w:rsidR="00DC6E54" w:rsidRPr="00DC6E54">
        <w:rPr>
          <w:rFonts w:ascii="Calibri" w:hAnsi="Calibri" w:cs="Times New Roman"/>
          <w:szCs w:val="24"/>
          <w:vertAlign w:val="superscript"/>
        </w:rPr>
        <w:t>15</w:t>
      </w:r>
      <w:r w:rsidR="001A0896">
        <w:fldChar w:fldCharType="end"/>
      </w:r>
      <w:r w:rsidR="00115E72">
        <w:t xml:space="preserve"> Notable is the absence of V</w:t>
      </w:r>
      <w:r w:rsidR="00115E72">
        <w:rPr>
          <w:vertAlign w:val="subscript"/>
        </w:rPr>
        <w:t>2</w:t>
      </w:r>
      <w:r w:rsidR="00115E72">
        <w:t>O</w:t>
      </w:r>
      <w:r w:rsidR="00115E72">
        <w:rPr>
          <w:vertAlign w:val="subscript"/>
        </w:rPr>
        <w:t>3</w:t>
      </w:r>
      <w:r w:rsidR="00115E72">
        <w:rPr>
          <w:vertAlign w:val="superscript"/>
        </w:rPr>
        <w:t>3+</w:t>
      </w:r>
      <w:r w:rsidR="00115E72">
        <w:t xml:space="preserve"> from the reaction mechanism, indicating that, at best, the mechanism </w:t>
      </w:r>
      <w:r w:rsidR="003A1C5E">
        <w:t>assumes a rapid equilibrium of the complex with V</w:t>
      </w:r>
      <w:r w:rsidR="003A1C5E">
        <w:rPr>
          <w:vertAlign w:val="superscript"/>
        </w:rPr>
        <w:t>4+</w:t>
      </w:r>
      <w:r w:rsidR="003A1C5E">
        <w:t xml:space="preserve"> and V</w:t>
      </w:r>
      <w:r w:rsidR="003A1C5E">
        <w:rPr>
          <w:vertAlign w:val="superscript"/>
        </w:rPr>
        <w:t>5+</w:t>
      </w:r>
      <w:r w:rsidR="003A1C5E">
        <w:t>, allowing it to be excluded from the mechanism. A</w:t>
      </w:r>
      <w:r w:rsidR="00115E72">
        <w:t xml:space="preserve">t worst, </w:t>
      </w:r>
      <w:r w:rsidR="003A1C5E">
        <w:t xml:space="preserve">the rapid equilibrium assumption is inappropriate, and </w:t>
      </w:r>
      <w:r w:rsidR="00115E72">
        <w:t>the mechanism is faulty.</w:t>
      </w:r>
    </w:p>
    <w:p w14:paraId="69939E86" w14:textId="1EE73DE4" w:rsidR="00035BA6" w:rsidRPr="003F1384" w:rsidRDefault="00035BA6" w:rsidP="00055CFD">
      <w:pPr>
        <w:spacing w:line="480" w:lineRule="auto"/>
      </w:pPr>
    </w:p>
    <w:tbl>
      <w:tblPr>
        <w:tblStyle w:val="TableGrid"/>
        <w:tblW w:w="0" w:type="auto"/>
        <w:tblLayout w:type="fixed"/>
        <w:tblLook w:val="04A0" w:firstRow="1" w:lastRow="0" w:firstColumn="1" w:lastColumn="0" w:noHBand="0" w:noVBand="1"/>
      </w:tblPr>
      <w:tblGrid>
        <w:gridCol w:w="805"/>
        <w:gridCol w:w="8545"/>
      </w:tblGrid>
      <w:tr w:rsidR="00035BA6" w14:paraId="771E3C70" w14:textId="77777777" w:rsidTr="00035BA6">
        <w:tc>
          <w:tcPr>
            <w:tcW w:w="805" w:type="dxa"/>
            <w:tcBorders>
              <w:top w:val="nil"/>
              <w:left w:val="nil"/>
              <w:bottom w:val="nil"/>
              <w:right w:val="nil"/>
            </w:tcBorders>
            <w:vAlign w:val="center"/>
          </w:tcPr>
          <w:p w14:paraId="4CA0FA1A" w14:textId="768CFEF8" w:rsidR="00035BA6" w:rsidRPr="00035BA6" w:rsidRDefault="00035BA6" w:rsidP="00055CFD">
            <w:pPr>
              <w:spacing w:line="480" w:lineRule="auto"/>
              <w:rPr>
                <w:b/>
              </w:rPr>
            </w:pPr>
            <w:r w:rsidRPr="00035BA6">
              <w:rPr>
                <w:b/>
              </w:rPr>
              <w:t>Step 1</w:t>
            </w:r>
          </w:p>
        </w:tc>
        <w:tc>
          <w:tcPr>
            <w:tcW w:w="8545" w:type="dxa"/>
            <w:tcBorders>
              <w:top w:val="nil"/>
              <w:left w:val="nil"/>
              <w:bottom w:val="nil"/>
              <w:right w:val="nil"/>
            </w:tcBorders>
          </w:tcPr>
          <w:p w14:paraId="56A79C26" w14:textId="238C2D47" w:rsidR="00035BA6" w:rsidRDefault="00035BA6" w:rsidP="00055CFD">
            <w:pPr>
              <w:spacing w:line="480" w:lineRule="auto"/>
            </w:pPr>
            <w:r>
              <w:rPr>
                <w:noProof/>
              </w:rPr>
              <w:drawing>
                <wp:inline distT="0" distB="0" distL="0" distR="0" wp14:anchorId="53B1C2C6" wp14:editId="7DE60F0A">
                  <wp:extent cx="4332345" cy="270533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V4-V5 mechanism step 1.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332345" cy="2705334"/>
                          </a:xfrm>
                          <a:prstGeom prst="rect">
                            <a:avLst/>
                          </a:prstGeom>
                        </pic:spPr>
                      </pic:pic>
                    </a:graphicData>
                  </a:graphic>
                </wp:inline>
              </w:drawing>
            </w:r>
          </w:p>
        </w:tc>
      </w:tr>
      <w:tr w:rsidR="00035BA6" w14:paraId="3156068B" w14:textId="77777777" w:rsidTr="00035BA6">
        <w:tc>
          <w:tcPr>
            <w:tcW w:w="805" w:type="dxa"/>
            <w:tcBorders>
              <w:top w:val="nil"/>
              <w:left w:val="nil"/>
              <w:bottom w:val="nil"/>
              <w:right w:val="nil"/>
            </w:tcBorders>
            <w:vAlign w:val="center"/>
          </w:tcPr>
          <w:p w14:paraId="5E017E56" w14:textId="1A1E600A" w:rsidR="00035BA6" w:rsidRPr="00035BA6" w:rsidRDefault="00035BA6" w:rsidP="00055CFD">
            <w:pPr>
              <w:spacing w:line="480" w:lineRule="auto"/>
              <w:rPr>
                <w:b/>
              </w:rPr>
            </w:pPr>
            <w:r w:rsidRPr="00035BA6">
              <w:rPr>
                <w:b/>
              </w:rPr>
              <w:lastRenderedPageBreak/>
              <w:t>Step 2</w:t>
            </w:r>
          </w:p>
        </w:tc>
        <w:tc>
          <w:tcPr>
            <w:tcW w:w="8545" w:type="dxa"/>
            <w:tcBorders>
              <w:top w:val="nil"/>
              <w:left w:val="nil"/>
              <w:bottom w:val="nil"/>
              <w:right w:val="nil"/>
            </w:tcBorders>
          </w:tcPr>
          <w:p w14:paraId="7A588793" w14:textId="5001A4DD" w:rsidR="00035BA6" w:rsidRDefault="00035BA6" w:rsidP="00055CFD">
            <w:pPr>
              <w:spacing w:line="480" w:lineRule="auto"/>
            </w:pPr>
            <w:r>
              <w:rPr>
                <w:noProof/>
              </w:rPr>
              <w:drawing>
                <wp:inline distT="0" distB="0" distL="0" distR="0" wp14:anchorId="6A1EA213" wp14:editId="5A8D664A">
                  <wp:extent cx="5342888" cy="254508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V4-V5 mechanism step 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48855" cy="2547922"/>
                          </a:xfrm>
                          <a:prstGeom prst="rect">
                            <a:avLst/>
                          </a:prstGeom>
                        </pic:spPr>
                      </pic:pic>
                    </a:graphicData>
                  </a:graphic>
                </wp:inline>
              </w:drawing>
            </w:r>
          </w:p>
        </w:tc>
      </w:tr>
      <w:tr w:rsidR="00035BA6" w14:paraId="6EB413C3" w14:textId="77777777" w:rsidTr="00035BA6">
        <w:tc>
          <w:tcPr>
            <w:tcW w:w="805" w:type="dxa"/>
            <w:tcBorders>
              <w:top w:val="nil"/>
              <w:left w:val="nil"/>
              <w:bottom w:val="nil"/>
              <w:right w:val="nil"/>
            </w:tcBorders>
            <w:vAlign w:val="center"/>
          </w:tcPr>
          <w:p w14:paraId="4C45CAF4" w14:textId="1A57217F" w:rsidR="00035BA6" w:rsidRPr="00035BA6" w:rsidRDefault="00035BA6" w:rsidP="00055CFD">
            <w:pPr>
              <w:spacing w:line="480" w:lineRule="auto"/>
              <w:rPr>
                <w:b/>
              </w:rPr>
            </w:pPr>
            <w:r w:rsidRPr="00035BA6">
              <w:rPr>
                <w:b/>
              </w:rPr>
              <w:t>Step 3</w:t>
            </w:r>
          </w:p>
        </w:tc>
        <w:tc>
          <w:tcPr>
            <w:tcW w:w="8545" w:type="dxa"/>
            <w:tcBorders>
              <w:top w:val="nil"/>
              <w:left w:val="nil"/>
              <w:bottom w:val="nil"/>
              <w:right w:val="nil"/>
            </w:tcBorders>
          </w:tcPr>
          <w:p w14:paraId="2C87BEEB" w14:textId="1C7C7AF4" w:rsidR="00035BA6" w:rsidRDefault="00035BA6" w:rsidP="00055CFD">
            <w:pPr>
              <w:spacing w:line="480" w:lineRule="auto"/>
            </w:pPr>
            <w:r>
              <w:rPr>
                <w:noProof/>
              </w:rPr>
              <w:drawing>
                <wp:inline distT="0" distB="0" distL="0" distR="0" wp14:anchorId="6E859D9B" wp14:editId="666EEDA5">
                  <wp:extent cx="5094411" cy="134123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V4-V5 mechanism step 3.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094411" cy="1341236"/>
                          </a:xfrm>
                          <a:prstGeom prst="rect">
                            <a:avLst/>
                          </a:prstGeom>
                        </pic:spPr>
                      </pic:pic>
                    </a:graphicData>
                  </a:graphic>
                </wp:inline>
              </w:drawing>
            </w:r>
          </w:p>
        </w:tc>
      </w:tr>
    </w:tbl>
    <w:p w14:paraId="0EE093CE" w14:textId="283E16F7" w:rsidR="00993378" w:rsidRDefault="00035BA6" w:rsidP="00055CFD">
      <w:pPr>
        <w:spacing w:line="480" w:lineRule="auto"/>
      </w:pPr>
      <w:r w:rsidRPr="00485091">
        <w:t xml:space="preserve"> </w:t>
      </w:r>
      <w:r w:rsidR="003A1C5E">
        <w:rPr>
          <w:b/>
        </w:rPr>
        <w:t>Figure 6</w:t>
      </w:r>
      <w:r w:rsidR="003A1C5E">
        <w:t xml:space="preserve">. Mechanism A utilizes two hydroxyl groups to create a bridged </w:t>
      </w:r>
      <w:proofErr w:type="spellStart"/>
      <w:r w:rsidR="003A1C5E">
        <w:t>oxo</w:t>
      </w:r>
      <w:proofErr w:type="spellEnd"/>
      <w:r w:rsidR="003A1C5E">
        <w:t xml:space="preserve">-vanadium species. Mechanism B uses only one hydroxyl group in its first step. For both mechanisms, the product of the first step reacts with water to form a </w:t>
      </w:r>
      <w:proofErr w:type="spellStart"/>
      <w:r w:rsidR="003A1C5E">
        <w:t>dioxo</w:t>
      </w:r>
      <w:proofErr w:type="spellEnd"/>
      <w:r w:rsidR="003A1C5E">
        <w:t>-vanadium species. Step 3 is the same for both mechanisms with the final product of V</w:t>
      </w:r>
      <w:r w:rsidR="003A1C5E">
        <w:rPr>
          <w:vertAlign w:val="superscript"/>
        </w:rPr>
        <w:t>5+</w:t>
      </w:r>
      <w:r w:rsidR="003A1C5E">
        <w:t>.</w:t>
      </w:r>
    </w:p>
    <w:p w14:paraId="10BC8071" w14:textId="2F226B73" w:rsidR="00400F27" w:rsidRDefault="00A85654" w:rsidP="003A1C5E">
      <w:pPr>
        <w:spacing w:line="480" w:lineRule="auto"/>
        <w:ind w:firstLine="720"/>
      </w:pPr>
      <w:r>
        <w:t>A second mechanism was proposed for the V</w:t>
      </w:r>
      <w:r>
        <w:rPr>
          <w:vertAlign w:val="superscript"/>
        </w:rPr>
        <w:t>3+</w:t>
      </w:r>
      <w:r>
        <w:t>/V</w:t>
      </w:r>
      <w:r>
        <w:rPr>
          <w:vertAlign w:val="superscript"/>
        </w:rPr>
        <w:t>2+</w:t>
      </w:r>
      <w:r>
        <w:t xml:space="preserve"> couple on the same carbon material (F</w:t>
      </w:r>
      <w:r w:rsidR="003A1C5E">
        <w:t>igure 7</w:t>
      </w:r>
      <w:r>
        <w:t>).</w:t>
      </w:r>
      <w:r>
        <w:fldChar w:fldCharType="begin"/>
      </w:r>
      <w:r w:rsidR="00DC6E54">
        <w:instrText xml:space="preserve"> ADDIN ZOTERO_ITEM CSL_CITATION {"citationID":"1132dq8nm0","properties":{"formattedCitation":"{\\rtf \\super 14\\nosupersub{}}","plainCitation":"14"},"citationItems":[{"id":110,"uris":["http://zotero.org/users/local/rZ3AHC6s/items/JJFA2ETS"],"uri":["http://zotero.org/users/local/rZ3AHC6s/items/JJFA2ETS"],"itemData":{"id":110,"type":"article-journal","title":"Chemical modification of graphite electrode materials for vanadium redox flow battery application—part II. Acid treatments","container-title":"Electrochimica Acta","page":"2459-2465","volume":"37","issue":"13","abstract":"The surface modification of graphite felt with concentrated sulphuric acid has led to dramatic improvement in the electroactivity of this material in the vanadium redox cell. A cell resistance of 2.50 Ω cm2 and energy efficiency of 91% were obtained in the vanadium cell, after the graphite felt electrode material was treated with boiling concentrated sulphuric acid for 5h. The electrochemical activity of the graphite felt was found to increase with increasing sulphuric acid concentration. Treatment of graphite felt with nitric acid and mixtures of sulphuric and nitric acids, however, led to higher cell resistance values compared with the sulphuric acid treatment. Surface analysis of treated and untreated felts using the XPS method has shown that the functional groups C</w:instrText>
      </w:r>
      <w:r w:rsidR="00DC6E54">
        <w:rPr>
          <w:rFonts w:hint="eastAsia"/>
        </w:rPr>
        <w:instrText></w:instrText>
      </w:r>
      <w:r w:rsidR="00DC6E54">
        <w:instrText>O and C</w:instrText>
      </w:r>
      <w:r w:rsidR="00DC6E54">
        <w:rPr>
          <w:rFonts w:hint="eastAsia"/>
        </w:rPr>
        <w:instrText></w:instrText>
      </w:r>
      <w:r w:rsidR="00DC6E54">
        <w:instrText xml:space="preserve">O increased dramatically compared with untreated samples. A sequence reaction mechanism was proposed for the VO2+ </w:instrText>
      </w:r>
      <w:r w:rsidR="00DC6E54">
        <w:rPr>
          <w:rFonts w:ascii="Cambria Math" w:hAnsi="Cambria Math" w:cs="Cambria Math"/>
        </w:rPr>
        <w:instrText>⇌</w:instrText>
      </w:r>
      <w:r w:rsidR="00DC6E54">
        <w:instrText xml:space="preserve"> VO+2 and V2+ </w:instrText>
      </w:r>
      <w:r w:rsidR="00DC6E54">
        <w:rPr>
          <w:rFonts w:ascii="Cambria Math" w:hAnsi="Cambria Math" w:cs="Cambria Math"/>
        </w:rPr>
        <w:instrText>⇌</w:instrText>
      </w:r>
      <w:r w:rsidR="00DC6E54">
        <w:instrText xml:space="preserve"> V3+ charge-discharge reactions occurring in the positive and negative 12-cells, respectively of the vanadium redox battery.","DOI":"10.1016/0013-4686(92)87084-D","ISSN":"0013-4686","journalAbbreviation":"Electrochimica Acta","author":[{"family":"Sun","given":"Bianting"},{"family":"Skyllas-Kazacos","given":"Maria"}],"issued":{"date-parts":[["1992",10]]}}}],"schema":"https://github.com/citation-style-language/schema/raw/master/csl-citation.json"} </w:instrText>
      </w:r>
      <w:r>
        <w:fldChar w:fldCharType="separate"/>
      </w:r>
      <w:r w:rsidR="00DC6E54" w:rsidRPr="00DC6E54">
        <w:rPr>
          <w:rFonts w:ascii="Calibri" w:hAnsi="Calibri" w:cs="Times New Roman"/>
          <w:szCs w:val="24"/>
          <w:vertAlign w:val="superscript"/>
        </w:rPr>
        <w:t>14</w:t>
      </w:r>
      <w:r>
        <w:fldChar w:fldCharType="end"/>
      </w:r>
      <w:r>
        <w:t xml:space="preserve"> Most operating VRBs employ the same electrode material in each half-cell, validating the basis of the mechanism. UV-vis experiments verify that no complex is formed between V</w:t>
      </w:r>
      <w:r>
        <w:rPr>
          <w:vertAlign w:val="superscript"/>
        </w:rPr>
        <w:t>3+</w:t>
      </w:r>
      <w:r>
        <w:t xml:space="preserve"> and V</w:t>
      </w:r>
      <w:r>
        <w:rPr>
          <w:vertAlign w:val="superscript"/>
        </w:rPr>
        <w:t>2+</w:t>
      </w:r>
      <w:r>
        <w:t xml:space="preserve">, avoiding the </w:t>
      </w:r>
      <w:r w:rsidR="003A1C5E">
        <w:t>possible issues present</w:t>
      </w:r>
      <w:r>
        <w:t xml:space="preserve"> in the above V</w:t>
      </w:r>
      <w:r>
        <w:rPr>
          <w:vertAlign w:val="superscript"/>
        </w:rPr>
        <w:t>4+</w:t>
      </w:r>
      <w:r>
        <w:t>/V</w:t>
      </w:r>
      <w:r>
        <w:rPr>
          <w:vertAlign w:val="superscript"/>
        </w:rPr>
        <w:t>5+</w:t>
      </w:r>
      <w:r>
        <w:t xml:space="preserve"> mechanism.</w:t>
      </w:r>
      <w:r>
        <w:fldChar w:fldCharType="begin"/>
      </w:r>
      <w:r w:rsidR="00CC0E19">
        <w:instrText xml:space="preserve"> ADDIN ZOTERO_ITEM CSL_CITATION {"citationID":"1cq3khiffc","properties":{"formattedCitation":"{\\rtf \\super 16\\nosupersub{}}","plainCitation":"16"},"citationItems":[{"id":67,"uris":["http://zotero.org/users/local/rZ3AHC6s/items/BZNH9W2I"],"uri":["http://zotero.org/users/local/rZ3AHC6s/items/BZNH9W2I"],"itemData":{"id":67,"type":"article-journal","title":"Monitoring the State of Charge of Operating Vanadium Redox Flow Batteries","container-title":"ECS Transactions","page":"1-9","volume":"41","issue":"23","abstract":"We describe methods for assessment of the state of charge (SOC) of vanadium redox flow batteries during operation using UV-vis spectrophotometry and full cell OCV measurements.  The absorbance of the negative electrolyte solution at 433 nm, 600 nm and 750 nm is linear in SOC for SOC &gt; 0.2.  The absorbance of the positive electrolyte does not display a linear relationship with SOC, which we attribute to the formation of a strongly absorbing third species. An analysis of the excess absorbance of the positive electrolyte suggests that a complex with 1:1 stoichiometry is formed by VO2+ and VO2+.  Full-cell OCV measurements were found to be an inaccurate gauge of the state of charge of the battery.","DOI":"10.1149/1.3697449","journalAbbreviation":"ECS Transactions","author":[{"family":"Tang","given":"Zhijiang"},{"family":"Aaron","given":"Douglas S."},{"family":"Papandrew","given":"Alexander B."},{"family":"Zawodzinski","given":"Thomas A."}],"issued":{"date-parts":[["2012",5,4]]}}}],"schema":"https://github.com/citation-style-language/schema/raw/master/csl-citation.json"} </w:instrText>
      </w:r>
      <w:r>
        <w:fldChar w:fldCharType="separate"/>
      </w:r>
      <w:r w:rsidR="00CC0E19" w:rsidRPr="00CC0E19">
        <w:rPr>
          <w:rFonts w:ascii="Calibri" w:hAnsi="Calibri" w:cs="Times New Roman"/>
          <w:szCs w:val="24"/>
          <w:vertAlign w:val="superscript"/>
        </w:rPr>
        <w:t>16</w:t>
      </w:r>
      <w:r>
        <w:fldChar w:fldCharType="end"/>
      </w:r>
      <w:r w:rsidR="00891EDA">
        <w:t xml:space="preserve"> The mechanism for this couple involves no oxygen transfer as in seen for the V</w:t>
      </w:r>
      <w:r w:rsidR="00891EDA">
        <w:rPr>
          <w:vertAlign w:val="superscript"/>
        </w:rPr>
        <w:t>4+</w:t>
      </w:r>
      <w:r w:rsidR="00891EDA">
        <w:t>/V</w:t>
      </w:r>
      <w:r w:rsidR="00891EDA">
        <w:rPr>
          <w:vertAlign w:val="superscript"/>
        </w:rPr>
        <w:t>5+</w:t>
      </w:r>
      <w:r w:rsidR="00891EDA">
        <w:t xml:space="preserve"> couple. Intuitively, one may assume that the simpler mechanism leads to faster kinetics. Indeed, </w:t>
      </w:r>
      <w:r w:rsidR="00891EDA">
        <w:rPr>
          <w:i/>
        </w:rPr>
        <w:t>ex-situ</w:t>
      </w:r>
      <w:r w:rsidR="00891EDA">
        <w:t xml:space="preserve"> experiments find that the V</w:t>
      </w:r>
      <w:r w:rsidR="00891EDA">
        <w:rPr>
          <w:vertAlign w:val="superscript"/>
        </w:rPr>
        <w:t>3+</w:t>
      </w:r>
      <w:r w:rsidR="00891EDA">
        <w:t>/V</w:t>
      </w:r>
      <w:r w:rsidR="00891EDA">
        <w:rPr>
          <w:vertAlign w:val="superscript"/>
        </w:rPr>
        <w:t>2+</w:t>
      </w:r>
      <w:r w:rsidR="00891EDA">
        <w:t xml:space="preserve"> has superior </w:t>
      </w:r>
      <w:r w:rsidR="00891EDA">
        <w:lastRenderedPageBreak/>
        <w:t>kinetics to the V</w:t>
      </w:r>
      <w:r w:rsidR="00891EDA">
        <w:rPr>
          <w:vertAlign w:val="superscript"/>
        </w:rPr>
        <w:t>4+</w:t>
      </w:r>
      <w:r w:rsidR="00891EDA">
        <w:t>/V</w:t>
      </w:r>
      <w:r w:rsidR="00891EDA">
        <w:rPr>
          <w:vertAlign w:val="superscript"/>
        </w:rPr>
        <w:t>5+</w:t>
      </w:r>
      <w:r w:rsidR="00891EDA">
        <w:t xml:space="preserve"> couple</w:t>
      </w:r>
      <w:r w:rsidR="00891EDA">
        <w:rPr>
          <w:vertAlign w:val="superscript"/>
        </w:rPr>
        <w:t>.</w:t>
      </w:r>
      <w:r w:rsidR="00B81199">
        <w:t>.</w:t>
      </w:r>
      <w:r w:rsidR="00B81199">
        <w:fldChar w:fldCharType="begin"/>
      </w:r>
      <w:r w:rsidR="00DC6E54">
        <w:instrText xml:space="preserve"> ADDIN ZOTERO_ITEM CSL_CITATION {"citationID":"rl9onuqv7","properties":{"formattedCitation":"{\\rtf \\super 2,11,12\\nosupersub{}}","plainCitation":"2,11,12"},"citationItems":[{"id":44,"uris":["http://zotero.org/users/local/rZ3AHC6s/items/REMIPJAC"],"uri":["http://zotero.org/users/local/rZ3AHC6s/items/REMIPJAC"],"itemData":{"id":44,"type":"article-journal","title":"Vanadium redox reactions and carbon electrodes for vanadium redox flow battery","container-title":"Electrochimica Acta","page":"1191-1196","volume":"36","issue":"7","abstract":"The redox reactions of vanadium ions in sulfuric ,acid, which are used for anolyte and catholyte in a redox flow battery, have been investigated on a GRC (graphite reinforcement carbon) electrode. Two types of carbon fiber electrodes (GF-20 and BW-309) have been evaluated for the battery electrode. As a result, the BW-309 was found to be the best. Cyclic voltammetry has been used to estimate electrode reaction rate constants of the ions on a GRC electrode and two carbon fiber electrodes and to determine the suitable concentration of sulfuric acid for vanadium redox reactions in the battery. A charge—discharge experiment of V—V system in 2 M (mol dm−3) sulfuric acid solution has also been carried out on the carbon cloth (BW-309) electrode.","DOI":"10.1016/0013-4686(91)85108-J","ISSN":"0013-4686","journalAbbreviation":"Electrochimica Acta","author":[{"family":"Kaneko","given":"Hiroko"},{"family":"Nozaki","given":"Ken"},{"family":"Wada","given":"Yutaka"},{"family":"Aoki","given":"Takamichi"},{"family":"Negishi","given":"Akira"},{"family":"Kamimoto","given":"Masayuki"}],"issued":{"date-parts":[["1991"]]}}},{"id":40,"uris":["http://zotero.org/users/local/rZ3AHC6s/items/IZZMUAPI"],"uri":["http://zotero.org/users/local/rZ3AHC6s/items/IZZMUAPI"],"itemData":{"id":40,"type":"article-journal","title":"Study of the Mechanism of the Vanadium 4+/5+ Redox Reaction in Acidic Solutions","container-title":"Journal of The Electrochemical Society","page":"A123-A130","volume":"151","issue":"1","abstract":"The mechanism of the vanadium \n\nVO\n\n2\n+\n\n\n/\n\nVO\n\n2\n\n\n+\n\n\n\n\nredox couple has been examined in acidic aqueous solutions. A detailed understanding of this chemistry is of interest for improving and optimizing the performance of vanadium redox-flow batteries, a promising electrochemical electricity storage technology. The vanadium 4+/5+ redox reactions were studied at a rotating disk graphite electrode and polarization curves were obtained in sulfuric acid and perchloric acid, with varying pH and vanadium concentrations. The results were compared to model predictions for different mechanisms. The data were consistent with a model with a multistep chemical-electrochemical-chemical mechanism at low overpotentials, which changes to a multistep electrochemical-chemical-chemical mechanism at higher anodic or cathodic overpotentials. Unusually high Tafel slopes (350-450 mV/decade) were observed for the reduction of\n\nVO\n\n2\n\n\n+\n\n\n\n\nat higher overpotentials. While this could not be directly explained by the model, insights gained through the use of the model can provide the basis for some suggestions. © 2003 The Electrochemical Society. All rights reserved.","DOI":"10.1149/1.1630594","journalAbbreviation":"Journal of The Electrochemical Society","author":[{"family":"Gattrell","given":"M."},{"family":"Park","given":"J."},{"family":"MacDougall","given":"B."},{"family":"Apte","given":"J."},{"family":"McCarthy","given":"S."},{"family":"Wu","given":"C. W."}],"issued":{"date-parts":[["2004",1,1]]}}},{"id":90,"uris":["http://zotero.org/users/local/rZ3AHC6s/items/2KDPCK28"],"uri":["http://zotero.org/users/local/rZ3AHC6s/items/2KDPCK28"],"itemData":{"id":90,"type":"article-journal","title":"Redox flow batteries: a review.","container-title":"Journal of Applied Electrochemistry","page":"1137-1164","volume":"41","issue":"10","source":"EBSCOhost","archive":"aph","abstract":"Redox flow batteries (RFBs) are enjoying a renaissance due to their ability to store large amounts of electrical energy relatively cheaply and efficiently. In this review, we examine the components of RFBs with a focus on understanding the underlying physical processes. The various transport and kinetic phenomena are discussed along with the most common redox couples. [ABSTRACT FROM AUTHOR]","ISSN":"0021891X","journalAbbreviation":"Journal of Applied Electrochemistry","author":[{"family":"Weber","given":"Adam"},{"family":"Mench","given":"Matthew"},{"family":"Meyers","given":"Jeremy"},{"family":"Ross","given":"Philip"},{"family":"Gostick","given":"Jeffrey"},{"family":"Liu","given":"Qinghua"}],"issued":{"date-parts":[["2011",10]]}}}],"schema":"https://github.com/citation-style-language/schema/raw/master/csl-citation.json"} </w:instrText>
      </w:r>
      <w:r w:rsidR="00B81199">
        <w:fldChar w:fldCharType="separate"/>
      </w:r>
      <w:r w:rsidR="00DC6E54" w:rsidRPr="00DC6E54">
        <w:rPr>
          <w:rFonts w:ascii="Calibri" w:hAnsi="Calibri" w:cs="Times New Roman"/>
          <w:szCs w:val="24"/>
          <w:vertAlign w:val="superscript"/>
        </w:rPr>
        <w:t>2,11,12</w:t>
      </w:r>
      <w:r w:rsidR="00B81199">
        <w:fldChar w:fldCharType="end"/>
      </w:r>
      <w:r w:rsidR="003A1C5E">
        <w:t xml:space="preserve"> This thesis</w:t>
      </w:r>
      <w:r w:rsidR="00B81199">
        <w:t xml:space="preserve"> disproves these </w:t>
      </w:r>
      <w:r w:rsidR="00B81199">
        <w:rPr>
          <w:i/>
        </w:rPr>
        <w:t>ex-situ</w:t>
      </w:r>
      <w:r w:rsidR="00B81199">
        <w:t xml:space="preserve"> results with </w:t>
      </w:r>
      <w:r w:rsidR="00B81199">
        <w:rPr>
          <w:i/>
        </w:rPr>
        <w:t>in-situ</w:t>
      </w:r>
      <w:r w:rsidR="00B81199">
        <w:t xml:space="preserve"> measurements, calling into question the true reaction mechanism for the positive couple.</w:t>
      </w:r>
    </w:p>
    <w:tbl>
      <w:tblPr>
        <w:tblStyle w:val="TableGrid"/>
        <w:tblW w:w="0" w:type="auto"/>
        <w:tblLook w:val="04A0" w:firstRow="1" w:lastRow="0" w:firstColumn="1" w:lastColumn="0" w:noHBand="0" w:noVBand="1"/>
      </w:tblPr>
      <w:tblGrid>
        <w:gridCol w:w="1975"/>
        <w:gridCol w:w="7375"/>
      </w:tblGrid>
      <w:tr w:rsidR="00400F27" w14:paraId="1B859BCC" w14:textId="77777777" w:rsidTr="00400F27">
        <w:tc>
          <w:tcPr>
            <w:tcW w:w="1975" w:type="dxa"/>
            <w:tcBorders>
              <w:top w:val="nil"/>
              <w:left w:val="nil"/>
              <w:bottom w:val="nil"/>
              <w:right w:val="nil"/>
            </w:tcBorders>
            <w:vAlign w:val="center"/>
          </w:tcPr>
          <w:p w14:paraId="59922808" w14:textId="05A71009" w:rsidR="00400F27" w:rsidRPr="00400F27" w:rsidRDefault="00400F27" w:rsidP="00055CFD">
            <w:pPr>
              <w:spacing w:line="480" w:lineRule="auto"/>
              <w:jc w:val="center"/>
              <w:rPr>
                <w:b/>
              </w:rPr>
            </w:pPr>
            <w:r w:rsidRPr="00400F27">
              <w:rPr>
                <w:b/>
              </w:rPr>
              <w:t>Step 1</w:t>
            </w:r>
          </w:p>
        </w:tc>
        <w:tc>
          <w:tcPr>
            <w:tcW w:w="7375" w:type="dxa"/>
            <w:tcBorders>
              <w:top w:val="nil"/>
              <w:left w:val="nil"/>
              <w:bottom w:val="nil"/>
              <w:right w:val="nil"/>
            </w:tcBorders>
          </w:tcPr>
          <w:p w14:paraId="5716AA06" w14:textId="4B922A1C" w:rsidR="00400F27" w:rsidRDefault="00400F27" w:rsidP="00055CFD">
            <w:pPr>
              <w:spacing w:line="480" w:lineRule="auto"/>
            </w:pPr>
            <w:r>
              <w:rPr>
                <w:noProof/>
              </w:rPr>
              <w:drawing>
                <wp:anchor distT="0" distB="0" distL="114300" distR="114300" simplePos="0" relativeHeight="251658240" behindDoc="0" locked="0" layoutInCell="1" allowOverlap="1" wp14:anchorId="285AB605" wp14:editId="63750FF2">
                  <wp:simplePos x="1611630" y="922020"/>
                  <wp:positionH relativeFrom="margin">
                    <wp:align>center</wp:align>
                  </wp:positionH>
                  <wp:positionV relativeFrom="margin">
                    <wp:align>center</wp:align>
                  </wp:positionV>
                  <wp:extent cx="3440728" cy="1272650"/>
                  <wp:effectExtent l="0" t="0" r="7620" b="381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V2-V3 mechanism step 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440728" cy="1272650"/>
                          </a:xfrm>
                          <a:prstGeom prst="rect">
                            <a:avLst/>
                          </a:prstGeom>
                        </pic:spPr>
                      </pic:pic>
                    </a:graphicData>
                  </a:graphic>
                </wp:anchor>
              </w:drawing>
            </w:r>
          </w:p>
        </w:tc>
      </w:tr>
      <w:tr w:rsidR="00400F27" w14:paraId="02077387" w14:textId="77777777" w:rsidTr="00400F27">
        <w:tc>
          <w:tcPr>
            <w:tcW w:w="1975" w:type="dxa"/>
            <w:tcBorders>
              <w:top w:val="nil"/>
              <w:left w:val="nil"/>
              <w:bottom w:val="nil"/>
              <w:right w:val="nil"/>
            </w:tcBorders>
            <w:vAlign w:val="center"/>
          </w:tcPr>
          <w:p w14:paraId="6FB69EFF" w14:textId="396C7B10" w:rsidR="00400F27" w:rsidRPr="00400F27" w:rsidRDefault="00400F27" w:rsidP="00055CFD">
            <w:pPr>
              <w:spacing w:line="480" w:lineRule="auto"/>
              <w:jc w:val="center"/>
              <w:rPr>
                <w:b/>
              </w:rPr>
            </w:pPr>
            <w:r w:rsidRPr="00400F27">
              <w:rPr>
                <w:b/>
              </w:rPr>
              <w:t>Step 2</w:t>
            </w:r>
          </w:p>
        </w:tc>
        <w:tc>
          <w:tcPr>
            <w:tcW w:w="7375" w:type="dxa"/>
            <w:tcBorders>
              <w:top w:val="nil"/>
              <w:left w:val="nil"/>
              <w:bottom w:val="nil"/>
              <w:right w:val="nil"/>
            </w:tcBorders>
          </w:tcPr>
          <w:p w14:paraId="4BFE9E30" w14:textId="7CF72F01" w:rsidR="00400F27" w:rsidRDefault="00400F27" w:rsidP="00055CFD">
            <w:pPr>
              <w:spacing w:line="480" w:lineRule="auto"/>
            </w:pPr>
            <w:r>
              <w:rPr>
                <w:noProof/>
              </w:rPr>
              <w:drawing>
                <wp:anchor distT="0" distB="0" distL="114300" distR="114300" simplePos="0" relativeHeight="251659264" behindDoc="0" locked="0" layoutInCell="1" allowOverlap="1" wp14:anchorId="35E2F00F" wp14:editId="66A436B2">
                  <wp:simplePos x="0" y="0"/>
                  <wp:positionH relativeFrom="margin">
                    <wp:posOffset>556260</wp:posOffset>
                  </wp:positionH>
                  <wp:positionV relativeFrom="margin">
                    <wp:posOffset>26670</wp:posOffset>
                  </wp:positionV>
                  <wp:extent cx="3044190" cy="1303020"/>
                  <wp:effectExtent l="0" t="0" r="381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V2-V3 mechanism step 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44190" cy="1303020"/>
                          </a:xfrm>
                          <a:prstGeom prst="rect">
                            <a:avLst/>
                          </a:prstGeom>
                        </pic:spPr>
                      </pic:pic>
                    </a:graphicData>
                  </a:graphic>
                </wp:anchor>
              </w:drawing>
            </w:r>
          </w:p>
        </w:tc>
      </w:tr>
      <w:tr w:rsidR="00400F27" w14:paraId="45486713" w14:textId="77777777" w:rsidTr="00400F27">
        <w:tc>
          <w:tcPr>
            <w:tcW w:w="1975" w:type="dxa"/>
            <w:tcBorders>
              <w:top w:val="nil"/>
              <w:left w:val="nil"/>
              <w:bottom w:val="nil"/>
              <w:right w:val="nil"/>
            </w:tcBorders>
            <w:vAlign w:val="center"/>
          </w:tcPr>
          <w:p w14:paraId="72E7BE95" w14:textId="11B9EB5C" w:rsidR="00400F27" w:rsidRPr="00400F27" w:rsidRDefault="00400F27" w:rsidP="00055CFD">
            <w:pPr>
              <w:spacing w:line="480" w:lineRule="auto"/>
              <w:jc w:val="center"/>
              <w:rPr>
                <w:b/>
              </w:rPr>
            </w:pPr>
            <w:r w:rsidRPr="00400F27">
              <w:rPr>
                <w:b/>
              </w:rPr>
              <w:t>Step 3</w:t>
            </w:r>
          </w:p>
        </w:tc>
        <w:tc>
          <w:tcPr>
            <w:tcW w:w="7375" w:type="dxa"/>
            <w:tcBorders>
              <w:top w:val="nil"/>
              <w:left w:val="nil"/>
              <w:bottom w:val="nil"/>
              <w:right w:val="nil"/>
            </w:tcBorders>
          </w:tcPr>
          <w:p w14:paraId="3F875158" w14:textId="26756B11" w:rsidR="00400F27" w:rsidRDefault="00400F27" w:rsidP="00055CFD">
            <w:pPr>
              <w:spacing w:line="480" w:lineRule="auto"/>
            </w:pPr>
            <w:r>
              <w:rPr>
                <w:noProof/>
              </w:rPr>
              <w:drawing>
                <wp:anchor distT="0" distB="0" distL="114300" distR="114300" simplePos="0" relativeHeight="251660288" behindDoc="1" locked="0" layoutInCell="1" allowOverlap="1" wp14:anchorId="0A6F6C7D" wp14:editId="5807599E">
                  <wp:simplePos x="0" y="0"/>
                  <wp:positionH relativeFrom="margin">
                    <wp:posOffset>558165</wp:posOffset>
                  </wp:positionH>
                  <wp:positionV relativeFrom="margin">
                    <wp:posOffset>3810</wp:posOffset>
                  </wp:positionV>
                  <wp:extent cx="3375660" cy="1306830"/>
                  <wp:effectExtent l="0" t="0" r="0" b="762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V2-V3 mechanism step 3.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375660" cy="1306830"/>
                          </a:xfrm>
                          <a:prstGeom prst="rect">
                            <a:avLst/>
                          </a:prstGeom>
                        </pic:spPr>
                      </pic:pic>
                    </a:graphicData>
                  </a:graphic>
                </wp:anchor>
              </w:drawing>
            </w:r>
          </w:p>
        </w:tc>
      </w:tr>
    </w:tbl>
    <w:p w14:paraId="21E28841" w14:textId="77777777" w:rsidR="003A1C5E" w:rsidRDefault="003A1C5E" w:rsidP="003A1C5E">
      <w:pPr>
        <w:spacing w:line="480" w:lineRule="auto"/>
      </w:pPr>
      <w:r>
        <w:rPr>
          <w:b/>
        </w:rPr>
        <w:t>Figure 7</w:t>
      </w:r>
      <w:r>
        <w:t>. V</w:t>
      </w:r>
      <w:r>
        <w:rPr>
          <w:vertAlign w:val="superscript"/>
        </w:rPr>
        <w:t>3+</w:t>
      </w:r>
      <w:r>
        <w:t xml:space="preserve"> is proposed to undergo a three-step mechanism in its transformation to V</w:t>
      </w:r>
      <w:r>
        <w:rPr>
          <w:vertAlign w:val="superscript"/>
        </w:rPr>
        <w:t>2+</w:t>
      </w:r>
      <w:r>
        <w:t>. The mechanism has two chemical steps and one electron-transfer step.</w:t>
      </w:r>
    </w:p>
    <w:p w14:paraId="49303038" w14:textId="77777777" w:rsidR="00951C48" w:rsidRDefault="003F1384" w:rsidP="00951C48">
      <w:pPr>
        <w:spacing w:line="480" w:lineRule="auto"/>
        <w:ind w:firstLine="720"/>
      </w:pPr>
      <w:r>
        <w:t xml:space="preserve">Surface area also plays a crucial role in the kinetic performance of electrode materials. The ideal electrode material has maximized surface area available for chemical reactions, leading many researchers to incorporate </w:t>
      </w:r>
      <w:r w:rsidR="001A0896">
        <w:t>grap</w:t>
      </w:r>
      <w:r w:rsidR="004649E6">
        <w:t>hite and graphene nanoparticles. These nanoparticles have</w:t>
      </w:r>
      <w:r w:rsidR="001A0896">
        <w:t xml:space="preserve"> significantly higher specific surface area than traditional materials,</w:t>
      </w:r>
      <w:r w:rsidR="004649E6">
        <w:t xml:space="preserve"> leading many researchers to incorporate them</w:t>
      </w:r>
      <w:r w:rsidR="001A0896">
        <w:t xml:space="preserve"> into their synthesized electrode materials. Graphene oxide </w:t>
      </w:r>
      <w:proofErr w:type="spellStart"/>
      <w:r w:rsidR="001A0896">
        <w:t>nanoplatelets</w:t>
      </w:r>
      <w:proofErr w:type="spellEnd"/>
      <w:r w:rsidR="001A0896">
        <w:t xml:space="preserve"> have four to five times the</w:t>
      </w:r>
      <w:r w:rsidR="00115E72">
        <w:t xml:space="preserve"> BET</w:t>
      </w:r>
      <w:r w:rsidR="001A0896">
        <w:t xml:space="preserve"> specific surface area (m</w:t>
      </w:r>
      <w:r w:rsidR="001A0896">
        <w:rPr>
          <w:vertAlign w:val="superscript"/>
        </w:rPr>
        <w:t>2</w:t>
      </w:r>
      <w:r w:rsidR="001A0896">
        <w:t>/g) than tradition graphite, thirteen times more C-OH groups, forty-four times more C=O groups, and 3.75 times more COOH groups.</w:t>
      </w:r>
      <w:r w:rsidR="00115E72">
        <w:t xml:space="preserve"> Interestingly, V</w:t>
      </w:r>
      <w:r w:rsidR="00115E72">
        <w:rPr>
          <w:vertAlign w:val="superscript"/>
        </w:rPr>
        <w:t>2+</w:t>
      </w:r>
      <w:r w:rsidR="00115E72">
        <w:t>/V</w:t>
      </w:r>
      <w:r w:rsidR="00115E72">
        <w:rPr>
          <w:vertAlign w:val="superscript"/>
        </w:rPr>
        <w:t>3+</w:t>
      </w:r>
      <w:r w:rsidR="00A85654">
        <w:t xml:space="preserve"> shows</w:t>
      </w:r>
      <w:r w:rsidR="00115E72">
        <w:t xml:space="preserve"> stronger performance dependence on oxygen-containing groups than did VO</w:t>
      </w:r>
      <w:r w:rsidR="00115E72">
        <w:rPr>
          <w:vertAlign w:val="superscript"/>
        </w:rPr>
        <w:t>2+</w:t>
      </w:r>
      <w:r w:rsidR="00115E72">
        <w:t>/VO</w:t>
      </w:r>
      <w:r w:rsidR="00115E72">
        <w:rPr>
          <w:vertAlign w:val="subscript"/>
        </w:rPr>
        <w:t>2</w:t>
      </w:r>
      <w:r w:rsidR="00115E72">
        <w:rPr>
          <w:vertAlign w:val="superscript"/>
        </w:rPr>
        <w:t>+</w:t>
      </w:r>
      <w:r w:rsidR="00115E72">
        <w:t>.</w:t>
      </w:r>
      <w:r w:rsidR="00115E72">
        <w:fldChar w:fldCharType="begin"/>
      </w:r>
      <w:r w:rsidR="00DC6E54">
        <w:instrText xml:space="preserve"> ADDIN ZOTERO_ITEM CSL_CITATION {"citationID":"1kfs6lgccd","properties":{"formattedCitation":"{\\rtf \\super 15\\nosupersub{}}","plainCitation":"15"},"citationItems":[{"id":113,"uris":["http://zotero.org/users/local/rZ3AHC6s/items/R4WQGCFJ"],"uri":["http://zotero.org/users/local/rZ3AHC6s/items/R4WQGCFJ"],"itemData":{"id":113,"type":"article-journal","title":"Graphene oxide nanoplatelets as excellent electrochemical active materials for VO2+/ and V2+/V3+ redox couples for a vanadium redox flow battery","container-title":"Carbon","page":"693-700","volume":"49","issue":"2","abstract":"Graphene oxide nanoplatelets (GONPs) are presented as electrochemical active materials for VO2+/ VO 2 + and V2+/V3+ redox couples for a vanadium redox flow battery. The structures and electrochemical properties of GONPs treated at different temperatures were investigated by transmission electron microscopy, X-ray diffraction, Fourier transform infrared spectroscopy, X-ray photoelectron spectroscopy, Raman spectroscopy and cyclic voltammetry. The results indicate that GONPs treated at 50 °C (GONP-50) possess highly hydroxylated and carboxylated groups and exhibit an excellent electrocatalytic activity towards VO2+/ VO 2 + and V2+/V3+ redox couples, while the pristine graphite only shows a reversible electrocatalytic activity towards VO2+/ VO 2 + , suggesting that the V2+/V3+ redox reaction more strongly depends on the oxygen-containing groups attached on graphite surface than does the VO2+/ VO 2 + . With the increase of treatment temperature, the polarization is reduced significantly. GONPs treated at 120 °C (GNOP-120) exhibit a lower electrochemical polarization than that of GONP-50 because of relatively higher electrical conductivity despite moderate electrocatalytic activity. The diffusion of VO2+ is faster on the surface of GONP-50 than on the pristine graphite and GNOP-120.","DOI":"10.1016/j.carbon.2010.10.022","ISSN":"0008-6223","journalAbbreviation":"Carbon","author":[{"family":"Han","given":"Pengxian"},{"family":"Wang","given":"Haibo"},{"family":"Liu","given":"Zhihong"},{"family":"Chen","given":"Xiao"},{"family":"Ma","given":"Wen"},{"family":"Yao","given":"Jianhua"},{"family":"Zhu","given":"Yuwei"},{"family":"Cui","given":"Guanglei"}],"issued":{"date-parts":[["2011",2]]}}}],"schema":"https://github.com/citation-style-language/schema/raw/master/csl-citation.json"} </w:instrText>
      </w:r>
      <w:r w:rsidR="00115E72">
        <w:fldChar w:fldCharType="separate"/>
      </w:r>
      <w:r w:rsidR="00DC6E54" w:rsidRPr="00DC6E54">
        <w:rPr>
          <w:rFonts w:ascii="Calibri" w:hAnsi="Calibri" w:cs="Times New Roman"/>
          <w:szCs w:val="24"/>
          <w:vertAlign w:val="superscript"/>
        </w:rPr>
        <w:t>15</w:t>
      </w:r>
      <w:r w:rsidR="00115E72">
        <w:fldChar w:fldCharType="end"/>
      </w:r>
      <w:r w:rsidR="001A0896">
        <w:t xml:space="preserve"> </w:t>
      </w:r>
    </w:p>
    <w:p w14:paraId="17525F5A" w14:textId="58B6A172" w:rsidR="00906180" w:rsidRPr="00951C48" w:rsidRDefault="00906180" w:rsidP="00951C48">
      <w:pPr>
        <w:spacing w:after="0" w:line="480" w:lineRule="auto"/>
        <w:rPr>
          <w:b/>
        </w:rPr>
      </w:pPr>
      <w:r w:rsidRPr="00951C48">
        <w:rPr>
          <w:b/>
        </w:rPr>
        <w:lastRenderedPageBreak/>
        <w:t>3.2.1. Side reactions at elec</w:t>
      </w:r>
      <w:r w:rsidR="004649E6" w:rsidRPr="00951C48">
        <w:rPr>
          <w:b/>
        </w:rPr>
        <w:t>trodes</w:t>
      </w:r>
    </w:p>
    <w:p w14:paraId="1C72BF6E" w14:textId="178A97D1" w:rsidR="001409E7" w:rsidRDefault="00906180" w:rsidP="004649E6">
      <w:pPr>
        <w:spacing w:after="0" w:line="480" w:lineRule="auto"/>
        <w:ind w:firstLine="720"/>
      </w:pPr>
      <w:r>
        <w:t>Unfortunately, the desired redox reactions in VRBs are not the only reactions taking place at the electrodes during battery operation. The reduction potential of V</w:t>
      </w:r>
      <w:r>
        <w:rPr>
          <w:vertAlign w:val="superscript"/>
        </w:rPr>
        <w:t>3+</w:t>
      </w:r>
      <w:r>
        <w:t xml:space="preserve"> to V</w:t>
      </w:r>
      <w:r>
        <w:rPr>
          <w:vertAlign w:val="superscript"/>
        </w:rPr>
        <w:t>2+</w:t>
      </w:r>
      <w:r>
        <w:t xml:space="preserve"> is -350 mV vs. NHE, allowing simultaneous vanadium reduction and hydrogen evolution. As the state of charge increases and the electrode is polarized more negatively, the driving force for hydrogen evolution increases.</w:t>
      </w:r>
      <w:r>
        <w:fldChar w:fldCharType="begin"/>
      </w:r>
      <w:r w:rsidR="00DC6E54">
        <w:instrText xml:space="preserve"> ADDIN ZOTERO_ITEM CSL_CITATION {"citationID":"2b6990gvqh","properties":{"formattedCitation":"{\\rtf \\super 25\\nosupersub{}}","plainCitation":"25"},"citationItems":[{"id":89,"uris":["http://zotero.org/users/local/rZ3AHC6s/items/56CRI46T"],"uri":["http://zotero.org/users/local/rZ3AHC6s/items/56CRI46T"],"itemData":{"id":89,"type":"article-journal","title":"Hydrogen evolution at the negative electrode of the all-vanadium redox flow batteries","container-title":"Journal of Power Sources","page":"560-564","volume":"248","issue":"0","abstract":"Abstract\nThis work demonstrates a quantitative method to determine the hydrogen evolution rate occurring at the negative carbon electrode of the all vanadium redox flow battery (VRFB). Two carbon papers examined by buoyancy measurements yield distinct hydrogen formation rates (0.170 and 0.005 μmol min−1 g−1). The carbon papers have been characterized using electron microscopy, nitrogen gas adsorption, capacitance measurement by electrochemical impedance spectroscopy (EIS), and X-ray photoelectron spectroscopy (XPS). We find that the specific electrochemical surface area (ECSA) of the carbon material has a strong influence on the hydrogen generation rate. This is discussed in light of the use of high surface area material to obtain high reaction rates in the VRFB.","DOI":"10.1016/j.jpowsour.2013.09.125","ISSN":"0378-7753","journalAbbreviation":"Journal of Power Sources","author":[{"family":"Sun","given":"Che-Nan"},{"family":"Delnick","given":"Frank M."},{"family":"Baggetto","given":"Loïc"},{"family":"Veith","given":"Gabriel M."},{"family":"Zawodzinski Jr.","given":"Thomas A."}],"issued":{"date-parts":[["2014",2,15]]}}}],"schema":"https://github.com/citation-style-language/schema/raw/master/csl-citation.json"} </w:instrText>
      </w:r>
      <w:r>
        <w:fldChar w:fldCharType="separate"/>
      </w:r>
      <w:r w:rsidR="00DC6E54" w:rsidRPr="00DC6E54">
        <w:rPr>
          <w:rFonts w:ascii="Calibri" w:hAnsi="Calibri" w:cs="Times New Roman"/>
          <w:szCs w:val="24"/>
          <w:vertAlign w:val="superscript"/>
        </w:rPr>
        <w:t>25</w:t>
      </w:r>
      <w:r>
        <w:fldChar w:fldCharType="end"/>
      </w:r>
      <w:r>
        <w:t xml:space="preserve"> Gas evolution at electrodes impacts battery performance by partially occluding the flow of electrolyte in the flow field, reducing the electrode surface area available for reaction, and reducing the charge and mass transport coefficients.</w:t>
      </w:r>
      <w:r w:rsidR="00E173A2">
        <w:fldChar w:fldCharType="begin"/>
      </w:r>
      <w:r w:rsidR="00DC6E54">
        <w:instrText xml:space="preserve"> ADDIN ZOTERO_ITEM CSL_CITATION {"citationID":"1crmrgv698","properties":{"formattedCitation":"{\\rtf \\super 24,26\\nosupersub{}}","plainCitation":"24,26"},"citationItems":[{"id":69,"uris":["http://zotero.org/users/local/rZ3AHC6s/items/D5G7X76X"],"uri":["http://zotero.org/users/local/rZ3AHC6s/items/D5G7X76X"],"itemData":{"id":69,"type":"article-journal","title":"Dynamic modelling of hydrogen evolution effects in the all-vanadium redox flow battery","container-title":"Electrochimica Acta","page":"1125-1139","volume":"55","issue":"3","abstract":"A model for hydrogen evolution in an all-vanadium redox flow battery is developed, coupling the dynamic conservation equations for charge, mass and momentum with a detailed description of the electrochemical reactions. Bubble formation at the negative electrode is included in the model, taking into account the attendant reduction in the liquid volume and the transfer of momentum between the gas and liquid phases, using a modified multiphase-mixture approach. Numerical simulations are compared to experimental data for different vanadium concentrations and mean linear electrolyte flow rates, demonstrating good agreement. Comparisons to simulations with negligible hydrogen evolution demonstrate the effect of gas evolution on the efficiency of the battery. The effects of reactant concentration, flow rate, applied current density and gas bubble diameter on hydrogen evolution are investigated. Significant variations in the gas volume fraction and the bubble velocity are predicted, depending on the operating conditions.","DOI":"10.1016/j.electacta.2009.10.022","ISSN":"0013-4686","journalAbbreviation":"Electrochimica Acta","author":[{"family":"Shah","given":"A.A."},{"family":"Al-Fetlawi","given":"H."},{"family":"Walsh","given":"F.C."}],"issued":{"date-parts":[["2010",1,1]]}}},{"id":71,"uris":["http://zotero.org/users/local/rZ3AHC6s/items/9WXFFH4Z"],"uri":["http://zotero.org/users/local/rZ3AHC6s/items/9WXFFH4Z"],"itemData":{"id":71,"type":"article-journal","title":"Corrosion behavior of a positive graphite electrode in vanadium redox flow battery","container-title":"Electrochimica Acta","page":"8783-8790","volume":"56","issue":"24","abstract":"The graphite plate is easily suffered from corosion because of CO2 evolution when it acts as the positive electrode for vanadium redox flow battery. The aim is to obtain the initial potential for gas evolution on a positive graphite electrode in 2 mol dm−3 H2SO4 + 2 mol dm−3 VOSO4 solution. The effects of polarization potential, operating temperature and polarization time on extent of graphite corrosion are investigated by potentiodynamic and potentiostatic techniques. The surface characteristics of graphite electrode before and after corrosion are examined by scanning electron microscopy, atomic force microscopy, and X-ray photoelectron spectroscopy. The results show that the gas begins to evolve on the graphite electrode when the anodic polarization potential is higher than 1.60 V vs saturated calomel electrode at 20 °C. The CO2 evolution on the graphite electrode can lead to intergranular corrosion of the graphite when the polarization potential reaches 1.75 V. In addition, the functional groups of COOH and CO introduced on the surface of graphite electrode during corrosion can catalyze the formation of CO2, therefore, accelerates the corrosion rate of graphite electrode.","DOI":"10.1016/j.electacta.2011.07.083","ISSN":"0013-4686","journalAbbreviation":"Electrochimica Acta","author":[{"family":"Liu","given":"Huijun"},{"family":"Xu","given":"Qian"},{"family":"Yan","given":"Chuanwei"},{"family":"Qiao","given":"Yonglian"}],"issued":{"date-parts":[["2011",10,1]]}}}],"schema":"https://github.com/citation-style-language/schema/raw/master/csl-citation.json"} </w:instrText>
      </w:r>
      <w:r w:rsidR="00E173A2">
        <w:fldChar w:fldCharType="separate"/>
      </w:r>
      <w:r w:rsidR="00DC6E54" w:rsidRPr="00DC6E54">
        <w:rPr>
          <w:rFonts w:ascii="Calibri" w:hAnsi="Calibri" w:cs="Times New Roman"/>
          <w:szCs w:val="24"/>
          <w:vertAlign w:val="superscript"/>
        </w:rPr>
        <w:t>24,26</w:t>
      </w:r>
      <w:r w:rsidR="00E173A2">
        <w:fldChar w:fldCharType="end"/>
      </w:r>
      <w:r w:rsidR="00E173A2">
        <w:t xml:space="preserve"> Side reactions further degrade the graphite plates, leading to failure of the</w:t>
      </w:r>
      <w:r w:rsidR="004649E6">
        <w:t xml:space="preserve"> battery by electrolyte leakage</w:t>
      </w:r>
      <w:r w:rsidR="00E173A2">
        <w:t xml:space="preserve"> and decreased energy efficiency as a portion of the potential applied to the battery is consumed by the side reactions.</w:t>
      </w:r>
      <w:r w:rsidR="00E173A2">
        <w:fldChar w:fldCharType="begin"/>
      </w:r>
      <w:r w:rsidR="00DC6E54">
        <w:instrText xml:space="preserve"> ADDIN ZOTERO_ITEM CSL_CITATION {"citationID":"u3mhvo6fe","properties":{"formattedCitation":"{\\rtf \\super 24\\nosupersub{}}","plainCitation":"24"},"citationItems":[{"id":71,"uris":["http://zotero.org/users/local/rZ3AHC6s/items/9WXFFH4Z"],"uri":["http://zotero.org/users/local/rZ3AHC6s/items/9WXFFH4Z"],"itemData":{"id":71,"type":"article-journal","title":"Corrosion behavior of a positive graphite electrode in vanadium redox flow battery","container-title":"Electrochimica Acta","page":"8783-8790","volume":"56","issue":"24","abstract":"The graphite plate is easily suffered from corosion because of CO2 evolution when it acts as the positive electrode for vanadium redox flow battery. The aim is to obtain the initial potential for gas evolution on a positive graphite electrode in 2 mol dm−3 H2SO4 + 2 mol dm−3 VOSO4 solution. The effects of polarization potential, operating temperature and polarization time on extent of graphite corrosion are investigated by potentiodynamic and potentiostatic techniques. The surface characteristics of graphite electrode before and after corrosion are examined by scanning electron microscopy, atomic force microscopy, and X-ray photoelectron spectroscopy. The results show that the gas begins to evolve on the graphite electrode when the anodic polarization potential is higher than 1.60 V vs saturated calomel electrode at 20 °C. The CO2 evolution on the graphite electrode can lead to intergranular corrosion of the graphite when the polarization potential reaches 1.75 V. In addition, the functional groups of COOH and CO introduced on the surface of graphite electrode during corrosion can catalyze the formation of CO2, therefore, accelerates the corrosion rate of graphite electrode.","DOI":"10.1016/j.electacta.2011.07.083","ISSN":"0013-4686","journalAbbreviation":"Electrochimica Acta","author":[{"family":"Liu","given":"Huijun"},{"family":"Xu","given":"Qian"},{"family":"Yan","given":"Chuanwei"},{"family":"Qiao","given":"Yonglian"}],"issued":{"date-parts":[["2011",10,1]]}}}],"schema":"https://github.com/citation-style-language/schema/raw/master/csl-citation.json"} </w:instrText>
      </w:r>
      <w:r w:rsidR="00E173A2">
        <w:fldChar w:fldCharType="separate"/>
      </w:r>
      <w:r w:rsidR="00DC6E54" w:rsidRPr="00DC6E54">
        <w:rPr>
          <w:rFonts w:ascii="Calibri" w:hAnsi="Calibri" w:cs="Times New Roman"/>
          <w:szCs w:val="24"/>
          <w:vertAlign w:val="superscript"/>
        </w:rPr>
        <w:t>24</w:t>
      </w:r>
      <w:r w:rsidR="00E173A2">
        <w:fldChar w:fldCharType="end"/>
      </w:r>
      <w:r w:rsidR="00E173A2">
        <w:t xml:space="preserve"> </w:t>
      </w:r>
      <w:r w:rsidR="004476C7">
        <w:t xml:space="preserve">Finally, side reactions lead to state of charge imbalance between the two half-cells, necessitating periodic rebalancing of the electrolyte and eventual failure of the electrolyte. </w:t>
      </w:r>
      <w:r w:rsidR="00E173A2">
        <w:t>The side reactions of greatest significance during VRB operation are hydrogen, oxygen, carbon dioxide, and carbon monoxide evolution.</w:t>
      </w:r>
      <w:r w:rsidR="00E173A2">
        <w:fldChar w:fldCharType="begin"/>
      </w:r>
      <w:r w:rsidR="00DC6E54">
        <w:instrText xml:space="preserve"> ADDIN ZOTERO_ITEM CSL_CITATION {"citationID":"18oakd7q6l","properties":{"formattedCitation":"{\\rtf \\super 24\\uc0\\u8211{}27\\nosupersub{}}","plainCitation":"24–27"},"citationItems":[{"id":69,"uris":["http://zotero.org/users/local/rZ3AHC6s/items/D5G7X76X"],"uri":["http://zotero.org/users/local/rZ3AHC6s/items/D5G7X76X"],"itemData":{"id":69,"type":"article-journal","title":"Dynamic modelling of hydrogen evolution effects in the all-vanadium redox flow battery","container-title":"Electrochimica Acta","page":"1125-1139","volume":"55","issue":"3","abstract":"A model for hydrogen evolution in an all-vanadium redox flow battery is developed, coupling the dynamic conservation equations for charge, mass and momentum with a detailed description of the electrochemical reactions. Bubble formation at the negative electrode is included in the model, taking into account the attendant reduction in the liquid volume and the transfer of momentum between the gas and liquid phases, using a modified multiphase-mixture approach. Numerical simulations are compared to experimental data for different vanadium concentrations and mean linear electrolyte flow rates, demonstrating good agreement. Comparisons to simulations with negligible hydrogen evolution demonstrate the effect of gas evolution on the efficiency of the battery. The effects of reactant concentration, flow rate, applied current density and gas bubble diameter on hydrogen evolution are investigated. Significant variations in the gas volume fraction and the bubble velocity are predicted, depending on the operating conditions.","DOI":"10.1016/j.electacta.2009.10.022","ISSN":"0013-4686","journalAbbreviation":"Electrochimica Acta","author":[{"family":"Shah","given":"A.A."},{"family":"Al-Fetlawi","given":"H."},{"family":"Walsh","given":"F.C."}],"issued":{"date-parts":[["2010",1,1]]}}},{"id":89,"uris":["http://zotero.org/users/local/rZ3AHC6s/items/56CRI46T"],"uri":["http://zotero.org/users/local/rZ3AHC6s/items/56CRI46T"],"itemData":{"id":89,"type":"article-journal","title":"Hydrogen evolution at the negative electrode of the all-vanadium redox flow batteries","container-title":"Journal of Power Sources","page":"560-564","volume":"248","issue":"0","abstract":"Abstract\nThis work demonstrates a quantitative method to determine the hydrogen evolution rate occurring at the negative carbon electrode of the all vanadium redox flow battery (VRFB). Two carbon papers examined by buoyancy measurements yield distinct hydrogen formation rates (0.170 and 0.005 μmol min−1 g−1). The carbon papers have been characterized using electron microscopy, nitrogen gas adsorption, capacitance measurement by electrochemical impedance spectroscopy (EIS), and X-ray photoelectron spectroscopy (XPS). We find that the specific electrochemical surface area (ECSA) of the carbon material has a strong influence on the hydrogen generation rate. This is discussed in light of the use of high surface area material to obtain high reaction rates in the VRFB.","DOI":"10.1016/j.jpowsour.2013.09.125","ISSN":"0378-7753","journalAbbreviation":"Journal of Power Sources","author":[{"family":"Sun","given":"Che-Nan"},{"family":"Delnick","given":"Frank M."},{"family":"Baggetto","given":"Loïc"},{"family":"Veith","given":"Gabriel M."},{"family":"Zawodzinski Jr.","given":"Thomas A."}],"issued":{"date-parts":[["2014",2,15]]}}},{"id":71,"uris":["http://zotero.org/users/local/rZ3AHC6s/items/9WXFFH4Z"],"uri":["http://zotero.org/users/local/rZ3AHC6s/items/9WXFFH4Z"],"itemData":{"id":71,"type":"article-journal","title":"Corrosion behavior of a positive graphite electrode in vanadium redox flow battery","container-title":"Electrochimica Acta","page":"8783-8790","volume":"56","issue":"24","abstract":"The graphite plate is easily suffered from corosion because of CO2 evolution when it acts as the positive electrode for vanadium redox flow battery. The aim is to obtain the initial potential for gas evolution on a positive graphite electrode in 2 mol dm−3 H2SO4 + 2 mol dm−3 VOSO4 solution. The effects of polarization potential, operating temperature and polarization time on extent of graphite corrosion are investigated by potentiodynamic and potentiostatic techniques. The surface characteristics of graphite electrode before and after corrosion are examined by scanning electron microscopy, atomic force microscopy, and X-ray photoelectron spectroscopy. The results show that the gas begins to evolve on the graphite electrode when the anodic polarization potential is higher than 1.60 V vs saturated calomel electrode at 20 °C. The CO2 evolution on the graphite electrode can lead to intergranular corrosion of the graphite when the polarization potential reaches 1.75 V. In addition, the functional groups of COOH and CO introduced on the surface of graphite electrode during corrosion can catalyze the formation of CO2, therefore, accelerates the corrosion rate of graphite electrode.","DOI":"10.1016/j.electacta.2011.07.083","ISSN":"0013-4686","journalAbbreviation":"Electrochimica Acta","author":[{"family":"Liu","given":"Huijun"},{"family":"Xu","given":"Qian"},{"family":"Yan","given":"Chuanwei"},{"family":"Qiao","given":"Yonglian"}],"issued":{"date-parts":[["2011",10,1]]}}},{"id":72,"uris":["http://zotero.org/users/local/rZ3AHC6s/items/T8M5QKHA"],"uri":["http://zotero.org/users/local/rZ3AHC6s/items/T8M5QKHA"],"itemData":{"id":72,"type":"article-journal","title":"On-line mass spectrometry study of electrochemical corrosion of the graphite electrode for vanadium redox flow battery","container-title":"Electrochemistry Communications","page":"58-62","volume":"28","issue":"0","abstract":"Abstract\nThe electrochemical corrosion of the graphite electrode for vanadium redox flow battery is investigated by on-line mass spectrometry analysis. The results show that CO2 and CO form and evolve more preferably than O2 on the graphite anode, which lead to the electrochemical corrosion of the graphite electrode. Furthermore, the evolution rate of O2 is the highest one among evolved gases if the polarization potential becomes too positive. The oxidation of VO2 + on the graphite electrode in 2 M H2SO4 + 2 M VOSO4 hinders the carbon oxidation reaction and retards the electrochemical corrosion of the graphite electrode.","DOI":"10.1016/j.elecom.2012.12.011","ISSN":"1388-2481","journalAbbreviation":"Electrochemistry Communications","author":[{"family":"Liu","given":"Huijun"},{"family":"Xu","given":"Qian"},{"family":"Yan","given":"Chuanwei"}],"issued":{"date-parts":[["2013",3]]}}}],"schema":"https://github.com/citation-style-language/schema/raw/master/csl-citation.json"} </w:instrText>
      </w:r>
      <w:r w:rsidR="00E173A2">
        <w:fldChar w:fldCharType="separate"/>
      </w:r>
      <w:r w:rsidR="00DC6E54" w:rsidRPr="00DC6E54">
        <w:rPr>
          <w:rFonts w:ascii="Calibri" w:hAnsi="Calibri" w:cs="Times New Roman"/>
          <w:szCs w:val="24"/>
          <w:vertAlign w:val="superscript"/>
        </w:rPr>
        <w:t>24–27</w:t>
      </w:r>
      <w:r w:rsidR="00E173A2">
        <w:fldChar w:fldCharType="end"/>
      </w:r>
    </w:p>
    <w:p w14:paraId="7ED7BD24" w14:textId="77777777" w:rsidR="00951C48" w:rsidRDefault="001409E7" w:rsidP="00951C48">
      <w:pPr>
        <w:spacing w:after="0" w:line="480" w:lineRule="auto"/>
        <w:ind w:firstLine="720"/>
      </w:pPr>
      <w:r>
        <w:t>Hydrogen evolution occurs spontaneously in V</w:t>
      </w:r>
      <w:r>
        <w:rPr>
          <w:vertAlign w:val="superscript"/>
        </w:rPr>
        <w:t>2+</w:t>
      </w:r>
      <w:r>
        <w:t>/V</w:t>
      </w:r>
      <w:r>
        <w:rPr>
          <w:vertAlign w:val="superscript"/>
        </w:rPr>
        <w:t>3+</w:t>
      </w:r>
      <w:r>
        <w:t xml:space="preserve"> in sulfuric acid electrolyte with no applied potential needed. The specific rate of hydrogen evolution is determined by the electrochemical surface area (ECSA), which is the surface area available for the reactions. This area takes into account the unavailability of some surface to chemical reactions under ambient operating conditions, making it a more useful measure than BET surface area.</w:t>
      </w:r>
      <w:r>
        <w:fldChar w:fldCharType="begin"/>
      </w:r>
      <w:r w:rsidR="00DC6E54">
        <w:instrText xml:space="preserve"> ADDIN ZOTERO_ITEM CSL_CITATION {"citationID":"1lkodm87mv","properties":{"formattedCitation":"{\\rtf \\super 25\\nosupersub{}}","plainCitation":"25"},"citationItems":[{"id":89,"uris":["http://zotero.org/users/local/rZ3AHC6s/items/56CRI46T"],"uri":["http://zotero.org/users/local/rZ3AHC6s/items/56CRI46T"],"itemData":{"id":89,"type":"article-journal","title":"Hydrogen evolution at the negative electrode of the all-vanadium redox flow batteries","container-title":"Journal of Power Sources","page":"560-564","volume":"248","issue":"0","abstract":"Abstract\nThis work demonstrates a quantitative method to determine the hydrogen evolution rate occurring at the negative carbon electrode of the all vanadium redox flow battery (VRFB). Two carbon papers examined by buoyancy measurements yield distinct hydrogen formation rates (0.170 and 0.005 μmol min−1 g−1). The carbon papers have been characterized using electron microscopy, nitrogen gas adsorption, capacitance measurement by electrochemical impedance spectroscopy (EIS), and X-ray photoelectron spectroscopy (XPS). We find that the specific electrochemical surface area (ECSA) of the carbon material has a strong influence on the hydrogen generation rate. This is discussed in light of the use of high surface area material to obtain high reaction rates in the VRFB.","DOI":"10.1016/j.jpowsour.2013.09.125","ISSN":"0378-7753","journalAbbreviation":"Journal of Power Sources","author":[{"family":"Sun","given":"Che-Nan"},{"family":"Delnick","given":"Frank M."},{"family":"Baggetto","given":"Loïc"},{"family":"Veith","given":"Gabriel M."},{"family":"Zawodzinski Jr.","given":"Thomas A."}],"issued":{"date-parts":[["2014",2,15]]}}}],"schema":"https://github.com/citation-style-language/schema/raw/master/csl-citation.json"} </w:instrText>
      </w:r>
      <w:r>
        <w:fldChar w:fldCharType="separate"/>
      </w:r>
      <w:r w:rsidR="00DC6E54" w:rsidRPr="00DC6E54">
        <w:rPr>
          <w:rFonts w:ascii="Calibri" w:hAnsi="Calibri" w:cs="Times New Roman"/>
          <w:szCs w:val="24"/>
          <w:vertAlign w:val="superscript"/>
        </w:rPr>
        <w:t>25</w:t>
      </w:r>
      <w:r>
        <w:fldChar w:fldCharType="end"/>
      </w:r>
      <w:r w:rsidR="004476C7">
        <w:t xml:space="preserve"> At the positive electrode, oxygen, carbon dioxide, and carbon monoxide evolution pose issues. Carbon dioxide evolution has an onset potential of 1.60 V, but this potential decreases with increased polarization time.</w:t>
      </w:r>
      <w:r w:rsidR="004476C7">
        <w:fldChar w:fldCharType="begin"/>
      </w:r>
      <w:r w:rsidR="00DC6E54">
        <w:instrText xml:space="preserve"> ADDIN ZOTERO_ITEM CSL_CITATION {"citationID":"22bj7om3pv","properties":{"formattedCitation":"{\\rtf \\super 24,27\\nosupersub{}}","plainCitation":"24,27"},"citationItems":[{"id":71,"uris":["http://zotero.org/users/local/rZ3AHC6s/items/9WXFFH4Z"],"uri":["http://zotero.org/users/local/rZ3AHC6s/items/9WXFFH4Z"],"itemData":{"id":71,"type":"article-journal","title":"Corrosion behavior of a positive graphite electrode in vanadium redox flow battery","container-title":"Electrochimica Acta","page":"8783-8790","volume":"56","issue":"24","abstract":"The graphite plate is easily suffered from corosion because of CO2 evolution when it acts as the positive electrode for vanadium redox flow battery. The aim is to obtain the initial potential for gas evolution on a positive graphite electrode in 2 mol dm−3 H2SO4 + 2 mol dm−3 VOSO4 solution. The effects of polarization potential, operating temperature and polarization time on extent of graphite corrosion are investigated by potentiodynamic and potentiostatic techniques. The surface characteristics of graphite electrode before and after corrosion are examined by scanning electron microscopy, atomic force microscopy, and X-ray photoelectron spectroscopy. The results show that the gas begins to evolve on the graphite electrode when the anodic polarization potential is higher than 1.60 V vs saturated calomel electrode at 20 °C. The CO2 evolution on the graphite electrode can lead to intergranular corrosion of the graphite when the polarization potential reaches 1.75 V. In addition, the functional groups of COOH and CO introduced on the surface of graphite electrode during corrosion can catalyze the formation of CO2, therefore, accelerates the corrosion rate of graphite electrode.","DOI":"10.1016/j.electacta.2011.07.083","ISSN":"0013-4686","journalAbbreviation":"Electrochimica Acta","author":[{"family":"Liu","given":"Huijun"},{"family":"Xu","given":"Qian"},{"family":"Yan","given":"Chuanwei"},{"family":"Qiao","given":"Yonglian"}],"issued":{"date-parts":[["2011",10,1]]}}},{"id":72,"uris":["http://zotero.org/users/local/rZ3AHC6s/items/T8M5QKHA"],"uri":["http://zotero.org/users/local/rZ3AHC6s/items/T8M5QKHA"],"itemData":{"id":72,"type":"article-journal","title":"On-line mass spectrometry study of electrochemical corrosion of the graphite electrode for vanadium redox flow battery","container-title":"Electrochemistry Communications","page":"58-62","volume":"28","issue":"0","abstract":"Abstract\nThe electrochemical corrosion of the graphite electrode for vanadium redox flow battery is investigated by on-line mass spectrometry analysis. The results show that CO2 and CO form and evolve more preferably than O2 on the graphite anode, which lead to the electrochemical corrosion of the graphite electrode. Furthermore, the evolution rate of O2 is the highest one among evolved gases if the polarization potential becomes too positive. The oxidation of VO2 + on the graphite electrode in 2 M H2SO4 + 2 M VOSO4 hinders the carbon oxidation reaction and retards the electrochemical corrosion of the graphite electrode.","DOI":"10.1016/j.elecom.2012.12.011","ISSN":"1388-2481","journalAbbreviation":"Electrochemistry Communications","author":[{"family":"Liu","given":"Huijun"},{"family":"Xu","given":"Qian"},{"family":"Yan","given":"Chuanwei"}],"issued":{"date-parts":[["2013",3]]}}}],"schema":"https://github.com/citation-style-language/schema/raw/master/csl-citation.json"} </w:instrText>
      </w:r>
      <w:r w:rsidR="004476C7">
        <w:fldChar w:fldCharType="separate"/>
      </w:r>
      <w:r w:rsidR="00DC6E54" w:rsidRPr="00DC6E54">
        <w:rPr>
          <w:rFonts w:ascii="Calibri" w:hAnsi="Calibri" w:cs="Times New Roman"/>
          <w:szCs w:val="24"/>
          <w:vertAlign w:val="superscript"/>
        </w:rPr>
        <w:t>24,27</w:t>
      </w:r>
      <w:r w:rsidR="004476C7">
        <w:fldChar w:fldCharType="end"/>
      </w:r>
      <w:r w:rsidR="004476C7">
        <w:t xml:space="preserve"> Oxygen evolution requires a potential of 1.80 V and poses less of a practical operational issue.</w:t>
      </w:r>
      <w:r w:rsidR="004476C7">
        <w:fldChar w:fldCharType="begin"/>
      </w:r>
      <w:r w:rsidR="00DC6E54">
        <w:instrText xml:space="preserve"> ADDIN ZOTERO_ITEM CSL_CITATION {"citationID":"108r69fqrr","properties":{"formattedCitation":"{\\rtf \\super 27\\nosupersub{}}","plainCitation":"27"},"citationItems":[{"id":72,"uris":["http://zotero.org/users/local/rZ3AHC6s/items/T8M5QKHA"],"uri":["http://zotero.org/users/local/rZ3AHC6s/items/T8M5QKHA"],"itemData":{"id":72,"type":"article-journal","title":"On-line mass spectrometry study of electrochemical corrosion of the graphite electrode for vanadium redox flow battery","container-title":"Electrochemistry Communications","page":"58-62","volume":"28","issue":"0","abstract":"Abstract\nThe electrochemical corrosion of the graphite electrode for vanadium redox flow battery is investigated by on-line mass spectrometry analysis. The results show that CO2 and CO form and evolve more preferably than O2 on the graphite anode, which lead to the electrochemical corrosion of the graphite electrode. Furthermore, the evolution rate of O2 is the highest one among evolved gases if the polarization potential becomes too positive. The oxidation of VO2 + on the graphite electrode in 2 M H2SO4 + 2 M VOSO4 hinders the carbon oxidation reaction and retards the electrochemical corrosion of the graphite electrode.","DOI":"10.1016/j.elecom.2012.12.011","ISSN":"1388-2481","journalAbbreviation":"Electrochemistry Communications","author":[{"family":"Liu","given":"Huijun"},{"family":"Xu","given":"Qian"},{"family":"Yan","given":"Chuanwei"}],"issued":{"date-parts":[["2013",3]]}}}],"schema":"https://github.com/citation-style-language/schema/raw/master/csl-citation.json"} </w:instrText>
      </w:r>
      <w:r w:rsidR="004476C7">
        <w:fldChar w:fldCharType="separate"/>
      </w:r>
      <w:r w:rsidR="00DC6E54" w:rsidRPr="00DC6E54">
        <w:rPr>
          <w:rFonts w:ascii="Calibri" w:hAnsi="Calibri" w:cs="Times New Roman"/>
          <w:szCs w:val="24"/>
          <w:vertAlign w:val="superscript"/>
        </w:rPr>
        <w:t>27</w:t>
      </w:r>
      <w:r w:rsidR="004476C7">
        <w:fldChar w:fldCharType="end"/>
      </w:r>
      <w:r w:rsidR="004476C7">
        <w:t xml:space="preserve"> Unfortunately, the same –COOH and –C=O groups that improve redox performance also </w:t>
      </w:r>
      <w:proofErr w:type="spellStart"/>
      <w:r w:rsidR="004476C7">
        <w:t>autocatalytically</w:t>
      </w:r>
      <w:proofErr w:type="spellEnd"/>
      <w:r w:rsidR="004476C7">
        <w:t xml:space="preserve"> promote these side reactons.</w:t>
      </w:r>
      <w:r w:rsidR="004476C7">
        <w:fldChar w:fldCharType="begin"/>
      </w:r>
      <w:r w:rsidR="00DC6E54">
        <w:instrText xml:space="preserve"> ADDIN ZOTERO_ITEM CSL_CITATION {"citationID":"1nunjj6iae","properties":{"formattedCitation":"{\\rtf \\super 24\\nosupersub{}}","plainCitation":"24"},"citationItems":[{"id":71,"uris":["http://zotero.org/users/local/rZ3AHC6s/items/9WXFFH4Z"],"uri":["http://zotero.org/users/local/rZ3AHC6s/items/9WXFFH4Z"],"itemData":{"id":71,"type":"article-journal","title":"Corrosion behavior of a positive graphite electrode in vanadium redox flow battery","container-title":"Electrochimica Acta","page":"8783-8790","volume":"56","issue":"24","abstract":"The graphite plate is easily suffered from corosion because of CO2 evolution when it acts as the positive electrode for vanadium redox flow battery. The aim is to obtain the initial potential for gas evolution on a positive graphite electrode in 2 mol dm−3 H2SO4 + 2 mol dm−3 VOSO4 solution. The effects of polarization potential, operating temperature and polarization time on extent of graphite corrosion are investigated by potentiodynamic and potentiostatic techniques. The surface characteristics of graphite electrode before and after corrosion are examined by scanning electron microscopy, atomic force microscopy, and X-ray photoelectron spectroscopy. The results show that the gas begins to evolve on the graphite electrode when the anodic polarization potential is higher than 1.60 V vs saturated calomel electrode at 20 °C. The CO2 evolution on the graphite electrode can lead to intergranular corrosion of the graphite when the polarization potential reaches 1.75 V. In addition, the functional groups of COOH and CO introduced on the surface of graphite electrode during corrosion can catalyze the formation of CO2, therefore, accelerates the corrosion rate of graphite electrode.","DOI":"10.1016/j.electacta.2011.07.083","ISSN":"0013-4686","journalAbbreviation":"Electrochimica Acta","author":[{"family":"Liu","given":"Huijun"},{"family":"Xu","given":"Qian"},{"family":"Yan","given":"Chuanwei"},{"family":"Qiao","given":"Yonglian"}],"issued":{"date-parts":[["2011",10,1]]}}}],"schema":"https://github.com/citation-style-language/schema/raw/master/csl-citation.json"} </w:instrText>
      </w:r>
      <w:r w:rsidR="004476C7">
        <w:fldChar w:fldCharType="separate"/>
      </w:r>
      <w:r w:rsidR="00DC6E54" w:rsidRPr="00DC6E54">
        <w:rPr>
          <w:rFonts w:ascii="Calibri" w:hAnsi="Calibri" w:cs="Times New Roman"/>
          <w:szCs w:val="24"/>
          <w:vertAlign w:val="superscript"/>
        </w:rPr>
        <w:t>24</w:t>
      </w:r>
      <w:r w:rsidR="004476C7">
        <w:fldChar w:fldCharType="end"/>
      </w:r>
      <w:r w:rsidR="004476C7">
        <w:t xml:space="preserve"> Therefore, care must be taken when charging the battery to 100% state of charge</w:t>
      </w:r>
      <w:r w:rsidR="004649E6">
        <w:t>,</w:t>
      </w:r>
      <w:r w:rsidR="004476C7">
        <w:t xml:space="preserve"> or the operational state of charge window of the battery must be limited.</w:t>
      </w:r>
    </w:p>
    <w:p w14:paraId="53BCBBA5" w14:textId="358003B7" w:rsidR="005A21F2" w:rsidRPr="00951C48" w:rsidRDefault="004649E6" w:rsidP="00951C48">
      <w:pPr>
        <w:spacing w:after="0" w:line="480" w:lineRule="auto"/>
        <w:rPr>
          <w:b/>
        </w:rPr>
      </w:pPr>
      <w:r w:rsidRPr="00951C48">
        <w:rPr>
          <w:b/>
        </w:rPr>
        <w:lastRenderedPageBreak/>
        <w:t>4.0 Technical Introduction</w:t>
      </w:r>
    </w:p>
    <w:p w14:paraId="647EA999" w14:textId="204C6E91" w:rsidR="005A21F2" w:rsidRDefault="005A21F2" w:rsidP="004649E6">
      <w:pPr>
        <w:spacing w:after="0" w:line="480" w:lineRule="auto"/>
        <w:ind w:firstLine="720"/>
      </w:pPr>
      <w:r>
        <w:t>Electrochemical kinetic</w:t>
      </w:r>
      <w:r w:rsidR="004649E6">
        <w:t>s</w:t>
      </w:r>
      <w:r>
        <w:t xml:space="preserve"> measurements, infrared spectroscopy, and Raman spectroscopy are used to investigate the chemical and electrochemical properties of operating VRBs as a function of state of charge. This chapter provides an overview of the basis of these techniques and their relevance to this study.</w:t>
      </w:r>
    </w:p>
    <w:p w14:paraId="596E553F" w14:textId="2F3A84E6" w:rsidR="0057000F" w:rsidRPr="00951C48" w:rsidRDefault="00A75D60" w:rsidP="004649E6">
      <w:pPr>
        <w:spacing w:after="0" w:line="480" w:lineRule="auto"/>
        <w:rPr>
          <w:b/>
        </w:rPr>
      </w:pPr>
      <w:r w:rsidRPr="00951C48">
        <w:rPr>
          <w:b/>
        </w:rPr>
        <w:t>4.</w:t>
      </w:r>
      <w:r w:rsidR="005A21F2" w:rsidRPr="00951C48">
        <w:rPr>
          <w:b/>
        </w:rPr>
        <w:t>1</w:t>
      </w:r>
      <w:r w:rsidRPr="00951C48">
        <w:rPr>
          <w:b/>
        </w:rPr>
        <w:t xml:space="preserve"> Electrochemistry</w:t>
      </w:r>
    </w:p>
    <w:p w14:paraId="42065ECC" w14:textId="40E9BCB7" w:rsidR="0057000F" w:rsidRPr="00951C48" w:rsidRDefault="00163D29" w:rsidP="004649E6">
      <w:pPr>
        <w:spacing w:after="0" w:line="480" w:lineRule="auto"/>
        <w:rPr>
          <w:b/>
        </w:rPr>
      </w:pPr>
      <w:r w:rsidRPr="00951C48">
        <w:rPr>
          <w:b/>
        </w:rPr>
        <w:t>4.1.1</w:t>
      </w:r>
      <w:r w:rsidR="004649E6" w:rsidRPr="00951C48">
        <w:rPr>
          <w:b/>
        </w:rPr>
        <w:t xml:space="preserve"> Kinetics</w:t>
      </w:r>
    </w:p>
    <w:p w14:paraId="5E99DA30" w14:textId="72C28DAD" w:rsidR="0057000F" w:rsidRDefault="0057000F" w:rsidP="00951C48">
      <w:pPr>
        <w:spacing w:after="0" w:line="480" w:lineRule="auto"/>
        <w:ind w:firstLine="720"/>
      </w:pPr>
      <w:r>
        <w:t>Electrode reactions at equilibri</w:t>
      </w:r>
      <w:r w:rsidR="00BF30D8">
        <w:t>um are described by the Nernst e</w:t>
      </w:r>
      <w:r w:rsidR="004649E6">
        <w:t>quation (Equation 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57000F" w14:paraId="2FABDDCF" w14:textId="77777777" w:rsidTr="000A32FA">
        <w:tc>
          <w:tcPr>
            <w:tcW w:w="3116" w:type="dxa"/>
          </w:tcPr>
          <w:p w14:paraId="1F222C5A" w14:textId="77777777" w:rsidR="0057000F" w:rsidRDefault="0057000F" w:rsidP="00055CFD">
            <w:pPr>
              <w:spacing w:line="480" w:lineRule="auto"/>
            </w:pPr>
          </w:p>
        </w:tc>
        <w:tc>
          <w:tcPr>
            <w:tcW w:w="3117" w:type="dxa"/>
          </w:tcPr>
          <w:p w14:paraId="7D0C475E" w14:textId="1CC1A5EE" w:rsidR="0057000F" w:rsidRDefault="0057000F" w:rsidP="00055CFD">
            <w:pPr>
              <w:spacing w:line="480" w:lineRule="auto"/>
            </w:pPr>
            <m:oMathPara>
              <m:oMath>
                <m:r>
                  <w:rPr>
                    <w:rFonts w:ascii="Cambria Math" w:hAnsi="Cambria Math"/>
                  </w:rPr>
                  <m:t xml:space="preserve">E= </m:t>
                </m:r>
                <m:sSup>
                  <m:sSupPr>
                    <m:ctrlPr>
                      <w:rPr>
                        <w:rFonts w:ascii="Cambria Math" w:hAnsi="Cambria Math"/>
                        <w:i/>
                      </w:rPr>
                    </m:ctrlPr>
                  </m:sSupPr>
                  <m:e>
                    <m:r>
                      <w:rPr>
                        <w:rFonts w:ascii="Cambria Math" w:hAnsi="Cambria Math"/>
                      </w:rPr>
                      <m:t>E</m:t>
                    </m:r>
                  </m:e>
                  <m:sup>
                    <m:sSup>
                      <m:sSupPr>
                        <m:ctrlPr>
                          <w:rPr>
                            <w:rFonts w:ascii="Cambria Math" w:hAnsi="Cambria Math"/>
                            <w:i/>
                          </w:rPr>
                        </m:ctrlPr>
                      </m:sSupPr>
                      <m:e>
                        <m:r>
                          <w:rPr>
                            <w:rFonts w:ascii="Cambria Math" w:hAnsi="Cambria Math"/>
                          </w:rPr>
                          <m:t>0</m:t>
                        </m:r>
                      </m:e>
                      <m:sup>
                        <m:r>
                          <w:rPr>
                            <w:rFonts w:ascii="Cambria Math" w:hAnsi="Cambria Math"/>
                          </w:rPr>
                          <m:t>'</m:t>
                        </m:r>
                      </m:sup>
                    </m:sSup>
                  </m:sup>
                </m:sSup>
                <m:r>
                  <w:rPr>
                    <w:rFonts w:ascii="Cambria Math" w:hAnsi="Cambria Math"/>
                  </w:rPr>
                  <m:t>+</m:t>
                </m:r>
                <m:f>
                  <m:fPr>
                    <m:ctrlPr>
                      <w:rPr>
                        <w:rFonts w:ascii="Cambria Math" w:hAnsi="Cambria Math"/>
                        <w:i/>
                      </w:rPr>
                    </m:ctrlPr>
                  </m:fPr>
                  <m:num>
                    <m:r>
                      <w:rPr>
                        <w:rFonts w:ascii="Cambria Math" w:hAnsi="Cambria Math"/>
                      </w:rPr>
                      <m:t>RT</m:t>
                    </m:r>
                  </m:num>
                  <m:den>
                    <m:r>
                      <w:rPr>
                        <w:rFonts w:ascii="Cambria Math" w:hAnsi="Cambria Math"/>
                      </w:rPr>
                      <m:t>nF</m:t>
                    </m:r>
                  </m:den>
                </m:f>
                <m:r>
                  <m:rPr>
                    <m:sty m:val="p"/>
                  </m:rPr>
                  <w:rPr>
                    <w:rFonts w:ascii="Cambria Math" w:hAnsi="Cambria Math"/>
                  </w:rPr>
                  <m:t>ln⁡</m:t>
                </m:r>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C</m:t>
                        </m:r>
                      </m:e>
                      <m:sub>
                        <m:r>
                          <w:rPr>
                            <w:rFonts w:ascii="Cambria Math" w:hAnsi="Cambria Math"/>
                          </w:rPr>
                          <m:t>O</m:t>
                        </m:r>
                      </m:sub>
                      <m:sup>
                        <m:r>
                          <w:rPr>
                            <w:rFonts w:ascii="Cambria Math" w:hAnsi="Cambria Math"/>
                          </w:rPr>
                          <m:t>*</m:t>
                        </m:r>
                      </m:sup>
                    </m:sSubSup>
                  </m:num>
                  <m:den>
                    <m:sSubSup>
                      <m:sSubSupPr>
                        <m:ctrlPr>
                          <w:rPr>
                            <w:rFonts w:ascii="Cambria Math" w:hAnsi="Cambria Math"/>
                            <w:i/>
                          </w:rPr>
                        </m:ctrlPr>
                      </m:sSubSupPr>
                      <m:e>
                        <m:r>
                          <w:rPr>
                            <w:rFonts w:ascii="Cambria Math" w:hAnsi="Cambria Math"/>
                          </w:rPr>
                          <m:t>C</m:t>
                        </m:r>
                      </m:e>
                      <m:sub>
                        <m:r>
                          <w:rPr>
                            <w:rFonts w:ascii="Cambria Math" w:hAnsi="Cambria Math"/>
                          </w:rPr>
                          <m:t>R</m:t>
                        </m:r>
                      </m:sub>
                      <m:sup>
                        <m:r>
                          <w:rPr>
                            <w:rFonts w:ascii="Cambria Math" w:hAnsi="Cambria Math"/>
                          </w:rPr>
                          <m:t>*</m:t>
                        </m:r>
                      </m:sup>
                    </m:sSubSup>
                  </m:den>
                </m:f>
                <m:r>
                  <w:rPr>
                    <w:rFonts w:ascii="Cambria Math" w:hAnsi="Cambria Math"/>
                  </w:rPr>
                  <m:t>)</m:t>
                </m:r>
              </m:oMath>
            </m:oMathPara>
          </w:p>
        </w:tc>
        <w:tc>
          <w:tcPr>
            <w:tcW w:w="3117" w:type="dxa"/>
          </w:tcPr>
          <w:p w14:paraId="5B1AD6B6" w14:textId="2F65CFA7" w:rsidR="0057000F" w:rsidRDefault="004649E6" w:rsidP="00055CFD">
            <w:pPr>
              <w:spacing w:line="480" w:lineRule="auto"/>
              <w:jc w:val="right"/>
            </w:pPr>
            <w:r>
              <w:t>(5</w:t>
            </w:r>
            <w:r w:rsidR="000A32FA">
              <w:t>)</w:t>
            </w:r>
          </w:p>
        </w:tc>
      </w:tr>
    </w:tbl>
    <w:p w14:paraId="7CEF5C85" w14:textId="44CF645F" w:rsidR="00BF30D8" w:rsidRDefault="00633188" w:rsidP="004649E6">
      <w:pPr>
        <w:spacing w:after="0" w:line="480" w:lineRule="auto"/>
      </w:pPr>
      <w:r>
        <w:t>w</w:t>
      </w:r>
      <w:r w:rsidR="000A32FA">
        <w:t>here C</w:t>
      </w:r>
      <w:r w:rsidR="000A32FA">
        <w:rPr>
          <w:vertAlign w:val="subscript"/>
        </w:rPr>
        <w:t>O</w:t>
      </w:r>
      <w:r w:rsidR="000A32FA">
        <w:rPr>
          <w:vertAlign w:val="superscript"/>
        </w:rPr>
        <w:t>*</w:t>
      </w:r>
      <w:r w:rsidR="000A32FA">
        <w:t xml:space="preserve"> and C</w:t>
      </w:r>
      <w:r w:rsidR="000A32FA">
        <w:rPr>
          <w:vertAlign w:val="subscript"/>
        </w:rPr>
        <w:t>R</w:t>
      </w:r>
      <w:r w:rsidR="000A32FA">
        <w:rPr>
          <w:vertAlign w:val="superscript"/>
        </w:rPr>
        <w:t>*</w:t>
      </w:r>
      <w:r w:rsidR="000A32FA">
        <w:t xml:space="preserve"> are the bulk concentrations of the oxidized and reduced species, respectively, E</w:t>
      </w:r>
      <w:r w:rsidR="000A32FA">
        <w:rPr>
          <w:vertAlign w:val="superscript"/>
        </w:rPr>
        <w:t>0’</w:t>
      </w:r>
      <w:r w:rsidR="000A32FA">
        <w:t xml:space="preserve"> the formal potential</w:t>
      </w:r>
      <w:r w:rsidR="00637F74">
        <w:t xml:space="preserve"> at which the reaction becomes spontaneous</w:t>
      </w:r>
      <w:r w:rsidR="000A32FA">
        <w:t xml:space="preserve">, and </w:t>
      </w:r>
      <w:proofErr w:type="spellStart"/>
      <w:r w:rsidR="000A32FA">
        <w:t>n</w:t>
      </w:r>
      <w:proofErr w:type="spellEnd"/>
      <w:r w:rsidR="000A32FA">
        <w:t xml:space="preserve"> the number of electrons transferred between the species.</w:t>
      </w:r>
      <w:r w:rsidR="000A32FA">
        <w:fldChar w:fldCharType="begin"/>
      </w:r>
      <w:r w:rsidR="00DC6E54">
        <w:instrText xml:space="preserve"> ADDIN ZOTERO_ITEM CSL_CITATION {"citationID":"2cbklkp9mh","properties":{"formattedCitation":"{\\rtf \\super 28\\nosupersub{}}","plainCitation":"28"},"citationItems":[{"id":85,"uris":["http://zotero.org/users/local/rZ3AHC6s/items/BRVNAIC7"],"uri":["http://zotero.org/users/local/rZ3AHC6s/items/BRVNAIC7"],"itemData":{"id":85,"type":"book","title":"Electrochemical Methods: Fundamentals and Applications","publisher":"John Wiley &amp; Sons, Inc.","edition":"Second","author":[{"family":"Bard","given":"Allen J."},{"family":"Faulkner","given":"Larry R."}],"issued":{"date-parts":[["2001"]]}}}],"schema":"https://github.com/citation-style-language/schema/raw/master/csl-citation.json"} </w:instrText>
      </w:r>
      <w:r w:rsidR="000A32FA">
        <w:fldChar w:fldCharType="separate"/>
      </w:r>
      <w:r w:rsidR="00DC6E54" w:rsidRPr="00DC6E54">
        <w:rPr>
          <w:rFonts w:ascii="Calibri" w:hAnsi="Calibri" w:cs="Times New Roman"/>
          <w:szCs w:val="24"/>
          <w:vertAlign w:val="superscript"/>
        </w:rPr>
        <w:t>28</w:t>
      </w:r>
      <w:r w:rsidR="000A32FA">
        <w:fldChar w:fldCharType="end"/>
      </w:r>
      <w:r w:rsidR="00BF30D8">
        <w:t xml:space="preserve"> The Nernst equation holds when the system is mass transport controlled at the surface of the electrode, meaning the rate of reaction is fully controlled by the rate at which reactants are replenished on the electrode surface.</w:t>
      </w:r>
      <w:r w:rsidR="00BF30D8">
        <w:fldChar w:fldCharType="begin"/>
      </w:r>
      <w:r w:rsidR="00DC6E54">
        <w:instrText xml:space="preserve"> ADDIN ZOTERO_ITEM CSL_CITATION {"citationID":"29nod2egq9","properties":{"formattedCitation":"{\\rtf \\super 28\\nosupersub{}}","plainCitation":"28"},"citationItems":[{"id":85,"uris":["http://zotero.org/users/local/rZ3AHC6s/items/BRVNAIC7"],"uri":["http://zotero.org/users/local/rZ3AHC6s/items/BRVNAIC7"],"itemData":{"id":85,"type":"book","title":"Electrochemical Methods: Fundamentals and Applications","publisher":"John Wiley &amp; Sons, Inc.","edition":"Second","author":[{"family":"Bard","given":"Allen J."},{"family":"Faulkner","given":"Larry R."}],"issued":{"date-parts":[["2001"]]}}}],"schema":"https://github.com/citation-style-language/schema/raw/master/csl-citation.json"} </w:instrText>
      </w:r>
      <w:r w:rsidR="00BF30D8">
        <w:fldChar w:fldCharType="separate"/>
      </w:r>
      <w:r w:rsidR="00DC6E54" w:rsidRPr="00DC6E54">
        <w:rPr>
          <w:rFonts w:ascii="Calibri" w:hAnsi="Calibri" w:cs="Times New Roman"/>
          <w:szCs w:val="24"/>
          <w:vertAlign w:val="superscript"/>
        </w:rPr>
        <w:t>28</w:t>
      </w:r>
      <w:r w:rsidR="00BF30D8">
        <w:fldChar w:fldCharType="end"/>
      </w:r>
      <w:r w:rsidR="00BF30D8">
        <w:t xml:space="preserve"> All successful kinetic models must predict outcomes in accordance with the results of the Nernst equation </w:t>
      </w:r>
      <w:r>
        <w:t>at the limit of fast kinetics</w:t>
      </w:r>
      <w:r w:rsidR="00BF30D8">
        <w:t>. Two models of importance to</w:t>
      </w:r>
      <w:r w:rsidR="00513E06">
        <w:t xml:space="preserve"> the one-electron transfer process in</w:t>
      </w:r>
      <w:r w:rsidR="00BF30D8">
        <w:t xml:space="preserve"> </w:t>
      </w:r>
      <w:r w:rsidR="004649E6">
        <w:t>VRBs</w:t>
      </w:r>
      <w:r w:rsidR="00BF30D8">
        <w:t xml:space="preserve"> are the </w:t>
      </w:r>
      <w:proofErr w:type="spellStart"/>
      <w:r w:rsidR="00BF30D8">
        <w:t>Tafel</w:t>
      </w:r>
      <w:proofErr w:type="spellEnd"/>
      <w:r w:rsidR="00BF30D8">
        <w:t xml:space="preserve"> equation and the Butler-</w:t>
      </w:r>
      <w:proofErr w:type="spellStart"/>
      <w:r w:rsidR="00BF30D8">
        <w:t>Volm</w:t>
      </w:r>
      <w:r w:rsidR="004649E6">
        <w:t>er</w:t>
      </w:r>
      <w:proofErr w:type="spellEnd"/>
      <w:r w:rsidR="004649E6">
        <w:t xml:space="preserve"> model of electrode kinetics.</w:t>
      </w:r>
    </w:p>
    <w:p w14:paraId="559ACDE1" w14:textId="34E05890" w:rsidR="00EC70C6" w:rsidRPr="00951C48" w:rsidRDefault="00163D29" w:rsidP="00951C48">
      <w:pPr>
        <w:spacing w:after="0" w:line="480" w:lineRule="auto"/>
        <w:rPr>
          <w:b/>
        </w:rPr>
      </w:pPr>
      <w:r w:rsidRPr="00951C48">
        <w:rPr>
          <w:b/>
        </w:rPr>
        <w:t>4.1.2</w:t>
      </w:r>
      <w:r w:rsidR="00951C48">
        <w:rPr>
          <w:b/>
        </w:rPr>
        <w:t xml:space="preserve">. </w:t>
      </w:r>
      <w:proofErr w:type="spellStart"/>
      <w:r w:rsidR="00951C48">
        <w:rPr>
          <w:b/>
        </w:rPr>
        <w:t>Tafel</w:t>
      </w:r>
      <w:proofErr w:type="spellEnd"/>
      <w:r w:rsidR="00951C48">
        <w:rPr>
          <w:b/>
        </w:rPr>
        <w:t xml:space="preserve"> Kinetics</w:t>
      </w:r>
    </w:p>
    <w:p w14:paraId="5652DF8B" w14:textId="434E5CED" w:rsidR="00BF30D8" w:rsidRDefault="00BF30D8" w:rsidP="00951C48">
      <w:pPr>
        <w:spacing w:line="480" w:lineRule="auto"/>
        <w:ind w:firstLine="720"/>
      </w:pPr>
      <w:r>
        <w:t xml:space="preserve">The </w:t>
      </w:r>
      <w:proofErr w:type="spellStart"/>
      <w:r>
        <w:t>Tafel</w:t>
      </w:r>
      <w:proofErr w:type="spellEnd"/>
      <w:r>
        <w:t xml:space="preserve"> equation</w:t>
      </w:r>
      <w:r w:rsidR="00163D29">
        <w:t xml:space="preserve"> is a historical, empirical finding that</w:t>
      </w:r>
      <w:r>
        <w:t xml:space="preserve"> links the exponential relationship between current and </w:t>
      </w:r>
      <w:proofErr w:type="spellStart"/>
      <w:r>
        <w:t>overpotential</w:t>
      </w:r>
      <w:proofErr w:type="spellEnd"/>
      <w:r>
        <w:t>, the potential difference between the potential at which the redox reaction is conducted and the thermodynamic potential of the r</w:t>
      </w:r>
      <w:r w:rsidR="004649E6">
        <w:t>edox couple and standard state (Equation 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F30D8" w14:paraId="279D7CB1" w14:textId="77777777" w:rsidTr="00BF30D8">
        <w:tc>
          <w:tcPr>
            <w:tcW w:w="3116" w:type="dxa"/>
          </w:tcPr>
          <w:p w14:paraId="54D8B1DA" w14:textId="77777777" w:rsidR="00BF30D8" w:rsidRDefault="00BF30D8" w:rsidP="00055CFD">
            <w:pPr>
              <w:spacing w:line="480" w:lineRule="auto"/>
            </w:pPr>
          </w:p>
        </w:tc>
        <w:tc>
          <w:tcPr>
            <w:tcW w:w="3117" w:type="dxa"/>
          </w:tcPr>
          <w:p w14:paraId="182BD0D7" w14:textId="73917B57" w:rsidR="00163D29" w:rsidRPr="00163D29" w:rsidRDefault="00BF30D8" w:rsidP="00055CFD">
            <w:pPr>
              <w:spacing w:line="480" w:lineRule="auto"/>
              <w:rPr>
                <w:rFonts w:eastAsiaTheme="minorEastAsia"/>
              </w:rPr>
            </w:pPr>
            <m:oMathPara>
              <m:oMath>
                <m:r>
                  <w:rPr>
                    <w:rFonts w:ascii="Cambria Math" w:hAnsi="Cambria Math"/>
                  </w:rPr>
                  <m:t>η=a+b</m:t>
                </m:r>
                <m:func>
                  <m:funcPr>
                    <m:ctrlPr>
                      <w:rPr>
                        <w:rFonts w:ascii="Cambria Math" w:hAnsi="Cambria Math"/>
                        <w:i/>
                      </w:rPr>
                    </m:ctrlPr>
                  </m:funcPr>
                  <m:fName>
                    <m:r>
                      <m:rPr>
                        <m:sty m:val="p"/>
                      </m:rPr>
                      <w:rPr>
                        <w:rFonts w:ascii="Cambria Math" w:hAnsi="Cambria Math"/>
                      </w:rPr>
                      <m:t>log</m:t>
                    </m:r>
                  </m:fName>
                  <m:e>
                    <m:r>
                      <w:rPr>
                        <w:rFonts w:ascii="Cambria Math" w:hAnsi="Cambria Math"/>
                      </w:rPr>
                      <m:t>i</m:t>
                    </m:r>
                  </m:e>
                </m:func>
              </m:oMath>
            </m:oMathPara>
          </w:p>
        </w:tc>
        <w:tc>
          <w:tcPr>
            <w:tcW w:w="3117" w:type="dxa"/>
          </w:tcPr>
          <w:p w14:paraId="63F77702" w14:textId="7D6DAB9A" w:rsidR="00BF30D8" w:rsidRDefault="004649E6" w:rsidP="00055CFD">
            <w:pPr>
              <w:spacing w:line="480" w:lineRule="auto"/>
              <w:jc w:val="right"/>
            </w:pPr>
            <w:r>
              <w:t>(6</w:t>
            </w:r>
            <w:r w:rsidR="00BF30D8">
              <w:t>)</w:t>
            </w:r>
          </w:p>
        </w:tc>
      </w:tr>
    </w:tbl>
    <w:p w14:paraId="59BC6424" w14:textId="735D2775" w:rsidR="001C58AD" w:rsidRDefault="00163D29" w:rsidP="004649E6">
      <w:pPr>
        <w:spacing w:after="0" w:line="480" w:lineRule="auto"/>
      </w:pPr>
      <w:r>
        <w:t xml:space="preserve">Successful kinetic models may be used to explain the frequent validity of the </w:t>
      </w:r>
      <w:proofErr w:type="spellStart"/>
      <w:r>
        <w:t>Tafel</w:t>
      </w:r>
      <w:proofErr w:type="spellEnd"/>
      <w:r>
        <w:t xml:space="preserve"> equation.</w:t>
      </w:r>
      <w:r>
        <w:fldChar w:fldCharType="begin"/>
      </w:r>
      <w:r w:rsidR="00DC6E54">
        <w:instrText xml:space="preserve"> ADDIN ZOTERO_ITEM CSL_CITATION {"citationID":"de9pvu3ti","properties":{"formattedCitation":"{\\rtf \\super 28\\nosupersub{}}","plainCitation":"28"},"citationItems":[{"id":85,"uris":["http://zotero.org/users/local/rZ3AHC6s/items/BRVNAIC7"],"uri":["http://zotero.org/users/local/rZ3AHC6s/items/BRVNAIC7"],"itemData":{"id":85,"type":"book","title":"Electrochemical Methods: Fundamentals and Applications","publisher":"John Wiley &amp; Sons, Inc.","edition":"Second","author":[{"family":"Bard","given":"Allen J."},{"family":"Faulkner","given":"Larry R."}],"issued":{"date-parts":[["2001"]]}}}],"schema":"https://github.com/citation-style-language/schema/raw/master/csl-citation.json"} </w:instrText>
      </w:r>
      <w:r>
        <w:fldChar w:fldCharType="separate"/>
      </w:r>
      <w:r w:rsidR="00DC6E54" w:rsidRPr="00DC6E54">
        <w:rPr>
          <w:rFonts w:ascii="Calibri" w:hAnsi="Calibri" w:cs="Times New Roman"/>
          <w:szCs w:val="24"/>
          <w:vertAlign w:val="superscript"/>
        </w:rPr>
        <w:t>28</w:t>
      </w:r>
      <w:r>
        <w:fldChar w:fldCharType="end"/>
      </w:r>
    </w:p>
    <w:p w14:paraId="353B6529" w14:textId="60A0F0DB" w:rsidR="001C58AD" w:rsidRPr="00951C48" w:rsidRDefault="00951C48" w:rsidP="004649E6">
      <w:pPr>
        <w:spacing w:after="0" w:line="480" w:lineRule="auto"/>
        <w:rPr>
          <w:b/>
        </w:rPr>
      </w:pPr>
      <w:r w:rsidRPr="00951C48">
        <w:rPr>
          <w:b/>
        </w:rPr>
        <w:t>4.1.3</w:t>
      </w:r>
      <w:r w:rsidR="004649E6" w:rsidRPr="00951C48">
        <w:rPr>
          <w:b/>
        </w:rPr>
        <w:t xml:space="preserve"> Exchange Current Density</w:t>
      </w:r>
    </w:p>
    <w:p w14:paraId="43B4486F" w14:textId="30D0AFCD" w:rsidR="001C58AD" w:rsidRDefault="00633188" w:rsidP="00F21768">
      <w:pPr>
        <w:spacing w:after="0" w:line="480" w:lineRule="auto"/>
        <w:ind w:firstLine="720"/>
      </w:pPr>
      <w:r>
        <w:t>At steady state</w:t>
      </w:r>
      <w:r w:rsidR="001C58AD">
        <w:t>, no net current flows within an electrochemical system, and the potential of the electrodes is dictated by the Nernst Equation.</w:t>
      </w:r>
      <w:r w:rsidR="001C58AD">
        <w:fldChar w:fldCharType="begin"/>
      </w:r>
      <w:r w:rsidR="00DC6E54">
        <w:instrText xml:space="preserve"> ADDIN ZOTERO_ITEM CSL_CITATION {"citationID":"1u5cnglgb8","properties":{"formattedCitation":"{\\rtf \\super 28\\nosupersub{}}","plainCitation":"28"},"citationItems":[{"id":85,"uris":["http://zotero.org/users/local/rZ3AHC6s/items/BRVNAIC7"],"uri":["http://zotero.org/users/local/rZ3AHC6s/items/BRVNAIC7"],"itemData":{"id":85,"type":"book","title":"Electrochemical Methods: Fundamentals and Applications","publisher":"John Wiley &amp; Sons, Inc.","edition":"Second","author":[{"family":"Bard","given":"Allen J."},{"family":"Faulkner","given":"Larry R."}],"issued":{"date-parts":[["2001"]]}}}],"schema":"https://github.com/citation-style-language/schema/raw/master/csl-citation.json"} </w:instrText>
      </w:r>
      <w:r w:rsidR="001C58AD">
        <w:fldChar w:fldCharType="separate"/>
      </w:r>
      <w:r w:rsidR="00DC6E54" w:rsidRPr="00DC6E54">
        <w:rPr>
          <w:rFonts w:ascii="Calibri" w:hAnsi="Calibri" w:cs="Times New Roman"/>
          <w:szCs w:val="24"/>
          <w:vertAlign w:val="superscript"/>
        </w:rPr>
        <w:t>28</w:t>
      </w:r>
      <w:r w:rsidR="001C58AD">
        <w:fldChar w:fldCharType="end"/>
      </w:r>
      <w:r w:rsidR="001C58AD">
        <w:t xml:space="preserve"> Anodic and </w:t>
      </w:r>
      <w:proofErr w:type="spellStart"/>
      <w:r w:rsidR="001C58AD">
        <w:t>cathodic</w:t>
      </w:r>
      <w:proofErr w:type="spellEnd"/>
      <w:r w:rsidR="001C58AD">
        <w:t xml:space="preserve"> current flows at equal magnitudes, and the magnitude of this current is known as the exchange current, i</w:t>
      </w:r>
      <w:r w:rsidR="001C58AD">
        <w:rPr>
          <w:vertAlign w:val="subscript"/>
        </w:rPr>
        <w:t>0</w:t>
      </w:r>
      <w:r w:rsidR="00F21768">
        <w:t xml:space="preserve"> (Equation 7</w:t>
      </w:r>
      <w:r w:rsidR="001C58AD">
        <w:t>).  At a fundamental level, the exchange current of a system is a measure of the kinetic speed of a system.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1C58AD" w14:paraId="590BB59E" w14:textId="77777777" w:rsidTr="00A23F27">
        <w:tc>
          <w:tcPr>
            <w:tcW w:w="3116" w:type="dxa"/>
          </w:tcPr>
          <w:p w14:paraId="764BA044" w14:textId="77777777" w:rsidR="001C58AD" w:rsidRDefault="001C58AD" w:rsidP="00055CFD">
            <w:pPr>
              <w:spacing w:line="480" w:lineRule="auto"/>
            </w:pPr>
          </w:p>
        </w:tc>
        <w:tc>
          <w:tcPr>
            <w:tcW w:w="3117" w:type="dxa"/>
          </w:tcPr>
          <w:p w14:paraId="4E5037A7" w14:textId="77777777" w:rsidR="001C58AD" w:rsidRDefault="00056C85" w:rsidP="00055CFD">
            <w:pPr>
              <w:spacing w:line="480" w:lineRule="auto"/>
            </w:pPr>
            <m:oMathPara>
              <m:oMath>
                <m:sSub>
                  <m:sSubPr>
                    <m:ctrlPr>
                      <w:rPr>
                        <w:rFonts w:ascii="Cambria Math" w:hAnsi="Cambria Math"/>
                        <w:i/>
                      </w:rPr>
                    </m:ctrlPr>
                  </m:sSubPr>
                  <m:e>
                    <m:r>
                      <w:rPr>
                        <w:rFonts w:ascii="Cambria Math" w:hAnsi="Cambria Math"/>
                      </w:rPr>
                      <m:t>i</m:t>
                    </m:r>
                  </m:e>
                  <m:sub>
                    <m:r>
                      <w:rPr>
                        <w:rFonts w:ascii="Cambria Math" w:hAnsi="Cambria Math"/>
                      </w:rPr>
                      <m:t>0</m:t>
                    </m:r>
                  </m:sub>
                </m:sSub>
                <m:r>
                  <w:rPr>
                    <w:rFonts w:ascii="Cambria Math" w:hAnsi="Cambria Math"/>
                  </w:rPr>
                  <m:t>=FA</m:t>
                </m:r>
                <m:sSup>
                  <m:sSupPr>
                    <m:ctrlPr>
                      <w:rPr>
                        <w:rFonts w:ascii="Cambria Math" w:hAnsi="Cambria Math"/>
                        <w:i/>
                      </w:rPr>
                    </m:ctrlPr>
                  </m:sSupPr>
                  <m:e>
                    <m:r>
                      <w:rPr>
                        <w:rFonts w:ascii="Cambria Math" w:hAnsi="Cambria Math"/>
                      </w:rPr>
                      <m:t>k</m:t>
                    </m:r>
                  </m:e>
                  <m:sup>
                    <m:r>
                      <w:rPr>
                        <w:rFonts w:ascii="Cambria Math" w:hAnsi="Cambria Math"/>
                      </w:rPr>
                      <m:t>0</m:t>
                    </m:r>
                  </m:sup>
                </m:sSup>
                <m:sSubSup>
                  <m:sSubSupPr>
                    <m:ctrlPr>
                      <w:rPr>
                        <w:rFonts w:ascii="Cambria Math" w:hAnsi="Cambria Math"/>
                        <w:i/>
                      </w:rPr>
                    </m:ctrlPr>
                  </m:sSubSupPr>
                  <m:e>
                    <m:r>
                      <w:rPr>
                        <w:rFonts w:ascii="Cambria Math" w:hAnsi="Cambria Math"/>
                      </w:rPr>
                      <m:t>C</m:t>
                    </m:r>
                  </m:e>
                  <m:sub>
                    <m:r>
                      <w:rPr>
                        <w:rFonts w:ascii="Cambria Math" w:hAnsi="Cambria Math"/>
                      </w:rPr>
                      <m:t>O</m:t>
                    </m:r>
                  </m:sub>
                  <m:sup>
                    <m:r>
                      <w:rPr>
                        <w:rFonts w:ascii="Cambria Math" w:hAnsi="Cambria Math"/>
                      </w:rPr>
                      <m:t>*</m:t>
                    </m:r>
                  </m:sup>
                </m:sSubSup>
                <m:sSup>
                  <m:sSupPr>
                    <m:ctrlPr>
                      <w:rPr>
                        <w:rFonts w:ascii="Cambria Math" w:hAnsi="Cambria Math"/>
                        <w:i/>
                      </w:rPr>
                    </m:ctrlPr>
                  </m:sSupPr>
                  <m:e>
                    <m:r>
                      <w:rPr>
                        <w:rFonts w:ascii="Cambria Math" w:hAnsi="Cambria Math"/>
                      </w:rPr>
                      <m:t>e</m:t>
                    </m:r>
                  </m:e>
                  <m:sup>
                    <m:r>
                      <w:rPr>
                        <w:rFonts w:ascii="Cambria Math" w:hAnsi="Cambria Math"/>
                      </w:rPr>
                      <m:t>-αfη</m:t>
                    </m:r>
                  </m:sup>
                </m:sSup>
              </m:oMath>
            </m:oMathPara>
          </w:p>
        </w:tc>
        <w:tc>
          <w:tcPr>
            <w:tcW w:w="3117" w:type="dxa"/>
          </w:tcPr>
          <w:p w14:paraId="7673F1AF" w14:textId="756B4F5E" w:rsidR="001C58AD" w:rsidRDefault="00F21768" w:rsidP="00055CFD">
            <w:pPr>
              <w:spacing w:line="480" w:lineRule="auto"/>
              <w:jc w:val="right"/>
            </w:pPr>
            <w:r>
              <w:t>(7</w:t>
            </w:r>
            <w:r w:rsidR="001C58AD">
              <w:t>)</w:t>
            </w:r>
          </w:p>
        </w:tc>
      </w:tr>
    </w:tbl>
    <w:p w14:paraId="39BFFE64" w14:textId="59ED5929" w:rsidR="0023584D" w:rsidRDefault="0023584D" w:rsidP="00055CFD">
      <w:pPr>
        <w:spacing w:line="480" w:lineRule="auto"/>
      </w:pPr>
      <w:proofErr w:type="gramStart"/>
      <w:r>
        <w:t>where</w:t>
      </w:r>
      <w:proofErr w:type="gramEnd"/>
      <w:r>
        <w:t xml:space="preserve"> F is Faraday’s constant, A is the electrode area, </w:t>
      </w:r>
      <w:r w:rsidRPr="0023584D">
        <w:t>k</w:t>
      </w:r>
      <w:r>
        <w:rPr>
          <w:vertAlign w:val="superscript"/>
        </w:rPr>
        <w:t>0</w:t>
      </w:r>
      <w:r w:rsidR="00794A98">
        <w:t xml:space="preserve"> the standard rate constant, α the transfer coefficient, and η the </w:t>
      </w:r>
      <w:proofErr w:type="spellStart"/>
      <w:r w:rsidR="00794A98">
        <w:t>overptoential</w:t>
      </w:r>
      <w:proofErr w:type="spellEnd"/>
      <w:r w:rsidR="00794A98">
        <w:t xml:space="preserve"> applied to the electrode. </w:t>
      </w:r>
      <w:r w:rsidR="001C58AD" w:rsidRPr="0023584D">
        <w:t>Equation</w:t>
      </w:r>
      <w:r w:rsidR="00F21768">
        <w:t xml:space="preserve"> (7</w:t>
      </w:r>
      <w:r w:rsidR="001C58AD">
        <w:t>) may further be reduced to the for</w:t>
      </w:r>
      <w:r w:rsidR="00F21768">
        <w:t>m of Equation (9</w:t>
      </w:r>
      <w:r w:rsidR="001C58AD">
        <w:t>)</w:t>
      </w:r>
      <w:r w:rsidR="00F21768">
        <w:t xml:space="preserve"> by substitution of Equation (8) into Equation (7</w:t>
      </w:r>
      <w:r>
        <w:t>)</w:t>
      </w:r>
      <w:r w:rsidR="00F21768">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23584D" w14:paraId="4AF425CA" w14:textId="77777777" w:rsidTr="0023584D">
        <w:tc>
          <w:tcPr>
            <w:tcW w:w="3116" w:type="dxa"/>
          </w:tcPr>
          <w:p w14:paraId="3A5C9061" w14:textId="77777777" w:rsidR="0023584D" w:rsidRDefault="0023584D" w:rsidP="00F21768">
            <w:pPr>
              <w:spacing w:after="0" w:line="480" w:lineRule="auto"/>
            </w:pPr>
          </w:p>
        </w:tc>
        <w:tc>
          <w:tcPr>
            <w:tcW w:w="3117" w:type="dxa"/>
          </w:tcPr>
          <w:p w14:paraId="0C1BA957" w14:textId="610B50BB" w:rsidR="0023584D" w:rsidRDefault="00056C85" w:rsidP="00F21768">
            <w:pPr>
              <w:spacing w:after="0" w:line="480" w:lineRule="auto"/>
            </w:pPr>
            <m:oMathPara>
              <m:oMath>
                <m:sSup>
                  <m:sSupPr>
                    <m:ctrlPr>
                      <w:rPr>
                        <w:rFonts w:ascii="Cambria Math" w:hAnsi="Cambria Math"/>
                        <w:i/>
                      </w:rPr>
                    </m:ctrlPr>
                  </m:sSupPr>
                  <m:e>
                    <m:r>
                      <w:rPr>
                        <w:rFonts w:ascii="Cambria Math" w:hAnsi="Cambria Math"/>
                      </w:rPr>
                      <m:t>e</m:t>
                    </m:r>
                  </m:e>
                  <m:sup>
                    <m:r>
                      <w:rPr>
                        <w:rFonts w:ascii="Cambria Math" w:hAnsi="Cambria Math"/>
                      </w:rPr>
                      <m:t>-αfη</m:t>
                    </m:r>
                  </m:sup>
                </m:sSup>
                <m:r>
                  <w:rPr>
                    <w:rFonts w:ascii="Cambria Math" w:hAnsi="Cambria Math"/>
                  </w:rPr>
                  <m:t>=</m:t>
                </m:r>
                <m:sSup>
                  <m:sSupPr>
                    <m:ctrlPr>
                      <w:rPr>
                        <w:rFonts w:ascii="Cambria Math" w:hAnsi="Cambria Math"/>
                        <w:i/>
                      </w:rPr>
                    </m:ctrlPr>
                  </m:sSupPr>
                  <m:e>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C</m:t>
                            </m:r>
                          </m:e>
                          <m:sub>
                            <m:r>
                              <w:rPr>
                                <w:rFonts w:ascii="Cambria Math" w:hAnsi="Cambria Math"/>
                              </w:rPr>
                              <m:t>O</m:t>
                            </m:r>
                          </m:sub>
                          <m:sup>
                            <m:r>
                              <w:rPr>
                                <w:rFonts w:ascii="Cambria Math" w:hAnsi="Cambria Math"/>
                              </w:rPr>
                              <m:t>*</m:t>
                            </m:r>
                          </m:sup>
                        </m:sSubSup>
                      </m:num>
                      <m:den>
                        <m:sSubSup>
                          <m:sSubSupPr>
                            <m:ctrlPr>
                              <w:rPr>
                                <w:rFonts w:ascii="Cambria Math" w:hAnsi="Cambria Math"/>
                                <w:i/>
                              </w:rPr>
                            </m:ctrlPr>
                          </m:sSubSupPr>
                          <m:e>
                            <m:r>
                              <w:rPr>
                                <w:rFonts w:ascii="Cambria Math" w:hAnsi="Cambria Math"/>
                              </w:rPr>
                              <m:t>C</m:t>
                            </m:r>
                          </m:e>
                          <m:sub>
                            <m:r>
                              <w:rPr>
                                <w:rFonts w:ascii="Cambria Math" w:hAnsi="Cambria Math"/>
                              </w:rPr>
                              <m:t>R</m:t>
                            </m:r>
                          </m:sub>
                          <m:sup>
                            <m:r>
                              <w:rPr>
                                <w:rFonts w:ascii="Cambria Math" w:hAnsi="Cambria Math"/>
                              </w:rPr>
                              <m:t>*</m:t>
                            </m:r>
                          </m:sup>
                        </m:sSubSup>
                      </m:den>
                    </m:f>
                    <m:r>
                      <w:rPr>
                        <w:rFonts w:ascii="Cambria Math" w:hAnsi="Cambria Math"/>
                      </w:rPr>
                      <m:t>)</m:t>
                    </m:r>
                  </m:e>
                  <m:sup>
                    <m:r>
                      <w:rPr>
                        <w:rFonts w:ascii="Cambria Math" w:hAnsi="Cambria Math"/>
                      </w:rPr>
                      <m:t>-α</m:t>
                    </m:r>
                  </m:sup>
                </m:sSup>
              </m:oMath>
            </m:oMathPara>
          </w:p>
        </w:tc>
        <w:tc>
          <w:tcPr>
            <w:tcW w:w="3117" w:type="dxa"/>
          </w:tcPr>
          <w:p w14:paraId="1C3C28C1" w14:textId="34BB04F8" w:rsidR="0023584D" w:rsidRDefault="00F21768" w:rsidP="00F21768">
            <w:pPr>
              <w:spacing w:after="0" w:line="480" w:lineRule="auto"/>
              <w:jc w:val="right"/>
            </w:pPr>
            <w:r>
              <w:t>(8</w:t>
            </w:r>
            <w:r w:rsidR="0023584D">
              <w:t>)</w:t>
            </w:r>
          </w:p>
        </w:tc>
      </w:tr>
    </w:tbl>
    <w:p w14:paraId="5A01AAD5" w14:textId="77777777" w:rsidR="001C58AD" w:rsidRDefault="001C58AD" w:rsidP="00F21768">
      <w:pPr>
        <w:spacing w:after="0" w:line="48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1C58AD" w14:paraId="612F05D9" w14:textId="77777777" w:rsidTr="00A23F27">
        <w:tc>
          <w:tcPr>
            <w:tcW w:w="3116" w:type="dxa"/>
          </w:tcPr>
          <w:p w14:paraId="0D03A126" w14:textId="77777777" w:rsidR="001C58AD" w:rsidRDefault="001C58AD" w:rsidP="00F21768">
            <w:pPr>
              <w:spacing w:after="0" w:line="480" w:lineRule="auto"/>
            </w:pPr>
          </w:p>
        </w:tc>
        <w:tc>
          <w:tcPr>
            <w:tcW w:w="3117" w:type="dxa"/>
          </w:tcPr>
          <w:p w14:paraId="5F49D444" w14:textId="77777777" w:rsidR="001C58AD" w:rsidRDefault="00056C85" w:rsidP="00F21768">
            <w:pPr>
              <w:spacing w:after="0" w:line="480" w:lineRule="auto"/>
            </w:pPr>
            <m:oMathPara>
              <m:oMath>
                <m:sSub>
                  <m:sSubPr>
                    <m:ctrlPr>
                      <w:rPr>
                        <w:rFonts w:ascii="Cambria Math" w:hAnsi="Cambria Math"/>
                        <w:i/>
                      </w:rPr>
                    </m:ctrlPr>
                  </m:sSubPr>
                  <m:e>
                    <m:r>
                      <w:rPr>
                        <w:rFonts w:ascii="Cambria Math" w:hAnsi="Cambria Math"/>
                      </w:rPr>
                      <m:t>i</m:t>
                    </m:r>
                  </m:e>
                  <m:sub>
                    <m:r>
                      <w:rPr>
                        <w:rFonts w:ascii="Cambria Math" w:hAnsi="Cambria Math"/>
                      </w:rPr>
                      <m:t>0</m:t>
                    </m:r>
                  </m:sub>
                </m:sSub>
                <m:r>
                  <w:rPr>
                    <w:rFonts w:ascii="Cambria Math" w:hAnsi="Cambria Math"/>
                  </w:rPr>
                  <m:t>=FA</m:t>
                </m:r>
                <m:sSup>
                  <m:sSupPr>
                    <m:ctrlPr>
                      <w:rPr>
                        <w:rFonts w:ascii="Cambria Math" w:hAnsi="Cambria Math"/>
                        <w:i/>
                      </w:rPr>
                    </m:ctrlPr>
                  </m:sSupPr>
                  <m:e>
                    <m:r>
                      <w:rPr>
                        <w:rFonts w:ascii="Cambria Math" w:hAnsi="Cambria Math"/>
                      </w:rPr>
                      <m:t>k</m:t>
                    </m:r>
                  </m:e>
                  <m:sup>
                    <m:r>
                      <w:rPr>
                        <w:rFonts w:ascii="Cambria Math" w:hAnsi="Cambria Math"/>
                      </w:rPr>
                      <m:t>0</m:t>
                    </m:r>
                  </m:sup>
                </m:sSup>
                <m:sSubSup>
                  <m:sSubSupPr>
                    <m:ctrlPr>
                      <w:rPr>
                        <w:rFonts w:ascii="Cambria Math" w:hAnsi="Cambria Math"/>
                        <w:i/>
                      </w:rPr>
                    </m:ctrlPr>
                  </m:sSubSupPr>
                  <m:e>
                    <m:r>
                      <w:rPr>
                        <w:rFonts w:ascii="Cambria Math" w:hAnsi="Cambria Math"/>
                      </w:rPr>
                      <m:t>C</m:t>
                    </m:r>
                  </m:e>
                  <m:sub>
                    <m:r>
                      <w:rPr>
                        <w:rFonts w:ascii="Cambria Math" w:hAnsi="Cambria Math"/>
                      </w:rPr>
                      <m:t>O</m:t>
                    </m:r>
                  </m:sub>
                  <m:sup>
                    <m:r>
                      <w:rPr>
                        <w:rFonts w:ascii="Cambria Math" w:hAnsi="Cambria Math"/>
                      </w:rPr>
                      <m:t>*(1-α)</m:t>
                    </m:r>
                  </m:sup>
                </m:sSubSup>
                <m:sSubSup>
                  <m:sSubSupPr>
                    <m:ctrlPr>
                      <w:rPr>
                        <w:rFonts w:ascii="Cambria Math" w:hAnsi="Cambria Math"/>
                        <w:i/>
                      </w:rPr>
                    </m:ctrlPr>
                  </m:sSubSupPr>
                  <m:e>
                    <m:r>
                      <w:rPr>
                        <w:rFonts w:ascii="Cambria Math" w:hAnsi="Cambria Math"/>
                      </w:rPr>
                      <m:t>C</m:t>
                    </m:r>
                  </m:e>
                  <m:sub>
                    <m:r>
                      <w:rPr>
                        <w:rFonts w:ascii="Cambria Math" w:hAnsi="Cambria Math"/>
                      </w:rPr>
                      <m:t>R</m:t>
                    </m:r>
                  </m:sub>
                  <m:sup>
                    <m:r>
                      <w:rPr>
                        <w:rFonts w:ascii="Cambria Math" w:hAnsi="Cambria Math"/>
                      </w:rPr>
                      <m:t>*α</m:t>
                    </m:r>
                  </m:sup>
                </m:sSubSup>
              </m:oMath>
            </m:oMathPara>
          </w:p>
        </w:tc>
        <w:tc>
          <w:tcPr>
            <w:tcW w:w="3117" w:type="dxa"/>
          </w:tcPr>
          <w:p w14:paraId="2E612E03" w14:textId="2ED8563C" w:rsidR="001C58AD" w:rsidRDefault="00F21768" w:rsidP="00F21768">
            <w:pPr>
              <w:spacing w:after="0" w:line="480" w:lineRule="auto"/>
              <w:jc w:val="right"/>
            </w:pPr>
            <w:r>
              <w:t>(9</w:t>
            </w:r>
            <w:r w:rsidR="001C58AD">
              <w:t>)</w:t>
            </w:r>
          </w:p>
        </w:tc>
      </w:tr>
    </w:tbl>
    <w:p w14:paraId="21DE0B3D" w14:textId="17022AEB" w:rsidR="001C58AD" w:rsidRDefault="00F21768" w:rsidP="00F21768">
      <w:pPr>
        <w:spacing w:after="0" w:line="480" w:lineRule="auto"/>
        <w:ind w:firstLine="720"/>
      </w:pPr>
      <w:r>
        <w:t>The utility of Equation (9</w:t>
      </w:r>
      <w:r w:rsidR="001C58AD">
        <w:t>) is its ability to allow one to substitute i</w:t>
      </w:r>
      <w:r w:rsidR="001C58AD">
        <w:rPr>
          <w:vertAlign w:val="subscript"/>
        </w:rPr>
        <w:t>0</w:t>
      </w:r>
      <w:r w:rsidR="001C58AD">
        <w:t xml:space="preserve"> for k</w:t>
      </w:r>
      <w:r w:rsidR="001C58AD">
        <w:rPr>
          <w:vertAlign w:val="superscript"/>
        </w:rPr>
        <w:t>0</w:t>
      </w:r>
      <w:r w:rsidR="001C58AD">
        <w:t xml:space="preserve"> in many kinetic models</w:t>
      </w:r>
      <w:r w:rsidR="001C58AD">
        <w:fldChar w:fldCharType="begin"/>
      </w:r>
      <w:r w:rsidR="00DC6E54">
        <w:instrText xml:space="preserve"> ADDIN ZOTERO_ITEM CSL_CITATION {"citationID":"22rpni1e6n","properties":{"formattedCitation":"{\\rtf \\super 28\\nosupersub{}}","plainCitation":"28"},"citationItems":[{"id":85,"uris":["http://zotero.org/users/local/rZ3AHC6s/items/BRVNAIC7"],"uri":["http://zotero.org/users/local/rZ3AHC6s/items/BRVNAIC7"],"itemData":{"id":85,"type":"book","title":"Electrochemical Methods: Fundamentals and Applications","publisher":"John Wiley &amp; Sons, Inc.","edition":"Second","author":[{"family":"Bard","given":"Allen J."},{"family":"Faulkner","given":"Larry R."}],"issued":{"date-parts":[["2001"]]}}}],"schema":"https://github.com/citation-style-language/schema/raw/master/csl-citation.json"} </w:instrText>
      </w:r>
      <w:r w:rsidR="001C58AD">
        <w:fldChar w:fldCharType="separate"/>
      </w:r>
      <w:r w:rsidR="00DC6E54" w:rsidRPr="00DC6E54">
        <w:rPr>
          <w:rFonts w:ascii="Calibri" w:hAnsi="Calibri" w:cs="Times New Roman"/>
          <w:szCs w:val="24"/>
          <w:vertAlign w:val="superscript"/>
        </w:rPr>
        <w:t>28</w:t>
      </w:r>
      <w:r w:rsidR="001C58AD">
        <w:fldChar w:fldCharType="end"/>
      </w:r>
      <w:r w:rsidR="001C58AD">
        <w:t xml:space="preserve">. </w:t>
      </w:r>
      <w:proofErr w:type="gramStart"/>
      <w:r w:rsidR="001C58AD">
        <w:t>k</w:t>
      </w:r>
      <w:r w:rsidR="001C58AD">
        <w:rPr>
          <w:vertAlign w:val="superscript"/>
        </w:rPr>
        <w:t>0</w:t>
      </w:r>
      <w:proofErr w:type="gramEnd"/>
      <w:r w:rsidR="001C58AD">
        <w:t xml:space="preserve"> is a measure of the ease with which the redox couple reacts. A large k</w:t>
      </w:r>
      <w:r w:rsidR="001C58AD">
        <w:rPr>
          <w:vertAlign w:val="superscript"/>
        </w:rPr>
        <w:t>0</w:t>
      </w:r>
      <w:r w:rsidR="001C58AD">
        <w:t xml:space="preserve"> value indicates fast kinetics as the equilibrium state of the system will be quickly reached while a small value of k</w:t>
      </w:r>
      <w:r w:rsidR="001C58AD">
        <w:rPr>
          <w:vertAlign w:val="superscript"/>
        </w:rPr>
        <w:t>0</w:t>
      </w:r>
      <w:r w:rsidR="001C58AD">
        <w:t xml:space="preserve"> indicates that equilibrium takes a longer time to reach. Thus, the kinetics are sluggish.</w:t>
      </w:r>
      <w:r w:rsidR="001C58AD">
        <w:fldChar w:fldCharType="begin"/>
      </w:r>
      <w:r w:rsidR="00DC6E54">
        <w:instrText xml:space="preserve"> ADDIN ZOTERO_ITEM CSL_CITATION {"citationID":"1iatrjmbpt","properties":{"formattedCitation":"{\\rtf \\super 28\\nosupersub{}}","plainCitation":"28"},"citationItems":[{"id":85,"uris":["http://zotero.org/users/local/rZ3AHC6s/items/BRVNAIC7"],"uri":["http://zotero.org/users/local/rZ3AHC6s/items/BRVNAIC7"],"itemData":{"id":85,"type":"book","title":"Electrochemical Methods: Fundamentals and Applications","publisher":"John Wiley &amp; Sons, Inc.","edition":"Second","author":[{"family":"Bard","given":"Allen J."},{"family":"Faulkner","given":"Larry R."}],"issued":{"date-parts":[["2001"]]}}}],"schema":"https://github.com/citation-style-language/schema/raw/master/csl-citation.json"} </w:instrText>
      </w:r>
      <w:r w:rsidR="001C58AD">
        <w:fldChar w:fldCharType="separate"/>
      </w:r>
      <w:r w:rsidR="00DC6E54" w:rsidRPr="00DC6E54">
        <w:rPr>
          <w:rFonts w:ascii="Calibri" w:hAnsi="Calibri" w:cs="Times New Roman"/>
          <w:szCs w:val="24"/>
          <w:vertAlign w:val="superscript"/>
        </w:rPr>
        <w:t>28</w:t>
      </w:r>
      <w:r w:rsidR="001C58AD">
        <w:fldChar w:fldCharType="end"/>
      </w:r>
      <w:r w:rsidR="001C58AD">
        <w:t xml:space="preserve"> As i</w:t>
      </w:r>
      <w:r w:rsidR="001C58AD">
        <w:rPr>
          <w:vertAlign w:val="subscript"/>
        </w:rPr>
        <w:t>0</w:t>
      </w:r>
      <w:r w:rsidR="001C58AD">
        <w:t xml:space="preserve"> is the more accessible parameter of the two parameters, it often provides the most direct insight into kinetic models from which k</w:t>
      </w:r>
      <w:r w:rsidR="001C58AD">
        <w:rPr>
          <w:vertAlign w:val="superscript"/>
        </w:rPr>
        <w:t>0</w:t>
      </w:r>
      <w:r w:rsidR="001C58AD">
        <w:t xml:space="preserve"> and other parameters of interest may then be extracted. In order to compare i</w:t>
      </w:r>
      <w:r w:rsidR="001C58AD">
        <w:rPr>
          <w:vertAlign w:val="subscript"/>
        </w:rPr>
        <w:t>0</w:t>
      </w:r>
      <w:r w:rsidR="001C58AD">
        <w:t xml:space="preserve"> between systems, i</w:t>
      </w:r>
      <w:r w:rsidR="001C58AD">
        <w:rPr>
          <w:vertAlign w:val="subscript"/>
        </w:rPr>
        <w:t>0</w:t>
      </w:r>
      <w:r w:rsidR="001C58AD">
        <w:t xml:space="preserve"> is often normalized to the geometric area of the electrode to yield exchange current density j</w:t>
      </w:r>
      <w:r w:rsidR="001C58AD">
        <w:rPr>
          <w:vertAlign w:val="subscript"/>
        </w:rPr>
        <w:t>0</w:t>
      </w:r>
      <w:r>
        <w:t>.</w:t>
      </w:r>
    </w:p>
    <w:p w14:paraId="0A03A522" w14:textId="02B59D51" w:rsidR="001C58AD" w:rsidRPr="00951C48" w:rsidRDefault="00951C48" w:rsidP="00F21768">
      <w:pPr>
        <w:spacing w:after="0" w:line="480" w:lineRule="auto"/>
        <w:rPr>
          <w:b/>
        </w:rPr>
      </w:pPr>
      <w:r w:rsidRPr="00951C48">
        <w:rPr>
          <w:b/>
        </w:rPr>
        <w:lastRenderedPageBreak/>
        <w:t>4.1.4</w:t>
      </w:r>
      <w:r w:rsidR="00F21768" w:rsidRPr="00951C48">
        <w:rPr>
          <w:b/>
        </w:rPr>
        <w:t xml:space="preserve"> Butler-</w:t>
      </w:r>
      <w:proofErr w:type="spellStart"/>
      <w:r w:rsidR="00F21768" w:rsidRPr="00951C48">
        <w:rPr>
          <w:b/>
        </w:rPr>
        <w:t>Volmer</w:t>
      </w:r>
      <w:proofErr w:type="spellEnd"/>
      <w:r w:rsidR="00F21768" w:rsidRPr="00951C48">
        <w:rPr>
          <w:b/>
        </w:rPr>
        <w:t xml:space="preserve"> Kinetics</w:t>
      </w:r>
    </w:p>
    <w:p w14:paraId="40024534" w14:textId="5A9BA165" w:rsidR="001C58AD" w:rsidRDefault="001C58AD" w:rsidP="00F21768">
      <w:pPr>
        <w:spacing w:after="0" w:line="480" w:lineRule="auto"/>
        <w:ind w:firstLine="720"/>
      </w:pPr>
      <w:r>
        <w:t>The Butler-</w:t>
      </w:r>
      <w:proofErr w:type="spellStart"/>
      <w:r>
        <w:t>Volmer</w:t>
      </w:r>
      <w:proofErr w:type="spellEnd"/>
      <w:r>
        <w:t xml:space="preserve"> Equation for kinetics derives from the current-</w:t>
      </w:r>
      <w:proofErr w:type="spellStart"/>
      <w:r>
        <w:t>over</w:t>
      </w:r>
      <w:r w:rsidR="00F21768">
        <w:t>potential</w:t>
      </w:r>
      <w:proofErr w:type="spellEnd"/>
      <w:r w:rsidR="00F21768">
        <w:t xml:space="preserve"> equation (Equation 10)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5305"/>
        <w:gridCol w:w="2155"/>
      </w:tblGrid>
      <w:tr w:rsidR="001C58AD" w14:paraId="011C0BF1" w14:textId="77777777" w:rsidTr="00A23F27">
        <w:tc>
          <w:tcPr>
            <w:tcW w:w="1890" w:type="dxa"/>
          </w:tcPr>
          <w:p w14:paraId="3225A266" w14:textId="77777777" w:rsidR="001C58AD" w:rsidRDefault="001C58AD" w:rsidP="00F21768">
            <w:pPr>
              <w:spacing w:after="0" w:line="480" w:lineRule="auto"/>
            </w:pPr>
          </w:p>
        </w:tc>
        <w:tc>
          <w:tcPr>
            <w:tcW w:w="5305" w:type="dxa"/>
          </w:tcPr>
          <w:p w14:paraId="68D3F9F8" w14:textId="77777777" w:rsidR="001C58AD" w:rsidRDefault="001C58AD" w:rsidP="00F21768">
            <w:pPr>
              <w:spacing w:after="0" w:line="480" w:lineRule="auto"/>
            </w:pPr>
            <m:oMathPara>
              <m:oMath>
                <m:r>
                  <w:rPr>
                    <w:rFonts w:ascii="Cambria Math" w:hAnsi="Cambria Math"/>
                  </w:rPr>
                  <m:t>i=</m:t>
                </m:r>
                <m:sSub>
                  <m:sSubPr>
                    <m:ctrlPr>
                      <w:rPr>
                        <w:rFonts w:ascii="Cambria Math" w:hAnsi="Cambria Math"/>
                        <w:i/>
                      </w:rPr>
                    </m:ctrlPr>
                  </m:sSubPr>
                  <m:e>
                    <m:r>
                      <w:rPr>
                        <w:rFonts w:ascii="Cambria Math" w:hAnsi="Cambria Math"/>
                      </w:rPr>
                      <m:t>i</m:t>
                    </m:r>
                  </m:e>
                  <m:sub>
                    <m:r>
                      <w:rPr>
                        <w:rFonts w:ascii="Cambria Math" w:hAnsi="Cambria Math"/>
                      </w:rPr>
                      <m:t>0</m:t>
                    </m:r>
                  </m:sub>
                </m:sSub>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O</m:t>
                            </m:r>
                          </m:sub>
                        </m:sSub>
                        <m:d>
                          <m:dPr>
                            <m:ctrlPr>
                              <w:rPr>
                                <w:rFonts w:ascii="Cambria Math" w:hAnsi="Cambria Math"/>
                                <w:i/>
                              </w:rPr>
                            </m:ctrlPr>
                          </m:dPr>
                          <m:e>
                            <m:r>
                              <w:rPr>
                                <w:rFonts w:ascii="Cambria Math" w:hAnsi="Cambria Math"/>
                              </w:rPr>
                              <m:t>0,t</m:t>
                            </m:r>
                          </m:e>
                        </m:d>
                      </m:num>
                      <m:den>
                        <m:sSubSup>
                          <m:sSubSupPr>
                            <m:ctrlPr>
                              <w:rPr>
                                <w:rFonts w:ascii="Cambria Math" w:hAnsi="Cambria Math"/>
                                <w:i/>
                              </w:rPr>
                            </m:ctrlPr>
                          </m:sSubSupPr>
                          <m:e>
                            <m:r>
                              <w:rPr>
                                <w:rFonts w:ascii="Cambria Math" w:hAnsi="Cambria Math"/>
                              </w:rPr>
                              <m:t>C</m:t>
                            </m:r>
                          </m:e>
                          <m:sub>
                            <m:r>
                              <w:rPr>
                                <w:rFonts w:ascii="Cambria Math" w:hAnsi="Cambria Math"/>
                              </w:rPr>
                              <m:t>O</m:t>
                            </m:r>
                          </m:sub>
                          <m:sup>
                            <m:r>
                              <w:rPr>
                                <w:rFonts w:ascii="Cambria Math" w:hAnsi="Cambria Math"/>
                              </w:rPr>
                              <m:t>*</m:t>
                            </m:r>
                          </m:sup>
                        </m:sSubSup>
                      </m:den>
                    </m:f>
                    <m:func>
                      <m:funcPr>
                        <m:ctrlPr>
                          <w:rPr>
                            <w:rFonts w:ascii="Cambria Math" w:hAnsi="Cambria Math"/>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-αfη</m:t>
                            </m:r>
                          </m:e>
                        </m:d>
                      </m:e>
                    </m:func>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R</m:t>
                            </m:r>
                          </m:sub>
                        </m:sSub>
                        <m:d>
                          <m:dPr>
                            <m:ctrlPr>
                              <w:rPr>
                                <w:rFonts w:ascii="Cambria Math" w:hAnsi="Cambria Math"/>
                                <w:i/>
                              </w:rPr>
                            </m:ctrlPr>
                          </m:dPr>
                          <m:e>
                            <m:r>
                              <w:rPr>
                                <w:rFonts w:ascii="Cambria Math" w:hAnsi="Cambria Math"/>
                              </w:rPr>
                              <m:t>0,t</m:t>
                            </m:r>
                          </m:e>
                        </m:d>
                      </m:num>
                      <m:den>
                        <m:sSubSup>
                          <m:sSubSupPr>
                            <m:ctrlPr>
                              <w:rPr>
                                <w:rFonts w:ascii="Cambria Math" w:hAnsi="Cambria Math"/>
                                <w:i/>
                              </w:rPr>
                            </m:ctrlPr>
                          </m:sSubSupPr>
                          <m:e>
                            <m:r>
                              <w:rPr>
                                <w:rFonts w:ascii="Cambria Math" w:hAnsi="Cambria Math"/>
                              </w:rPr>
                              <m:t>C</m:t>
                            </m:r>
                          </m:e>
                          <m:sub>
                            <m:r>
                              <w:rPr>
                                <w:rFonts w:ascii="Cambria Math" w:hAnsi="Cambria Math"/>
                              </w:rPr>
                              <m:t>R</m:t>
                            </m:r>
                          </m:sub>
                          <m:sup>
                            <m:r>
                              <w:rPr>
                                <w:rFonts w:ascii="Cambria Math" w:hAnsi="Cambria Math"/>
                              </w:rPr>
                              <m:t>*</m:t>
                            </m:r>
                          </m:sup>
                        </m:sSubSup>
                      </m:den>
                    </m:f>
                    <m:func>
                      <m:funcPr>
                        <m:ctrlPr>
                          <w:rPr>
                            <w:rFonts w:ascii="Cambria Math" w:hAnsi="Cambria Math"/>
                          </w:rPr>
                        </m:ctrlPr>
                      </m:funcPr>
                      <m:fName>
                        <m:r>
                          <m:rPr>
                            <m:sty m:val="p"/>
                          </m:rPr>
                          <w:rPr>
                            <w:rFonts w:ascii="Cambria Math" w:hAnsi="Cambria Math"/>
                          </w:rPr>
                          <m:t>exp</m:t>
                        </m:r>
                      </m:fName>
                      <m:e>
                        <m:d>
                          <m:dPr>
                            <m:ctrlPr>
                              <w:rPr>
                                <w:rFonts w:ascii="Cambria Math" w:hAnsi="Cambria Math"/>
                                <w:i/>
                              </w:rPr>
                            </m:ctrlPr>
                          </m:dPr>
                          <m:e>
                            <m:d>
                              <m:dPr>
                                <m:ctrlPr>
                                  <w:rPr>
                                    <w:rFonts w:ascii="Cambria Math" w:hAnsi="Cambria Math"/>
                                    <w:i/>
                                  </w:rPr>
                                </m:ctrlPr>
                              </m:dPr>
                              <m:e>
                                <m:r>
                                  <w:rPr>
                                    <w:rFonts w:ascii="Cambria Math" w:hAnsi="Cambria Math"/>
                                  </w:rPr>
                                  <m:t>1-α</m:t>
                                </m:r>
                              </m:e>
                            </m:d>
                            <m:r>
                              <w:rPr>
                                <w:rFonts w:ascii="Cambria Math" w:hAnsi="Cambria Math"/>
                              </w:rPr>
                              <m:t>fη</m:t>
                            </m:r>
                          </m:e>
                        </m:d>
                      </m:e>
                    </m:func>
                  </m:e>
                </m:d>
              </m:oMath>
            </m:oMathPara>
          </w:p>
        </w:tc>
        <w:tc>
          <w:tcPr>
            <w:tcW w:w="2155" w:type="dxa"/>
          </w:tcPr>
          <w:p w14:paraId="272993E9" w14:textId="48932BBF" w:rsidR="001C58AD" w:rsidRDefault="00F21768" w:rsidP="00F21768">
            <w:pPr>
              <w:spacing w:after="0" w:line="480" w:lineRule="auto"/>
              <w:jc w:val="right"/>
            </w:pPr>
            <w:r>
              <w:t>(10</w:t>
            </w:r>
            <w:r w:rsidR="001C58AD">
              <w:t>)</w:t>
            </w:r>
          </w:p>
        </w:tc>
      </w:tr>
    </w:tbl>
    <w:p w14:paraId="23CB3116" w14:textId="3E16E147" w:rsidR="001C58AD" w:rsidRDefault="001C58AD" w:rsidP="00F21768">
      <w:pPr>
        <w:spacing w:after="0" w:line="480" w:lineRule="auto"/>
      </w:pPr>
      <w:r>
        <w:t>where C</w:t>
      </w:r>
      <w:r>
        <w:rPr>
          <w:vertAlign w:val="subscript"/>
        </w:rPr>
        <w:t>O</w:t>
      </w:r>
      <w:r>
        <w:t>(0,t) and C</w:t>
      </w:r>
      <w:r>
        <w:rPr>
          <w:vertAlign w:val="subscript"/>
        </w:rPr>
        <w:t>R</w:t>
      </w:r>
      <w:r>
        <w:t>(0,t) are the surface concentrations of oxidized and reduced species, respectively, i</w:t>
      </w:r>
      <w:r>
        <w:rPr>
          <w:vertAlign w:val="subscript"/>
        </w:rPr>
        <w:t>0</w:t>
      </w:r>
      <w:r>
        <w:t xml:space="preserve"> is exchange current density, α is the transfer coefficient, and η is the </w:t>
      </w:r>
      <w:proofErr w:type="spellStart"/>
      <w:r>
        <w:t>overpotential</w:t>
      </w:r>
      <w:proofErr w:type="spellEnd"/>
      <w:r>
        <w:t xml:space="preserve"> applied to the system.</w:t>
      </w:r>
      <w:r>
        <w:fldChar w:fldCharType="begin"/>
      </w:r>
      <w:r w:rsidR="00DC6E54">
        <w:instrText xml:space="preserve"> ADDIN ZOTERO_ITEM CSL_CITATION {"citationID":"237mkeskte","properties":{"formattedCitation":"{\\rtf \\super 28\\nosupersub{}}","plainCitation":"28"},"citationItems":[{"id":85,"uris":["http://zotero.org/users/local/rZ3AHC6s/items/BRVNAIC7"],"uri":["http://zotero.org/users/local/rZ3AHC6s/items/BRVNAIC7"],"itemData":{"id":85,"type":"book","title":"Electrochemical Methods: Fundamentals and Applications","publisher":"John Wiley &amp; Sons, Inc.","edition":"Second","author":[{"family":"Bard","given":"Allen J."},{"family":"Faulkner","given":"Larry R."}],"issued":{"date-parts":[["2001"]]}}}],"schema":"https://github.com/citation-style-language/schema/raw/master/csl-citation.json"} </w:instrText>
      </w:r>
      <w:r>
        <w:fldChar w:fldCharType="separate"/>
      </w:r>
      <w:r w:rsidR="00DC6E54" w:rsidRPr="00DC6E54">
        <w:rPr>
          <w:rFonts w:ascii="Calibri" w:hAnsi="Calibri" w:cs="Times New Roman"/>
          <w:szCs w:val="24"/>
          <w:vertAlign w:val="superscript"/>
        </w:rPr>
        <w:t>28</w:t>
      </w:r>
      <w:r>
        <w:fldChar w:fldCharType="end"/>
      </w:r>
      <w:r>
        <w:t xml:space="preserve"> The transfer coefficient represents the symmetry of the energy barrier between the forward and reverse reactions in the system. A perfectly symmetric system has </w:t>
      </w:r>
      <w:proofErr w:type="gramStart"/>
      <w:r>
        <w:t>an</w:t>
      </w:r>
      <w:proofErr w:type="gramEnd"/>
      <w:r>
        <w:t xml:space="preserve"> α value of 0.5, but the value may range from zero to unity. In practice, α </w:t>
      </w:r>
      <w:r w:rsidR="0023584D">
        <w:t xml:space="preserve">describes the fraction of an </w:t>
      </w:r>
      <w:proofErr w:type="spellStart"/>
      <w:r w:rsidR="0023584D">
        <w:t>overpotential</w:t>
      </w:r>
      <w:proofErr w:type="spellEnd"/>
      <w:r w:rsidR="0023584D">
        <w:t xml:space="preserve"> change that is associated with the energetics of electron transfer in one direction. </w:t>
      </w:r>
      <w:r>
        <w:t>While α may vary as a function of potential, it is often considered relatively constant over the small potential range over which kinetic data is collected.</w:t>
      </w:r>
      <w:r>
        <w:fldChar w:fldCharType="begin"/>
      </w:r>
      <w:r w:rsidR="00DC6E54">
        <w:instrText xml:space="preserve"> ADDIN ZOTERO_ITEM CSL_CITATION {"citationID":"irlb47ig","properties":{"formattedCitation":"{\\rtf \\super 28\\nosupersub{}}","plainCitation":"28"},"citationItems":[{"id":85,"uris":["http://zotero.org/users/local/rZ3AHC6s/items/BRVNAIC7"],"uri":["http://zotero.org/users/local/rZ3AHC6s/items/BRVNAIC7"],"itemData":{"id":85,"type":"book","title":"Electrochemical Methods: Fundamentals and Applications","publisher":"John Wiley &amp; Sons, Inc.","edition":"Second","author":[{"family":"Bard","given":"Allen J."},{"family":"Faulkner","given":"Larry R."}],"issued":{"date-parts":[["2001"]]}}}],"schema":"https://github.com/citation-style-language/schema/raw/master/csl-citation.json"} </w:instrText>
      </w:r>
      <w:r>
        <w:fldChar w:fldCharType="separate"/>
      </w:r>
      <w:r w:rsidR="00DC6E54" w:rsidRPr="00DC6E54">
        <w:rPr>
          <w:rFonts w:ascii="Calibri" w:hAnsi="Calibri" w:cs="Times New Roman"/>
          <w:szCs w:val="24"/>
          <w:vertAlign w:val="superscript"/>
        </w:rPr>
        <w:t>28</w:t>
      </w:r>
      <w:r>
        <w:fldChar w:fldCharType="end"/>
      </w:r>
    </w:p>
    <w:p w14:paraId="18671B29" w14:textId="0C3A3689" w:rsidR="001C58AD" w:rsidRDefault="001C58AD" w:rsidP="00F21768">
      <w:pPr>
        <w:spacing w:after="0" w:line="480" w:lineRule="auto"/>
        <w:ind w:firstLine="720"/>
      </w:pPr>
      <w:r>
        <w:t>When no mass transfer effects are present, often enforced by maintaining a high volumetric flow rate of electrolyte</w:t>
      </w:r>
      <w:r w:rsidR="00F21768">
        <w:t xml:space="preserve"> within the system, Equation (10)</w:t>
      </w:r>
      <w:r>
        <w:t xml:space="preserve"> reduces to the Butl</w:t>
      </w:r>
      <w:r w:rsidR="00F21768">
        <w:t>er-</w:t>
      </w:r>
      <w:proofErr w:type="spellStart"/>
      <w:r w:rsidR="00F21768">
        <w:t>Volmer</w:t>
      </w:r>
      <w:proofErr w:type="spellEnd"/>
      <w:r w:rsidR="00F21768">
        <w:t xml:space="preserve"> Equation (Equation 11</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1C58AD" w14:paraId="45563507" w14:textId="77777777" w:rsidTr="00A23F27">
        <w:tc>
          <w:tcPr>
            <w:tcW w:w="3116" w:type="dxa"/>
          </w:tcPr>
          <w:p w14:paraId="4689C0BC" w14:textId="77777777" w:rsidR="001C58AD" w:rsidRDefault="001C58AD" w:rsidP="00F21768">
            <w:pPr>
              <w:spacing w:after="0" w:line="480" w:lineRule="auto"/>
              <w:jc w:val="right"/>
            </w:pPr>
          </w:p>
        </w:tc>
        <w:tc>
          <w:tcPr>
            <w:tcW w:w="3117" w:type="dxa"/>
          </w:tcPr>
          <w:p w14:paraId="2DB3BD68" w14:textId="77777777" w:rsidR="001C58AD" w:rsidRDefault="001C58AD" w:rsidP="00F21768">
            <w:pPr>
              <w:spacing w:after="0" w:line="480" w:lineRule="auto"/>
            </w:pPr>
            <m:oMathPara>
              <m:oMath>
                <m:r>
                  <w:rPr>
                    <w:rFonts w:ascii="Cambria Math" w:hAnsi="Cambria Math"/>
                  </w:rPr>
                  <m:t xml:space="preserve">i= </m:t>
                </m:r>
                <m:sSub>
                  <m:sSubPr>
                    <m:ctrlPr>
                      <w:rPr>
                        <w:rFonts w:ascii="Cambria Math" w:hAnsi="Cambria Math"/>
                        <w:i/>
                      </w:rPr>
                    </m:ctrlPr>
                  </m:sSubPr>
                  <m:e>
                    <m:r>
                      <w:rPr>
                        <w:rFonts w:ascii="Cambria Math" w:hAnsi="Cambria Math"/>
                      </w:rPr>
                      <m:t>i</m:t>
                    </m:r>
                  </m:e>
                  <m:sub>
                    <m:r>
                      <w:rPr>
                        <w:rFonts w:ascii="Cambria Math" w:hAnsi="Cambria Math"/>
                      </w:rPr>
                      <m:t>0</m:t>
                    </m:r>
                  </m:sub>
                </m:sSub>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-αfη</m:t>
                    </m:r>
                  </m:sup>
                </m:sSup>
                <m:r>
                  <w:rPr>
                    <w:rFonts w:ascii="Cambria Math" w:hAnsi="Cambria Math"/>
                  </w:rPr>
                  <m:t>-</m:t>
                </m:r>
                <m:sSup>
                  <m:sSupPr>
                    <m:ctrlPr>
                      <w:rPr>
                        <w:rFonts w:ascii="Cambria Math" w:hAnsi="Cambria Math"/>
                        <w:i/>
                      </w:rPr>
                    </m:ctrlPr>
                  </m:sSupPr>
                  <m:e>
                    <m:r>
                      <w:rPr>
                        <w:rFonts w:ascii="Cambria Math" w:hAnsi="Cambria Math"/>
                      </w:rPr>
                      <m:t>e</m:t>
                    </m:r>
                  </m:e>
                  <m:sup>
                    <m:d>
                      <m:dPr>
                        <m:ctrlPr>
                          <w:rPr>
                            <w:rFonts w:ascii="Cambria Math" w:hAnsi="Cambria Math"/>
                            <w:i/>
                          </w:rPr>
                        </m:ctrlPr>
                      </m:dPr>
                      <m:e>
                        <m:r>
                          <w:rPr>
                            <w:rFonts w:ascii="Cambria Math" w:hAnsi="Cambria Math"/>
                          </w:rPr>
                          <m:t>1-α</m:t>
                        </m:r>
                      </m:e>
                    </m:d>
                    <m:r>
                      <w:rPr>
                        <w:rFonts w:ascii="Cambria Math" w:hAnsi="Cambria Math"/>
                      </w:rPr>
                      <m:t>fη</m:t>
                    </m:r>
                  </m:sup>
                </m:sSup>
                <m:r>
                  <w:rPr>
                    <w:rFonts w:ascii="Cambria Math" w:hAnsi="Cambria Math"/>
                  </w:rPr>
                  <m:t>]</m:t>
                </m:r>
              </m:oMath>
            </m:oMathPara>
          </w:p>
        </w:tc>
        <w:tc>
          <w:tcPr>
            <w:tcW w:w="3117" w:type="dxa"/>
          </w:tcPr>
          <w:p w14:paraId="63761D7D" w14:textId="569BB94B" w:rsidR="001C58AD" w:rsidRDefault="00F21768" w:rsidP="00F21768">
            <w:pPr>
              <w:spacing w:after="0" w:line="480" w:lineRule="auto"/>
              <w:jc w:val="right"/>
            </w:pPr>
            <w:r>
              <w:t>(11</w:t>
            </w:r>
            <w:r w:rsidR="001C58AD">
              <w:t>)</w:t>
            </w:r>
          </w:p>
        </w:tc>
      </w:tr>
    </w:tbl>
    <w:p w14:paraId="51DD107E" w14:textId="66CFD91F" w:rsidR="001C58AD" w:rsidRDefault="001C58AD" w:rsidP="00F21768">
      <w:pPr>
        <w:spacing w:after="0" w:line="480" w:lineRule="auto"/>
      </w:pPr>
      <w:r>
        <w:t>At characterist</w:t>
      </w:r>
      <w:r w:rsidR="00794A98">
        <w:t>ic</w:t>
      </w:r>
      <w:r>
        <w:t>ally s</w:t>
      </w:r>
      <w:r w:rsidR="00F21768">
        <w:t xml:space="preserve">mall </w:t>
      </w:r>
      <w:proofErr w:type="spellStart"/>
      <w:r w:rsidR="00F21768">
        <w:t>overpotentials</w:t>
      </w:r>
      <w:proofErr w:type="spellEnd"/>
      <w:r w:rsidR="00F21768">
        <w:t>, Equation (11</w:t>
      </w:r>
      <w:r>
        <w:t>) reduces t</w:t>
      </w:r>
      <w:r w:rsidR="00F21768">
        <w:t>o the linear form in Equation (12).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1C58AD" w14:paraId="1FF3C148" w14:textId="77777777" w:rsidTr="00A23F27">
        <w:tc>
          <w:tcPr>
            <w:tcW w:w="3116" w:type="dxa"/>
          </w:tcPr>
          <w:p w14:paraId="28CE8120" w14:textId="77777777" w:rsidR="001C58AD" w:rsidRDefault="001C58AD" w:rsidP="00055CFD">
            <w:pPr>
              <w:spacing w:line="480" w:lineRule="auto"/>
            </w:pPr>
          </w:p>
        </w:tc>
        <w:tc>
          <w:tcPr>
            <w:tcW w:w="3117" w:type="dxa"/>
          </w:tcPr>
          <w:p w14:paraId="153C69D1" w14:textId="77777777" w:rsidR="001C58AD" w:rsidRDefault="001C58AD" w:rsidP="00055CFD">
            <w:pPr>
              <w:spacing w:line="480" w:lineRule="auto"/>
            </w:pPr>
            <m:oMathPara>
              <m:oMath>
                <m:r>
                  <w:rPr>
                    <w:rFonts w:ascii="Cambria Math" w:hAnsi="Cambria Math"/>
                  </w:rPr>
                  <m:t>i= -</m:t>
                </m:r>
                <m:sSub>
                  <m:sSubPr>
                    <m:ctrlPr>
                      <w:rPr>
                        <w:rFonts w:ascii="Cambria Math" w:hAnsi="Cambria Math"/>
                        <w:i/>
                      </w:rPr>
                    </m:ctrlPr>
                  </m:sSubPr>
                  <m:e>
                    <m:r>
                      <w:rPr>
                        <w:rFonts w:ascii="Cambria Math" w:hAnsi="Cambria Math"/>
                      </w:rPr>
                      <m:t>i</m:t>
                    </m:r>
                  </m:e>
                  <m:sub>
                    <m:r>
                      <w:rPr>
                        <w:rFonts w:ascii="Cambria Math" w:hAnsi="Cambria Math"/>
                      </w:rPr>
                      <m:t>0</m:t>
                    </m:r>
                  </m:sub>
                </m:sSub>
                <m:r>
                  <w:rPr>
                    <w:rFonts w:ascii="Cambria Math" w:hAnsi="Cambria Math"/>
                  </w:rPr>
                  <m:t>fη</m:t>
                </m:r>
              </m:oMath>
            </m:oMathPara>
          </w:p>
        </w:tc>
        <w:tc>
          <w:tcPr>
            <w:tcW w:w="3117" w:type="dxa"/>
          </w:tcPr>
          <w:p w14:paraId="49B42B73" w14:textId="5F5984FA" w:rsidR="001C58AD" w:rsidRDefault="00F21768" w:rsidP="00055CFD">
            <w:pPr>
              <w:spacing w:line="480" w:lineRule="auto"/>
              <w:jc w:val="right"/>
            </w:pPr>
            <w:r>
              <w:t>(12</w:t>
            </w:r>
            <w:r w:rsidR="001C58AD">
              <w:t>)</w:t>
            </w:r>
          </w:p>
        </w:tc>
      </w:tr>
    </w:tbl>
    <w:p w14:paraId="654AAD36" w14:textId="77777777" w:rsidR="001C58AD" w:rsidRDefault="001C58AD" w:rsidP="00055CFD">
      <w:pPr>
        <w:spacing w:line="480" w:lineRule="auto"/>
      </w:pPr>
    </w:p>
    <w:p w14:paraId="20CD45E9" w14:textId="1F49FCFD" w:rsidR="001C58AD" w:rsidRDefault="001C58AD" w:rsidP="00F21768">
      <w:pPr>
        <w:spacing w:after="0" w:line="480" w:lineRule="auto"/>
      </w:pPr>
      <w:r>
        <w:t xml:space="preserve">From a simple plot of </w:t>
      </w:r>
      <w:proofErr w:type="spellStart"/>
      <w:r>
        <w:t>i</w:t>
      </w:r>
      <w:proofErr w:type="spellEnd"/>
      <w:r>
        <w:t xml:space="preserve"> versus η, i</w:t>
      </w:r>
      <w:r>
        <w:rPr>
          <w:vertAlign w:val="subscript"/>
        </w:rPr>
        <w:t>0</w:t>
      </w:r>
      <w:r>
        <w:t xml:space="preserve"> may be easily extracted from the slope of a lin</w:t>
      </w:r>
      <w:r w:rsidR="00F21768">
        <w:t>ear regression fit of the data.</w:t>
      </w:r>
    </w:p>
    <w:p w14:paraId="0C60D378" w14:textId="77777777" w:rsidR="00951C48" w:rsidRDefault="00951C48" w:rsidP="00F21768">
      <w:pPr>
        <w:spacing w:after="0" w:line="480" w:lineRule="auto"/>
      </w:pPr>
    </w:p>
    <w:p w14:paraId="799D480F" w14:textId="77777777" w:rsidR="00951C48" w:rsidRDefault="00951C48" w:rsidP="00F21768">
      <w:pPr>
        <w:spacing w:after="0" w:line="480" w:lineRule="auto"/>
      </w:pPr>
    </w:p>
    <w:p w14:paraId="3B72A9C6" w14:textId="02592DE4" w:rsidR="00163D29" w:rsidRPr="00951C48" w:rsidRDefault="00951C48" w:rsidP="00F21768">
      <w:pPr>
        <w:spacing w:after="0" w:line="480" w:lineRule="auto"/>
        <w:rPr>
          <w:b/>
        </w:rPr>
      </w:pPr>
      <w:r w:rsidRPr="00951C48">
        <w:rPr>
          <w:b/>
        </w:rPr>
        <w:lastRenderedPageBreak/>
        <w:t>4.1.5</w:t>
      </w:r>
      <w:r w:rsidR="00F21768" w:rsidRPr="00951C48">
        <w:rPr>
          <w:b/>
        </w:rPr>
        <w:t xml:space="preserve"> </w:t>
      </w:r>
      <w:proofErr w:type="spellStart"/>
      <w:r w:rsidR="00F21768" w:rsidRPr="00951C48">
        <w:rPr>
          <w:b/>
        </w:rPr>
        <w:t>Tafel</w:t>
      </w:r>
      <w:proofErr w:type="spellEnd"/>
      <w:r w:rsidR="00F21768" w:rsidRPr="00951C48">
        <w:rPr>
          <w:b/>
        </w:rPr>
        <w:t xml:space="preserve"> Plots</w:t>
      </w:r>
    </w:p>
    <w:p w14:paraId="233B561B" w14:textId="6F88E44E" w:rsidR="006C0E35" w:rsidRDefault="001D0896" w:rsidP="00E90352">
      <w:pPr>
        <w:spacing w:after="0" w:line="480" w:lineRule="auto"/>
        <w:ind w:firstLine="720"/>
      </w:pPr>
      <w:r>
        <w:t xml:space="preserve">The </w:t>
      </w:r>
      <w:proofErr w:type="spellStart"/>
      <w:r>
        <w:t>Tafel</w:t>
      </w:r>
      <w:proofErr w:type="spellEnd"/>
      <w:r>
        <w:t xml:space="preserve"> equation holds when the magnitude of the </w:t>
      </w:r>
      <w:proofErr w:type="spellStart"/>
      <w:r>
        <w:t>overpotential</w:t>
      </w:r>
      <w:proofErr w:type="spellEnd"/>
      <w:r>
        <w:t xml:space="preserve"> applied to the system is approximately 100 mV or greater. One may then examine each</w:t>
      </w:r>
      <w:r w:rsidR="001C58AD">
        <w:t xml:space="preserve"> branch of the Butler-</w:t>
      </w:r>
      <w:proofErr w:type="spellStart"/>
      <w:r w:rsidR="001C58AD">
        <w:t>Volmer</w:t>
      </w:r>
      <w:proofErr w:type="spellEnd"/>
      <w:r w:rsidR="001C58AD">
        <w:t xml:space="preserve"> kinetics</w:t>
      </w:r>
      <w:r>
        <w:t xml:space="preserve"> individually as</w:t>
      </w:r>
      <w:r w:rsidR="00633188">
        <w:t>,</w:t>
      </w:r>
      <w:r>
        <w:t xml:space="preserve"> in this case, one may assume you have</w:t>
      </w:r>
      <w:r w:rsidR="001C58AD">
        <w:t xml:space="preserve"> roughly</w:t>
      </w:r>
      <w:r>
        <w:t xml:space="preserve"> two orders of magnitude difference between the forward and reverse rates of reaction.</w:t>
      </w:r>
      <w:r w:rsidR="00546EFF">
        <w:t xml:space="preserve"> </w:t>
      </w:r>
      <w:r w:rsidR="006C0E35">
        <w:t xml:space="preserve">A semi-logarithmic plot of the logarithm of current versus </w:t>
      </w:r>
      <w:proofErr w:type="spellStart"/>
      <w:r w:rsidR="006C0E35">
        <w:t>overpotential</w:t>
      </w:r>
      <w:proofErr w:type="spellEnd"/>
      <w:r w:rsidR="006C0E35">
        <w:t xml:space="preserve"> η is used to evaluate kinetic parameters</w:t>
      </w:r>
      <w:r w:rsidR="00546EFF">
        <w:t xml:space="preserve"> in these situations</w:t>
      </w:r>
      <w:r w:rsidR="006C0E35">
        <w:t xml:space="preserve">. In such a plot, the slopes of the </w:t>
      </w:r>
      <w:proofErr w:type="spellStart"/>
      <w:r w:rsidR="006C0E35">
        <w:t>cathodic</w:t>
      </w:r>
      <w:proofErr w:type="spellEnd"/>
      <w:r w:rsidR="006C0E35">
        <w:t xml:space="preserve"> and anodic branches</w:t>
      </w:r>
      <w:r w:rsidR="00991B6C">
        <w:t xml:space="preserve"> for a one electron transfer system</w:t>
      </w:r>
      <w:r w:rsidR="00E90352">
        <w:t xml:space="preserve"> are given by Equations (13) and (14)</w:t>
      </w:r>
      <w:r w:rsidR="006C0E35">
        <w:t>, respectively.</w:t>
      </w:r>
      <w:r w:rsidR="00F53A60">
        <w:t xml:space="preserve"> Such analysis derives from </w:t>
      </w:r>
      <w:proofErr w:type="spellStart"/>
      <w:r w:rsidR="00F53A60">
        <w:t>Tafel</w:t>
      </w:r>
      <w:proofErr w:type="spellEnd"/>
      <w:r w:rsidR="00F53A60">
        <w:t xml:space="preserve"> behavior in the Butler-</w:t>
      </w:r>
      <w:proofErr w:type="spellStart"/>
      <w:r w:rsidR="00F53A60">
        <w:t>Volmer</w:t>
      </w:r>
      <w:proofErr w:type="spellEnd"/>
      <w:r w:rsidR="00F53A60">
        <w:t xml:space="preserve"> kinetics model, discu</w:t>
      </w:r>
      <w:r w:rsidR="001C58AD">
        <w:t>ssed in section 4.1.5</w:t>
      </w:r>
      <w:r w:rsidR="00F53A60">
        <w:t>.</w:t>
      </w:r>
      <w:r w:rsidR="00F53A60">
        <w:fldChar w:fldCharType="begin"/>
      </w:r>
      <w:r w:rsidR="00DC6E54">
        <w:instrText xml:space="preserve"> ADDIN ZOTERO_ITEM CSL_CITATION {"citationID":"1ed2175jtl","properties":{"formattedCitation":"{\\rtf \\super 28\\nosupersub{}}","plainCitation":"28"},"citationItems":[{"id":85,"uris":["http://zotero.org/users/local/rZ3AHC6s/items/BRVNAIC7"],"uri":["http://zotero.org/users/local/rZ3AHC6s/items/BRVNAIC7"],"itemData":{"id":85,"type":"book","title":"Electrochemical Methods: Fundamentals and Applications","publisher":"John Wiley &amp; Sons, Inc.","edition":"Second","author":[{"family":"Bard","given":"Allen J."},{"family":"Faulkner","given":"Larry R."}],"issued":{"date-parts":[["2001"]]}}}],"schema":"https://github.com/citation-style-language/schema/raw/master/csl-citation.json"} </w:instrText>
      </w:r>
      <w:r w:rsidR="00F53A60">
        <w:fldChar w:fldCharType="separate"/>
      </w:r>
      <w:r w:rsidR="00DC6E54" w:rsidRPr="00DC6E54">
        <w:rPr>
          <w:rFonts w:ascii="Calibri" w:hAnsi="Calibri" w:cs="Times New Roman"/>
          <w:szCs w:val="24"/>
          <w:vertAlign w:val="superscript"/>
        </w:rPr>
        <w:t>28</w:t>
      </w:r>
      <w:r w:rsidR="00F53A60">
        <w:fldChar w:fldCharType="end"/>
      </w:r>
    </w:p>
    <w:tbl>
      <w:tblPr>
        <w:tblStyle w:val="TableGrid"/>
        <w:tblW w:w="0" w:type="auto"/>
        <w:tblLook w:val="04A0" w:firstRow="1" w:lastRow="0" w:firstColumn="1" w:lastColumn="0" w:noHBand="0" w:noVBand="1"/>
      </w:tblPr>
      <w:tblGrid>
        <w:gridCol w:w="3116"/>
        <w:gridCol w:w="3117"/>
        <w:gridCol w:w="3117"/>
      </w:tblGrid>
      <w:tr w:rsidR="006C0E35" w14:paraId="15381C89" w14:textId="77777777" w:rsidTr="006C0E35">
        <w:tc>
          <w:tcPr>
            <w:tcW w:w="3116" w:type="dxa"/>
            <w:tcBorders>
              <w:top w:val="nil"/>
              <w:left w:val="nil"/>
              <w:bottom w:val="nil"/>
              <w:right w:val="nil"/>
            </w:tcBorders>
          </w:tcPr>
          <w:p w14:paraId="6D2E7DC3" w14:textId="2AE24AEE" w:rsidR="006C0E35" w:rsidRDefault="006C0E35" w:rsidP="00055CFD">
            <w:pPr>
              <w:spacing w:line="480" w:lineRule="auto"/>
              <w:jc w:val="right"/>
            </w:pPr>
            <w:proofErr w:type="spellStart"/>
            <w:r>
              <w:t>Cathodic</w:t>
            </w:r>
            <w:proofErr w:type="spellEnd"/>
            <w:r>
              <w:t xml:space="preserve"> Branch:</w:t>
            </w:r>
          </w:p>
        </w:tc>
        <w:tc>
          <w:tcPr>
            <w:tcW w:w="3117" w:type="dxa"/>
            <w:tcBorders>
              <w:top w:val="nil"/>
              <w:left w:val="nil"/>
              <w:bottom w:val="nil"/>
              <w:right w:val="nil"/>
            </w:tcBorders>
          </w:tcPr>
          <w:p w14:paraId="2B9B959B" w14:textId="43D784C2" w:rsidR="006C0E35" w:rsidRDefault="006C0E35" w:rsidP="00055CFD">
            <w:pPr>
              <w:spacing w:line="480" w:lineRule="auto"/>
            </w:pPr>
            <m:oMathPara>
              <m:oMath>
                <m:r>
                  <w:rPr>
                    <w:rFonts w:ascii="Cambria Math" w:hAnsi="Cambria Math"/>
                  </w:rPr>
                  <m:t xml:space="preserve">slope= </m:t>
                </m:r>
                <m:f>
                  <m:fPr>
                    <m:ctrlPr>
                      <w:rPr>
                        <w:rFonts w:ascii="Cambria Math" w:hAnsi="Cambria Math"/>
                        <w:i/>
                      </w:rPr>
                    </m:ctrlPr>
                  </m:fPr>
                  <m:num>
                    <m:r>
                      <w:rPr>
                        <w:rFonts w:ascii="Cambria Math" w:hAnsi="Cambria Math"/>
                      </w:rPr>
                      <m:t>-αF</m:t>
                    </m:r>
                  </m:num>
                  <m:den>
                    <m:r>
                      <w:rPr>
                        <w:rFonts w:ascii="Cambria Math" w:hAnsi="Cambria Math"/>
                      </w:rPr>
                      <m:t>2.3RT</m:t>
                    </m:r>
                  </m:den>
                </m:f>
              </m:oMath>
            </m:oMathPara>
          </w:p>
        </w:tc>
        <w:tc>
          <w:tcPr>
            <w:tcW w:w="3117" w:type="dxa"/>
            <w:tcBorders>
              <w:top w:val="nil"/>
              <w:left w:val="nil"/>
              <w:bottom w:val="nil"/>
              <w:right w:val="nil"/>
            </w:tcBorders>
          </w:tcPr>
          <w:p w14:paraId="0AC72737" w14:textId="4C5C759C" w:rsidR="006C0E35" w:rsidRDefault="00E90352" w:rsidP="00055CFD">
            <w:pPr>
              <w:spacing w:line="480" w:lineRule="auto"/>
              <w:jc w:val="right"/>
            </w:pPr>
            <w:r>
              <w:t>(13</w:t>
            </w:r>
            <w:r w:rsidR="006C0E35">
              <w:t>)</w:t>
            </w:r>
          </w:p>
        </w:tc>
      </w:tr>
      <w:tr w:rsidR="006C0E35" w14:paraId="4E577496" w14:textId="77777777" w:rsidTr="006C0E35">
        <w:tc>
          <w:tcPr>
            <w:tcW w:w="3116" w:type="dxa"/>
            <w:tcBorders>
              <w:top w:val="nil"/>
              <w:left w:val="nil"/>
              <w:bottom w:val="nil"/>
              <w:right w:val="nil"/>
            </w:tcBorders>
          </w:tcPr>
          <w:p w14:paraId="24AB660C" w14:textId="554A9FD3" w:rsidR="006C0E35" w:rsidRDefault="006C0E35" w:rsidP="00055CFD">
            <w:pPr>
              <w:spacing w:line="480" w:lineRule="auto"/>
              <w:jc w:val="right"/>
            </w:pPr>
            <w:r>
              <w:t>Anodic Branch:</w:t>
            </w:r>
          </w:p>
        </w:tc>
        <w:tc>
          <w:tcPr>
            <w:tcW w:w="3117" w:type="dxa"/>
            <w:tcBorders>
              <w:top w:val="nil"/>
              <w:left w:val="nil"/>
              <w:bottom w:val="nil"/>
              <w:right w:val="nil"/>
            </w:tcBorders>
          </w:tcPr>
          <w:p w14:paraId="5E76AFA0" w14:textId="212475BE" w:rsidR="006C0E35" w:rsidRDefault="006C0E35" w:rsidP="00055CFD">
            <w:pPr>
              <w:spacing w:line="480" w:lineRule="auto"/>
            </w:pPr>
            <m:oMathPara>
              <m:oMath>
                <m:r>
                  <w:rPr>
                    <w:rFonts w:ascii="Cambria Math" w:hAnsi="Cambria Math"/>
                  </w:rPr>
                  <m:t xml:space="preserve">slope= </m:t>
                </m:r>
                <m:f>
                  <m:fPr>
                    <m:ctrlPr>
                      <w:rPr>
                        <w:rFonts w:ascii="Cambria Math" w:hAnsi="Cambria Math"/>
                        <w:i/>
                      </w:rPr>
                    </m:ctrlPr>
                  </m:fPr>
                  <m:num>
                    <m:r>
                      <w:rPr>
                        <w:rFonts w:ascii="Cambria Math" w:hAnsi="Cambria Math"/>
                      </w:rPr>
                      <m:t>(1-α)F</m:t>
                    </m:r>
                  </m:num>
                  <m:den>
                    <m:r>
                      <w:rPr>
                        <w:rFonts w:ascii="Cambria Math" w:hAnsi="Cambria Math"/>
                      </w:rPr>
                      <m:t>2.3RT</m:t>
                    </m:r>
                  </m:den>
                </m:f>
              </m:oMath>
            </m:oMathPara>
          </w:p>
        </w:tc>
        <w:tc>
          <w:tcPr>
            <w:tcW w:w="3117" w:type="dxa"/>
            <w:tcBorders>
              <w:top w:val="nil"/>
              <w:left w:val="nil"/>
              <w:bottom w:val="nil"/>
              <w:right w:val="nil"/>
            </w:tcBorders>
          </w:tcPr>
          <w:p w14:paraId="0A3C8217" w14:textId="0413329A" w:rsidR="006C0E35" w:rsidRDefault="00E90352" w:rsidP="00055CFD">
            <w:pPr>
              <w:spacing w:line="480" w:lineRule="auto"/>
              <w:jc w:val="right"/>
            </w:pPr>
            <w:r>
              <w:t>(14</w:t>
            </w:r>
            <w:r w:rsidR="006C0E35">
              <w:t>)</w:t>
            </w:r>
          </w:p>
        </w:tc>
      </w:tr>
    </w:tbl>
    <w:p w14:paraId="29E8BCAE" w14:textId="2781C375" w:rsidR="002776D0" w:rsidRDefault="00E90352" w:rsidP="00E90352">
      <w:pPr>
        <w:spacing w:after="0" w:line="480" w:lineRule="auto"/>
      </w:pPr>
      <w:r>
        <w:t>Evident from (13) and (14</w:t>
      </w:r>
      <w:r w:rsidR="00546EFF">
        <w:t>) is the ease of determining α for the reaction</w:t>
      </w:r>
      <w:r w:rsidR="007546B7">
        <w:t xml:space="preserve"> </w:t>
      </w:r>
      <w:r w:rsidR="00546EFF">
        <w:t xml:space="preserve"> </w:t>
      </w:r>
      <w:r w:rsidR="006C0E35">
        <w:t xml:space="preserve">The </w:t>
      </w:r>
      <w:r w:rsidR="00546EFF">
        <w:t>linear segment of each branch may</w:t>
      </w:r>
      <w:r w:rsidR="007546B7">
        <w:t xml:space="preserve"> then</w:t>
      </w:r>
      <w:r w:rsidR="00546EFF">
        <w:t xml:space="preserve"> be extrapolated back to its intercept, </w:t>
      </w:r>
      <w:r w:rsidR="0023584D">
        <w:t xml:space="preserve">allowing for extraction of </w:t>
      </w:r>
      <w:r w:rsidR="00546EFF">
        <w:t>the logarithm of</w:t>
      </w:r>
      <w:r w:rsidR="006C0E35">
        <w:t xml:space="preserve"> the exchange current density of the system.</w:t>
      </w:r>
      <w:r w:rsidR="00546EFF">
        <w:fldChar w:fldCharType="begin"/>
      </w:r>
      <w:r w:rsidR="00DC6E54">
        <w:instrText xml:space="preserve"> ADDIN ZOTERO_ITEM CSL_CITATION {"citationID":"n1mq4lv8n","properties":{"formattedCitation":"{\\rtf \\super 28\\nosupersub{}}","plainCitation":"28"},"citationItems":[{"id":85,"uris":["http://zotero.org/users/local/rZ3AHC6s/items/BRVNAIC7"],"uri":["http://zotero.org/users/local/rZ3AHC6s/items/BRVNAIC7"],"itemData":{"id":85,"type":"book","title":"Electrochemical Methods: Fundamentals and Applications","publisher":"John Wiley &amp; Sons, Inc.","edition":"Second","author":[{"family":"Bard","given":"Allen J."},{"family":"Faulkner","given":"Larry R."}],"issued":{"date-parts":[["2001"]]}}}],"schema":"https://github.com/citation-style-language/schema/raw/master/csl-citation.json"} </w:instrText>
      </w:r>
      <w:r w:rsidR="00546EFF">
        <w:fldChar w:fldCharType="separate"/>
      </w:r>
      <w:r w:rsidR="00DC6E54" w:rsidRPr="00DC6E54">
        <w:rPr>
          <w:rFonts w:ascii="Calibri" w:hAnsi="Calibri" w:cs="Times New Roman"/>
          <w:szCs w:val="24"/>
          <w:vertAlign w:val="superscript"/>
        </w:rPr>
        <w:t>28</w:t>
      </w:r>
      <w:r w:rsidR="00546EFF">
        <w:fldChar w:fldCharType="end"/>
      </w:r>
    </w:p>
    <w:p w14:paraId="1A3EC4FF" w14:textId="5EF457B6" w:rsidR="0083051E" w:rsidRPr="00951C48" w:rsidRDefault="00163D29" w:rsidP="00E90352">
      <w:pPr>
        <w:spacing w:after="0" w:line="480" w:lineRule="auto"/>
        <w:rPr>
          <w:b/>
        </w:rPr>
      </w:pPr>
      <w:r w:rsidRPr="00951C48">
        <w:rPr>
          <w:b/>
        </w:rPr>
        <w:t>4.2</w:t>
      </w:r>
      <w:r w:rsidR="002776D0" w:rsidRPr="00951C48">
        <w:rPr>
          <w:b/>
        </w:rPr>
        <w:t xml:space="preserve"> Spectrosc</w:t>
      </w:r>
      <w:r w:rsidR="00E90352" w:rsidRPr="00951C48">
        <w:rPr>
          <w:b/>
        </w:rPr>
        <w:t>opy</w:t>
      </w:r>
    </w:p>
    <w:p w14:paraId="751820A8" w14:textId="2F8DAFE8" w:rsidR="0083051E" w:rsidRDefault="0083051E" w:rsidP="00E90352">
      <w:pPr>
        <w:spacing w:line="480" w:lineRule="auto"/>
        <w:ind w:firstLine="720"/>
      </w:pPr>
      <w:r>
        <w:t>Vibrational spectroscopy is a useful technique in determining molecular structure. In this study, infrared (IR) spectroscopy and Raman spectroscopy are used to probe the species present in 1.0 M vanadium in 5.0 M sulfuric acid VRB electrolyte as a fun</w:t>
      </w:r>
      <w:r w:rsidR="001200B6">
        <w:t>ction of state of charge. Table 2</w:t>
      </w:r>
      <w:r>
        <w:t xml:space="preserve"> contains </w:t>
      </w:r>
      <w:r w:rsidR="00BD00D8">
        <w:t>descriptions and diagrams of</w:t>
      </w:r>
      <w:r>
        <w:t xml:space="preserve"> basic molecular vibrati</w:t>
      </w:r>
      <w:r w:rsidR="00BD00D8">
        <w:t>ons, namely stretches and bends,</w:t>
      </w:r>
      <w:r>
        <w:t xml:space="preserve"> detected by IR </w:t>
      </w:r>
      <w:r w:rsidR="00BD00D8">
        <w:t xml:space="preserve">and/or Raman spectroscopy. </w:t>
      </w:r>
    </w:p>
    <w:p w14:paraId="32423F06" w14:textId="77777777" w:rsidR="00951C48" w:rsidRDefault="00951C48" w:rsidP="00E90352">
      <w:pPr>
        <w:spacing w:line="480" w:lineRule="auto"/>
        <w:ind w:firstLine="720"/>
      </w:pPr>
    </w:p>
    <w:p w14:paraId="32788FB1" w14:textId="77777777" w:rsidR="00951C48" w:rsidRDefault="00951C48" w:rsidP="00E90352">
      <w:pPr>
        <w:spacing w:line="480" w:lineRule="auto"/>
        <w:ind w:firstLine="720"/>
      </w:pPr>
    </w:p>
    <w:p w14:paraId="00E590D3" w14:textId="3D62B166" w:rsidR="006D61A5" w:rsidRDefault="00961449" w:rsidP="001200B6">
      <w:pPr>
        <w:spacing w:after="0" w:line="480" w:lineRule="auto"/>
      </w:pPr>
      <w:r w:rsidRPr="001200B6">
        <w:rPr>
          <w:b/>
        </w:rPr>
        <w:lastRenderedPageBreak/>
        <w:t>Table</w:t>
      </w:r>
      <w:r w:rsidR="001200B6" w:rsidRPr="001200B6">
        <w:rPr>
          <w:b/>
        </w:rPr>
        <w:t xml:space="preserve"> 2.</w:t>
      </w:r>
      <w:r w:rsidR="006D61A5">
        <w:t xml:space="preserve"> Molecular Vibrations</w:t>
      </w:r>
      <w:r w:rsidR="00BD00D8">
        <w:t>.</w:t>
      </w:r>
      <w:r w:rsidR="006D61A5">
        <w:fldChar w:fldCharType="begin"/>
      </w:r>
      <w:r w:rsidR="00DC6E54">
        <w:instrText xml:space="preserve"> ADDIN ZOTERO_ITEM CSL_CITATION {"citationID":"2hri0q7uv4","properties":{"formattedCitation":"{\\rtf \\super 29\\nosupersub{}}","plainCitation":"29"},"citationItems":[{"id":125,"uris":["http://zotero.org/users/local/rZ3AHC6s/items/6E9XHV5X"],"uri":["http://zotero.org/users/local/rZ3AHC6s/items/6E9XHV5X"],"itemData":{"id":125,"type":"book","title":"Organic spectroscopy : principles and applications","publisher":"CRC Press","author":[{"family":"Jag Mohan","given":""}],"issued":{"date-parts":[["2000"]]}}}],"schema":"https://github.com/citation-style-language/schema/raw/master/csl-citation.json"} </w:instrText>
      </w:r>
      <w:r w:rsidR="006D61A5">
        <w:fldChar w:fldCharType="separate"/>
      </w:r>
      <w:r w:rsidR="00DC6E54" w:rsidRPr="00DC6E54">
        <w:rPr>
          <w:rFonts w:ascii="Calibri" w:hAnsi="Calibri" w:cs="Times New Roman"/>
          <w:szCs w:val="24"/>
          <w:vertAlign w:val="superscript"/>
        </w:rPr>
        <w:t>29</w:t>
      </w:r>
      <w:r w:rsidR="006D61A5">
        <w:fldChar w:fldCharType="end"/>
      </w:r>
      <w:r w:rsidR="00BD00D8">
        <w:t xml:space="preserve">  Species A and B are representative atoms in the below structures.</w:t>
      </w:r>
    </w:p>
    <w:tbl>
      <w:tblPr>
        <w:tblStyle w:val="PlainTable2"/>
        <w:tblW w:w="0" w:type="auto"/>
        <w:tblLook w:val="04A0" w:firstRow="1" w:lastRow="0" w:firstColumn="1" w:lastColumn="0" w:noHBand="0" w:noVBand="1"/>
      </w:tblPr>
      <w:tblGrid>
        <w:gridCol w:w="3420"/>
        <w:gridCol w:w="2965"/>
        <w:gridCol w:w="2965"/>
      </w:tblGrid>
      <w:tr w:rsidR="006D61A5" w14:paraId="07950622" w14:textId="77777777" w:rsidTr="00CD6E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vAlign w:val="center"/>
          </w:tcPr>
          <w:p w14:paraId="07E99AA2" w14:textId="0FCDF2A1" w:rsidR="006D61A5" w:rsidRDefault="006D61A5" w:rsidP="001200B6">
            <w:pPr>
              <w:spacing w:after="0" w:line="480" w:lineRule="auto"/>
              <w:jc w:val="center"/>
            </w:pPr>
            <w:r>
              <w:t>Bend/Stretch</w:t>
            </w:r>
          </w:p>
        </w:tc>
        <w:tc>
          <w:tcPr>
            <w:tcW w:w="2965" w:type="dxa"/>
            <w:vAlign w:val="center"/>
          </w:tcPr>
          <w:p w14:paraId="2340B9DC" w14:textId="61CAAF31" w:rsidR="006D61A5" w:rsidRDefault="006D61A5" w:rsidP="001200B6">
            <w:pPr>
              <w:spacing w:after="0" w:line="480" w:lineRule="auto"/>
              <w:jc w:val="center"/>
              <w:cnfStyle w:val="100000000000" w:firstRow="1" w:lastRow="0" w:firstColumn="0" w:lastColumn="0" w:oddVBand="0" w:evenVBand="0" w:oddHBand="0" w:evenHBand="0" w:firstRowFirstColumn="0" w:firstRowLastColumn="0" w:lastRowFirstColumn="0" w:lastRowLastColumn="0"/>
            </w:pPr>
            <w:r>
              <w:t>Description</w:t>
            </w:r>
          </w:p>
        </w:tc>
        <w:tc>
          <w:tcPr>
            <w:tcW w:w="2965" w:type="dxa"/>
            <w:vAlign w:val="center"/>
          </w:tcPr>
          <w:p w14:paraId="27DDEB35" w14:textId="37AFE802" w:rsidR="006D61A5" w:rsidRDefault="006D61A5" w:rsidP="001200B6">
            <w:pPr>
              <w:spacing w:after="0" w:line="480" w:lineRule="auto"/>
              <w:jc w:val="center"/>
              <w:cnfStyle w:val="100000000000" w:firstRow="1" w:lastRow="0" w:firstColumn="0" w:lastColumn="0" w:oddVBand="0" w:evenVBand="0" w:oddHBand="0" w:evenHBand="0" w:firstRowFirstColumn="0" w:firstRowLastColumn="0" w:lastRowFirstColumn="0" w:lastRowLastColumn="0"/>
            </w:pPr>
            <w:r>
              <w:t>Diagram</w:t>
            </w:r>
          </w:p>
        </w:tc>
      </w:tr>
      <w:tr w:rsidR="006D61A5" w14:paraId="27AB6CD1" w14:textId="77777777" w:rsidTr="00CD6E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vAlign w:val="center"/>
          </w:tcPr>
          <w:p w14:paraId="7B18EA77" w14:textId="2A6CDED2" w:rsidR="006D61A5" w:rsidRDefault="006D61A5" w:rsidP="00055CFD">
            <w:pPr>
              <w:spacing w:line="480" w:lineRule="auto"/>
              <w:jc w:val="center"/>
            </w:pPr>
            <w:r>
              <w:t>Symmetrical Stretch</w:t>
            </w:r>
          </w:p>
        </w:tc>
        <w:tc>
          <w:tcPr>
            <w:tcW w:w="2965" w:type="dxa"/>
            <w:vAlign w:val="center"/>
          </w:tcPr>
          <w:p w14:paraId="3FC3577E" w14:textId="726564E7" w:rsidR="006D61A5" w:rsidRDefault="006D61A5" w:rsidP="00055CFD">
            <w:pPr>
              <w:spacing w:line="480" w:lineRule="auto"/>
              <w:jc w:val="center"/>
              <w:cnfStyle w:val="000000100000" w:firstRow="0" w:lastRow="0" w:firstColumn="0" w:lastColumn="0" w:oddVBand="0" w:evenVBand="0" w:oddHBand="1" w:evenHBand="0" w:firstRowFirstColumn="0" w:firstRowLastColumn="0" w:lastRowFirstColumn="0" w:lastRowLastColumn="0"/>
            </w:pPr>
            <w:r>
              <w:t>Atoms move in and out simultaneously.</w:t>
            </w:r>
          </w:p>
        </w:tc>
        <w:tc>
          <w:tcPr>
            <w:tcW w:w="2965" w:type="dxa"/>
          </w:tcPr>
          <w:p w14:paraId="05E7C634" w14:textId="62C96884" w:rsidR="006D61A5" w:rsidRDefault="006D61A5" w:rsidP="00055CFD">
            <w:pPr>
              <w:spacing w:line="480" w:lineRule="auto"/>
              <w:cnfStyle w:val="000000100000" w:firstRow="0" w:lastRow="0" w:firstColumn="0" w:lastColumn="0" w:oddVBand="0" w:evenVBand="0" w:oddHBand="1" w:evenHBand="0" w:firstRowFirstColumn="0" w:firstRowLastColumn="0" w:lastRowFirstColumn="0" w:lastRowLastColumn="0"/>
            </w:pPr>
            <w:r>
              <w:rPr>
                <w:noProof/>
              </w:rPr>
              <w:drawing>
                <wp:anchor distT="0" distB="0" distL="114300" distR="114300" simplePos="0" relativeHeight="251661312" behindDoc="1" locked="0" layoutInCell="1" allowOverlap="1" wp14:anchorId="25AB2ECC" wp14:editId="098A7849">
                  <wp:simplePos x="5040630" y="4175760"/>
                  <wp:positionH relativeFrom="margin">
                    <wp:align>center</wp:align>
                  </wp:positionH>
                  <wp:positionV relativeFrom="margin">
                    <wp:align>center</wp:align>
                  </wp:positionV>
                  <wp:extent cx="693420" cy="697230"/>
                  <wp:effectExtent l="0" t="0" r="0" b="762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ymm stretching.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93420" cy="697230"/>
                          </a:xfrm>
                          <a:prstGeom prst="rect">
                            <a:avLst/>
                          </a:prstGeom>
                        </pic:spPr>
                      </pic:pic>
                    </a:graphicData>
                  </a:graphic>
                </wp:anchor>
              </w:drawing>
            </w:r>
          </w:p>
        </w:tc>
      </w:tr>
      <w:tr w:rsidR="006D61A5" w14:paraId="5673AABA" w14:textId="77777777" w:rsidTr="00CD6E90">
        <w:tc>
          <w:tcPr>
            <w:cnfStyle w:val="001000000000" w:firstRow="0" w:lastRow="0" w:firstColumn="1" w:lastColumn="0" w:oddVBand="0" w:evenVBand="0" w:oddHBand="0" w:evenHBand="0" w:firstRowFirstColumn="0" w:firstRowLastColumn="0" w:lastRowFirstColumn="0" w:lastRowLastColumn="0"/>
            <w:tcW w:w="3420" w:type="dxa"/>
            <w:vAlign w:val="center"/>
          </w:tcPr>
          <w:p w14:paraId="767A630B" w14:textId="2DACEA0C" w:rsidR="006D61A5" w:rsidRDefault="006D61A5" w:rsidP="00055CFD">
            <w:pPr>
              <w:spacing w:line="480" w:lineRule="auto"/>
              <w:jc w:val="center"/>
            </w:pPr>
            <w:r>
              <w:t>Asymmetrical Stretch</w:t>
            </w:r>
          </w:p>
        </w:tc>
        <w:tc>
          <w:tcPr>
            <w:tcW w:w="2965" w:type="dxa"/>
            <w:vAlign w:val="center"/>
          </w:tcPr>
          <w:p w14:paraId="5DC522A9" w14:textId="36DCF173" w:rsidR="006D61A5" w:rsidRDefault="006D61A5" w:rsidP="00055CFD">
            <w:pPr>
              <w:spacing w:line="480" w:lineRule="auto"/>
              <w:jc w:val="center"/>
              <w:cnfStyle w:val="000000000000" w:firstRow="0" w:lastRow="0" w:firstColumn="0" w:lastColumn="0" w:oddVBand="0" w:evenVBand="0" w:oddHBand="0" w:evenHBand="0" w:firstRowFirstColumn="0" w:firstRowLastColumn="0" w:lastRowFirstColumn="0" w:lastRowLastColumn="0"/>
            </w:pPr>
            <w:r>
              <w:t>One atom moves in while the other moves out.</w:t>
            </w:r>
          </w:p>
        </w:tc>
        <w:tc>
          <w:tcPr>
            <w:tcW w:w="2965" w:type="dxa"/>
          </w:tcPr>
          <w:p w14:paraId="50368406" w14:textId="34CFDCDF" w:rsidR="006D61A5" w:rsidRDefault="006D61A5" w:rsidP="00055CFD">
            <w:pPr>
              <w:spacing w:line="480" w:lineRule="auto"/>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662336" behindDoc="0" locked="0" layoutInCell="1" allowOverlap="1" wp14:anchorId="44C3CD82" wp14:editId="3F310E7D">
                  <wp:simplePos x="5040630" y="4888230"/>
                  <wp:positionH relativeFrom="margin">
                    <wp:align>center</wp:align>
                  </wp:positionH>
                  <wp:positionV relativeFrom="margin">
                    <wp:align>center</wp:align>
                  </wp:positionV>
                  <wp:extent cx="701101" cy="697290"/>
                  <wp:effectExtent l="0" t="0" r="3810" b="762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symm stretching.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01101" cy="697290"/>
                          </a:xfrm>
                          <a:prstGeom prst="rect">
                            <a:avLst/>
                          </a:prstGeom>
                        </pic:spPr>
                      </pic:pic>
                    </a:graphicData>
                  </a:graphic>
                </wp:anchor>
              </w:drawing>
            </w:r>
          </w:p>
        </w:tc>
      </w:tr>
      <w:tr w:rsidR="006D61A5" w14:paraId="6E3BCE8D" w14:textId="77777777" w:rsidTr="00CD6E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vAlign w:val="center"/>
          </w:tcPr>
          <w:p w14:paraId="2E698587" w14:textId="306D16AE" w:rsidR="006D61A5" w:rsidRDefault="001A653A" w:rsidP="00055CFD">
            <w:pPr>
              <w:spacing w:line="480" w:lineRule="auto"/>
              <w:jc w:val="center"/>
            </w:pPr>
            <w:r>
              <w:t xml:space="preserve"> </w:t>
            </w:r>
            <w:r w:rsidR="006D61A5">
              <w:t>In-plane Bending</w:t>
            </w:r>
          </w:p>
        </w:tc>
        <w:tc>
          <w:tcPr>
            <w:tcW w:w="2965" w:type="dxa"/>
            <w:vAlign w:val="center"/>
          </w:tcPr>
          <w:p w14:paraId="2C752419" w14:textId="153A23E7" w:rsidR="006D61A5" w:rsidRDefault="006D61A5" w:rsidP="00055CFD">
            <w:pPr>
              <w:spacing w:line="480" w:lineRule="auto"/>
              <w:jc w:val="center"/>
              <w:cnfStyle w:val="000000100000" w:firstRow="0" w:lastRow="0" w:firstColumn="0" w:lastColumn="0" w:oddVBand="0" w:evenVBand="0" w:oddHBand="1" w:evenHBand="0" w:firstRowFirstColumn="0" w:firstRowLastColumn="0" w:lastRowFirstColumn="0" w:lastRowLastColumn="0"/>
            </w:pPr>
            <w:r>
              <w:t>Atoms remain in same plane and move towards/away from one another.</w:t>
            </w:r>
          </w:p>
        </w:tc>
        <w:tc>
          <w:tcPr>
            <w:tcW w:w="2965" w:type="dxa"/>
          </w:tcPr>
          <w:p w14:paraId="21344B5C" w14:textId="6D340029" w:rsidR="006D61A5" w:rsidRDefault="006D61A5" w:rsidP="00055CFD">
            <w:pPr>
              <w:spacing w:line="480" w:lineRule="auto"/>
              <w:cnfStyle w:val="000000100000" w:firstRow="0" w:lastRow="0" w:firstColumn="0" w:lastColumn="0" w:oddVBand="0" w:evenVBand="0" w:oddHBand="1" w:evenHBand="0" w:firstRowFirstColumn="0" w:firstRowLastColumn="0" w:lastRowFirstColumn="0" w:lastRowLastColumn="0"/>
            </w:pPr>
            <w:r>
              <w:rPr>
                <w:noProof/>
              </w:rPr>
              <w:drawing>
                <wp:anchor distT="0" distB="0" distL="114300" distR="114300" simplePos="0" relativeHeight="251663360" behindDoc="0" locked="0" layoutInCell="1" allowOverlap="1" wp14:anchorId="101F7768" wp14:editId="53D9A89D">
                  <wp:simplePos x="5040630" y="5596890"/>
                  <wp:positionH relativeFrom="margin">
                    <wp:align>center</wp:align>
                  </wp:positionH>
                  <wp:positionV relativeFrom="margin">
                    <wp:align>center</wp:align>
                  </wp:positionV>
                  <wp:extent cx="670618" cy="861135"/>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n-plane bending.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70618" cy="861135"/>
                          </a:xfrm>
                          <a:prstGeom prst="rect">
                            <a:avLst/>
                          </a:prstGeom>
                        </pic:spPr>
                      </pic:pic>
                    </a:graphicData>
                  </a:graphic>
                </wp:anchor>
              </w:drawing>
            </w:r>
          </w:p>
        </w:tc>
      </w:tr>
      <w:tr w:rsidR="006D61A5" w14:paraId="03F27975" w14:textId="77777777" w:rsidTr="00CD6E90">
        <w:tc>
          <w:tcPr>
            <w:cnfStyle w:val="001000000000" w:firstRow="0" w:lastRow="0" w:firstColumn="1" w:lastColumn="0" w:oddVBand="0" w:evenVBand="0" w:oddHBand="0" w:evenHBand="0" w:firstRowFirstColumn="0" w:firstRowLastColumn="0" w:lastRowFirstColumn="0" w:lastRowLastColumn="0"/>
            <w:tcW w:w="3420" w:type="dxa"/>
            <w:vAlign w:val="center"/>
          </w:tcPr>
          <w:p w14:paraId="076FF807" w14:textId="3E00F28F" w:rsidR="006D61A5" w:rsidRDefault="006D61A5" w:rsidP="00055CFD">
            <w:pPr>
              <w:spacing w:line="480" w:lineRule="auto"/>
              <w:jc w:val="center"/>
            </w:pPr>
            <w:r>
              <w:t>In-plane Rocking</w:t>
            </w:r>
          </w:p>
        </w:tc>
        <w:tc>
          <w:tcPr>
            <w:tcW w:w="2965" w:type="dxa"/>
            <w:vAlign w:val="center"/>
          </w:tcPr>
          <w:p w14:paraId="22EAD2B9" w14:textId="38A7FD18" w:rsidR="006D61A5" w:rsidRDefault="006D61A5" w:rsidP="00055CFD">
            <w:pPr>
              <w:spacing w:line="480" w:lineRule="auto"/>
              <w:jc w:val="center"/>
              <w:cnfStyle w:val="000000000000" w:firstRow="0" w:lastRow="0" w:firstColumn="0" w:lastColumn="0" w:oddVBand="0" w:evenVBand="0" w:oddHBand="0" w:evenHBand="0" w:firstRowFirstColumn="0" w:firstRowLastColumn="0" w:lastRowFirstColumn="0" w:lastRowLastColumn="0"/>
            </w:pPr>
            <w:r>
              <w:t>Atoms remain in same plane and move concurrently in same direction.</w:t>
            </w:r>
          </w:p>
        </w:tc>
        <w:tc>
          <w:tcPr>
            <w:tcW w:w="2965" w:type="dxa"/>
          </w:tcPr>
          <w:p w14:paraId="6D8AE14F" w14:textId="3D4FE283" w:rsidR="006D61A5" w:rsidRDefault="006D61A5" w:rsidP="00055CFD">
            <w:pPr>
              <w:spacing w:line="480" w:lineRule="auto"/>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664384" behindDoc="0" locked="0" layoutInCell="1" allowOverlap="1" wp14:anchorId="7C82E750" wp14:editId="6AF3F476">
                  <wp:simplePos x="5040630" y="6465570"/>
                  <wp:positionH relativeFrom="margin">
                    <wp:align>center</wp:align>
                  </wp:positionH>
                  <wp:positionV relativeFrom="margin">
                    <wp:align>center</wp:align>
                  </wp:positionV>
                  <wp:extent cx="876376" cy="773497"/>
                  <wp:effectExtent l="0" t="0" r="0" b="762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n-plane rocking.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76376" cy="773497"/>
                          </a:xfrm>
                          <a:prstGeom prst="rect">
                            <a:avLst/>
                          </a:prstGeom>
                        </pic:spPr>
                      </pic:pic>
                    </a:graphicData>
                  </a:graphic>
                </wp:anchor>
              </w:drawing>
            </w:r>
          </w:p>
        </w:tc>
      </w:tr>
      <w:tr w:rsidR="006D61A5" w14:paraId="792DD350" w14:textId="77777777" w:rsidTr="00CD6E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vAlign w:val="center"/>
          </w:tcPr>
          <w:p w14:paraId="082A2465" w14:textId="1D34F83B" w:rsidR="006D61A5" w:rsidRDefault="006D61A5" w:rsidP="00055CFD">
            <w:pPr>
              <w:spacing w:line="480" w:lineRule="auto"/>
              <w:jc w:val="center"/>
            </w:pPr>
            <w:r>
              <w:t>Out-of-plane Wagging</w:t>
            </w:r>
          </w:p>
        </w:tc>
        <w:tc>
          <w:tcPr>
            <w:tcW w:w="2965" w:type="dxa"/>
            <w:vAlign w:val="center"/>
          </w:tcPr>
          <w:p w14:paraId="71FBBE91" w14:textId="24579E67" w:rsidR="006D61A5" w:rsidRDefault="006D61A5" w:rsidP="00055CFD">
            <w:pPr>
              <w:spacing w:line="480" w:lineRule="auto"/>
              <w:jc w:val="center"/>
              <w:cnfStyle w:val="000000100000" w:firstRow="0" w:lastRow="0" w:firstColumn="0" w:lastColumn="0" w:oddVBand="0" w:evenVBand="0" w:oddHBand="1" w:evenHBand="0" w:firstRowFirstColumn="0" w:firstRowLastColumn="0" w:lastRowFirstColumn="0" w:lastRowLastColumn="0"/>
            </w:pPr>
            <w:r>
              <w:t>Both atoms swing up or down out of plane in unison.</w:t>
            </w:r>
          </w:p>
        </w:tc>
        <w:tc>
          <w:tcPr>
            <w:tcW w:w="2965" w:type="dxa"/>
          </w:tcPr>
          <w:p w14:paraId="53C2F495" w14:textId="2356914B" w:rsidR="006D61A5" w:rsidRDefault="006D61A5" w:rsidP="00055CFD">
            <w:pPr>
              <w:spacing w:line="480" w:lineRule="auto"/>
              <w:cnfStyle w:val="000000100000" w:firstRow="0" w:lastRow="0" w:firstColumn="0" w:lastColumn="0" w:oddVBand="0" w:evenVBand="0" w:oddHBand="1" w:evenHBand="0" w:firstRowFirstColumn="0" w:firstRowLastColumn="0" w:lastRowFirstColumn="0" w:lastRowLastColumn="0"/>
            </w:pPr>
            <w:r>
              <w:rPr>
                <w:noProof/>
              </w:rPr>
              <w:drawing>
                <wp:anchor distT="0" distB="0" distL="114300" distR="114300" simplePos="0" relativeHeight="251665408" behindDoc="0" locked="0" layoutInCell="1" allowOverlap="1" wp14:anchorId="01EA7DBF" wp14:editId="00400241">
                  <wp:simplePos x="5040630" y="7254240"/>
                  <wp:positionH relativeFrom="margin">
                    <wp:align>center</wp:align>
                  </wp:positionH>
                  <wp:positionV relativeFrom="margin">
                    <wp:align>center</wp:align>
                  </wp:positionV>
                  <wp:extent cx="811600" cy="769687"/>
                  <wp:effectExtent l="0" t="0" r="762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ut-of-plane wagging.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11600" cy="769687"/>
                          </a:xfrm>
                          <a:prstGeom prst="rect">
                            <a:avLst/>
                          </a:prstGeom>
                        </pic:spPr>
                      </pic:pic>
                    </a:graphicData>
                  </a:graphic>
                </wp:anchor>
              </w:drawing>
            </w:r>
          </w:p>
        </w:tc>
      </w:tr>
      <w:tr w:rsidR="006D61A5" w14:paraId="69953C3E" w14:textId="77777777" w:rsidTr="00CD6E90">
        <w:tc>
          <w:tcPr>
            <w:cnfStyle w:val="001000000000" w:firstRow="0" w:lastRow="0" w:firstColumn="1" w:lastColumn="0" w:oddVBand="0" w:evenVBand="0" w:oddHBand="0" w:evenHBand="0" w:firstRowFirstColumn="0" w:firstRowLastColumn="0" w:lastRowFirstColumn="0" w:lastRowLastColumn="0"/>
            <w:tcW w:w="3420" w:type="dxa"/>
            <w:vAlign w:val="center"/>
          </w:tcPr>
          <w:p w14:paraId="4D9228FD" w14:textId="1423C3E1" w:rsidR="006D61A5" w:rsidRDefault="006D61A5" w:rsidP="001200B6">
            <w:pPr>
              <w:spacing w:after="0" w:line="480" w:lineRule="auto"/>
              <w:jc w:val="center"/>
            </w:pPr>
            <w:r>
              <w:t>Out-of-plane Twisting Deformation</w:t>
            </w:r>
          </w:p>
        </w:tc>
        <w:tc>
          <w:tcPr>
            <w:tcW w:w="2965" w:type="dxa"/>
            <w:vAlign w:val="center"/>
          </w:tcPr>
          <w:p w14:paraId="7B3B4693" w14:textId="2224D9CF" w:rsidR="006D61A5" w:rsidRDefault="006D61A5" w:rsidP="001200B6">
            <w:pPr>
              <w:spacing w:after="0" w:line="480" w:lineRule="auto"/>
              <w:jc w:val="center"/>
              <w:cnfStyle w:val="000000000000" w:firstRow="0" w:lastRow="0" w:firstColumn="0" w:lastColumn="0" w:oddVBand="0" w:evenVBand="0" w:oddHBand="0" w:evenHBand="0" w:firstRowFirstColumn="0" w:firstRowLastColumn="0" w:lastRowFirstColumn="0" w:lastRowLastColumn="0"/>
            </w:pPr>
            <w:r>
              <w:t>One atom swings up and the other down relative to the plane.</w:t>
            </w:r>
          </w:p>
        </w:tc>
        <w:tc>
          <w:tcPr>
            <w:tcW w:w="2965" w:type="dxa"/>
          </w:tcPr>
          <w:p w14:paraId="2C0F7F59" w14:textId="63AF066D" w:rsidR="006D61A5" w:rsidRDefault="00CD6E90" w:rsidP="001200B6">
            <w:pPr>
              <w:spacing w:after="0" w:line="480" w:lineRule="auto"/>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666432" behindDoc="0" locked="0" layoutInCell="1" allowOverlap="1" wp14:anchorId="00BF5A9B" wp14:editId="4F8E42C0">
                  <wp:simplePos x="5040630" y="8027670"/>
                  <wp:positionH relativeFrom="margin">
                    <wp:align>center</wp:align>
                  </wp:positionH>
                  <wp:positionV relativeFrom="margin">
                    <wp:align>center</wp:align>
                  </wp:positionV>
                  <wp:extent cx="788738" cy="758256"/>
                  <wp:effectExtent l="0" t="0" r="0" b="381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ut-of-plane twisting.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88738" cy="758256"/>
                          </a:xfrm>
                          <a:prstGeom prst="rect">
                            <a:avLst/>
                          </a:prstGeom>
                        </pic:spPr>
                      </pic:pic>
                    </a:graphicData>
                  </a:graphic>
                </wp:anchor>
              </w:drawing>
            </w:r>
          </w:p>
        </w:tc>
      </w:tr>
    </w:tbl>
    <w:p w14:paraId="3C8F88EA" w14:textId="77777777" w:rsidR="002776D0" w:rsidRDefault="002776D0" w:rsidP="001200B6">
      <w:pPr>
        <w:spacing w:after="0" w:line="480" w:lineRule="auto"/>
      </w:pPr>
    </w:p>
    <w:p w14:paraId="585BF55D" w14:textId="0846266C" w:rsidR="002776D0" w:rsidRPr="00951C48" w:rsidRDefault="00163D29" w:rsidP="001200B6">
      <w:pPr>
        <w:spacing w:after="0" w:line="480" w:lineRule="auto"/>
        <w:rPr>
          <w:b/>
        </w:rPr>
      </w:pPr>
      <w:r w:rsidRPr="00951C48">
        <w:rPr>
          <w:b/>
        </w:rPr>
        <w:t>4.2</w:t>
      </w:r>
      <w:r w:rsidR="001200B6" w:rsidRPr="00951C48">
        <w:rPr>
          <w:b/>
        </w:rPr>
        <w:t>.1. Raman Spectroscopy</w:t>
      </w:r>
    </w:p>
    <w:p w14:paraId="6EDBF544" w14:textId="5DDF6BED" w:rsidR="002776D0" w:rsidRDefault="002776D0" w:rsidP="00306F9E">
      <w:pPr>
        <w:spacing w:after="0" w:line="480" w:lineRule="auto"/>
        <w:ind w:firstLine="720"/>
      </w:pPr>
      <w:r>
        <w:t>In Raman spectroscopy, molecular vibrations are</w:t>
      </w:r>
      <w:r w:rsidR="003A1ABD">
        <w:t xml:space="preserve"> excited and</w:t>
      </w:r>
      <w:r>
        <w:t xml:space="preserve"> measured </w:t>
      </w:r>
      <w:r w:rsidR="003A1ABD">
        <w:t>through two-photon light scattering events</w:t>
      </w:r>
      <w:r>
        <w:t>.</w:t>
      </w:r>
      <w:r w:rsidR="003A1ABD">
        <w:fldChar w:fldCharType="begin"/>
      </w:r>
      <w:r w:rsidR="00DC6E54">
        <w:instrText xml:space="preserve"> ADDIN ZOTERO_ITEM CSL_CITATION {"citationID":"1nnefg5e6g","properties":{"formattedCitation":"{\\rtf \\super 30\\nosupersub{}}","plainCitation":"30"},"citationItems":[{"id":121,"uris":["http://zotero.org/users/local/rZ3AHC6s/items/IQ5QQ6S5"],"uri":["http://zotero.org/users/local/rZ3AHC6s/items/IQ5QQ6S5"],"itemData":{"id":121,"type":"book","title":"Infrared and Raman Spectroscopy; Principles and Spectral Interpretation","publisher":"An Elsevier Title","publisher-place":"Saint Louis, MO, USA","event-place":"Saint Louis, MO, USA","URL":"http://site.ebrary.com/lib/utennk/docDetail.action?docID=10470321","ISBN":"9780123870186","author":[{"family":"Larkin","given":"Peter"}],"issued":{"date-parts":[["2011"]]}}}],"schema":"https://github.com/citation-style-language/schema/raw/master/csl-citation.json"} </w:instrText>
      </w:r>
      <w:r w:rsidR="003A1ABD">
        <w:fldChar w:fldCharType="separate"/>
      </w:r>
      <w:r w:rsidR="00DC6E54" w:rsidRPr="00DC6E54">
        <w:rPr>
          <w:rFonts w:ascii="Calibri" w:hAnsi="Calibri" w:cs="Times New Roman"/>
          <w:szCs w:val="24"/>
          <w:vertAlign w:val="superscript"/>
        </w:rPr>
        <w:t>30</w:t>
      </w:r>
      <w:r w:rsidR="003A1ABD">
        <w:fldChar w:fldCharType="end"/>
      </w:r>
      <w:r>
        <w:t xml:space="preserve"> Photons collide with molecules in non-elastic collisions, scattering the photons which may then be detected and measured.</w:t>
      </w:r>
      <w:r>
        <w:fldChar w:fldCharType="begin"/>
      </w:r>
      <w:r w:rsidR="00DC6E54">
        <w:instrText xml:space="preserve"> ADDIN ZOTERO_ITEM CSL_CITATION {"citationID":"bffab99mp","properties":{"formattedCitation":"{\\rtf \\super 31\\nosupersub{}}","plainCitation":"31"},"citationItems":[{"id":120,"uris":["http://zotero.org/users/local/rZ3AHC6s/items/VCWETDTI"],"uri":["http://zotero.org/users/local/rZ3AHC6s/items/VCWETDTI"],"itemData":{"id":120,"type":"book","title":"The Essential Guide to Analytical Chemistry","publisher":"John Wiley &amp; Sons, Inc.","edition":"Second","author":[{"family":"Schwedt","given":"Georg"}],"issued":{"date-parts":[["1997"]]}}}],"schema":"https://github.com/citation-style-language/schema/raw/master/csl-citation.json"} </w:instrText>
      </w:r>
      <w:r>
        <w:fldChar w:fldCharType="separate"/>
      </w:r>
      <w:r w:rsidR="00DC6E54" w:rsidRPr="00DC6E54">
        <w:rPr>
          <w:rFonts w:ascii="Calibri" w:hAnsi="Calibri" w:cs="Times New Roman"/>
          <w:szCs w:val="24"/>
          <w:vertAlign w:val="superscript"/>
        </w:rPr>
        <w:t>31</w:t>
      </w:r>
      <w:r>
        <w:fldChar w:fldCharType="end"/>
      </w:r>
      <w:r w:rsidR="003A1ABD">
        <w:t xml:space="preserve"> For Raman bands to be present in the recorded spectra, </w:t>
      </w:r>
      <w:r w:rsidR="001200B6">
        <w:lastRenderedPageBreak/>
        <w:t>molecular vibration must</w:t>
      </w:r>
      <w:r w:rsidR="003A1ABD">
        <w:t xml:space="preserve"> cause a change in </w:t>
      </w:r>
      <w:r w:rsidR="001273D9">
        <w:t xml:space="preserve">the </w:t>
      </w:r>
      <w:r w:rsidR="003A1ABD">
        <w:t xml:space="preserve">polarizability of the molecule, </w:t>
      </w:r>
      <w:r w:rsidR="001273D9">
        <w:t xml:space="preserve">which is the degree to which the </w:t>
      </w:r>
      <w:r w:rsidR="003A1ABD">
        <w:t>molecule’s electron cloud is deformed by an external electric field.</w:t>
      </w:r>
      <w:r w:rsidR="003A1ABD">
        <w:fldChar w:fldCharType="begin"/>
      </w:r>
      <w:r w:rsidR="00DC6E54">
        <w:instrText xml:space="preserve"> ADDIN ZOTERO_ITEM CSL_CITATION {"citationID":"1lc5bm5d1","properties":{"formattedCitation":"{\\rtf \\super 30\\nosupersub{}}","plainCitation":"30"},"citationItems":[{"id":121,"uris":["http://zotero.org/users/local/rZ3AHC6s/items/IQ5QQ6S5"],"uri":["http://zotero.org/users/local/rZ3AHC6s/items/IQ5QQ6S5"],"itemData":{"id":121,"type":"book","title":"Infrared and Raman Spectroscopy; Principles and Spectral Interpretation","publisher":"An Elsevier Title","publisher-place":"Saint Louis, MO, USA","event-place":"Saint Louis, MO, USA","URL":"http://site.ebrary.com/lib/utennk/docDetail.action?docID=10470321","ISBN":"9780123870186","author":[{"family":"Larkin","given":"Peter"}],"issued":{"date-parts":[["2011"]]}}}],"schema":"https://github.com/citation-style-language/schema/raw/master/csl-citation.json"} </w:instrText>
      </w:r>
      <w:r w:rsidR="003A1ABD">
        <w:fldChar w:fldCharType="separate"/>
      </w:r>
      <w:r w:rsidR="00DC6E54" w:rsidRPr="00DC6E54">
        <w:rPr>
          <w:rFonts w:ascii="Calibri" w:hAnsi="Calibri" w:cs="Times New Roman"/>
          <w:szCs w:val="24"/>
          <w:vertAlign w:val="superscript"/>
        </w:rPr>
        <w:t>30</w:t>
      </w:r>
      <w:r w:rsidR="003A1ABD">
        <w:fldChar w:fldCharType="end"/>
      </w:r>
      <w:r w:rsidR="00A262E5">
        <w:t xml:space="preserve"> Recorded Raman signals are a function of sample concentration and excitation wavelength.</w:t>
      </w:r>
      <w:r w:rsidR="00A262E5">
        <w:fldChar w:fldCharType="begin"/>
      </w:r>
      <w:r w:rsidR="00DC6E54">
        <w:instrText xml:space="preserve"> ADDIN ZOTERO_ITEM CSL_CITATION {"citationID":"1sgodik79b","properties":{"formattedCitation":"{\\rtf \\super 30\\nosupersub{}}","plainCitation":"30"},"citationItems":[{"id":121,"uris":["http://zotero.org/users/local/rZ3AHC6s/items/IQ5QQ6S5"],"uri":["http://zotero.org/users/local/rZ3AHC6s/items/IQ5QQ6S5"],"itemData":{"id":121,"type":"book","title":"Infrared and Raman Spectroscopy; Principles and Spectral Interpretation","publisher":"An Elsevier Title","publisher-place":"Saint Louis, MO, USA","event-place":"Saint Louis, MO, USA","URL":"http://site.ebrary.com/lib/utennk/docDetail.action?docID=10470321","ISBN":"9780123870186","author":[{"family":"Larkin","given":"Peter"}],"issued":{"date-parts":[["2011"]]}}}],"schema":"https://github.com/citation-style-language/schema/raw/master/csl-citation.json"} </w:instrText>
      </w:r>
      <w:r w:rsidR="00A262E5">
        <w:fldChar w:fldCharType="separate"/>
      </w:r>
      <w:r w:rsidR="00DC6E54" w:rsidRPr="00DC6E54">
        <w:rPr>
          <w:rFonts w:ascii="Calibri" w:hAnsi="Calibri" w:cs="Times New Roman"/>
          <w:szCs w:val="24"/>
          <w:vertAlign w:val="superscript"/>
        </w:rPr>
        <w:t>30</w:t>
      </w:r>
      <w:r w:rsidR="00A262E5">
        <w:fldChar w:fldCharType="end"/>
      </w:r>
      <w:r w:rsidR="00842B09">
        <w:t xml:space="preserve"> Peak assignments are made via quantum mechanical calculations.</w:t>
      </w:r>
    </w:p>
    <w:p w14:paraId="609C0F1B" w14:textId="27C93488" w:rsidR="002776D0" w:rsidRPr="00951C48" w:rsidRDefault="00163D29" w:rsidP="00306F9E">
      <w:pPr>
        <w:spacing w:after="0" w:line="480" w:lineRule="auto"/>
        <w:rPr>
          <w:b/>
        </w:rPr>
      </w:pPr>
      <w:r w:rsidRPr="00951C48">
        <w:rPr>
          <w:b/>
        </w:rPr>
        <w:t>4.2</w:t>
      </w:r>
      <w:r w:rsidR="002776D0" w:rsidRPr="00951C48">
        <w:rPr>
          <w:b/>
        </w:rPr>
        <w:t xml:space="preserve">.2. </w:t>
      </w:r>
      <w:r w:rsidR="00306F9E" w:rsidRPr="00951C48">
        <w:rPr>
          <w:b/>
        </w:rPr>
        <w:t>Infrared (IR) Spectroscopy</w:t>
      </w:r>
    </w:p>
    <w:p w14:paraId="79546925" w14:textId="0157F4E3" w:rsidR="005E231E" w:rsidRDefault="002776D0" w:rsidP="00725344">
      <w:pPr>
        <w:spacing w:after="0" w:line="480" w:lineRule="auto"/>
        <w:ind w:firstLine="720"/>
      </w:pPr>
      <w:r>
        <w:t>In infrared spectroscopy, photons from a light source collide with molecules,</w:t>
      </w:r>
      <w:r w:rsidR="00BD00D8">
        <w:t xml:space="preserve"> </w:t>
      </w:r>
      <w:r w:rsidR="005E231E">
        <w:t xml:space="preserve"> and if </w:t>
      </w:r>
      <w:r w:rsidR="00BD00D8">
        <w:t>a change in dipole moment</w:t>
      </w:r>
      <w:r w:rsidR="005E231E">
        <w:t xml:space="preserve"> is induced, transfer energy to the molecules via adsorption</w:t>
      </w:r>
      <w:r w:rsidR="00BD00D8">
        <w:t>.</w:t>
      </w:r>
      <w:r w:rsidR="00BD00D8">
        <w:fldChar w:fldCharType="begin"/>
      </w:r>
      <w:r w:rsidR="00DC6E54">
        <w:instrText xml:space="preserve"> ADDIN ZOTERO_ITEM CSL_CITATION {"citationID":"l5hgup3ev","properties":{"formattedCitation":"{\\rtf \\super 30\\nosupersub{}}","plainCitation":"30"},"citationItems":[{"id":121,"uris":["http://zotero.org/users/local/rZ3AHC6s/items/IQ5QQ6S5"],"uri":["http://zotero.org/users/local/rZ3AHC6s/items/IQ5QQ6S5"],"itemData":{"id":121,"type":"book","title":"Infrared and Raman Spectroscopy; Principles and Spectral Interpretation","publisher":"An Elsevier Title","publisher-place":"Saint Louis, MO, USA","event-place":"Saint Louis, MO, USA","URL":"http://site.ebrary.com/lib/utennk/docDetail.action?docID=10470321","ISBN":"9780123870186","author":[{"family":"Larkin","given":"Peter"}],"issued":{"date-parts":[["2011"]]}}}],"schema":"https://github.com/citation-style-language/schema/raw/master/csl-citation.json"} </w:instrText>
      </w:r>
      <w:r w:rsidR="00BD00D8">
        <w:fldChar w:fldCharType="separate"/>
      </w:r>
      <w:r w:rsidR="00DC6E54" w:rsidRPr="00DC6E54">
        <w:rPr>
          <w:rFonts w:ascii="Calibri" w:hAnsi="Calibri" w:cs="Times New Roman"/>
          <w:szCs w:val="24"/>
          <w:vertAlign w:val="superscript"/>
        </w:rPr>
        <w:t>30</w:t>
      </w:r>
      <w:r w:rsidR="00BD00D8">
        <w:fldChar w:fldCharType="end"/>
      </w:r>
      <w:r w:rsidR="005E231E">
        <w:t xml:space="preserve"> These interactions are then recorded as intensity as a function of wavenumber.</w:t>
      </w:r>
      <w:r w:rsidR="00A262E5">
        <w:t xml:space="preserve">  IR spectra are divided into three regions based on the wavenumbers of the source photons: near (14,000 – 4,000 cm</w:t>
      </w:r>
      <w:r w:rsidR="00A262E5">
        <w:rPr>
          <w:vertAlign w:val="superscript"/>
        </w:rPr>
        <w:t>-1</w:t>
      </w:r>
      <w:r w:rsidR="00A262E5">
        <w:t>), mid (4,000 – 400 cm</w:t>
      </w:r>
      <w:r w:rsidR="00A262E5">
        <w:rPr>
          <w:vertAlign w:val="superscript"/>
        </w:rPr>
        <w:t>-1</w:t>
      </w:r>
      <w:r w:rsidR="00A262E5">
        <w:t>), and far (400 – 10 cm</w:t>
      </w:r>
      <w:r w:rsidR="00A262E5">
        <w:rPr>
          <w:vertAlign w:val="superscript"/>
        </w:rPr>
        <w:t>-1</w:t>
      </w:r>
      <w:r w:rsidR="00A262E5">
        <w:t>). The Beer-Lambert Law governs the relationship between the incident light and light transmitted through a given sample</w:t>
      </w:r>
      <w:r w:rsidR="00725344">
        <w:t xml:space="preserve"> (Equation 15</w:t>
      </w:r>
      <w:r w:rsidR="005E231E">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5E231E" w14:paraId="2DCAE2A6" w14:textId="77777777" w:rsidTr="005E231E">
        <w:tc>
          <w:tcPr>
            <w:tcW w:w="3116" w:type="dxa"/>
          </w:tcPr>
          <w:p w14:paraId="62E7F723" w14:textId="77777777" w:rsidR="005E231E" w:rsidRDefault="005E231E" w:rsidP="00725344">
            <w:pPr>
              <w:spacing w:after="0" w:line="480" w:lineRule="auto"/>
            </w:pPr>
          </w:p>
        </w:tc>
        <w:tc>
          <w:tcPr>
            <w:tcW w:w="3117" w:type="dxa"/>
          </w:tcPr>
          <w:p w14:paraId="7800DC51" w14:textId="670D9C37" w:rsidR="005E231E" w:rsidRDefault="005E231E" w:rsidP="00725344">
            <w:pPr>
              <w:spacing w:after="0" w:line="480" w:lineRule="auto"/>
            </w:pPr>
            <m:oMathPara>
              <m:oMath>
                <m:r>
                  <w:rPr>
                    <w:rFonts w:ascii="Cambria Math" w:hAnsi="Cambria Math"/>
                  </w:rPr>
                  <m:t>A=εlc</m:t>
                </m:r>
              </m:oMath>
            </m:oMathPara>
          </w:p>
        </w:tc>
        <w:tc>
          <w:tcPr>
            <w:tcW w:w="3117" w:type="dxa"/>
          </w:tcPr>
          <w:p w14:paraId="54111120" w14:textId="105AAAD2" w:rsidR="005E231E" w:rsidRDefault="00725344" w:rsidP="00725344">
            <w:pPr>
              <w:spacing w:after="0" w:line="480" w:lineRule="auto"/>
              <w:jc w:val="right"/>
            </w:pPr>
            <w:r>
              <w:t>(15</w:t>
            </w:r>
            <w:r w:rsidR="005E231E">
              <w:t>)</w:t>
            </w:r>
          </w:p>
        </w:tc>
      </w:tr>
    </w:tbl>
    <w:p w14:paraId="24C8C5BC" w14:textId="0AC6A5AC" w:rsidR="002776D0" w:rsidRDefault="005E231E" w:rsidP="00725344">
      <w:pPr>
        <w:spacing w:after="0" w:line="480" w:lineRule="auto"/>
      </w:pPr>
      <w:r>
        <w:t>where A is the measured absorbance of the sample, ε the absorptivity of the sample, l the path length, and c the concentration of the sample.</w:t>
      </w:r>
      <w:r>
        <w:fldChar w:fldCharType="begin"/>
      </w:r>
      <w:r w:rsidR="00DC6E54">
        <w:instrText xml:space="preserve"> ADDIN ZOTERO_ITEM CSL_CITATION {"citationID":"2ke3thrh1g","properties":{"formattedCitation":"{\\rtf \\super 30,32\\nosupersub{}}","plainCitation":"30,32"},"citationItems":[{"id":121,"uris":["http://zotero.org/users/local/rZ3AHC6s/items/IQ5QQ6S5"],"uri":["http://zotero.org/users/local/rZ3AHC6s/items/IQ5QQ6S5"],"itemData":{"id":121,"type":"book","title":"Infrared and Raman Spectroscopy; Principles and Spectral Interpretation","publisher":"An Elsevier Title","publisher-place":"Saint Louis, MO, USA","event-place":"Saint Louis, MO, USA","URL":"http://site.ebrary.com/lib/utennk/docDetail.action?docID=10470321","ISBN":"9780123870186","author":[{"family":"Larkin","given":"Peter"}],"issued":{"date-parts":[["2011"]]}}},{"id":122,"uris":["http://zotero.org/users/local/rZ3AHC6s/items/2WCPMJVK"],"uri":["http://zotero.org/users/local/rZ3AHC6s/items/2WCPMJVK"],"itemData":{"id":122,"type":"book","title":"Fundamentals of Fouriertransform Infared Spectroscopy (2nd Edition)","publisher":"CRC Press","publisher-place":"Boca Raton, FL, USA","event-place":"Boca Raton, FL, USA","URL":"http://site.ebrary.com/lib/utennk/docDetail.action?docID=10456270","ISBN":"9781420069303","author":[{"family":"Smith","given":"Brian C."}],"issued":{"date-parts":[["2011"]]}}}],"schema":"https://github.com/citation-style-language/schema/raw/master/csl-citation.json"} </w:instrText>
      </w:r>
      <w:r>
        <w:fldChar w:fldCharType="separate"/>
      </w:r>
      <w:r w:rsidR="00DC6E54" w:rsidRPr="00DC6E54">
        <w:rPr>
          <w:rFonts w:ascii="Calibri" w:hAnsi="Calibri" w:cs="Times New Roman"/>
          <w:szCs w:val="24"/>
          <w:vertAlign w:val="superscript"/>
        </w:rPr>
        <w:t>30,32</w:t>
      </w:r>
      <w:r>
        <w:fldChar w:fldCharType="end"/>
      </w:r>
      <w:r>
        <w:t xml:space="preserve"> The major disadvantages of this technique is its inability to detect some molecules (i.e. </w:t>
      </w:r>
      <w:proofErr w:type="spellStart"/>
      <w:r>
        <w:t>homodiatomic</w:t>
      </w:r>
      <w:proofErr w:type="spellEnd"/>
      <w:r>
        <w:t xml:space="preserve"> molecules), the complexity of solution spectra, and the ability of water peaks to mask less broad and intense peaks.</w:t>
      </w:r>
      <w:r>
        <w:fldChar w:fldCharType="begin"/>
      </w:r>
      <w:r w:rsidR="00DC6E54">
        <w:instrText xml:space="preserve"> ADDIN ZOTERO_ITEM CSL_CITATION {"citationID":"jbn4o787e","properties":{"formattedCitation":"{\\rtf \\super 32\\nosupersub{}}","plainCitation":"32"},"citationItems":[{"id":122,"uris":["http://zotero.org/users/local/rZ3AHC6s/items/2WCPMJVK"],"uri":["http://zotero.org/users/local/rZ3AHC6s/items/2WCPMJVK"],"itemData":{"id":122,"type":"book","title":"Fundamentals of Fouriertransform Infared Spectroscopy (2nd Edition)","publisher":"CRC Press","publisher-place":"Boca Raton, FL, USA","event-place":"Boca Raton, FL, USA","URL":"http://site.ebrary.com/lib/utennk/docDetail.action?docID=10456270","ISBN":"9781420069303","author":[{"family":"Smith","given":"Brian C."}],"issued":{"date-parts":[["2011"]]}}}],"schema":"https://github.com/citation-style-language/schema/raw/master/csl-citation.json"} </w:instrText>
      </w:r>
      <w:r>
        <w:fldChar w:fldCharType="separate"/>
      </w:r>
      <w:r w:rsidR="00DC6E54" w:rsidRPr="00DC6E54">
        <w:rPr>
          <w:rFonts w:ascii="Calibri" w:hAnsi="Calibri" w:cs="Times New Roman"/>
          <w:szCs w:val="24"/>
          <w:vertAlign w:val="superscript"/>
        </w:rPr>
        <w:t>32</w:t>
      </w:r>
      <w:r>
        <w:fldChar w:fldCharType="end"/>
      </w:r>
      <w:r w:rsidR="00842B09">
        <w:t xml:space="preserve"> IR spectra are interpreted using group theory or identifying empirical characteristic frequencies.</w:t>
      </w:r>
      <w:r w:rsidR="00842B09">
        <w:fldChar w:fldCharType="begin"/>
      </w:r>
      <w:r w:rsidR="00DC6E54">
        <w:instrText xml:space="preserve"> ADDIN ZOTERO_ITEM CSL_CITATION {"citationID":"i978t078m","properties":{"formattedCitation":"{\\rtf \\super 30\\nosupersub{}}","plainCitation":"30"},"citationItems":[{"id":121,"uris":["http://zotero.org/users/local/rZ3AHC6s/items/IQ5QQ6S5"],"uri":["http://zotero.org/users/local/rZ3AHC6s/items/IQ5QQ6S5"],"itemData":{"id":121,"type":"book","title":"Infrared and Raman Spectroscopy; Principles and Spectral Interpretation","publisher":"An Elsevier Title","publisher-place":"Saint Louis, MO, USA","event-place":"Saint Louis, MO, USA","URL":"http://site.ebrary.com/lib/utennk/docDetail.action?docID=10470321","ISBN":"9780123870186","author":[{"family":"Larkin","given":"Peter"}],"issued":{"date-parts":[["2011"]]}}}],"schema":"https://github.com/citation-style-language/schema/raw/master/csl-citation.json"} </w:instrText>
      </w:r>
      <w:r w:rsidR="00842B09">
        <w:fldChar w:fldCharType="separate"/>
      </w:r>
      <w:r w:rsidR="00DC6E54" w:rsidRPr="00DC6E54">
        <w:rPr>
          <w:rFonts w:ascii="Calibri" w:hAnsi="Calibri" w:cs="Times New Roman"/>
          <w:szCs w:val="24"/>
          <w:vertAlign w:val="superscript"/>
        </w:rPr>
        <w:t>30</w:t>
      </w:r>
      <w:r w:rsidR="00842B09">
        <w:fldChar w:fldCharType="end"/>
      </w:r>
    </w:p>
    <w:p w14:paraId="3F0D4C1B" w14:textId="66015B83" w:rsidR="001273D9" w:rsidRPr="00951C48" w:rsidRDefault="00163D29" w:rsidP="00725344">
      <w:pPr>
        <w:spacing w:after="0" w:line="480" w:lineRule="auto"/>
        <w:rPr>
          <w:b/>
        </w:rPr>
      </w:pPr>
      <w:r w:rsidRPr="00951C48">
        <w:rPr>
          <w:b/>
        </w:rPr>
        <w:t>4.2</w:t>
      </w:r>
      <w:r w:rsidR="002776D0" w:rsidRPr="00951C48">
        <w:rPr>
          <w:b/>
        </w:rPr>
        <w:t>.3. Comparis</w:t>
      </w:r>
      <w:r w:rsidR="00725344" w:rsidRPr="00951C48">
        <w:rPr>
          <w:b/>
        </w:rPr>
        <w:t>on of Raman and IR Spectroscopy</w:t>
      </w:r>
    </w:p>
    <w:p w14:paraId="11FED212" w14:textId="7DBA2A32" w:rsidR="0057000F" w:rsidRDefault="00A262E5" w:rsidP="002B764A">
      <w:pPr>
        <w:spacing w:after="0" w:line="480" w:lineRule="auto"/>
        <w:ind w:firstLine="360"/>
      </w:pPr>
      <w:r>
        <w:t>IR spectroscopy and Raman spectroscopy are complementary techniques often used in concert to fully determine molecular structure as</w:t>
      </w:r>
      <w:r w:rsidR="002B764A">
        <w:t xml:space="preserve"> </w:t>
      </w:r>
      <w:r w:rsidR="005E231E">
        <w:t>either</w:t>
      </w:r>
      <w:r>
        <w:t xml:space="preserve"> technique is rarely able to</w:t>
      </w:r>
      <w:r w:rsidR="005E231E">
        <w:t xml:space="preserve"> independently</w:t>
      </w:r>
      <w:r>
        <w:t xml:space="preserve"> full</w:t>
      </w:r>
      <w:r w:rsidR="005E231E">
        <w:t>y elucidate complex structures</w:t>
      </w:r>
      <w:r>
        <w:t>. Raman spectra are based on photon emissions while IR spectra are based on photon absorption.</w:t>
      </w:r>
      <w:r>
        <w:fldChar w:fldCharType="begin"/>
      </w:r>
      <w:r w:rsidR="00DC6E54">
        <w:instrText xml:space="preserve"> ADDIN ZOTERO_ITEM CSL_CITATION {"citationID":"2mqch16b7e","properties":{"formattedCitation":"{\\rtf \\super 31\\nosupersub{}}","plainCitation":"31"},"citationItems":[{"id":120,"uris":["http://zotero.org/users/local/rZ3AHC6s/items/VCWETDTI"],"uri":["http://zotero.org/users/local/rZ3AHC6s/items/VCWETDTI"],"itemData":{"id":120,"type":"book","title":"The Essential Guide to Analytical Chemistry","publisher":"John Wiley &amp; Sons, Inc.","edition":"Second","author":[{"family":"Schwedt","given":"Georg"}],"issued":{"date-parts":[["1997"]]}}}],"schema":"https://github.com/citation-style-language/schema/raw/master/csl-citation.json"} </w:instrText>
      </w:r>
      <w:r>
        <w:fldChar w:fldCharType="separate"/>
      </w:r>
      <w:r w:rsidR="00DC6E54" w:rsidRPr="00DC6E54">
        <w:rPr>
          <w:rFonts w:ascii="Calibri" w:hAnsi="Calibri" w:cs="Times New Roman"/>
          <w:szCs w:val="24"/>
          <w:vertAlign w:val="superscript"/>
        </w:rPr>
        <w:t>31</w:t>
      </w:r>
      <w:r>
        <w:fldChar w:fldCharType="end"/>
      </w:r>
      <w:r>
        <w:t xml:space="preserve"> IR spectroscopy is best at measuring the asymmetric vibrations of polar molecules. Raman spectroscopy is best suited to detecting the symmetric vibrations of nonpolar molecules. Symmetry in </w:t>
      </w:r>
      <w:r>
        <w:lastRenderedPageBreak/>
        <w:t>this context can be planes, axes, or centers of symmetry. Molecules containing a center of symmetry cannot have vibrations that are both IR and Raman active</w:t>
      </w:r>
      <w:r>
        <w:fldChar w:fldCharType="begin"/>
      </w:r>
      <w:r w:rsidR="00DC6E54">
        <w:instrText xml:space="preserve"> ADDIN ZOTERO_ITEM CSL_CITATION {"citationID":"2967un44b7","properties":{"formattedCitation":"{\\rtf \\super 30\\nosupersub{}}","plainCitation":"30"},"citationItems":[{"id":121,"uris":["http://zotero.org/users/local/rZ3AHC6s/items/IQ5QQ6S5"],"uri":["http://zotero.org/users/local/rZ3AHC6s/items/IQ5QQ6S5"],"itemData":{"id":121,"type":"book","title":"Infrared and Raman Spectroscopy; Principles and Spectral Interpretation","publisher":"An Elsevier Title","publisher-place":"Saint Louis, MO, USA","event-place":"Saint Louis, MO, USA","URL":"http://site.ebrary.com/lib/utennk/docDetail.action?docID=10470321","ISBN":"9780123870186","author":[{"family":"Larkin","given":"Peter"}],"issued":{"date-parts":[["2011"]]}}}],"schema":"https://github.com/citation-style-language/schema/raw/master/csl-citation.json"} </w:instrText>
      </w:r>
      <w:r>
        <w:fldChar w:fldCharType="separate"/>
      </w:r>
      <w:r w:rsidR="00DC6E54" w:rsidRPr="00DC6E54">
        <w:rPr>
          <w:rFonts w:ascii="Calibri" w:hAnsi="Calibri" w:cs="Times New Roman"/>
          <w:szCs w:val="24"/>
          <w:vertAlign w:val="superscript"/>
        </w:rPr>
        <w:t>30</w:t>
      </w:r>
      <w:r>
        <w:fldChar w:fldCharType="end"/>
      </w:r>
    </w:p>
    <w:p w14:paraId="56917962" w14:textId="4249D99C" w:rsidR="00FF1E91" w:rsidRPr="00951C48" w:rsidRDefault="00FF1E91" w:rsidP="002B764A">
      <w:pPr>
        <w:pStyle w:val="ListParagraph"/>
        <w:numPr>
          <w:ilvl w:val="0"/>
          <w:numId w:val="1"/>
        </w:numPr>
        <w:spacing w:after="0" w:line="480" w:lineRule="auto"/>
        <w:rPr>
          <w:b/>
        </w:rPr>
      </w:pPr>
      <w:r w:rsidRPr="00951C48">
        <w:rPr>
          <w:b/>
        </w:rPr>
        <w:t>Kinetics Measurements</w:t>
      </w:r>
    </w:p>
    <w:p w14:paraId="31F5B039" w14:textId="4EEDD395" w:rsidR="00FF1E91" w:rsidRPr="00951C48" w:rsidRDefault="00FF1E91" w:rsidP="002B764A">
      <w:pPr>
        <w:spacing w:after="0" w:line="480" w:lineRule="auto"/>
        <w:rPr>
          <w:b/>
        </w:rPr>
      </w:pPr>
      <w:r w:rsidRPr="00951C48">
        <w:rPr>
          <w:b/>
        </w:rPr>
        <w:t>5</w:t>
      </w:r>
      <w:r w:rsidR="002B764A" w:rsidRPr="00951C48">
        <w:rPr>
          <w:b/>
        </w:rPr>
        <w:t>.1 Materials</w:t>
      </w:r>
    </w:p>
    <w:p w14:paraId="078B7F18" w14:textId="504A27A8" w:rsidR="00827F8C" w:rsidRDefault="00FF1E91" w:rsidP="00BC28D5">
      <w:pPr>
        <w:spacing w:after="0" w:line="480" w:lineRule="auto"/>
        <w:ind w:firstLine="720"/>
      </w:pPr>
      <w:r>
        <w:t>Modified cell hardware from Fuel Cell Technologies, consisting of aluminum end plates, gold-plated current collectors, and graphite plates with serpentine flow field</w:t>
      </w:r>
      <w:r w:rsidR="005E7889">
        <w:t>, was used as flow battery hardware</w:t>
      </w:r>
      <w:r>
        <w:t>. Untreated SGL 10AA carbon paper</w:t>
      </w:r>
      <w:r w:rsidR="00515ABB">
        <w:t xml:space="preserve"> with 5 cm</w:t>
      </w:r>
      <w:r w:rsidR="00515ABB">
        <w:rPr>
          <w:vertAlign w:val="superscript"/>
        </w:rPr>
        <w:t>2</w:t>
      </w:r>
      <w:r w:rsidR="00515ABB">
        <w:t xml:space="preserve"> geometric area</w:t>
      </w:r>
      <w:r>
        <w:t xml:space="preserve"> was used as electrodes</w:t>
      </w:r>
      <w:r w:rsidR="00515ABB">
        <w:t xml:space="preserve"> on both sides of the battery</w:t>
      </w:r>
      <w:r>
        <w:t>.</w:t>
      </w:r>
      <w:r w:rsidR="00985F7A">
        <w:t xml:space="preserve"> To prepare the </w:t>
      </w:r>
      <w:r w:rsidR="005E7889">
        <w:t xml:space="preserve">pure-sulfuric acid </w:t>
      </w:r>
      <w:r w:rsidR="00985F7A">
        <w:t xml:space="preserve">electrolyte, </w:t>
      </w:r>
      <w:proofErr w:type="gramStart"/>
      <w:r w:rsidR="00985F7A">
        <w:t>v</w:t>
      </w:r>
      <w:r>
        <w:t>anadium(</w:t>
      </w:r>
      <w:proofErr w:type="gramEnd"/>
      <w:r>
        <w:t xml:space="preserve">IV) sulfate oxide hydrate (Alfa </w:t>
      </w:r>
      <w:proofErr w:type="spellStart"/>
      <w:r>
        <w:t>Aesar</w:t>
      </w:r>
      <w:proofErr w:type="spellEnd"/>
      <w:r>
        <w:t xml:space="preserve">, 99.9%, metals basis) was dissolved in </w:t>
      </w:r>
      <w:r w:rsidR="00985F7A">
        <w:t xml:space="preserve">98% sulfuric acid (Fisher Scientific) to a final concentration of </w:t>
      </w:r>
      <w:r w:rsidR="00BC28D5">
        <w:t xml:space="preserve">0.75M </w:t>
      </w:r>
      <w:r w:rsidR="00985F7A">
        <w:t xml:space="preserve">vanadium in 5.0M sulfuric acid. </w:t>
      </w:r>
      <w:r w:rsidR="005E7889">
        <w:t xml:space="preserve">To prepare sulfuric-hydrochloric mixed acid electrolyte, </w:t>
      </w:r>
      <w:proofErr w:type="gramStart"/>
      <w:r w:rsidR="005E7889">
        <w:t>vanadium(</w:t>
      </w:r>
      <w:proofErr w:type="gramEnd"/>
      <w:r w:rsidR="005E7889">
        <w:t>IV) sulfate oxide hydrate was dissolved in 98</w:t>
      </w:r>
      <w:r w:rsidR="00BC28D5">
        <w:t xml:space="preserve"> </w:t>
      </w:r>
      <w:proofErr w:type="spellStart"/>
      <w:r w:rsidR="00BC28D5">
        <w:t>wt</w:t>
      </w:r>
      <w:proofErr w:type="spellEnd"/>
      <w:r w:rsidR="005E7889">
        <w:t xml:space="preserve">% sulfuric acid and 12.1N hydrochloric acid (Fisher Scientific) </w:t>
      </w:r>
      <w:r w:rsidR="00BC28D5">
        <w:t>to a final concentration of 1.0M</w:t>
      </w:r>
      <w:r w:rsidR="005E7889">
        <w:t xml:space="preserve"> vanadium in </w:t>
      </w:r>
      <w:r w:rsidR="00BC28D5">
        <w:t>2.5M sulfuric acid and 2.5M</w:t>
      </w:r>
      <w:r w:rsidR="005E7889">
        <w:t xml:space="preserve"> hydrochloric acid.</w:t>
      </w:r>
    </w:p>
    <w:p w14:paraId="74436454" w14:textId="47E040DB" w:rsidR="00CE2504" w:rsidRPr="00013901" w:rsidRDefault="00BC28D5" w:rsidP="00BC28D5">
      <w:pPr>
        <w:spacing w:after="0" w:line="480" w:lineRule="auto"/>
        <w:rPr>
          <w:b/>
        </w:rPr>
      </w:pPr>
      <w:r w:rsidRPr="00013901">
        <w:rPr>
          <w:b/>
        </w:rPr>
        <w:t>5.2 Experimental Setup</w:t>
      </w:r>
    </w:p>
    <w:p w14:paraId="039D7958" w14:textId="0111121A" w:rsidR="00827F8C" w:rsidRPr="00013901" w:rsidRDefault="00CE2504" w:rsidP="00BC28D5">
      <w:pPr>
        <w:spacing w:after="0" w:line="480" w:lineRule="auto"/>
        <w:rPr>
          <w:b/>
        </w:rPr>
      </w:pPr>
      <w:r w:rsidRPr="00013901">
        <w:rPr>
          <w:b/>
        </w:rPr>
        <w:t>5.2.1 Pure-</w:t>
      </w:r>
      <w:r w:rsidR="00BC28D5" w:rsidRPr="00013901">
        <w:rPr>
          <w:b/>
        </w:rPr>
        <w:t>Sulfuric Acid Electrolyte Setup</w:t>
      </w:r>
    </w:p>
    <w:p w14:paraId="260AB274" w14:textId="73C682EA" w:rsidR="003C61D5" w:rsidRDefault="00827F8C" w:rsidP="00BC28D5">
      <w:pPr>
        <w:spacing w:after="0" w:line="480" w:lineRule="auto"/>
        <w:ind w:firstLine="720"/>
      </w:pPr>
      <w:r>
        <w:t xml:space="preserve">Electrolyte was circulated at a flow rate of 25 milliliters per minute. The cell was operated at room temperature. Areal specific resistance </w:t>
      </w:r>
      <w:r w:rsidR="00B34196">
        <w:t xml:space="preserve">in the cell </w:t>
      </w:r>
      <w:r>
        <w:t>was measured to be 0.5-0.6 W-cm</w:t>
      </w:r>
      <w:r>
        <w:rPr>
          <w:vertAlign w:val="superscript"/>
        </w:rPr>
        <w:t>2</w:t>
      </w:r>
      <w:r>
        <w:t xml:space="preserve">. </w:t>
      </w:r>
      <w:r w:rsidR="00B34196">
        <w:t xml:space="preserve"> A single layer of </w:t>
      </w:r>
      <w:proofErr w:type="spellStart"/>
      <w:r w:rsidR="00B34196">
        <w:t>Nafion</w:t>
      </w:r>
      <w:proofErr w:type="spellEnd"/>
      <w:r w:rsidR="00B34196">
        <w:t xml:space="preserve"> 117 served as the ion exchange membrane.  0.1 mm </w:t>
      </w:r>
      <w:proofErr w:type="spellStart"/>
      <w:r w:rsidR="00B34196">
        <w:t>Premion</w:t>
      </w:r>
      <w:proofErr w:type="spellEnd"/>
      <w:r w:rsidR="00B34196">
        <w:t xml:space="preserve">® platinum wire (Alfa </w:t>
      </w:r>
      <w:proofErr w:type="spellStart"/>
      <w:r w:rsidR="00B34196">
        <w:t>Aesar</w:t>
      </w:r>
      <w:proofErr w:type="spellEnd"/>
      <w:r w:rsidR="00B34196">
        <w:t xml:space="preserve">, 99.997% metals basis) was used in the construction of a dynamic hydrogen electrode (DHE), used to conduct </w:t>
      </w:r>
      <w:r w:rsidR="00B34196" w:rsidRPr="00827F8C">
        <w:rPr>
          <w:i/>
        </w:rPr>
        <w:t>in-situ</w:t>
      </w:r>
      <w:r w:rsidR="002C71CF">
        <w:t xml:space="preserve"> kinetics measurements constructed as described</w:t>
      </w:r>
      <w:r w:rsidR="00230EC8">
        <w:t xml:space="preserve"> by Li and Pickup</w:t>
      </w:r>
      <w:r w:rsidR="00961449">
        <w:t xml:space="preserve"> and used by Aaron et al</w:t>
      </w:r>
      <w:r w:rsidR="00BC28D5">
        <w:t xml:space="preserve"> (Figure 8</w:t>
      </w:r>
      <w:r w:rsidR="00492B40">
        <w:t>)</w:t>
      </w:r>
      <w:r w:rsidR="00230EC8">
        <w:t>.</w:t>
      </w:r>
      <w:r w:rsidR="00961449">
        <w:fldChar w:fldCharType="begin"/>
      </w:r>
      <w:r w:rsidR="00961449">
        <w:instrText xml:space="preserve"> ADDIN ZOTERO_ITEM CSL_CITATION {"citationID":"19mu81sgip","properties":{"formattedCitation":"{\\rtf \\super 10\\nosupersub{}}","plainCitation":"10"},"citationItems":[{"id":83,"uris":["http://zotero.org/users/local/rZ3AHC6s/items/KVD48ERQ"],"uri":["http://zotero.org/users/local/rZ3AHC6s/items/KVD48ERQ"],"itemData":{"id":83,"type":"article-journal","title":"In Situ Single Electrode Studies of an All-Vanadium Redox Flow Battery","container-title":"ECS Transactions","page":"43-51","volume":"41","issue":"23","abstract":"We use polarization curves and a dynamic hydrogen reference electrode (DHE) to study the effects of electrode material and state of charge on all-vanadium redox flow battery (VRB) performance. The current trend in studying these systems is to evaluate new materials or designs based on voltage, charge and power efficiency metrics.  However, such characterization does not allude to which processes may be limiting performance or which electrode dominates performance loss.  At moderate state of charge, the negative electrode dominated cell overpotential at all current densities.  As state of charge increased, the overpotential was dominated less by the negative electrode.  Thicker carbon paper showed better performance while partially wet-proofed carbon paper had a negative impact on performance compared to untreated carbon paper.  Through improvements made to the design and materials, VRB power output increased from 77 mW/cm2 to 404 mW/cm2.","DOI":"10.1149/1.3697453","journalAbbreviation":"ECS Transactions","author":[{"family":"Aaron","given":"Douglas S."},{"family":"Tang","given":"Zhijiang"},{"family":"Lawton","given":"Jamie S."},{"family":"Papandrew","given":"Alexander P."},{"family":"Zawodzinski","given":"Thomas A."}],"issued":{"date-parts":[["2012",5,4]]}}}],"schema":"https://github.com/citation-style-language/schema/raw/master/csl-citation.json"} </w:instrText>
      </w:r>
      <w:r w:rsidR="00961449">
        <w:fldChar w:fldCharType="separate"/>
      </w:r>
      <w:r w:rsidR="00961449" w:rsidRPr="00961449">
        <w:rPr>
          <w:rFonts w:ascii="Calibri" w:hAnsi="Calibri" w:cs="Times New Roman"/>
          <w:szCs w:val="24"/>
          <w:vertAlign w:val="superscript"/>
        </w:rPr>
        <w:t>10</w:t>
      </w:r>
      <w:r w:rsidR="00961449">
        <w:fldChar w:fldCharType="end"/>
      </w:r>
      <w:r w:rsidR="00961449">
        <w:rPr>
          <w:vertAlign w:val="superscript"/>
        </w:rPr>
        <w:t>,</w:t>
      </w:r>
      <w:r w:rsidR="00230EC8">
        <w:fldChar w:fldCharType="begin"/>
      </w:r>
      <w:r w:rsidR="00DC6E54">
        <w:instrText xml:space="preserve"> ADDIN ZOTERO_ITEM CSL_CITATION {"citationID":"19uu3fj3f6","properties":{"formattedCitation":"{\\rtf \\super 33\\nosupersub{}}","plainCitation":"33"},"citationItems":[{"id":87,"uris":["http://zotero.org/users/local/rZ3AHC6s/items/32P5957H"],"uri":["http://zotero.org/users/local/rZ3AHC6s/items/32P5957H"],"itemData":{"id":87,"type":"article-journal","title":"Measurement of single electrode potentials and impedances in hydrogen and direct methanol PEM fuel cells","container-title":"Electrochimica Acta","page":"4119-4126","volume":"49","issue":"24","abstract":"A commercial proton exchange membrane fuel cell has been fitted with a simple dynamic hydrogen reference electrode (DHE). Single electrode potentials and impedances measured with hydrogen and methanol as the fuel have been critically evaluated. It has been shown that the anode overpotential and impedance can be very significant in hydrogen cells operated at ambient temperature, due to dehydration of the anode. The DHE provides a powerful way of monitoring the hydration state of the membrane and electrodes, so that operating conditions can be adjusted to optimise water management. Individual electrode potentials and impedances are even more important in methanol cells, and can be conveniently measured with the DHE.","DOI":"10.1016/j.electacta.2004.04.005","ISSN":"0013-4686","journalAbbreviation":"Electrochimica Acta","author":[{"family":"Li","given":"Guangchun"},{"family":"Pickup","given":"Peter G"}],"issued":{"date-parts":[["2004",9,30]]}}}],"schema":"https://github.com/citation-style-language/schema/raw/master/csl-citation.json"} </w:instrText>
      </w:r>
      <w:r w:rsidR="00230EC8">
        <w:fldChar w:fldCharType="separate"/>
      </w:r>
      <w:r w:rsidR="00DC6E54" w:rsidRPr="00DC6E54">
        <w:rPr>
          <w:rFonts w:ascii="Calibri" w:hAnsi="Calibri" w:cs="Times New Roman"/>
          <w:szCs w:val="24"/>
          <w:vertAlign w:val="superscript"/>
        </w:rPr>
        <w:t>33</w:t>
      </w:r>
      <w:r w:rsidR="00230EC8">
        <w:fldChar w:fldCharType="end"/>
      </w:r>
      <w:r w:rsidR="002C71CF">
        <w:t xml:space="preserve"> </w:t>
      </w:r>
      <w:r w:rsidR="00230EC8">
        <w:t xml:space="preserve">A one membrane configuration with one platinum wire on either side of the single layer of </w:t>
      </w:r>
      <w:proofErr w:type="spellStart"/>
      <w:r w:rsidR="00230EC8">
        <w:t>Nafion</w:t>
      </w:r>
      <w:proofErr w:type="spellEnd"/>
      <w:r w:rsidR="00230EC8">
        <w:t xml:space="preserve"> 117 was used rather than the sandwich approach previously described in the literature.</w:t>
      </w:r>
      <w:r w:rsidR="00B34196">
        <w:t xml:space="preserve">  </w:t>
      </w:r>
    </w:p>
    <w:p w14:paraId="7EE017FB" w14:textId="357AD994" w:rsidR="003C61D5" w:rsidRDefault="003C61D5" w:rsidP="00055CFD">
      <w:pPr>
        <w:spacing w:line="480" w:lineRule="auto"/>
        <w:jc w:val="center"/>
      </w:pPr>
      <w:r>
        <w:rPr>
          <w:noProof/>
        </w:rPr>
        <w:lastRenderedPageBreak/>
        <w:drawing>
          <wp:inline distT="0" distB="0" distL="0" distR="0" wp14:anchorId="44F9CF6B" wp14:editId="441D64D1">
            <wp:extent cx="2236664" cy="2461473"/>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DHE graphic - in situ single electrode studies.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236664" cy="2461473"/>
                    </a:xfrm>
                    <a:prstGeom prst="rect">
                      <a:avLst/>
                    </a:prstGeom>
                  </pic:spPr>
                </pic:pic>
              </a:graphicData>
            </a:graphic>
          </wp:inline>
        </w:drawing>
      </w:r>
    </w:p>
    <w:p w14:paraId="1F7134DF" w14:textId="65F8BCF8" w:rsidR="00492B40" w:rsidRDefault="00492B40" w:rsidP="00BC28D5">
      <w:pPr>
        <w:spacing w:after="0" w:line="480" w:lineRule="auto"/>
        <w:jc w:val="center"/>
      </w:pPr>
      <w:r>
        <w:rPr>
          <w:b/>
        </w:rPr>
        <w:t>Fig</w:t>
      </w:r>
      <w:r w:rsidR="00BC28D5">
        <w:rPr>
          <w:b/>
        </w:rPr>
        <w:t>ure 8</w:t>
      </w:r>
      <w:r>
        <w:rPr>
          <w:b/>
        </w:rPr>
        <w:t>: DHE Construction</w:t>
      </w:r>
      <w:r>
        <w:rPr>
          <w:b/>
        </w:rPr>
        <w:fldChar w:fldCharType="begin"/>
      </w:r>
      <w:r>
        <w:rPr>
          <w:b/>
        </w:rPr>
        <w:instrText xml:space="preserve"> ADDIN ZOTERO_ITEM CSL_CITATION {"citationID":"1enthsmhjt","properties":{"formattedCitation":"{\\rtf \\super 10\\nosupersub{}}","plainCitation":"10"},"citationItems":[{"id":83,"uris":["http://zotero.org/users/local/rZ3AHC6s/items/KVD48ERQ"],"uri":["http://zotero.org/users/local/rZ3AHC6s/items/KVD48ERQ"],"itemData":{"id":83,"type":"article-journal","title":"In Situ Single Electrode Studies of an All-Vanadium Redox Flow Battery","container-title":"ECS Transactions","page":"43-51","volume":"41","issue":"23","abstract":"We use polarization curves and a dynamic hydrogen reference electrode (DHE) to study the effects of electrode material and state of charge on all-vanadium redox flow battery (VRB) performance. The current trend in studying these systems is to evaluate new materials or designs based on voltage, charge and power efficiency metrics.  However, such characterization does not allude to which processes may be limiting performance or which electrode dominates performance loss.  At moderate state of charge, the negative electrode dominated cell overpotential at all current densities.  As state of charge increased, the overpotential was dominated less by the negative electrode.  Thicker carbon paper showed better performance while partially wet-proofed carbon paper had a negative impact on performance compared to untreated carbon paper.  Through improvements made to the design and materials, VRB power output increased from 77 mW/cm2 to 404 mW/cm2.","DOI":"10.1149/1.3697453","journalAbbreviation":"ECS Transactions","author":[{"family":"Aaron","given":"Douglas S."},{"family":"Tang","given":"Zhijiang"},{"family":"Lawton","given":"Jamie S."},{"family":"Papandrew","given":"Alexander P."},{"family":"Zawodzinski","given":"Thomas A."}],"issued":{"date-parts":[["2012",5,4]]}}}],"schema":"https://github.com/citation-style-language/schema/raw/master/csl-citation.json"} </w:instrText>
      </w:r>
      <w:r>
        <w:rPr>
          <w:b/>
        </w:rPr>
        <w:fldChar w:fldCharType="separate"/>
      </w:r>
      <w:r w:rsidRPr="00492B40">
        <w:rPr>
          <w:rFonts w:ascii="Calibri" w:hAnsi="Calibri" w:cs="Times New Roman"/>
          <w:szCs w:val="24"/>
          <w:vertAlign w:val="superscript"/>
        </w:rPr>
        <w:t>10</w:t>
      </w:r>
      <w:r>
        <w:rPr>
          <w:b/>
        </w:rPr>
        <w:fldChar w:fldCharType="end"/>
      </w:r>
    </w:p>
    <w:p w14:paraId="56DB8CFB" w14:textId="12CFBC31" w:rsidR="00CE2504" w:rsidRDefault="00B34196" w:rsidP="00B06D05">
      <w:pPr>
        <w:spacing w:after="0" w:line="480" w:lineRule="auto"/>
        <w:ind w:firstLine="720"/>
      </w:pPr>
      <w:r>
        <w:t xml:space="preserve">A </w:t>
      </w:r>
      <w:proofErr w:type="spellStart"/>
      <w:r>
        <w:t>BioLogic</w:t>
      </w:r>
      <w:proofErr w:type="spellEnd"/>
      <w:r>
        <w:t xml:space="preserve"> SP-200 </w:t>
      </w:r>
      <w:proofErr w:type="spellStart"/>
      <w:r>
        <w:t>potentiostat</w:t>
      </w:r>
      <w:proofErr w:type="spellEnd"/>
      <w:r>
        <w:t xml:space="preserve"> was used to perform all measurements. Equal volumes of electrolyte were placed on either side of the </w:t>
      </w:r>
      <w:r w:rsidR="00CD7483">
        <w:t>battery, and the system was purged with nitrogen</w:t>
      </w:r>
      <w:r w:rsidR="00B06D05">
        <w:t xml:space="preserve"> for</w:t>
      </w:r>
      <w:r w:rsidR="00CD7483">
        <w:t xml:space="preserve"> fifteen minutes. The electrolyte was then</w:t>
      </w:r>
      <w:r>
        <w:t xml:space="preserve"> fully electrolyzed to </w:t>
      </w:r>
      <w:proofErr w:type="gramStart"/>
      <w:r>
        <w:t>vanadium(</w:t>
      </w:r>
      <w:proofErr w:type="gramEnd"/>
      <w:r>
        <w:t>III) and vanadium(V) on the negative and positive sides of the battery, respectively.</w:t>
      </w:r>
      <w:r w:rsidR="00CD7483">
        <w:t xml:space="preserve"> The positive electrolyte was replaced with </w:t>
      </w:r>
      <w:proofErr w:type="gramStart"/>
      <w:r w:rsidR="00CD7483">
        <w:t>vanadium(</w:t>
      </w:r>
      <w:proofErr w:type="gramEnd"/>
      <w:r w:rsidR="00CD7483">
        <w:t>IV) electrolyte of equal concentration</w:t>
      </w:r>
      <w:r w:rsidR="00B06D05">
        <w:t xml:space="preserve"> and volume</w:t>
      </w:r>
      <w:r w:rsidR="00CD7483">
        <w:t xml:space="preserve">. The battery was thus at a fully discharged state (0% state of charge). </w:t>
      </w:r>
      <w:r w:rsidR="00FA02C5">
        <w:t>The exchange current density was measured</w:t>
      </w:r>
      <w:r w:rsidR="00CD7483">
        <w:t xml:space="preserve"> by applying increasing amounts of </w:t>
      </w:r>
      <w:proofErr w:type="spellStart"/>
      <w:r w:rsidR="00CD7483">
        <w:t>overpotential</w:t>
      </w:r>
      <w:proofErr w:type="spellEnd"/>
      <w:r w:rsidR="00CD7483">
        <w:t xml:space="preserve"> to the battery and measuring the current response. Because equal amounts of positive and negative </w:t>
      </w:r>
      <w:proofErr w:type="spellStart"/>
      <w:r w:rsidR="00CD7483">
        <w:t>overpotentials</w:t>
      </w:r>
      <w:proofErr w:type="spellEnd"/>
      <w:r w:rsidR="00CD7483">
        <w:t xml:space="preserve"> were applied through the course of the measurement, state of charge was</w:t>
      </w:r>
      <w:r w:rsidR="00B06D05">
        <w:t xml:space="preserve"> assumed to be</w:t>
      </w:r>
      <w:r w:rsidR="00CD7483">
        <w:t xml:space="preserve"> unaffected. The battery was charged </w:t>
      </w:r>
      <w:r w:rsidR="00FA02C5">
        <w:t xml:space="preserve">and exchange current measured at states of charge </w:t>
      </w:r>
      <w:proofErr w:type="gramStart"/>
      <w:r w:rsidR="00FA02C5">
        <w:t>between 0% to 100%</w:t>
      </w:r>
      <w:proofErr w:type="gramEnd"/>
      <w:r w:rsidR="00FA02C5">
        <w:t xml:space="preserve">. All data was </w:t>
      </w:r>
      <w:proofErr w:type="spellStart"/>
      <w:r w:rsidR="00FA02C5">
        <w:t>iR</w:t>
      </w:r>
      <w:proofErr w:type="spellEnd"/>
      <w:r w:rsidR="00FA02C5">
        <w:t xml:space="preserve"> corrected before processing.</w:t>
      </w:r>
      <w:r w:rsidR="00E708F9">
        <w:t xml:space="preserve"> All values shown are ave</w:t>
      </w:r>
      <w:r w:rsidR="00B06D05">
        <w:t>raged results of three</w:t>
      </w:r>
      <w:r w:rsidR="00E708F9">
        <w:t xml:space="preserve"> experimental runs.</w:t>
      </w:r>
    </w:p>
    <w:p w14:paraId="35FAE82A" w14:textId="743A954C" w:rsidR="00CE2504" w:rsidRPr="00013901" w:rsidRDefault="00CE2504" w:rsidP="00B06D05">
      <w:pPr>
        <w:spacing w:after="0" w:line="480" w:lineRule="auto"/>
        <w:rPr>
          <w:b/>
        </w:rPr>
      </w:pPr>
      <w:r w:rsidRPr="00013901">
        <w:rPr>
          <w:b/>
        </w:rPr>
        <w:t xml:space="preserve">5.2.2 Mixed </w:t>
      </w:r>
      <w:r w:rsidR="00013901" w:rsidRPr="00013901">
        <w:rPr>
          <w:b/>
        </w:rPr>
        <w:t>Electrolyte</w:t>
      </w:r>
      <w:r w:rsidR="00B06D05" w:rsidRPr="00013901">
        <w:rPr>
          <w:b/>
        </w:rPr>
        <w:t xml:space="preserve"> Setup</w:t>
      </w:r>
    </w:p>
    <w:p w14:paraId="7C469B92" w14:textId="49AA2995" w:rsidR="00FA02C5" w:rsidRDefault="00CE2504" w:rsidP="00B06D05">
      <w:pPr>
        <w:spacing w:after="0" w:line="480" w:lineRule="auto"/>
        <w:ind w:firstLine="720"/>
      </w:pPr>
      <w:r>
        <w:t>The setup for the pure-sulfuric acid setup is conserved in the mixed sulfuric acid-hydrochloric acid setup with the exception of the reference electrode. Rather than a DHE, a mercury/</w:t>
      </w:r>
      <w:proofErr w:type="spellStart"/>
      <w:r>
        <w:t>mercurous</w:t>
      </w:r>
      <w:proofErr w:type="spellEnd"/>
      <w:r>
        <w:t xml:space="preserve"> sulfate (Hg/Hg</w:t>
      </w:r>
      <w:r>
        <w:rPr>
          <w:vertAlign w:val="subscript"/>
        </w:rPr>
        <w:t>2</w:t>
      </w:r>
      <w:r>
        <w:t>SO</w:t>
      </w:r>
      <w:r>
        <w:rPr>
          <w:vertAlign w:val="subscript"/>
        </w:rPr>
        <w:t>4</w:t>
      </w:r>
      <w:r>
        <w:t xml:space="preserve">) reference electrode was used. Two </w:t>
      </w:r>
      <w:proofErr w:type="spellStart"/>
      <w:r>
        <w:t>Nafion</w:t>
      </w:r>
      <w:proofErr w:type="spellEnd"/>
      <w:r>
        <w:t xml:space="preserve"> 117 membranes protruded from the top </w:t>
      </w:r>
      <w:r>
        <w:lastRenderedPageBreak/>
        <w:t>of the graphite plates, creating a trough on top of the graphite plates. The tip of the reference electrode was placed in this trough, and a droplet of 0.5M sulfuric acid placed the tip of the reference electrode in ionic contact with the membranes. This droplet was replaced with a new droplet of 0.5M sulfuric acid between each state of charge at which measurements were conducted. The reference electrode was held in place by a clamp to ensure it did not move throughout the measurements. This reference setup was chosen over the DHE setup used previously as it proved more stable than the highly unstable DHE potential readings initially obtained for this electrolyte.</w:t>
      </w:r>
    </w:p>
    <w:p w14:paraId="1A9D9F45" w14:textId="200A0EA0" w:rsidR="00CE2504" w:rsidRPr="00013901" w:rsidRDefault="00B06D05" w:rsidP="00B06D05">
      <w:pPr>
        <w:spacing w:after="0" w:line="480" w:lineRule="auto"/>
        <w:rPr>
          <w:b/>
        </w:rPr>
      </w:pPr>
      <w:r w:rsidRPr="00013901">
        <w:rPr>
          <w:b/>
        </w:rPr>
        <w:t>5.3 Data</w:t>
      </w:r>
    </w:p>
    <w:p w14:paraId="32C70BC6" w14:textId="21F23234" w:rsidR="00FA02C5" w:rsidRPr="00013901" w:rsidRDefault="00CE2504" w:rsidP="00556957">
      <w:pPr>
        <w:spacing w:after="0" w:line="480" w:lineRule="auto"/>
        <w:rPr>
          <w:b/>
        </w:rPr>
      </w:pPr>
      <w:r w:rsidRPr="00013901">
        <w:rPr>
          <w:b/>
        </w:rPr>
        <w:t>5.3.1</w:t>
      </w:r>
      <w:r w:rsidR="00556957" w:rsidRPr="00013901">
        <w:rPr>
          <w:b/>
        </w:rPr>
        <w:t xml:space="preserve"> Pure-Sulfuric Acid Electrolyte</w:t>
      </w:r>
    </w:p>
    <w:p w14:paraId="2958F44C" w14:textId="57A75A35" w:rsidR="00FF1E91" w:rsidRDefault="00FA02C5" w:rsidP="00055CFD">
      <w:pPr>
        <w:spacing w:line="480" w:lineRule="auto"/>
      </w:pPr>
      <w:r w:rsidRPr="00FA02C5">
        <w:rPr>
          <w:noProof/>
        </w:rPr>
        <w:drawing>
          <wp:inline distT="0" distB="0" distL="0" distR="0" wp14:anchorId="205438DD" wp14:editId="3B35B1BE">
            <wp:extent cx="4469339" cy="2743200"/>
            <wp:effectExtent l="0" t="0" r="7620" b="0"/>
            <wp:docPr id="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pic:cNvPicPr>
                      <a:picLocks noChangeAspect="1"/>
                    </pic:cNvPicPr>
                  </pic:nvPicPr>
                  <pic:blipFill>
                    <a:blip r:embed="rId34"/>
                    <a:stretch>
                      <a:fillRect/>
                    </a:stretch>
                  </pic:blipFill>
                  <pic:spPr>
                    <a:xfrm>
                      <a:off x="0" y="0"/>
                      <a:ext cx="4469339" cy="2743200"/>
                    </a:xfrm>
                    <a:prstGeom prst="rect">
                      <a:avLst/>
                    </a:prstGeom>
                  </pic:spPr>
                </pic:pic>
              </a:graphicData>
            </a:graphic>
          </wp:inline>
        </w:drawing>
      </w:r>
    </w:p>
    <w:p w14:paraId="42B12E55" w14:textId="41EC1D75" w:rsidR="00FA02C5" w:rsidRDefault="00556957" w:rsidP="00055CFD">
      <w:pPr>
        <w:spacing w:line="480" w:lineRule="auto"/>
      </w:pPr>
      <w:r w:rsidRPr="00556957">
        <w:rPr>
          <w:b/>
        </w:rPr>
        <w:t>Figure 9</w:t>
      </w:r>
      <w:r w:rsidR="00FA02C5">
        <w:t>:  VO</w:t>
      </w:r>
      <w:r w:rsidR="00FA02C5">
        <w:rPr>
          <w:vertAlign w:val="subscript"/>
        </w:rPr>
        <w:t>2</w:t>
      </w:r>
      <w:r w:rsidR="00FA02C5">
        <w:rPr>
          <w:vertAlign w:val="superscript"/>
        </w:rPr>
        <w:t>+</w:t>
      </w:r>
      <w:r w:rsidR="00FA02C5">
        <w:t>/VO</w:t>
      </w:r>
      <w:r w:rsidR="00FA02C5">
        <w:rPr>
          <w:vertAlign w:val="superscript"/>
        </w:rPr>
        <w:t>2+</w:t>
      </w:r>
      <w:r w:rsidR="00FA02C5">
        <w:t xml:space="preserve"> Current Density vs. </w:t>
      </w:r>
      <w:proofErr w:type="spellStart"/>
      <w:r w:rsidR="00FA02C5">
        <w:t>Overpotential</w:t>
      </w:r>
      <w:proofErr w:type="spellEnd"/>
    </w:p>
    <w:p w14:paraId="6C1404DC" w14:textId="77777777" w:rsidR="00FA02C5" w:rsidRDefault="00FA02C5" w:rsidP="00055CFD">
      <w:pPr>
        <w:spacing w:line="480" w:lineRule="auto"/>
      </w:pPr>
    </w:p>
    <w:p w14:paraId="39CE1A7F" w14:textId="5EF20DF7" w:rsidR="00FA02C5" w:rsidRDefault="00FA02C5" w:rsidP="00055CFD">
      <w:pPr>
        <w:spacing w:line="480" w:lineRule="auto"/>
      </w:pPr>
      <w:r w:rsidRPr="00FA02C5">
        <w:rPr>
          <w:noProof/>
        </w:rPr>
        <w:lastRenderedPageBreak/>
        <w:drawing>
          <wp:inline distT="0" distB="0" distL="0" distR="0" wp14:anchorId="0A4D58B1" wp14:editId="54731537">
            <wp:extent cx="4480560" cy="3174692"/>
            <wp:effectExtent l="0" t="0" r="0" b="6985"/>
            <wp:docPr id="2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pic:cNvPicPr>
                      <a:picLocks noChangeAspect="1"/>
                    </pic:cNvPicPr>
                  </pic:nvPicPr>
                  <pic:blipFill>
                    <a:blip r:embed="rId35"/>
                    <a:stretch>
                      <a:fillRect/>
                    </a:stretch>
                  </pic:blipFill>
                  <pic:spPr>
                    <a:xfrm>
                      <a:off x="0" y="0"/>
                      <a:ext cx="4480560" cy="3174692"/>
                    </a:xfrm>
                    <a:prstGeom prst="rect">
                      <a:avLst/>
                    </a:prstGeom>
                  </pic:spPr>
                </pic:pic>
              </a:graphicData>
            </a:graphic>
          </wp:inline>
        </w:drawing>
      </w:r>
    </w:p>
    <w:p w14:paraId="5ABA434F" w14:textId="7A05F8BD" w:rsidR="00BE0981" w:rsidRDefault="00556957" w:rsidP="00556957">
      <w:pPr>
        <w:spacing w:after="0" w:line="480" w:lineRule="auto"/>
      </w:pPr>
      <w:r w:rsidRPr="00556957">
        <w:rPr>
          <w:b/>
        </w:rPr>
        <w:t>Figure 10</w:t>
      </w:r>
      <w:r w:rsidR="00FA02C5">
        <w:t>: V</w:t>
      </w:r>
      <w:r w:rsidR="00FA02C5">
        <w:rPr>
          <w:vertAlign w:val="superscript"/>
        </w:rPr>
        <w:t>3+</w:t>
      </w:r>
      <w:r w:rsidR="00FA02C5">
        <w:t>/V</w:t>
      </w:r>
      <w:r w:rsidR="00FA02C5">
        <w:rPr>
          <w:vertAlign w:val="superscript"/>
        </w:rPr>
        <w:t>2+</w:t>
      </w:r>
      <w:r w:rsidR="00FA02C5">
        <w:t xml:space="preserve"> Curr</w:t>
      </w:r>
      <w:r>
        <w:t xml:space="preserve">ent Density vs. </w:t>
      </w:r>
      <w:proofErr w:type="spellStart"/>
      <w:r>
        <w:t>Overpotential</w:t>
      </w:r>
      <w:proofErr w:type="spellEnd"/>
    </w:p>
    <w:p w14:paraId="36B52642" w14:textId="08B02FFA" w:rsidR="00BE0981" w:rsidRPr="00BE0981" w:rsidRDefault="00556957" w:rsidP="00556957">
      <w:pPr>
        <w:spacing w:after="0" w:line="480" w:lineRule="auto"/>
        <w:ind w:firstLine="720"/>
      </w:pPr>
      <w:r>
        <w:t>Figures (9) and (10)</w:t>
      </w:r>
      <w:r w:rsidR="00BE0981">
        <w:t xml:space="preserve">, showing logarithmic current density response to applied </w:t>
      </w:r>
      <w:proofErr w:type="spellStart"/>
      <w:r w:rsidR="00BE0981">
        <w:t>overpotentials</w:t>
      </w:r>
      <w:proofErr w:type="spellEnd"/>
      <w:r w:rsidR="00BE0981">
        <w:t xml:space="preserve"> on the positive and negative sides of the battery, respectively, immediately indicates starkly different kinetics behavior on each side. The VO</w:t>
      </w:r>
      <w:r w:rsidR="00BE0981">
        <w:rPr>
          <w:vertAlign w:val="subscript"/>
        </w:rPr>
        <w:t>2</w:t>
      </w:r>
      <w:r w:rsidR="00BE0981">
        <w:rPr>
          <w:vertAlign w:val="superscript"/>
        </w:rPr>
        <w:t>+</w:t>
      </w:r>
      <w:r w:rsidR="00BE0981">
        <w:t>/VO</w:t>
      </w:r>
      <w:r w:rsidR="00BE0981">
        <w:rPr>
          <w:vertAlign w:val="superscript"/>
        </w:rPr>
        <w:t>2+</w:t>
      </w:r>
      <w:r w:rsidR="00BE0981">
        <w:t xml:space="preserve"> couple shows a stronger absolute response to applied </w:t>
      </w:r>
      <w:proofErr w:type="spellStart"/>
      <w:r w:rsidR="00BE0981">
        <w:t>overpotential</w:t>
      </w:r>
      <w:proofErr w:type="spellEnd"/>
      <w:r w:rsidR="00BE0981">
        <w:t xml:space="preserve"> and distinctly non-</w:t>
      </w:r>
      <w:proofErr w:type="spellStart"/>
      <w:r w:rsidR="00BE0981">
        <w:t>Tafel</w:t>
      </w:r>
      <w:proofErr w:type="spellEnd"/>
      <w:r w:rsidR="00BE0981">
        <w:t xml:space="preserve"> kinetic behavior. The maximum current response is seen at 50% state of charge. In contrast, the V</w:t>
      </w:r>
      <w:r w:rsidR="00BE0981">
        <w:rPr>
          <w:vertAlign w:val="superscript"/>
        </w:rPr>
        <w:t>3+</w:t>
      </w:r>
      <w:r w:rsidR="00BE0981">
        <w:t>/V</w:t>
      </w:r>
      <w:r w:rsidR="00BE0981">
        <w:rPr>
          <w:vertAlign w:val="superscript"/>
        </w:rPr>
        <w:t>2+</w:t>
      </w:r>
      <w:r w:rsidR="00BE0981">
        <w:t xml:space="preserve"> couple exhibits classical </w:t>
      </w:r>
      <w:proofErr w:type="spellStart"/>
      <w:r w:rsidR="00BE0981">
        <w:t>Tafel</w:t>
      </w:r>
      <w:proofErr w:type="spellEnd"/>
      <w:r w:rsidR="00BE0981">
        <w:t xml:space="preserve"> kinetic behavior. Maximum current response is again achieved at 50% state of charge as also occurs for the positive couple.  An approximately parabolic current response as a function of state of charge is evident from cursory analysis. </w:t>
      </w:r>
    </w:p>
    <w:p w14:paraId="362877C0" w14:textId="0C4D0D8D" w:rsidR="00C84736" w:rsidRDefault="00C84736" w:rsidP="00055CFD">
      <w:pPr>
        <w:spacing w:line="480" w:lineRule="auto"/>
      </w:pPr>
      <w:r w:rsidRPr="00C84736">
        <w:rPr>
          <w:noProof/>
        </w:rPr>
        <w:lastRenderedPageBreak/>
        <w:drawing>
          <wp:inline distT="0" distB="0" distL="0" distR="0" wp14:anchorId="030D823D" wp14:editId="135E0ED0">
            <wp:extent cx="4480560" cy="3428873"/>
            <wp:effectExtent l="0" t="0" r="0" b="63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6"/>
                    <a:stretch>
                      <a:fillRect/>
                    </a:stretch>
                  </pic:blipFill>
                  <pic:spPr>
                    <a:xfrm>
                      <a:off x="0" y="0"/>
                      <a:ext cx="4480560" cy="3428873"/>
                    </a:xfrm>
                    <a:prstGeom prst="rect">
                      <a:avLst/>
                    </a:prstGeom>
                  </pic:spPr>
                </pic:pic>
              </a:graphicData>
            </a:graphic>
          </wp:inline>
        </w:drawing>
      </w:r>
    </w:p>
    <w:p w14:paraId="7C77CF34" w14:textId="77777777" w:rsidR="00C84736" w:rsidRDefault="00C84736" w:rsidP="00055CFD">
      <w:pPr>
        <w:spacing w:line="480" w:lineRule="auto"/>
      </w:pPr>
    </w:p>
    <w:p w14:paraId="3C98C594" w14:textId="1E411E01" w:rsidR="00C84736" w:rsidRDefault="003967D7" w:rsidP="003967D7">
      <w:pPr>
        <w:spacing w:after="0" w:line="480" w:lineRule="auto"/>
      </w:pPr>
      <w:r w:rsidRPr="003967D7">
        <w:rPr>
          <w:b/>
        </w:rPr>
        <w:t>Figure 11</w:t>
      </w:r>
      <w:r w:rsidR="00C84736">
        <w:t>: Exchange Current De</w:t>
      </w:r>
      <w:r>
        <w:t>nsity vs. State of Charge</w:t>
      </w:r>
    </w:p>
    <w:p w14:paraId="15F35283" w14:textId="3B2E0BE4" w:rsidR="00BE0981" w:rsidRDefault="003967D7" w:rsidP="003967D7">
      <w:pPr>
        <w:spacing w:after="0" w:line="480" w:lineRule="auto"/>
        <w:ind w:firstLine="720"/>
      </w:pPr>
      <w:r>
        <w:t>Figure (11)</w:t>
      </w:r>
      <w:r w:rsidR="00BE0981">
        <w:t xml:space="preserve"> supports the initial observation of the parabolic behavior exchange current density as a function of state of charge for both the positive and negative sides of the battery. The positive couple shows stronger absolute current density response as a function of state of charge, indicating that the kinetics of the positive couple are approximately five times faster than those of the negative couple. </w:t>
      </w:r>
    </w:p>
    <w:p w14:paraId="7FC760F2" w14:textId="360FB606" w:rsidR="00C84736" w:rsidRDefault="00C84736" w:rsidP="00055CFD">
      <w:pPr>
        <w:spacing w:line="480" w:lineRule="auto"/>
      </w:pPr>
      <w:r w:rsidRPr="00C84736">
        <w:rPr>
          <w:noProof/>
        </w:rPr>
        <w:lastRenderedPageBreak/>
        <w:drawing>
          <wp:inline distT="0" distB="0" distL="0" distR="0" wp14:anchorId="13C6CF09" wp14:editId="344929CC">
            <wp:extent cx="4480560" cy="3426958"/>
            <wp:effectExtent l="0" t="0" r="0" b="254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7"/>
                    <a:stretch>
                      <a:fillRect/>
                    </a:stretch>
                  </pic:blipFill>
                  <pic:spPr>
                    <a:xfrm>
                      <a:off x="0" y="0"/>
                      <a:ext cx="4480560" cy="3426958"/>
                    </a:xfrm>
                    <a:prstGeom prst="rect">
                      <a:avLst/>
                    </a:prstGeom>
                  </pic:spPr>
                </pic:pic>
              </a:graphicData>
            </a:graphic>
          </wp:inline>
        </w:drawing>
      </w:r>
    </w:p>
    <w:p w14:paraId="6B9A1600" w14:textId="77777777" w:rsidR="00C84736" w:rsidRDefault="00C84736" w:rsidP="00055CFD">
      <w:pPr>
        <w:spacing w:line="480" w:lineRule="auto"/>
      </w:pPr>
    </w:p>
    <w:p w14:paraId="6D57F107" w14:textId="63E27D63" w:rsidR="003D2D15" w:rsidRDefault="003967D7" w:rsidP="003967D7">
      <w:pPr>
        <w:spacing w:after="0" w:line="480" w:lineRule="auto"/>
      </w:pPr>
      <w:r w:rsidRPr="003967D7">
        <w:rPr>
          <w:b/>
        </w:rPr>
        <w:t>Figure 12</w:t>
      </w:r>
      <w:r w:rsidR="00C84736">
        <w:t>: Normalized Exchange Curr</w:t>
      </w:r>
      <w:r>
        <w:t>ent Density vs. State of Charge</w:t>
      </w:r>
    </w:p>
    <w:p w14:paraId="38490359" w14:textId="07318534" w:rsidR="00A84721" w:rsidRDefault="00BE0981" w:rsidP="003967D7">
      <w:pPr>
        <w:spacing w:after="0" w:line="480" w:lineRule="auto"/>
        <w:ind w:firstLine="720"/>
      </w:pPr>
      <w:r>
        <w:t>To remove magnitude bias from the results, exchange current density for each side of the battery at each state of charge was normalized against the maximum exchange current density in the series</w:t>
      </w:r>
      <w:r w:rsidR="003967D7">
        <w:t xml:space="preserve"> (Figure 12</w:t>
      </w:r>
      <w:r w:rsidR="00723437">
        <w:t>)</w:t>
      </w:r>
      <w:r>
        <w:t>. The V</w:t>
      </w:r>
      <w:r>
        <w:rPr>
          <w:vertAlign w:val="superscript"/>
        </w:rPr>
        <w:t>5+</w:t>
      </w:r>
      <w:r>
        <w:t>/V</w:t>
      </w:r>
      <w:r>
        <w:rPr>
          <w:vertAlign w:val="superscript"/>
        </w:rPr>
        <w:t>4+</w:t>
      </w:r>
      <w:r>
        <w:t xml:space="preserve"> couple’s exchange current density, though having a stronger absolute response to state of charge, has the same relative response to state of charge</w:t>
      </w:r>
      <w:r w:rsidR="00723437">
        <w:t xml:space="preserve"> as does the V</w:t>
      </w:r>
      <w:r w:rsidR="00723437">
        <w:rPr>
          <w:vertAlign w:val="superscript"/>
        </w:rPr>
        <w:t>3+</w:t>
      </w:r>
      <w:r w:rsidR="00723437">
        <w:t>/V</w:t>
      </w:r>
      <w:r w:rsidR="00723437">
        <w:rPr>
          <w:vertAlign w:val="superscript"/>
        </w:rPr>
        <w:t>2+</w:t>
      </w:r>
      <w:r w:rsidR="00723437">
        <w:t xml:space="preserve"> couple.</w:t>
      </w:r>
    </w:p>
    <w:p w14:paraId="5446CDE3" w14:textId="2819BF6C" w:rsidR="00A84721" w:rsidRDefault="003967D7" w:rsidP="003967D7">
      <w:pPr>
        <w:spacing w:after="0" w:line="480" w:lineRule="auto"/>
        <w:ind w:firstLine="720"/>
      </w:pPr>
      <w:r>
        <w:t>Using Equation (16)</w:t>
      </w:r>
      <w:r w:rsidR="00A84721">
        <w:t>, this data was further analyzed by correcting the observed J</w:t>
      </w:r>
      <w:r w:rsidR="00A84721">
        <w:rPr>
          <w:vertAlign w:val="subscript"/>
        </w:rPr>
        <w:t>0</w:t>
      </w:r>
      <w:r w:rsidR="00A84721">
        <w:t xml:space="preserve"> for the concentrations of the reagents, </w:t>
      </w:r>
      <w:r>
        <w:t>yielding the results in Figure (13)</w:t>
      </w:r>
      <w:r w:rsidR="00A84721">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84721" w14:paraId="758021FF" w14:textId="77777777" w:rsidTr="00A84721">
        <w:tc>
          <w:tcPr>
            <w:tcW w:w="3116" w:type="dxa"/>
          </w:tcPr>
          <w:p w14:paraId="2A3F787E" w14:textId="77777777" w:rsidR="00A84721" w:rsidRDefault="00A84721" w:rsidP="003967D7">
            <w:pPr>
              <w:spacing w:after="0" w:line="480" w:lineRule="auto"/>
            </w:pPr>
          </w:p>
        </w:tc>
        <w:tc>
          <w:tcPr>
            <w:tcW w:w="3117" w:type="dxa"/>
          </w:tcPr>
          <w:p w14:paraId="5FFE48BF" w14:textId="64F5358F" w:rsidR="00A84721" w:rsidRDefault="00056C85" w:rsidP="003967D7">
            <w:pPr>
              <w:spacing w:after="0" w:line="480" w:lineRule="auto"/>
            </w:pPr>
            <m:oMathPara>
              <m:oMath>
                <m:sSub>
                  <m:sSubPr>
                    <m:ctrlPr>
                      <w:rPr>
                        <w:rFonts w:ascii="Cambria Math" w:hAnsi="Cambria Math"/>
                        <w:i/>
                      </w:rPr>
                    </m:ctrlPr>
                  </m:sSubPr>
                  <m:e>
                    <m:r>
                      <w:rPr>
                        <w:rFonts w:ascii="Cambria Math" w:hAnsi="Cambria Math"/>
                      </w:rPr>
                      <m:t>J</m:t>
                    </m:r>
                  </m:e>
                  <m:sub>
                    <m:r>
                      <w:rPr>
                        <w:rFonts w:ascii="Cambria Math" w:hAnsi="Cambria Math"/>
                      </w:rPr>
                      <m:t>0</m:t>
                    </m:r>
                  </m:sub>
                </m:sSub>
                <m:r>
                  <w:rPr>
                    <w:rFonts w:ascii="Cambria Math" w:hAnsi="Cambria Math"/>
                  </w:rPr>
                  <m:t>=nF</m:t>
                </m:r>
                <m:sSup>
                  <m:sSupPr>
                    <m:ctrlPr>
                      <w:rPr>
                        <w:rFonts w:ascii="Cambria Math" w:hAnsi="Cambria Math"/>
                        <w:i/>
                      </w:rPr>
                    </m:ctrlPr>
                  </m:sSupPr>
                  <m:e>
                    <m:r>
                      <w:rPr>
                        <w:rFonts w:ascii="Cambria Math" w:hAnsi="Cambria Math"/>
                      </w:rPr>
                      <m:t>k</m:t>
                    </m:r>
                  </m:e>
                  <m:sup>
                    <m:r>
                      <w:rPr>
                        <w:rFonts w:ascii="Cambria Math" w:hAnsi="Cambria Math"/>
                      </w:rPr>
                      <m:t>0</m:t>
                    </m:r>
                  </m:sup>
                </m:sSup>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ox</m:t>
                    </m:r>
                  </m:sub>
                </m:sSub>
                <m:sSup>
                  <m:sSupPr>
                    <m:ctrlPr>
                      <w:rPr>
                        <w:rFonts w:ascii="Cambria Math" w:hAnsi="Cambria Math"/>
                        <w:i/>
                      </w:rPr>
                    </m:ctrlPr>
                  </m:sSupPr>
                  <m:e>
                    <m:r>
                      <w:rPr>
                        <w:rFonts w:ascii="Cambria Math" w:hAnsi="Cambria Math"/>
                      </w:rPr>
                      <m:t>)</m:t>
                    </m:r>
                  </m:e>
                  <m:sup>
                    <m:r>
                      <w:rPr>
                        <w:rFonts w:ascii="Cambria Math" w:hAnsi="Cambria Math"/>
                      </w:rPr>
                      <m:t>(1-α)</m:t>
                    </m:r>
                  </m:sup>
                </m:sSup>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red</m:t>
                    </m:r>
                  </m:sub>
                </m:sSub>
                <m:sSup>
                  <m:sSupPr>
                    <m:ctrlPr>
                      <w:rPr>
                        <w:rFonts w:ascii="Cambria Math" w:hAnsi="Cambria Math"/>
                        <w:i/>
                      </w:rPr>
                    </m:ctrlPr>
                  </m:sSupPr>
                  <m:e>
                    <m:r>
                      <w:rPr>
                        <w:rFonts w:ascii="Cambria Math" w:hAnsi="Cambria Math"/>
                      </w:rPr>
                      <m:t>)</m:t>
                    </m:r>
                  </m:e>
                  <m:sup>
                    <m:r>
                      <w:rPr>
                        <w:rFonts w:ascii="Cambria Math" w:hAnsi="Cambria Math"/>
                      </w:rPr>
                      <m:t>α</m:t>
                    </m:r>
                  </m:sup>
                </m:sSup>
              </m:oMath>
            </m:oMathPara>
          </w:p>
        </w:tc>
        <w:tc>
          <w:tcPr>
            <w:tcW w:w="3117" w:type="dxa"/>
          </w:tcPr>
          <w:p w14:paraId="3939B276" w14:textId="6E75423F" w:rsidR="00A84721" w:rsidRDefault="003967D7" w:rsidP="003967D7">
            <w:pPr>
              <w:spacing w:after="0" w:line="480" w:lineRule="auto"/>
              <w:jc w:val="right"/>
            </w:pPr>
            <w:r>
              <w:t>(16</w:t>
            </w:r>
            <w:r w:rsidR="00A84721">
              <w:t>)</w:t>
            </w:r>
          </w:p>
        </w:tc>
      </w:tr>
    </w:tbl>
    <w:p w14:paraId="687994E4" w14:textId="75558EBD" w:rsidR="00A84721" w:rsidRPr="00A84721" w:rsidRDefault="00A84721" w:rsidP="003967D7">
      <w:pPr>
        <w:spacing w:after="0" w:line="480" w:lineRule="auto"/>
      </w:pPr>
      <w:proofErr w:type="gramStart"/>
      <w:r>
        <w:t>α</w:t>
      </w:r>
      <w:proofErr w:type="gramEnd"/>
      <w:r>
        <w:t xml:space="preserve"> was assumed to be 0.5,  and k</w:t>
      </w:r>
      <w:r>
        <w:rPr>
          <w:vertAlign w:val="superscript"/>
        </w:rPr>
        <w:t>0</w:t>
      </w:r>
      <w:r>
        <w:t xml:space="preserve"> has the units of centimeters per second.</w:t>
      </w:r>
    </w:p>
    <w:p w14:paraId="54425A29" w14:textId="77777777" w:rsidR="00A84721" w:rsidRPr="00723437" w:rsidRDefault="00A84721" w:rsidP="00055CFD">
      <w:pPr>
        <w:spacing w:line="480" w:lineRule="auto"/>
      </w:pPr>
    </w:p>
    <w:p w14:paraId="53607668" w14:textId="126C41F6" w:rsidR="00C84736" w:rsidRDefault="00C84736" w:rsidP="00055CFD">
      <w:pPr>
        <w:spacing w:line="480" w:lineRule="auto"/>
      </w:pPr>
      <w:r w:rsidRPr="00C84736">
        <w:rPr>
          <w:noProof/>
        </w:rPr>
        <w:lastRenderedPageBreak/>
        <w:drawing>
          <wp:inline distT="0" distB="0" distL="0" distR="0" wp14:anchorId="5E2B3DBA" wp14:editId="56A303FE">
            <wp:extent cx="4480560" cy="3897991"/>
            <wp:effectExtent l="0" t="0" r="0" b="7620"/>
            <wp:docPr id="3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pic:cNvPicPr>
                      <a:picLocks noChangeAspect="1"/>
                    </pic:cNvPicPr>
                  </pic:nvPicPr>
                  <pic:blipFill>
                    <a:blip r:embed="rId38"/>
                    <a:stretch>
                      <a:fillRect/>
                    </a:stretch>
                  </pic:blipFill>
                  <pic:spPr>
                    <a:xfrm>
                      <a:off x="0" y="0"/>
                      <a:ext cx="4480560" cy="3897991"/>
                    </a:xfrm>
                    <a:prstGeom prst="rect">
                      <a:avLst/>
                    </a:prstGeom>
                  </pic:spPr>
                </pic:pic>
              </a:graphicData>
            </a:graphic>
          </wp:inline>
        </w:drawing>
      </w:r>
    </w:p>
    <w:p w14:paraId="5AE72668" w14:textId="77777777" w:rsidR="00C84736" w:rsidRDefault="00C84736" w:rsidP="00055CFD">
      <w:pPr>
        <w:spacing w:line="480" w:lineRule="auto"/>
      </w:pPr>
    </w:p>
    <w:p w14:paraId="592DD377" w14:textId="2E5414C9" w:rsidR="00375436" w:rsidRDefault="003967D7" w:rsidP="003967D7">
      <w:pPr>
        <w:spacing w:after="0" w:line="480" w:lineRule="auto"/>
      </w:pPr>
      <w:r w:rsidRPr="003967D7">
        <w:rPr>
          <w:b/>
        </w:rPr>
        <w:t>Figure 13</w:t>
      </w:r>
      <w:r w:rsidR="00C84736" w:rsidRPr="003967D7">
        <w:rPr>
          <w:b/>
        </w:rPr>
        <w:t>:</w:t>
      </w:r>
      <w:r w:rsidR="00C84736">
        <w:t xml:space="preserve"> Reaction Ra</w:t>
      </w:r>
      <w:r>
        <w:t>te Constant vs. State of Charge</w:t>
      </w:r>
    </w:p>
    <w:p w14:paraId="20D0B910" w14:textId="2C970092" w:rsidR="00723437" w:rsidRPr="00723437" w:rsidRDefault="00230EC8" w:rsidP="003967D7">
      <w:pPr>
        <w:spacing w:after="0" w:line="480" w:lineRule="auto"/>
        <w:ind w:firstLine="720"/>
      </w:pPr>
      <w:r>
        <w:t>T</w:t>
      </w:r>
      <w:r w:rsidR="00723437">
        <w:t>he reaction rate constant for each side of the battery remains approximately constant as a function of state of charge</w:t>
      </w:r>
      <w:r w:rsidR="003967D7">
        <w:t xml:space="preserve"> (Figure 13</w:t>
      </w:r>
      <w:r>
        <w:t>)</w:t>
      </w:r>
      <w:r w:rsidR="00723437">
        <w:t>. The reaction rate constant for the V</w:t>
      </w:r>
      <w:r w:rsidR="00723437">
        <w:rPr>
          <w:vertAlign w:val="superscript"/>
        </w:rPr>
        <w:t>5+</w:t>
      </w:r>
      <w:r w:rsidR="00723437">
        <w:t>/V</w:t>
      </w:r>
      <w:r w:rsidR="00723437">
        <w:rPr>
          <w:vertAlign w:val="superscript"/>
        </w:rPr>
        <w:t xml:space="preserve">4+ </w:t>
      </w:r>
      <w:r w:rsidR="00723437">
        <w:t>couple is approximately 1.5 orders of magnitude greater than the reaction rate constant of the V</w:t>
      </w:r>
      <w:r w:rsidR="00723437">
        <w:rPr>
          <w:vertAlign w:val="superscript"/>
        </w:rPr>
        <w:t>3+</w:t>
      </w:r>
      <w:r w:rsidR="00723437">
        <w:t>/V</w:t>
      </w:r>
      <w:r w:rsidR="00723437">
        <w:rPr>
          <w:vertAlign w:val="superscript"/>
        </w:rPr>
        <w:t>2+</w:t>
      </w:r>
      <w:r w:rsidR="00723437">
        <w:t xml:space="preserve"> couple.</w:t>
      </w:r>
      <w:r w:rsidR="003967D7">
        <w:t xml:space="preserve"> The constant nature of the reaction rate constant for the V</w:t>
      </w:r>
      <w:r w:rsidR="003967D7">
        <w:rPr>
          <w:vertAlign w:val="superscript"/>
        </w:rPr>
        <w:t>5+</w:t>
      </w:r>
      <w:r w:rsidR="003967D7">
        <w:t>/V</w:t>
      </w:r>
      <w:r w:rsidR="003967D7">
        <w:rPr>
          <w:vertAlign w:val="superscript"/>
        </w:rPr>
        <w:t xml:space="preserve">4+ </w:t>
      </w:r>
      <w:r w:rsidR="003967D7">
        <w:t>couple indicates that V</w:t>
      </w:r>
      <w:r w:rsidR="003967D7">
        <w:rPr>
          <w:vertAlign w:val="subscript"/>
        </w:rPr>
        <w:t>2</w:t>
      </w:r>
      <w:r w:rsidR="003967D7">
        <w:t>O</w:t>
      </w:r>
      <w:r w:rsidR="003967D7">
        <w:rPr>
          <w:vertAlign w:val="subscript"/>
        </w:rPr>
        <w:t>3</w:t>
      </w:r>
      <w:r w:rsidR="003967D7">
        <w:rPr>
          <w:vertAlign w:val="superscript"/>
        </w:rPr>
        <w:t xml:space="preserve">3+ </w:t>
      </w:r>
      <w:r w:rsidR="003967D7">
        <w:t xml:space="preserve">plays no significant role enhancing the kinetic performance of this couple.  </w:t>
      </w:r>
      <w:r w:rsidR="00723437">
        <w:t xml:space="preserve"> The independence of the reaction rate constant</w:t>
      </w:r>
      <w:r>
        <w:t>s from state of charge</w:t>
      </w:r>
      <w:r w:rsidR="00723437">
        <w:t xml:space="preserve"> indicate that the kinetics of the </w:t>
      </w:r>
      <w:r w:rsidR="003967D7">
        <w:t>both</w:t>
      </w:r>
      <w:r w:rsidR="00723437">
        <w:t xml:space="preserve"> sides of the battery are dependent only upon the relative concentrations of </w:t>
      </w:r>
      <w:r w:rsidR="003967D7">
        <w:t>vanadium species</w:t>
      </w:r>
      <w:r w:rsidR="00723437">
        <w:t xml:space="preserve"> in the system. </w:t>
      </w:r>
    </w:p>
    <w:p w14:paraId="4E165E9C" w14:textId="0C30C33C" w:rsidR="00375436" w:rsidRDefault="00375436" w:rsidP="00055CFD">
      <w:pPr>
        <w:spacing w:line="480" w:lineRule="auto"/>
      </w:pPr>
    </w:p>
    <w:p w14:paraId="42A20DE3" w14:textId="77777777" w:rsidR="00AB7098" w:rsidRDefault="00AB7098" w:rsidP="00055CFD">
      <w:pPr>
        <w:spacing w:line="480" w:lineRule="auto"/>
      </w:pPr>
    </w:p>
    <w:p w14:paraId="5DFBA769" w14:textId="77777777" w:rsidR="00AB7098" w:rsidRDefault="00AB7098" w:rsidP="00055CFD">
      <w:pPr>
        <w:spacing w:line="480" w:lineRule="auto"/>
      </w:pPr>
    </w:p>
    <w:p w14:paraId="1A526135" w14:textId="77777777" w:rsidR="00AB7098" w:rsidRDefault="00AB7098" w:rsidP="00055CFD">
      <w:pPr>
        <w:spacing w:line="480" w:lineRule="auto"/>
      </w:pPr>
    </w:p>
    <w:p w14:paraId="5CAD7BB8" w14:textId="77777777" w:rsidR="00AB7098" w:rsidRDefault="00AB7098" w:rsidP="00055CFD">
      <w:pPr>
        <w:spacing w:line="480" w:lineRule="auto"/>
      </w:pPr>
    </w:p>
    <w:p w14:paraId="14F195C6" w14:textId="7816C18E" w:rsidR="00375436" w:rsidRDefault="00AB7098" w:rsidP="00055CFD">
      <w:pPr>
        <w:spacing w:line="480" w:lineRule="auto"/>
        <w:jc w:val="center"/>
      </w:pPr>
      <w:r>
        <w:rPr>
          <w:noProof/>
        </w:rPr>
        <w:drawing>
          <wp:inline distT="0" distB="0" distL="0" distR="0" wp14:anchorId="1C0C58E1" wp14:editId="0B5D630D">
            <wp:extent cx="4480560" cy="4603105"/>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lculated Alpha Values.jpg"/>
                    <pic:cNvPicPr/>
                  </pic:nvPicPr>
                  <pic:blipFill rotWithShape="1">
                    <a:blip r:embed="rId39">
                      <a:extLst>
                        <a:ext uri="{28A0092B-C50C-407E-A947-70E740481C1C}">
                          <a14:useLocalDpi xmlns:a14="http://schemas.microsoft.com/office/drawing/2010/main" val="0"/>
                        </a:ext>
                      </a:extLst>
                    </a:blip>
                    <a:srcRect l="8590" t="5945" r="11922" b="30950"/>
                    <a:stretch/>
                  </pic:blipFill>
                  <pic:spPr bwMode="auto">
                    <a:xfrm>
                      <a:off x="0" y="0"/>
                      <a:ext cx="4480560" cy="4603105"/>
                    </a:xfrm>
                    <a:prstGeom prst="rect">
                      <a:avLst/>
                    </a:prstGeom>
                    <a:ln>
                      <a:noFill/>
                    </a:ln>
                    <a:extLst>
                      <a:ext uri="{53640926-AAD7-44D8-BBD7-CCE9431645EC}">
                        <a14:shadowObscured xmlns:a14="http://schemas.microsoft.com/office/drawing/2010/main"/>
                      </a:ext>
                    </a:extLst>
                  </pic:spPr>
                </pic:pic>
              </a:graphicData>
            </a:graphic>
          </wp:inline>
        </w:drawing>
      </w:r>
    </w:p>
    <w:p w14:paraId="527E39A6" w14:textId="0BF3398B" w:rsidR="00AB7098" w:rsidRDefault="003967D7" w:rsidP="003967D7">
      <w:pPr>
        <w:spacing w:after="0" w:line="480" w:lineRule="auto"/>
      </w:pPr>
      <w:r w:rsidRPr="003967D7">
        <w:rPr>
          <w:b/>
        </w:rPr>
        <w:t>Figure 14</w:t>
      </w:r>
      <w:r w:rsidR="00375436">
        <w:t>: Calculated Alpha Values vs. State of Charge</w:t>
      </w:r>
      <w:r w:rsidR="00AB7098">
        <w:t xml:space="preserve"> for V</w:t>
      </w:r>
      <w:r w:rsidR="00AB7098">
        <w:rPr>
          <w:vertAlign w:val="superscript"/>
        </w:rPr>
        <w:t>3+</w:t>
      </w:r>
      <w:r w:rsidR="00AB7098">
        <w:t>/V</w:t>
      </w:r>
      <w:r w:rsidR="00AB7098">
        <w:rPr>
          <w:vertAlign w:val="superscript"/>
        </w:rPr>
        <w:t>2+</w:t>
      </w:r>
      <w:r w:rsidR="00AB7098">
        <w:t xml:space="preserve"> Couple</w:t>
      </w:r>
    </w:p>
    <w:p w14:paraId="4F7682A0" w14:textId="05C9D9FD" w:rsidR="00AB7098" w:rsidRDefault="00AB7098" w:rsidP="003967D7">
      <w:pPr>
        <w:spacing w:after="0" w:line="480" w:lineRule="auto"/>
        <w:ind w:firstLine="720"/>
      </w:pPr>
      <w:r>
        <w:t xml:space="preserve">The alpha term in </w:t>
      </w:r>
      <w:proofErr w:type="spellStart"/>
      <w:r>
        <w:t>Tafel</w:t>
      </w:r>
      <w:proofErr w:type="spellEnd"/>
      <w:r>
        <w:t xml:space="preserve"> kinetics indicates the symmetry of a reaction, with a value of 0.5 representing a perfectly symmetr</w:t>
      </w:r>
      <w:r w:rsidR="003967D7">
        <w:t>ic reaction. As seen in Figure 14</w:t>
      </w:r>
      <w:r>
        <w:t>, the V</w:t>
      </w:r>
      <w:r>
        <w:rPr>
          <w:vertAlign w:val="superscript"/>
        </w:rPr>
        <w:t>3+</w:t>
      </w:r>
      <w:r>
        <w:t>/V</w:t>
      </w:r>
      <w:r>
        <w:rPr>
          <w:vertAlign w:val="superscript"/>
        </w:rPr>
        <w:t>2+</w:t>
      </w:r>
      <w:r w:rsidR="003967D7">
        <w:t xml:space="preserve"> couple is decidedly</w:t>
      </w:r>
      <w:r>
        <w:t xml:space="preserve"> </w:t>
      </w:r>
      <w:r w:rsidR="003967D7">
        <w:t>a</w:t>
      </w:r>
      <w:r>
        <w:t>symmetric. While this result is surprising, models of the system support the evidence of non-0.5 alpha values for the system.</w:t>
      </w:r>
      <w:r w:rsidR="003967D7">
        <w:fldChar w:fldCharType="begin"/>
      </w:r>
      <w:r w:rsidR="003967D7">
        <w:instrText xml:space="preserve"> ADDIN ZOTERO_ITEM CSL_CITATION {"citationID":"28m19ukdm","properties":{"formattedCitation":"{\\rtf \\super 34\\nosupersub{}}","plainCitation":"34"},"citationItems":[{"id":55,"uris":["http://zotero.org/users/local/rZ3AHC6s/items/JNGRR2I5"],"uri":["http://zotero.org/users/local/rZ3AHC6s/items/JNGRR2I5"],"itemData":{"id":55,"type":"article-journal","title":"Identification of performance limiting electrode using asymmetric cell configuration in vanadium redox flow batteries","container-title":"Journal of Power Sources","page":"89-94","volume":"225","issue":"0","abstract":"In this study, the performance of a vanadium redox flow battery (VRFB) is investigated using asymmetric electrode configurations with raw and functionalized (i.e., acid-treated and heat-treated) electrodes. The use of heat-treated electrodes in both half-cells is chosen as the baseline case for comparison, as this configuration shows the best performance. When the positive electrode in the baseline case is replaced with a raw or acid-treated electrode, the voltage efficiency is found to be comparable to that of the baseline case. However, in the case where the negative electrode in the baseline case is replaced with a raw or acid-treated electrode, a significantly lower efficiency is observed, suggesting that the negative half-cell reactions limit the performance of a VRFB. To further investigate this observation, an additional analysis is performed using cyclic voltammetry. The reaction kinetics data suggests that the poor performance of the negative half-cell is not due to the slow kinetics, but rather stems from the fact that the reduction reaction in the negative half-cell occurs at a potential that is very close to the onset of hydrogen evolution. The formation of hydrogen gas bubbles blocks the reaction sites and suppresses the favorable effects of functionalization in the negative half-cell.","DOI":"10.1016/j.jpowsour.2012.10.016","ISSN":"0378-7753","journalAbbreviation":"Journal of Power Sources","author":[{"family":"Agar","given":"Ertan"},{"family":"Dennison","given":"C.R."},{"family":"Knehr","given":"K.W."},{"family":"Kumbur","given":"E.C."}],"issued":{"date-parts":[["2013",3,1]]}}}],"schema":"https://github.com/citation-style-language/schema/raw/master/csl-citation.json"} </w:instrText>
      </w:r>
      <w:r w:rsidR="003967D7">
        <w:fldChar w:fldCharType="separate"/>
      </w:r>
      <w:r w:rsidR="003967D7" w:rsidRPr="003967D7">
        <w:rPr>
          <w:rFonts w:ascii="Calibri" w:hAnsi="Calibri" w:cs="Times New Roman"/>
          <w:szCs w:val="24"/>
          <w:vertAlign w:val="superscript"/>
        </w:rPr>
        <w:t>34</w:t>
      </w:r>
      <w:r w:rsidR="003967D7">
        <w:fldChar w:fldCharType="end"/>
      </w:r>
    </w:p>
    <w:p w14:paraId="68E38765" w14:textId="77777777" w:rsidR="00CE2504" w:rsidRDefault="00CE2504" w:rsidP="00055CFD">
      <w:pPr>
        <w:spacing w:line="480" w:lineRule="auto"/>
      </w:pPr>
    </w:p>
    <w:p w14:paraId="328D4E63" w14:textId="2E383B22" w:rsidR="00CE2504" w:rsidRPr="00013901" w:rsidRDefault="00CE2504" w:rsidP="00013901">
      <w:pPr>
        <w:spacing w:after="0" w:line="480" w:lineRule="auto"/>
        <w:rPr>
          <w:b/>
        </w:rPr>
      </w:pPr>
      <w:r w:rsidRPr="00013901">
        <w:rPr>
          <w:b/>
        </w:rPr>
        <w:lastRenderedPageBreak/>
        <w:t>5.3.2 Mixed Sulfuric Acid-Hyd</w:t>
      </w:r>
      <w:r w:rsidR="0091764B" w:rsidRPr="00013901">
        <w:rPr>
          <w:b/>
        </w:rPr>
        <w:t>rochloric Acid Electrolyte Data</w:t>
      </w:r>
    </w:p>
    <w:p w14:paraId="7205099F" w14:textId="63C84A1D" w:rsidR="00CE2504" w:rsidRDefault="00CE2504" w:rsidP="0091764B">
      <w:pPr>
        <w:spacing w:after="0" w:line="480" w:lineRule="auto"/>
      </w:pPr>
      <w:r>
        <w:rPr>
          <w:noProof/>
        </w:rPr>
        <w:drawing>
          <wp:inline distT="0" distB="0" distL="0" distR="0" wp14:anchorId="15D022D7" wp14:editId="30534E4A">
            <wp:extent cx="4572000" cy="3613062"/>
            <wp:effectExtent l="0" t="0" r="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V5V4 mixed acid.jpg"/>
                    <pic:cNvPicPr/>
                  </pic:nvPicPr>
                  <pic:blipFill rotWithShape="1">
                    <a:blip r:embed="rId40">
                      <a:extLst>
                        <a:ext uri="{28A0092B-C50C-407E-A947-70E740481C1C}">
                          <a14:useLocalDpi xmlns:a14="http://schemas.microsoft.com/office/drawing/2010/main" val="0"/>
                        </a:ext>
                      </a:extLst>
                    </a:blip>
                    <a:srcRect l="10336" t="8368" r="14423" b="45629"/>
                    <a:stretch/>
                  </pic:blipFill>
                  <pic:spPr bwMode="auto">
                    <a:xfrm>
                      <a:off x="0" y="0"/>
                      <a:ext cx="4572000" cy="3613062"/>
                    </a:xfrm>
                    <a:prstGeom prst="rect">
                      <a:avLst/>
                    </a:prstGeom>
                    <a:ln>
                      <a:noFill/>
                    </a:ln>
                    <a:extLst>
                      <a:ext uri="{53640926-AAD7-44D8-BBD7-CCE9431645EC}">
                        <a14:shadowObscured xmlns:a14="http://schemas.microsoft.com/office/drawing/2010/main"/>
                      </a:ext>
                    </a:extLst>
                  </pic:spPr>
                </pic:pic>
              </a:graphicData>
            </a:graphic>
          </wp:inline>
        </w:drawing>
      </w:r>
    </w:p>
    <w:p w14:paraId="63E1397A" w14:textId="02192633" w:rsidR="00736C6C" w:rsidRPr="00736C6C" w:rsidRDefault="0091764B" w:rsidP="0091764B">
      <w:pPr>
        <w:spacing w:after="0" w:line="480" w:lineRule="auto"/>
      </w:pPr>
      <w:r w:rsidRPr="0091764B">
        <w:rPr>
          <w:b/>
        </w:rPr>
        <w:t>Figure 15</w:t>
      </w:r>
      <w:r w:rsidR="00736C6C">
        <w:t>: VO</w:t>
      </w:r>
      <w:r w:rsidR="00736C6C">
        <w:rPr>
          <w:vertAlign w:val="superscript"/>
        </w:rPr>
        <w:t>2+</w:t>
      </w:r>
      <w:r w:rsidR="00736C6C">
        <w:t>/VO</w:t>
      </w:r>
      <w:r w:rsidR="00736C6C">
        <w:rPr>
          <w:vertAlign w:val="subscript"/>
        </w:rPr>
        <w:t>2</w:t>
      </w:r>
      <w:r w:rsidR="00736C6C">
        <w:rPr>
          <w:vertAlign w:val="superscript"/>
        </w:rPr>
        <w:t>+</w:t>
      </w:r>
      <w:r w:rsidR="00736C6C">
        <w:t xml:space="preserve"> Current Density vs </w:t>
      </w:r>
      <w:proofErr w:type="spellStart"/>
      <w:r w:rsidR="00736C6C">
        <w:t>Overpotential</w:t>
      </w:r>
      <w:proofErr w:type="spellEnd"/>
    </w:p>
    <w:p w14:paraId="06EF2FCC" w14:textId="77777777" w:rsidR="00736C6C" w:rsidRDefault="00736C6C" w:rsidP="00055CFD">
      <w:pPr>
        <w:spacing w:line="480" w:lineRule="auto"/>
      </w:pPr>
    </w:p>
    <w:p w14:paraId="79D8A157" w14:textId="17B169F1" w:rsidR="00736C6C" w:rsidRDefault="00736C6C" w:rsidP="0091764B">
      <w:pPr>
        <w:spacing w:after="0" w:line="480" w:lineRule="auto"/>
      </w:pPr>
      <w:r>
        <w:rPr>
          <w:noProof/>
        </w:rPr>
        <w:lastRenderedPageBreak/>
        <w:drawing>
          <wp:inline distT="0" distB="0" distL="0" distR="0" wp14:anchorId="2E800BF9" wp14:editId="6A82625F">
            <wp:extent cx="4433487" cy="3519488"/>
            <wp:effectExtent l="0" t="0" r="5715"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V4V2 mixed acid.jpg"/>
                    <pic:cNvPicPr/>
                  </pic:nvPicPr>
                  <pic:blipFill rotWithShape="1">
                    <a:blip r:embed="rId41">
                      <a:extLst>
                        <a:ext uri="{28A0092B-C50C-407E-A947-70E740481C1C}">
                          <a14:useLocalDpi xmlns:a14="http://schemas.microsoft.com/office/drawing/2010/main" val="0"/>
                        </a:ext>
                      </a:extLst>
                    </a:blip>
                    <a:srcRect l="9055" t="8730" r="16342" b="45507"/>
                    <a:stretch/>
                  </pic:blipFill>
                  <pic:spPr bwMode="auto">
                    <a:xfrm>
                      <a:off x="0" y="0"/>
                      <a:ext cx="4434088" cy="3519965"/>
                    </a:xfrm>
                    <a:prstGeom prst="rect">
                      <a:avLst/>
                    </a:prstGeom>
                    <a:ln>
                      <a:noFill/>
                    </a:ln>
                    <a:extLst>
                      <a:ext uri="{53640926-AAD7-44D8-BBD7-CCE9431645EC}">
                        <a14:shadowObscured xmlns:a14="http://schemas.microsoft.com/office/drawing/2010/main"/>
                      </a:ext>
                    </a:extLst>
                  </pic:spPr>
                </pic:pic>
              </a:graphicData>
            </a:graphic>
          </wp:inline>
        </w:drawing>
      </w:r>
    </w:p>
    <w:p w14:paraId="7DD703AC" w14:textId="5014055C" w:rsidR="00736C6C" w:rsidRDefault="0091764B" w:rsidP="0091764B">
      <w:pPr>
        <w:spacing w:after="0" w:line="480" w:lineRule="auto"/>
      </w:pPr>
      <w:r w:rsidRPr="0091764B">
        <w:rPr>
          <w:b/>
        </w:rPr>
        <w:t>Figure 16</w:t>
      </w:r>
      <w:r w:rsidR="00736C6C" w:rsidRPr="0091764B">
        <w:rPr>
          <w:b/>
        </w:rPr>
        <w:t>:</w:t>
      </w:r>
      <w:r w:rsidR="00736C6C">
        <w:t xml:space="preserve"> V</w:t>
      </w:r>
      <w:r w:rsidR="00736C6C">
        <w:rPr>
          <w:vertAlign w:val="superscript"/>
        </w:rPr>
        <w:t>3+</w:t>
      </w:r>
      <w:r w:rsidR="00736C6C">
        <w:t>/V</w:t>
      </w:r>
      <w:r w:rsidR="00736C6C">
        <w:rPr>
          <w:vertAlign w:val="superscript"/>
        </w:rPr>
        <w:t>2+</w:t>
      </w:r>
      <w:r w:rsidR="00736C6C">
        <w:t xml:space="preserve"> log Cu</w:t>
      </w:r>
      <w:r>
        <w:t xml:space="preserve">rrent Density vs. </w:t>
      </w:r>
      <w:proofErr w:type="spellStart"/>
      <w:r>
        <w:t>Overpotential</w:t>
      </w:r>
      <w:proofErr w:type="spellEnd"/>
    </w:p>
    <w:p w14:paraId="3CB4C7F5" w14:textId="5183CF2D" w:rsidR="00736C6C" w:rsidRPr="00736C6C" w:rsidRDefault="00736C6C" w:rsidP="0091764B">
      <w:pPr>
        <w:spacing w:line="480" w:lineRule="auto"/>
        <w:ind w:firstLine="720"/>
      </w:pPr>
      <w:r>
        <w:t xml:space="preserve">The same current density versus </w:t>
      </w:r>
      <w:proofErr w:type="spellStart"/>
      <w:r>
        <w:t>overpotential</w:t>
      </w:r>
      <w:proofErr w:type="spellEnd"/>
      <w:r>
        <w:t xml:space="preserve"> trends observed in the pure-sulfuric acid electrolyte system are observed in the mixed acid electrolyte system. The VO</w:t>
      </w:r>
      <w:r>
        <w:rPr>
          <w:vertAlign w:val="superscript"/>
        </w:rPr>
        <w:t>2+</w:t>
      </w:r>
      <w:r>
        <w:t>/VO</w:t>
      </w:r>
      <w:r>
        <w:rPr>
          <w:vertAlign w:val="subscript"/>
        </w:rPr>
        <w:t>2</w:t>
      </w:r>
      <w:r>
        <w:rPr>
          <w:vertAlign w:val="superscript"/>
        </w:rPr>
        <w:t>+</w:t>
      </w:r>
      <w:r>
        <w:t xml:space="preserve"> reaches high current density at low </w:t>
      </w:r>
      <w:proofErr w:type="spellStart"/>
      <w:r>
        <w:t>overpotential</w:t>
      </w:r>
      <w:proofErr w:type="spellEnd"/>
      <w:r>
        <w:t>, necessitating the use of the linearized Butler-</w:t>
      </w:r>
      <w:proofErr w:type="spellStart"/>
      <w:r>
        <w:t>Volmer</w:t>
      </w:r>
      <w:proofErr w:type="spellEnd"/>
      <w:r>
        <w:t xml:space="preserve"> equation in its analysis</w:t>
      </w:r>
      <w:r w:rsidR="0091764B">
        <w:t xml:space="preserve"> (Figure 15</w:t>
      </w:r>
      <w:r w:rsidR="008730EA">
        <w:t>)</w:t>
      </w:r>
      <w:r>
        <w:t xml:space="preserve">. </w:t>
      </w:r>
      <w:proofErr w:type="gramStart"/>
      <w:r>
        <w:t>The  V</w:t>
      </w:r>
      <w:r>
        <w:rPr>
          <w:vertAlign w:val="superscript"/>
        </w:rPr>
        <w:t>3</w:t>
      </w:r>
      <w:proofErr w:type="gramEnd"/>
      <w:r>
        <w:rPr>
          <w:vertAlign w:val="superscript"/>
        </w:rPr>
        <w:t>+</w:t>
      </w:r>
      <w:r>
        <w:t>/V</w:t>
      </w:r>
      <w:r>
        <w:rPr>
          <w:vertAlign w:val="superscript"/>
        </w:rPr>
        <w:t>2+</w:t>
      </w:r>
      <w:r w:rsidR="008730EA">
        <w:t xml:space="preserve"> couple again demonstrates classical </w:t>
      </w:r>
      <w:proofErr w:type="spellStart"/>
      <w:r w:rsidR="008730EA">
        <w:t>Tafel</w:t>
      </w:r>
      <w:proofErr w:type="spellEnd"/>
      <w:r w:rsidR="008730EA">
        <w:t xml:space="preserve"> behavior but reaches much higher current density for its various </w:t>
      </w:r>
      <w:proofErr w:type="spellStart"/>
      <w:r w:rsidR="008730EA">
        <w:t>overpotentials</w:t>
      </w:r>
      <w:proofErr w:type="spellEnd"/>
      <w:r w:rsidR="008730EA">
        <w:t xml:space="preserve"> than was noted in the pure-sulfuric a</w:t>
      </w:r>
      <w:r w:rsidR="0091764B">
        <w:t>cid electrolyte system (Figure 16</w:t>
      </w:r>
      <w:r w:rsidR="008730EA">
        <w:t>).</w:t>
      </w:r>
    </w:p>
    <w:p w14:paraId="2704C735" w14:textId="77777777" w:rsidR="00736C6C" w:rsidRDefault="00736C6C" w:rsidP="00055CFD">
      <w:pPr>
        <w:spacing w:line="480" w:lineRule="auto"/>
      </w:pPr>
    </w:p>
    <w:p w14:paraId="21005411" w14:textId="572DCB60" w:rsidR="00736C6C" w:rsidRDefault="00736C6C" w:rsidP="0091764B">
      <w:pPr>
        <w:spacing w:after="0" w:line="480" w:lineRule="auto"/>
      </w:pPr>
      <w:r>
        <w:rPr>
          <w:noProof/>
        </w:rPr>
        <w:lastRenderedPageBreak/>
        <w:drawing>
          <wp:inline distT="0" distB="0" distL="0" distR="0" wp14:anchorId="5660D3D4" wp14:editId="2A247A78">
            <wp:extent cx="4633912" cy="370014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mixed acid exchange current densities.jpg"/>
                    <pic:cNvPicPr/>
                  </pic:nvPicPr>
                  <pic:blipFill rotWithShape="1">
                    <a:blip r:embed="rId42">
                      <a:extLst>
                        <a:ext uri="{28A0092B-C50C-407E-A947-70E740481C1C}">
                          <a14:useLocalDpi xmlns:a14="http://schemas.microsoft.com/office/drawing/2010/main" val="0"/>
                        </a:ext>
                      </a:extLst>
                    </a:blip>
                    <a:srcRect l="9376" t="8359" r="12648" b="43529"/>
                    <a:stretch/>
                  </pic:blipFill>
                  <pic:spPr bwMode="auto">
                    <a:xfrm>
                      <a:off x="0" y="0"/>
                      <a:ext cx="4634518" cy="3700629"/>
                    </a:xfrm>
                    <a:prstGeom prst="rect">
                      <a:avLst/>
                    </a:prstGeom>
                    <a:ln>
                      <a:noFill/>
                    </a:ln>
                    <a:extLst>
                      <a:ext uri="{53640926-AAD7-44D8-BBD7-CCE9431645EC}">
                        <a14:shadowObscured xmlns:a14="http://schemas.microsoft.com/office/drawing/2010/main"/>
                      </a:ext>
                    </a:extLst>
                  </pic:spPr>
                </pic:pic>
              </a:graphicData>
            </a:graphic>
          </wp:inline>
        </w:drawing>
      </w:r>
    </w:p>
    <w:p w14:paraId="547B1D2B" w14:textId="352A5444" w:rsidR="00736C6C" w:rsidRDefault="0091764B" w:rsidP="0091764B">
      <w:pPr>
        <w:spacing w:after="0" w:line="480" w:lineRule="auto"/>
      </w:pPr>
      <w:r w:rsidRPr="0091764B">
        <w:rPr>
          <w:b/>
        </w:rPr>
        <w:t>Figure 17</w:t>
      </w:r>
      <w:r w:rsidR="00736C6C">
        <w:t>: Exchange Curr</w:t>
      </w:r>
      <w:r>
        <w:t>ent Density vs. State of Charge</w:t>
      </w:r>
    </w:p>
    <w:p w14:paraId="40D00CD1" w14:textId="577BB576" w:rsidR="008730EA" w:rsidRPr="008730EA" w:rsidRDefault="008730EA" w:rsidP="0091764B">
      <w:pPr>
        <w:spacing w:after="0" w:line="480" w:lineRule="auto"/>
        <w:ind w:firstLine="720"/>
      </w:pPr>
      <w:r>
        <w:t>The exchange current density of the V</w:t>
      </w:r>
      <w:r>
        <w:rPr>
          <w:vertAlign w:val="superscript"/>
        </w:rPr>
        <w:t>5+</w:t>
      </w:r>
      <w:r>
        <w:t>/V</w:t>
      </w:r>
      <w:r>
        <w:rPr>
          <w:vertAlign w:val="superscript"/>
        </w:rPr>
        <w:t>4+</w:t>
      </w:r>
      <w:r>
        <w:t xml:space="preserve"> couple is again larger than that of the V</w:t>
      </w:r>
      <w:r>
        <w:rPr>
          <w:vertAlign w:val="superscript"/>
        </w:rPr>
        <w:t>3+</w:t>
      </w:r>
      <w:r>
        <w:t>/V</w:t>
      </w:r>
      <w:r>
        <w:rPr>
          <w:vertAlign w:val="superscript"/>
        </w:rPr>
        <w:t>2+</w:t>
      </w:r>
      <w:r>
        <w:t xml:space="preserve"> couple and follows the same general parabolic relationship with state of charge, centered at approximately fifty-five percent state of charge, as was seen in the previous system.</w:t>
      </w:r>
    </w:p>
    <w:p w14:paraId="2709E7C5" w14:textId="0E743CEE" w:rsidR="00736C6C" w:rsidRDefault="00736C6C" w:rsidP="0091764B">
      <w:pPr>
        <w:spacing w:after="0" w:line="480" w:lineRule="auto"/>
      </w:pPr>
      <w:r>
        <w:rPr>
          <w:noProof/>
        </w:rPr>
        <w:lastRenderedPageBreak/>
        <w:drawing>
          <wp:inline distT="0" distB="0" distL="0" distR="0" wp14:anchorId="1C52200C" wp14:editId="4F4D2C15">
            <wp:extent cx="4533358" cy="3771265"/>
            <wp:effectExtent l="0" t="0" r="635"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normalized J0.jpg"/>
                    <pic:cNvPicPr/>
                  </pic:nvPicPr>
                  <pic:blipFill rotWithShape="1">
                    <a:blip r:embed="rId43">
                      <a:extLst>
                        <a:ext uri="{28A0092B-C50C-407E-A947-70E740481C1C}">
                          <a14:useLocalDpi xmlns:a14="http://schemas.microsoft.com/office/drawing/2010/main" val="0"/>
                        </a:ext>
                      </a:extLst>
                    </a:blip>
                    <a:srcRect l="9698" t="7616" r="14013" b="43344"/>
                    <a:stretch/>
                  </pic:blipFill>
                  <pic:spPr bwMode="auto">
                    <a:xfrm>
                      <a:off x="0" y="0"/>
                      <a:ext cx="4534323" cy="3772068"/>
                    </a:xfrm>
                    <a:prstGeom prst="rect">
                      <a:avLst/>
                    </a:prstGeom>
                    <a:ln>
                      <a:noFill/>
                    </a:ln>
                    <a:extLst>
                      <a:ext uri="{53640926-AAD7-44D8-BBD7-CCE9431645EC}">
                        <a14:shadowObscured xmlns:a14="http://schemas.microsoft.com/office/drawing/2010/main"/>
                      </a:ext>
                    </a:extLst>
                  </pic:spPr>
                </pic:pic>
              </a:graphicData>
            </a:graphic>
          </wp:inline>
        </w:drawing>
      </w:r>
    </w:p>
    <w:p w14:paraId="3FED5C24" w14:textId="07D4F6E3" w:rsidR="008730EA" w:rsidRDefault="0091764B" w:rsidP="0091764B">
      <w:pPr>
        <w:spacing w:after="0" w:line="480" w:lineRule="auto"/>
      </w:pPr>
      <w:r w:rsidRPr="0091764B">
        <w:rPr>
          <w:b/>
        </w:rPr>
        <w:t>Figure 18</w:t>
      </w:r>
      <w:r w:rsidR="00736C6C">
        <w:t>: Normalized Exchange Curr</w:t>
      </w:r>
      <w:r>
        <w:t>ent Density vs. State of Charge</w:t>
      </w:r>
    </w:p>
    <w:p w14:paraId="0FF4969D" w14:textId="046E4E74" w:rsidR="008730EA" w:rsidRPr="00A84721" w:rsidRDefault="008730EA" w:rsidP="0091764B">
      <w:pPr>
        <w:spacing w:after="0" w:line="480" w:lineRule="auto"/>
        <w:ind w:firstLine="720"/>
      </w:pPr>
      <w:r>
        <w:t xml:space="preserve">The same relative dependence on state of charge as was seen in the pure-sulfuric acid system is again observed in the mixed-acid electrolyte system. </w:t>
      </w:r>
      <w:r w:rsidR="00A84721">
        <w:t xml:space="preserve">The </w:t>
      </w:r>
      <w:r w:rsidR="0015046B">
        <w:t xml:space="preserve">data was again analyzed by correcting the </w:t>
      </w:r>
      <w:r w:rsidR="00A84721">
        <w:t>observed J</w:t>
      </w:r>
      <w:r w:rsidR="00A84721">
        <w:rPr>
          <w:vertAlign w:val="subscript"/>
        </w:rPr>
        <w:t>0</w:t>
      </w:r>
      <w:r w:rsidR="0015046B">
        <w:t xml:space="preserve"> for the concentrations of reagents in the system.</w:t>
      </w:r>
    </w:p>
    <w:p w14:paraId="5C1A94E5" w14:textId="77777777" w:rsidR="00701BA9" w:rsidRDefault="00701BA9" w:rsidP="00055CFD">
      <w:pPr>
        <w:spacing w:line="480" w:lineRule="auto"/>
      </w:pPr>
    </w:p>
    <w:p w14:paraId="017C6257" w14:textId="62AB701A" w:rsidR="00701BA9" w:rsidRDefault="00701BA9" w:rsidP="0091764B">
      <w:pPr>
        <w:spacing w:after="0" w:line="480" w:lineRule="auto"/>
      </w:pPr>
      <w:r>
        <w:rPr>
          <w:noProof/>
        </w:rPr>
        <w:lastRenderedPageBreak/>
        <w:drawing>
          <wp:inline distT="0" distB="0" distL="0" distR="0" wp14:anchorId="65F88101" wp14:editId="449CB0CC">
            <wp:extent cx="4659630" cy="3851910"/>
            <wp:effectExtent l="0" t="0" r="762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mixed acid k0.jpg"/>
                    <pic:cNvPicPr/>
                  </pic:nvPicPr>
                  <pic:blipFill rotWithShape="1">
                    <a:blip r:embed="rId44">
                      <a:extLst>
                        <a:ext uri="{28A0092B-C50C-407E-A947-70E740481C1C}">
                          <a14:useLocalDpi xmlns:a14="http://schemas.microsoft.com/office/drawing/2010/main" val="0"/>
                        </a:ext>
                      </a:extLst>
                    </a:blip>
                    <a:srcRect l="10000" t="7628" r="11603" b="42293"/>
                    <a:stretch/>
                  </pic:blipFill>
                  <pic:spPr bwMode="auto">
                    <a:xfrm>
                      <a:off x="0" y="0"/>
                      <a:ext cx="4659630" cy="3851910"/>
                    </a:xfrm>
                    <a:prstGeom prst="rect">
                      <a:avLst/>
                    </a:prstGeom>
                    <a:ln>
                      <a:noFill/>
                    </a:ln>
                    <a:extLst>
                      <a:ext uri="{53640926-AAD7-44D8-BBD7-CCE9431645EC}">
                        <a14:shadowObscured xmlns:a14="http://schemas.microsoft.com/office/drawing/2010/main"/>
                      </a:ext>
                    </a:extLst>
                  </pic:spPr>
                </pic:pic>
              </a:graphicData>
            </a:graphic>
          </wp:inline>
        </w:drawing>
      </w:r>
    </w:p>
    <w:p w14:paraId="3542CE17" w14:textId="6EE41746" w:rsidR="008730EA" w:rsidRDefault="0091764B" w:rsidP="0091764B">
      <w:pPr>
        <w:spacing w:after="0" w:line="480" w:lineRule="auto"/>
      </w:pPr>
      <w:r w:rsidRPr="0091764B">
        <w:rPr>
          <w:b/>
        </w:rPr>
        <w:t>Figure 19</w:t>
      </w:r>
      <w:r w:rsidR="00701BA9">
        <w:t>: Standard Ra</w:t>
      </w:r>
      <w:r>
        <w:t>te Constant vs. State of Charge</w:t>
      </w:r>
    </w:p>
    <w:p w14:paraId="46DE0153" w14:textId="663BF9ED" w:rsidR="00592ED9" w:rsidRDefault="00592ED9" w:rsidP="0091764B">
      <w:pPr>
        <w:spacing w:after="0" w:line="480" w:lineRule="auto"/>
        <w:ind w:firstLine="720"/>
      </w:pPr>
      <w:r>
        <w:t>The standard rate constants for both redox couples in mixed acid electrolyte are several orders of magnitudes greater than the standard rate constants for the redox couples in pure-sulfuric acid electrolyte. The increase in the standard rate constant for the V</w:t>
      </w:r>
      <w:r>
        <w:rPr>
          <w:vertAlign w:val="superscript"/>
        </w:rPr>
        <w:t>3+</w:t>
      </w:r>
      <w:r>
        <w:t>/V</w:t>
      </w:r>
      <w:r>
        <w:rPr>
          <w:vertAlign w:val="superscript"/>
        </w:rPr>
        <w:t>2+</w:t>
      </w:r>
      <w:r>
        <w:t xml:space="preserve"> couple is greater than the increase in the standard rate constant for the VO</w:t>
      </w:r>
      <w:r>
        <w:rPr>
          <w:vertAlign w:val="subscript"/>
        </w:rPr>
        <w:t>2</w:t>
      </w:r>
      <w:r>
        <w:rPr>
          <w:vertAlign w:val="superscript"/>
        </w:rPr>
        <w:t>+</w:t>
      </w:r>
      <w:r>
        <w:t>/VO</w:t>
      </w:r>
      <w:r>
        <w:rPr>
          <w:vertAlign w:val="superscript"/>
        </w:rPr>
        <w:t>2+</w:t>
      </w:r>
      <w:r>
        <w:t xml:space="preserve"> couple.</w:t>
      </w:r>
      <w:r w:rsidR="0015046B">
        <w:t xml:space="preserve"> The standard rate constants for the redox couples do not appear as constant as a function of state of charge in the mixed acid electrolyte as was observed in the pure-sulfuric acid electrolyte.</w:t>
      </w:r>
    </w:p>
    <w:p w14:paraId="7B81633A" w14:textId="25EFDE54" w:rsidR="00515ABB" w:rsidRPr="00013901" w:rsidRDefault="0091764B" w:rsidP="0091764B">
      <w:pPr>
        <w:spacing w:after="0" w:line="480" w:lineRule="auto"/>
        <w:rPr>
          <w:b/>
        </w:rPr>
      </w:pPr>
      <w:r w:rsidRPr="00013901">
        <w:rPr>
          <w:b/>
        </w:rPr>
        <w:t>5.4 Discussion</w:t>
      </w:r>
    </w:p>
    <w:p w14:paraId="11D7ADDB" w14:textId="247F62DE" w:rsidR="0073446A" w:rsidRDefault="008730EA" w:rsidP="008D2512">
      <w:pPr>
        <w:spacing w:after="0" w:line="480" w:lineRule="auto"/>
        <w:ind w:firstLine="720"/>
      </w:pPr>
      <w:r>
        <w:t>For both electrolyte systems, the</w:t>
      </w:r>
      <w:r w:rsidR="00515ABB">
        <w:t xml:space="preserve"> VO</w:t>
      </w:r>
      <w:r w:rsidR="00515ABB">
        <w:rPr>
          <w:vertAlign w:val="subscript"/>
        </w:rPr>
        <w:t>2</w:t>
      </w:r>
      <w:r w:rsidR="00515ABB">
        <w:rPr>
          <w:vertAlign w:val="superscript"/>
        </w:rPr>
        <w:t>+</w:t>
      </w:r>
      <w:r w:rsidR="00515ABB">
        <w:t>/VO</w:t>
      </w:r>
      <w:r w:rsidR="00515ABB">
        <w:rPr>
          <w:vertAlign w:val="superscript"/>
        </w:rPr>
        <w:t>2+</w:t>
      </w:r>
      <w:r w:rsidR="00515ABB">
        <w:t xml:space="preserve"> couple on the positive side of the battery produced high current response at low </w:t>
      </w:r>
      <w:proofErr w:type="spellStart"/>
      <w:r w:rsidR="00515ABB">
        <w:t>overpotentials</w:t>
      </w:r>
      <w:proofErr w:type="spellEnd"/>
      <w:r w:rsidR="00515ABB">
        <w:t>. Therefore, its kinetic behavior was analyzed via the linearized Butl</w:t>
      </w:r>
      <w:r w:rsidR="008D2512">
        <w:t>er-</w:t>
      </w:r>
      <w:proofErr w:type="spellStart"/>
      <w:r w:rsidR="008D2512">
        <w:t>Volmer</w:t>
      </w:r>
      <w:proofErr w:type="spellEnd"/>
      <w:r w:rsidR="008D2512">
        <w:t xml:space="preserve"> Equation (Equation 12</w:t>
      </w:r>
      <w:r w:rsidR="00515ABB">
        <w:t>).  The V</w:t>
      </w:r>
      <w:r w:rsidR="00515ABB">
        <w:rPr>
          <w:vertAlign w:val="superscript"/>
        </w:rPr>
        <w:t>3+</w:t>
      </w:r>
      <w:r w:rsidR="00515ABB">
        <w:t>/V</w:t>
      </w:r>
      <w:r w:rsidR="00515ABB">
        <w:rPr>
          <w:vertAlign w:val="superscript"/>
        </w:rPr>
        <w:t>2+</w:t>
      </w:r>
      <w:r w:rsidR="00515ABB">
        <w:t xml:space="preserve"> couple exhibits classical behavior easily analyzed via </w:t>
      </w:r>
      <w:proofErr w:type="spellStart"/>
      <w:r w:rsidR="00515ABB">
        <w:t>Tafel</w:t>
      </w:r>
      <w:proofErr w:type="spellEnd"/>
      <w:r w:rsidR="00515ABB">
        <w:t xml:space="preserve"> Plots</w:t>
      </w:r>
      <w:r w:rsidR="00786455">
        <w:t xml:space="preserve"> as described in Section 4.2.1</w:t>
      </w:r>
      <w:r w:rsidR="00515ABB">
        <w:t>.</w:t>
      </w:r>
      <w:r w:rsidR="00786455">
        <w:t xml:space="preserve"> The end result of analyses for both sides of the </w:t>
      </w:r>
      <w:r w:rsidR="00786455">
        <w:lastRenderedPageBreak/>
        <w:t>battery was determination of the exchange current density</w:t>
      </w:r>
      <w:r w:rsidR="001F18D5">
        <w:t xml:space="preserve"> for both redox couples. Additionally, k</w:t>
      </w:r>
      <w:r w:rsidR="001F18D5">
        <w:rPr>
          <w:vertAlign w:val="superscript"/>
        </w:rPr>
        <w:t>0</w:t>
      </w:r>
      <w:r w:rsidR="001F18D5">
        <w:t xml:space="preserve"> was determined for both couples as well as α for the V</w:t>
      </w:r>
      <w:r w:rsidR="001F18D5">
        <w:rPr>
          <w:vertAlign w:val="superscript"/>
        </w:rPr>
        <w:t>3+</w:t>
      </w:r>
      <w:r w:rsidR="001F18D5">
        <w:t>/V</w:t>
      </w:r>
      <w:r w:rsidR="001F18D5">
        <w:rPr>
          <w:vertAlign w:val="superscript"/>
        </w:rPr>
        <w:t>2+</w:t>
      </w:r>
      <w:r w:rsidR="001F18D5">
        <w:t xml:space="preserve"> couple</w:t>
      </w:r>
      <w:r>
        <w:t xml:space="preserve"> in the pure-sulfuric acid system</w:t>
      </w:r>
      <w:r w:rsidR="001F18D5">
        <w:t xml:space="preserve">. </w:t>
      </w:r>
    </w:p>
    <w:p w14:paraId="15C6FE49" w14:textId="37C70799" w:rsidR="0033179A" w:rsidRDefault="00E708F9" w:rsidP="008D2512">
      <w:pPr>
        <w:widowControl w:val="0"/>
        <w:autoSpaceDE w:val="0"/>
        <w:autoSpaceDN w:val="0"/>
        <w:adjustRightInd w:val="0"/>
        <w:spacing w:after="0" w:line="480" w:lineRule="auto"/>
        <w:ind w:firstLine="720"/>
      </w:pPr>
      <w:r>
        <w:t>The significantly faster kinetics of the VO</w:t>
      </w:r>
      <w:r>
        <w:rPr>
          <w:vertAlign w:val="subscript"/>
        </w:rPr>
        <w:t>2</w:t>
      </w:r>
      <w:r>
        <w:rPr>
          <w:vertAlign w:val="superscript"/>
        </w:rPr>
        <w:t>+</w:t>
      </w:r>
      <w:r>
        <w:t>/VO</w:t>
      </w:r>
      <w:r>
        <w:rPr>
          <w:vertAlign w:val="superscript"/>
        </w:rPr>
        <w:t>2+</w:t>
      </w:r>
      <w:r>
        <w:t xml:space="preserve"> couple </w:t>
      </w:r>
      <w:r w:rsidR="008730EA">
        <w:t xml:space="preserve">in both systems </w:t>
      </w:r>
      <w:r>
        <w:t>compared to the kinetics of the V</w:t>
      </w:r>
      <w:r>
        <w:rPr>
          <w:vertAlign w:val="superscript"/>
        </w:rPr>
        <w:t>3+</w:t>
      </w:r>
      <w:r>
        <w:t>/V</w:t>
      </w:r>
      <w:r>
        <w:rPr>
          <w:vertAlign w:val="superscript"/>
        </w:rPr>
        <w:t>2+</w:t>
      </w:r>
      <w:r w:rsidR="00515ABB">
        <w:t xml:space="preserve"> is a relatively surprising find as </w:t>
      </w:r>
      <w:r w:rsidR="00515ABB" w:rsidRPr="00515ABB">
        <w:rPr>
          <w:i/>
        </w:rPr>
        <w:t>ex-situ</w:t>
      </w:r>
      <w:r w:rsidR="00515ABB">
        <w:t xml:space="preserve"> experiments have traditionally shown the VO</w:t>
      </w:r>
      <w:r w:rsidR="00515ABB">
        <w:rPr>
          <w:vertAlign w:val="subscript"/>
        </w:rPr>
        <w:t>2</w:t>
      </w:r>
      <w:r w:rsidR="00515ABB">
        <w:rPr>
          <w:vertAlign w:val="superscript"/>
        </w:rPr>
        <w:t>+</w:t>
      </w:r>
      <w:r w:rsidR="00515ABB">
        <w:t>/VO</w:t>
      </w:r>
      <w:r w:rsidR="00515ABB">
        <w:rPr>
          <w:vertAlign w:val="superscript"/>
        </w:rPr>
        <w:t>2+</w:t>
      </w:r>
      <w:r w:rsidR="00515ABB">
        <w:t xml:space="preserve"> couple to have slower kinetics than the V</w:t>
      </w:r>
      <w:r w:rsidR="00515ABB">
        <w:rPr>
          <w:vertAlign w:val="superscript"/>
        </w:rPr>
        <w:t>3+</w:t>
      </w:r>
      <w:r w:rsidR="00515ABB">
        <w:t>/V</w:t>
      </w:r>
      <w:r w:rsidR="00515ABB">
        <w:rPr>
          <w:vertAlign w:val="superscript"/>
        </w:rPr>
        <w:t>2+</w:t>
      </w:r>
      <w:r w:rsidR="00515ABB">
        <w:t xml:space="preserve"> couple. The </w:t>
      </w:r>
      <w:r w:rsidR="00515ABB" w:rsidRPr="00515ABB">
        <w:rPr>
          <w:i/>
        </w:rPr>
        <w:t>in-situ</w:t>
      </w:r>
      <w:r w:rsidR="00515ABB">
        <w:t xml:space="preserve"> results of this exp</w:t>
      </w:r>
      <w:r w:rsidR="008D2512">
        <w:t>eriment are supported by emerging data</w:t>
      </w:r>
      <w:r w:rsidR="00515ABB">
        <w:t xml:space="preserve"> </w:t>
      </w:r>
      <w:r w:rsidR="008D2512">
        <w:t>reported both by</w:t>
      </w:r>
      <w:r w:rsidR="00515ABB">
        <w:t xml:space="preserve"> our lab and </w:t>
      </w:r>
      <w:r w:rsidR="00786455">
        <w:t>elsewhere in the literature</w:t>
      </w:r>
      <w:r w:rsidR="00515ABB">
        <w:t>.</w:t>
      </w:r>
      <w:r w:rsidR="00515ABB">
        <w:fldChar w:fldCharType="begin"/>
      </w:r>
      <w:r w:rsidR="00DC6E54">
        <w:instrText xml:space="preserve"> ADDIN ZOTERO_ITEM CSL_CITATION {"citationID":"fcagmfdr3","properties":{"formattedCitation":"{\\rtf \\super 10,34\\nosupersub{}}","plainCitation":"10,34"},"citationItems":[{"id":83,"uris":["http://zotero.org/users/local/rZ3AHC6s/items/KVD48ERQ"],"uri":["http://zotero.org/users/local/rZ3AHC6s/items/KVD48ERQ"],"itemData":{"id":83,"type":"article-journal","title":"In Situ Single Electrode Studies of an All-Vanadium Redox Flow Battery","container-title":"ECS Transactions","page":"43-51","volume":"41","issue":"23","abstract":"We use polarization curves and a dynamic hydrogen reference electrode (DHE) to study the effects of electrode material and state of charge on all-vanadium redox flow battery (VRB) performance. The current trend in studying these systems is to evaluate new materials or designs based on voltage, charge and power efficiency metrics.  However, such characterization does not allude to which processes may be limiting performance or which electrode dominates performance loss.  At moderate state of charge, the negative electrode dominated cell overpotential at all current densities.  As state of charge increased, the overpotential was dominated less by the negative electrode.  Thicker carbon paper showed better performance while partially wet-proofed carbon paper had a negative impact on performance compared to untreated carbon paper.  Through improvements made to the design and materials, VRB power output increased from 77 mW/cm2 to 404 mW/cm2.","DOI":"10.1149/1.3697453","journalAbbreviation":"ECS Transactions","author":[{"family":"Aaron","given":"Douglas S."},{"family":"Tang","given":"Zhijiang"},{"family":"Lawton","given":"Jamie S."},{"family":"Papandrew","given":"Alexander P."},{"family":"Zawodzinski","given":"Thomas A."}],"issued":{"date-parts":[["2012",5,4]]}}},{"id":55,"uris":["http://zotero.org/users/local/rZ3AHC6s/items/JNGRR2I5"],"uri":["http://zotero.org/users/local/rZ3AHC6s/items/JNGRR2I5"],"itemData":{"id":55,"type":"article-journal","title":"Identification of performance limiting electrode using asymmetric cell configuration in vanadium redox flow batteries","container-title":"Journal of Power Sources","page":"89-94","volume":"225","issue":"0","abstract":"In this study, the performance of a vanadium redox flow battery (VRFB) is investigated using asymmetric electrode configurations with raw and functionalized (i.e., acid-treated and heat-treated) electrodes. The use of heat-treated electrodes in both half-cells is chosen as the baseline case for comparison, as this configuration shows the best performance. When the positive electrode in the baseline case is replaced with a raw or acid-treated electrode, the voltage efficiency is found to be comparable to that of the baseline case. However, in the case where the negative electrode in the baseline case is replaced with a raw or acid-treated electrode, a significantly lower efficiency is observed, suggesting that the negative half-cell reactions limit the performance of a VRFB. To further investigate this observation, an additional analysis is performed using cyclic voltammetry. The reaction kinetics data suggests that the poor performance of the negative half-cell is not due to the slow kinetics, but rather stems from the fact that the reduction reaction in the negative half-cell occurs at a potential that is very close to the onset of hydrogen evolution. The formation of hydrogen gas bubbles blocks the reaction sites and suppresses the favorable effects of functionalization in the negative half-cell.","DOI":"10.1016/j.jpowsour.2012.10.016","ISSN":"0378-7753","journalAbbreviation":"Journal of Power Sources","author":[{"family":"Agar","given":"Ertan"},{"family":"Dennison","given":"C.R."},{"family":"Knehr","given":"K.W."},{"family":"Kumbur","given":"E.C."}],"issued":{"date-parts":[["2013",3,1]]}}}],"schema":"https://github.com/citation-style-language/schema/raw/master/csl-citation.json"} </w:instrText>
      </w:r>
      <w:r w:rsidR="00515ABB">
        <w:fldChar w:fldCharType="separate"/>
      </w:r>
      <w:r w:rsidR="00DC6E54" w:rsidRPr="00DC6E54">
        <w:rPr>
          <w:rFonts w:ascii="Calibri" w:hAnsi="Calibri" w:cs="Times New Roman"/>
          <w:szCs w:val="24"/>
          <w:vertAlign w:val="superscript"/>
        </w:rPr>
        <w:t>10,34</w:t>
      </w:r>
      <w:r w:rsidR="00515ABB">
        <w:fldChar w:fldCharType="end"/>
      </w:r>
      <w:r w:rsidR="00513E06">
        <w:t xml:space="preserve"> However, the reasons for these differences, both between the </w:t>
      </w:r>
      <w:r w:rsidR="00513E06" w:rsidRPr="00513E06">
        <w:rPr>
          <w:i/>
        </w:rPr>
        <w:t>in-situ</w:t>
      </w:r>
      <w:r w:rsidR="00513E06">
        <w:t xml:space="preserve"> and </w:t>
      </w:r>
      <w:r w:rsidR="00513E06" w:rsidRPr="00513E06">
        <w:rPr>
          <w:i/>
        </w:rPr>
        <w:t>ex-situ</w:t>
      </w:r>
      <w:r w:rsidR="00513E06">
        <w:t xml:space="preserve"> results and the differences between the two redox couples’ kinetics </w:t>
      </w:r>
      <w:r w:rsidR="00513E06" w:rsidRPr="00513E06">
        <w:rPr>
          <w:i/>
        </w:rPr>
        <w:t>in-situ</w:t>
      </w:r>
      <w:r w:rsidR="00513E06">
        <w:t>, remains elusive. The VO</w:t>
      </w:r>
      <w:r w:rsidR="00513E06">
        <w:rPr>
          <w:vertAlign w:val="subscript"/>
        </w:rPr>
        <w:t>2</w:t>
      </w:r>
      <w:r w:rsidR="00513E06">
        <w:rPr>
          <w:vertAlign w:val="superscript"/>
        </w:rPr>
        <w:t>+</w:t>
      </w:r>
      <w:r w:rsidR="00513E06">
        <w:t>/VO</w:t>
      </w:r>
      <w:r w:rsidR="00513E06">
        <w:rPr>
          <w:vertAlign w:val="superscript"/>
        </w:rPr>
        <w:t>2+</w:t>
      </w:r>
      <w:r w:rsidR="00513E06">
        <w:t xml:space="preserve"> couple is known to produce a multivalent cation with 1:1 stoichiometry of VO</w:t>
      </w:r>
      <w:r w:rsidR="00513E06">
        <w:rPr>
          <w:vertAlign w:val="subscript"/>
        </w:rPr>
        <w:t>2</w:t>
      </w:r>
      <w:r w:rsidR="00513E06">
        <w:rPr>
          <w:vertAlign w:val="superscript"/>
        </w:rPr>
        <w:t>+</w:t>
      </w:r>
      <w:r w:rsidR="00513E06">
        <w:t xml:space="preserve"> to VO</w:t>
      </w:r>
      <w:r w:rsidR="00513E06">
        <w:rPr>
          <w:vertAlign w:val="superscript"/>
        </w:rPr>
        <w:t>2+</w:t>
      </w:r>
      <w:r w:rsidR="00372129">
        <w:t xml:space="preserve"> with a peak concentration of this cation at approximately fifty-percent state of charge</w:t>
      </w:r>
      <w:r w:rsidR="00513E06">
        <w:t>.</w:t>
      </w:r>
      <w:r w:rsidR="00513E06">
        <w:rPr>
          <w:rFonts w:ascii="Times New Roman" w:hAnsi="Times New Roman" w:cs="Times New Roman"/>
          <w:sz w:val="24"/>
          <w:szCs w:val="24"/>
          <w:vertAlign w:val="superscript"/>
        </w:rPr>
        <w:t>5</w:t>
      </w:r>
      <w:r w:rsidR="00372129">
        <w:rPr>
          <w:rFonts w:ascii="Times New Roman" w:hAnsi="Times New Roman" w:cs="Times New Roman"/>
          <w:sz w:val="24"/>
          <w:szCs w:val="24"/>
        </w:rPr>
        <w:t xml:space="preserve"> </w:t>
      </w:r>
      <w:r w:rsidR="00372129" w:rsidRPr="00687219">
        <w:rPr>
          <w:rFonts w:cs="Times New Roman"/>
        </w:rPr>
        <w:t>Therefore, one might surmise that the presen</w:t>
      </w:r>
      <w:r w:rsidR="00687219" w:rsidRPr="00687219">
        <w:rPr>
          <w:rFonts w:cs="Times New Roman"/>
        </w:rPr>
        <w:t>ce of this complex enhances the rate of electron transfer for the couple. However, the constant value of k</w:t>
      </w:r>
      <w:r w:rsidR="00687219" w:rsidRPr="00687219">
        <w:rPr>
          <w:rFonts w:cs="Times New Roman"/>
          <w:vertAlign w:val="superscript"/>
        </w:rPr>
        <w:t>0</w:t>
      </w:r>
      <w:r w:rsidR="00687219" w:rsidRPr="00687219">
        <w:rPr>
          <w:rFonts w:cs="Times New Roman"/>
        </w:rPr>
        <w:t xml:space="preserve"> as a function of state of charge</w:t>
      </w:r>
      <w:r w:rsidR="008D2512">
        <w:rPr>
          <w:rFonts w:cs="Times New Roman"/>
        </w:rPr>
        <w:t xml:space="preserve"> in both electrolyte systems discredits</w:t>
      </w:r>
      <w:r w:rsidR="00687219" w:rsidRPr="00687219">
        <w:rPr>
          <w:rFonts w:cs="Times New Roman"/>
        </w:rPr>
        <w:t xml:space="preserve"> this idea</w:t>
      </w:r>
      <w:r w:rsidR="008D2512">
        <w:rPr>
          <w:rFonts w:cs="Times New Roman"/>
        </w:rPr>
        <w:t xml:space="preserve">, leading one to presume that differences in complexation of the vanadium species at either side of the battery may strongly influence performance. </w:t>
      </w:r>
      <w:r w:rsidR="008D2512">
        <w:t>The definitive</w:t>
      </w:r>
      <w:r w:rsidR="00687219">
        <w:t xml:space="preserve"> reason for this enhanced kinetic performance will be an area of future work.</w:t>
      </w:r>
    </w:p>
    <w:p w14:paraId="14E27074" w14:textId="707C66A5" w:rsidR="008730EA" w:rsidRDefault="0033179A" w:rsidP="008D2512">
      <w:pPr>
        <w:widowControl w:val="0"/>
        <w:autoSpaceDE w:val="0"/>
        <w:autoSpaceDN w:val="0"/>
        <w:adjustRightInd w:val="0"/>
        <w:spacing w:after="0" w:line="480" w:lineRule="auto"/>
        <w:ind w:firstLine="720"/>
      </w:pPr>
      <w:r>
        <w:t>Another thought to consider is that the kinetics of VO</w:t>
      </w:r>
      <w:r>
        <w:rPr>
          <w:vertAlign w:val="subscript"/>
        </w:rPr>
        <w:t>2</w:t>
      </w:r>
      <w:r>
        <w:rPr>
          <w:vertAlign w:val="superscript"/>
        </w:rPr>
        <w:t>+</w:t>
      </w:r>
      <w:r>
        <w:t>/VO</w:t>
      </w:r>
      <w:r>
        <w:rPr>
          <w:vertAlign w:val="superscript"/>
        </w:rPr>
        <w:t>2+</w:t>
      </w:r>
      <w:r>
        <w:t xml:space="preserve"> are possibly not </w:t>
      </w:r>
      <w:r w:rsidR="008D2512">
        <w:t xml:space="preserve">so significantly </w:t>
      </w:r>
      <w:r>
        <w:t>inherently faster than the V</w:t>
      </w:r>
      <w:r>
        <w:rPr>
          <w:vertAlign w:val="superscript"/>
        </w:rPr>
        <w:t>3+</w:t>
      </w:r>
      <w:r>
        <w:t>/V</w:t>
      </w:r>
      <w:r>
        <w:rPr>
          <w:vertAlign w:val="superscript"/>
        </w:rPr>
        <w:t>2+</w:t>
      </w:r>
      <w:r>
        <w:t xml:space="preserve"> couple but rather that the V</w:t>
      </w:r>
      <w:r>
        <w:rPr>
          <w:vertAlign w:val="superscript"/>
        </w:rPr>
        <w:t>3+</w:t>
      </w:r>
      <w:r>
        <w:t>/V</w:t>
      </w:r>
      <w:r>
        <w:rPr>
          <w:vertAlign w:val="superscript"/>
        </w:rPr>
        <w:t>2+</w:t>
      </w:r>
      <w:r>
        <w:t xml:space="preserve"> couple is subject to more performance-degrading side reactions.</w:t>
      </w:r>
      <w:r w:rsidR="00827390">
        <w:t xml:space="preserve"> The reduction potential for the negative potential is near the potential for the hydrogen evolution reaction (HER), and hydrogen is known to be spontaneously generated on carbon electrodes in electrolyte similar to the</w:t>
      </w:r>
      <w:r w:rsidR="008D2512">
        <w:t xml:space="preserve"> electrolyte used in this study</w:t>
      </w:r>
      <w:r w:rsidR="00827390">
        <w:t>.</w:t>
      </w:r>
      <w:r w:rsidR="00827390">
        <w:fldChar w:fldCharType="begin"/>
      </w:r>
      <w:r w:rsidR="00DC6E54">
        <w:instrText xml:space="preserve"> ADDIN ZOTERO_ITEM CSL_CITATION {"citationID":"olrglpc4a","properties":{"formattedCitation":"{\\rtf \\super 25,34\\nosupersub{}}","plainCitation":"25,34"},"citationItems":[{"id":55,"uris":["http://zotero.org/users/local/rZ3AHC6s/items/JNGRR2I5"],"uri":["http://zotero.org/users/local/rZ3AHC6s/items/JNGRR2I5"],"itemData":{"id":55,"type":"article-journal","title":"Identification of performance limiting electrode using asymmetric cell configuration in vanadium redox flow batteries","container-title":"Journal of Power Sources","page":"89-94","volume":"225","issue":"0","abstract":"In this study, the performance of a vanadium redox flow battery (VRFB) is investigated using asymmetric electrode configurations with raw and functionalized (i.e., acid-treated and heat-treated) electrodes. The use of heat-treated electrodes in both half-cells is chosen as the baseline case for comparison, as this configuration shows the best performance. When the positive electrode in the baseline case is replaced with a raw or acid-treated electrode, the voltage efficiency is found to be comparable to that of the baseline case. However, in the case where the negative electrode in the baseline case is replaced with a raw or acid-treated electrode, a significantly lower efficiency is observed, suggesting that the negative half-cell reactions limit the performance of a VRFB. To further investigate this observation, an additional analysis is performed using cyclic voltammetry. The reaction kinetics data suggests that the poor performance of the negative half-cell is not due to the slow kinetics, but rather stems from the fact that the reduction reaction in the negative half-cell occurs at a potential that is very close to the onset of hydrogen evolution. The formation of hydrogen gas bubbles blocks the reaction sites and suppresses the favorable effects of functionalization in the negative half-cell.","DOI":"10.1016/j.jpowsour.2012.10.016","ISSN":"0378-7753","journalAbbreviation":"Journal of Power Sources","author":[{"family":"Agar","given":"Ertan"},{"family":"Dennison","given":"C.R."},{"family":"Knehr","given":"K.W."},{"family":"Kumbur","given":"E.C."}],"issued":{"date-parts":[["2013",3,1]]}}},{"id":89,"uris":["http://zotero.org/users/local/rZ3AHC6s/items/56CRI46T"],"uri":["http://zotero.org/users/local/rZ3AHC6s/items/56CRI46T"],"itemData":{"id":89,"type":"article-journal","title":"Hydrogen evolution at the negative electrode of the all-vanadium redox flow batteries","container-title":"Journal of Power Sources","page":"560-564","volume":"248","issue":"0","abstract":"Abstract\nThis work demonstrates a quantitative method to determine the hydrogen evolution rate occurring at the negative carbon electrode of the all vanadium redox flow battery (VRFB). Two carbon papers examined by buoyancy measurements yield distinct hydrogen formation rates (0.170 and 0.005 μmol min−1 g−1). The carbon papers have been characterized using electron microscopy, nitrogen gas adsorption, capacitance measurement by electrochemical impedance spectroscopy (EIS), and X-ray photoelectron spectroscopy (XPS). We find that the specific electrochemical surface area (ECSA) of the carbon material has a strong influence on the hydrogen generation rate. This is discussed in light of the use of high surface area material to obtain high reaction rates in the VRFB.","DOI":"10.1016/j.jpowsour.2013.09.125","ISSN":"0378-7753","journalAbbreviation":"Journal of Power Sources","author":[{"family":"Sun","given":"Che-Nan"},{"family":"Delnick","given":"Frank M."},{"family":"Baggetto","given":"Loïc"},{"family":"Veith","given":"Gabriel M."},{"family":"Zawodzinski Jr.","given":"Thomas A."}],"issued":{"date-parts":[["2014",2,15]]}}}],"schema":"https://github.com/citation-style-language/schema/raw/master/csl-citation.json"} </w:instrText>
      </w:r>
      <w:r w:rsidR="00827390">
        <w:fldChar w:fldCharType="separate"/>
      </w:r>
      <w:r w:rsidR="00DC6E54" w:rsidRPr="00DC6E54">
        <w:rPr>
          <w:rFonts w:ascii="Calibri" w:hAnsi="Calibri" w:cs="Times New Roman"/>
          <w:szCs w:val="24"/>
          <w:vertAlign w:val="superscript"/>
        </w:rPr>
        <w:t>25,34</w:t>
      </w:r>
      <w:r w:rsidR="00827390">
        <w:fldChar w:fldCharType="end"/>
      </w:r>
      <w:r>
        <w:t xml:space="preserve"> Agar et al. proposes that the reduction potential for the negative couple is close to the potential for hydrogen evolution, causing hydrogen bubbles to form on the surface of the electrode and limit the area available for reaction.</w:t>
      </w:r>
      <w:r>
        <w:fldChar w:fldCharType="begin"/>
      </w:r>
      <w:r w:rsidR="00DC6E54">
        <w:instrText xml:space="preserve"> ADDIN ZOTERO_ITEM CSL_CITATION {"citationID":"13pb24fo0f","properties":{"formattedCitation":"{\\rtf \\super 34\\nosupersub{}}","plainCitation":"34"},"citationItems":[{"id":55,"uris":["http://zotero.org/users/local/rZ3AHC6s/items/JNGRR2I5"],"uri":["http://zotero.org/users/local/rZ3AHC6s/items/JNGRR2I5"],"itemData":{"id":55,"type":"article-journal","title":"Identification of performance limiting electrode using asymmetric cell configuration in vanadium redox flow batteries","container-title":"Journal of Power Sources","page":"89-94","volume":"225","issue":"0","abstract":"In this study, the performance of a vanadium redox flow battery (VRFB) is investigated using asymmetric electrode configurations with raw and functionalized (i.e., acid-treated and heat-treated) electrodes. The use of heat-treated electrodes in both half-cells is chosen as the baseline case for comparison, as this configuration shows the best performance. When the positive electrode in the baseline case is replaced with a raw or acid-treated electrode, the voltage efficiency is found to be comparable to that of the baseline case. However, in the case where the negative electrode in the baseline case is replaced with a raw or acid-treated electrode, a significantly lower efficiency is observed, suggesting that the negative half-cell reactions limit the performance of a VRFB. To further investigate this observation, an additional analysis is performed using cyclic voltammetry. The reaction kinetics data suggests that the poor performance of the negative half-cell is not due to the slow kinetics, but rather stems from the fact that the reduction reaction in the negative half-cell occurs at a potential that is very close to the onset of hydrogen evolution. The formation of hydrogen gas bubbles blocks the reaction sites and suppresses the favorable effects of functionalization in the negative half-cell.","DOI":"10.1016/j.jpowsour.2012.10.016","ISSN":"0378-7753","journalAbbreviation":"Journal of Power Sources","author":[{"family":"Agar","given":"Ertan"},{"family":"Dennison","given":"C.R."},{"family":"Knehr","given":"K.W."},{"family":"Kumbur","given":"E.C."}],"issued":{"date-parts":[["2013",3,1]]}}}],"schema":"https://github.com/citation-style-language/schema/raw/master/csl-citation.json"} </w:instrText>
      </w:r>
      <w:r>
        <w:fldChar w:fldCharType="separate"/>
      </w:r>
      <w:r w:rsidR="00DC6E54" w:rsidRPr="00DC6E54">
        <w:rPr>
          <w:rFonts w:ascii="Calibri" w:hAnsi="Calibri" w:cs="Times New Roman"/>
          <w:szCs w:val="24"/>
          <w:vertAlign w:val="superscript"/>
        </w:rPr>
        <w:t>34</w:t>
      </w:r>
      <w:r>
        <w:fldChar w:fldCharType="end"/>
      </w:r>
      <w:r>
        <w:t xml:space="preserve"> This limiting of area would cause an apparent reduction in kinetic performance. </w:t>
      </w:r>
      <w:r w:rsidR="008D2512">
        <w:t>While it seems improbable</w:t>
      </w:r>
      <w:r w:rsidR="00827390">
        <w:t xml:space="preserve"> that hydrogen evolution is the only reason for decreased kinetic performance, </w:t>
      </w:r>
      <w:r w:rsidR="00827390">
        <w:lastRenderedPageBreak/>
        <w:t xml:space="preserve">particularly as one would expect to see some state of charge dependence were hydrogen evolution the only limiting factor in the system, hydrogen evolution is certainly a </w:t>
      </w:r>
      <w:r w:rsidR="002F609A">
        <w:t xml:space="preserve">small </w:t>
      </w:r>
      <w:r w:rsidR="00827390">
        <w:t>contributing factor to the dismal kinetic performance</w:t>
      </w:r>
      <w:r w:rsidR="008D2512">
        <w:t>. However,</w:t>
      </w:r>
      <w:r w:rsidR="002F609A">
        <w:t xml:space="preserve"> its effect is virtually negligible as it is not reflected in the calculated kinetic parameters</w:t>
      </w:r>
      <w:r w:rsidR="00827390">
        <w:t xml:space="preserve">. </w:t>
      </w:r>
      <w:r w:rsidR="00C26114">
        <w:t>Though the charge transfer coefficient has traditionally been taken to be 0.5 in mathematical modeling, the highly asymmetric values of α found for the negative couple are supported by experimental values reported in the newer literature.</w:t>
      </w:r>
      <w:r w:rsidR="00C26114">
        <w:fldChar w:fldCharType="begin"/>
      </w:r>
      <w:r w:rsidR="00DC6E54">
        <w:instrText xml:space="preserve"> ADDIN ZOTERO_ITEM CSL_CITATION {"citationID":"18a5pa61l","properties":{"formattedCitation":"{\\rtf \\super 34\\nosupersub{}}","plainCitation":"34"},"citationItems":[{"id":55,"uris":["http://zotero.org/users/local/rZ3AHC6s/items/JNGRR2I5"],"uri":["http://zotero.org/users/local/rZ3AHC6s/items/JNGRR2I5"],"itemData":{"id":55,"type":"article-journal","title":"Identification of performance limiting electrode using asymmetric cell configuration in vanadium redox flow batteries","container-title":"Journal of Power Sources","page":"89-94","volume":"225","issue":"0","abstract":"In this study, the performance of a vanadium redox flow battery (VRFB) is investigated using asymmetric electrode configurations with raw and functionalized (i.e., acid-treated and heat-treated) electrodes. The use of heat-treated electrodes in both half-cells is chosen as the baseline case for comparison, as this configuration shows the best performance. When the positive electrode in the baseline case is replaced with a raw or acid-treated electrode, the voltage efficiency is found to be comparable to that of the baseline case. However, in the case where the negative electrode in the baseline case is replaced with a raw or acid-treated electrode, a significantly lower efficiency is observed, suggesting that the negative half-cell reactions limit the performance of a VRFB. To further investigate this observation, an additional analysis is performed using cyclic voltammetry. The reaction kinetics data suggests that the poor performance of the negative half-cell is not due to the slow kinetics, but rather stems from the fact that the reduction reaction in the negative half-cell occurs at a potential that is very close to the onset of hydrogen evolution. The formation of hydrogen gas bubbles blocks the reaction sites and suppresses the favorable effects of functionalization in the negative half-cell.","DOI":"10.1016/j.jpowsour.2012.10.016","ISSN":"0378-7753","journalAbbreviation":"Journal of Power Sources","author":[{"family":"Agar","given":"Ertan"},{"family":"Dennison","given":"C.R."},{"family":"Knehr","given":"K.W."},{"family":"Kumbur","given":"E.C."}],"issued":{"date-parts":[["2013",3,1]]}}}],"schema":"https://github.com/citation-style-language/schema/raw/master/csl-citation.json"} </w:instrText>
      </w:r>
      <w:r w:rsidR="00C26114">
        <w:fldChar w:fldCharType="separate"/>
      </w:r>
      <w:r w:rsidR="00DC6E54" w:rsidRPr="00DC6E54">
        <w:rPr>
          <w:rFonts w:ascii="Calibri" w:hAnsi="Calibri" w:cs="Times New Roman"/>
          <w:szCs w:val="24"/>
          <w:vertAlign w:val="superscript"/>
        </w:rPr>
        <w:t>34</w:t>
      </w:r>
      <w:r w:rsidR="00C26114">
        <w:fldChar w:fldCharType="end"/>
      </w:r>
    </w:p>
    <w:p w14:paraId="0D7C7C7C" w14:textId="520FBFC6" w:rsidR="009C1CDD" w:rsidRDefault="008730EA" w:rsidP="008D2512">
      <w:pPr>
        <w:widowControl w:val="0"/>
        <w:autoSpaceDE w:val="0"/>
        <w:autoSpaceDN w:val="0"/>
        <w:adjustRightInd w:val="0"/>
        <w:spacing w:after="0" w:line="480" w:lineRule="auto"/>
        <w:ind w:firstLine="720"/>
      </w:pPr>
      <w:r>
        <w:t>Finally, the kinetic performance of the VRB is significantly improved by the use of the mixed-acid electrolyte as opposed to the pure-sulfuric acid electrolyte. Both systems produce the same</w:t>
      </w:r>
      <w:r w:rsidR="008D2512">
        <w:t xml:space="preserve"> relative</w:t>
      </w:r>
      <w:r>
        <w:t xml:space="preserve"> kinetic response to state of charge, but the absolute exchange current density in the mixed-acid system is</w:t>
      </w:r>
      <w:r w:rsidR="006F5F73">
        <w:t xml:space="preserve"> approximately 4.5 times greater for the VO</w:t>
      </w:r>
      <w:r w:rsidR="006F5F73">
        <w:rPr>
          <w:vertAlign w:val="subscript"/>
        </w:rPr>
        <w:t>2</w:t>
      </w:r>
      <w:r w:rsidR="006F5F73">
        <w:rPr>
          <w:vertAlign w:val="superscript"/>
        </w:rPr>
        <w:t>+</w:t>
      </w:r>
      <w:r w:rsidR="006F5F73">
        <w:t>/VO</w:t>
      </w:r>
      <w:r w:rsidR="006F5F73">
        <w:rPr>
          <w:vertAlign w:val="superscript"/>
        </w:rPr>
        <w:t>2+</w:t>
      </w:r>
      <w:r w:rsidR="006F5F73">
        <w:t xml:space="preserve"> and approximately 7 times greater for the V</w:t>
      </w:r>
      <w:r w:rsidR="006F5F73">
        <w:rPr>
          <w:vertAlign w:val="superscript"/>
        </w:rPr>
        <w:t>3+</w:t>
      </w:r>
      <w:r w:rsidR="006F5F73">
        <w:t>/V</w:t>
      </w:r>
      <w:r w:rsidR="006F5F73">
        <w:rPr>
          <w:vertAlign w:val="superscript"/>
        </w:rPr>
        <w:t>2+</w:t>
      </w:r>
      <w:r w:rsidR="006F5F73">
        <w:t xml:space="preserve"> as compared to the pure-sulfuric acid electrolyte. In the pure-sulfuric acid electrolyte, the exchange current density for the VO</w:t>
      </w:r>
      <w:r w:rsidR="006F5F73">
        <w:rPr>
          <w:vertAlign w:val="subscript"/>
        </w:rPr>
        <w:t>2</w:t>
      </w:r>
      <w:r w:rsidR="006F5F73">
        <w:rPr>
          <w:vertAlign w:val="superscript"/>
        </w:rPr>
        <w:t>+</w:t>
      </w:r>
      <w:r w:rsidR="006F5F73">
        <w:t>/VO</w:t>
      </w:r>
      <w:r w:rsidR="006F5F73">
        <w:rPr>
          <w:vertAlign w:val="superscript"/>
        </w:rPr>
        <w:t>2+</w:t>
      </w:r>
      <w:r w:rsidR="006F5F73">
        <w:t xml:space="preserve"> is approximately 4 times greater than that of the V</w:t>
      </w:r>
      <w:r w:rsidR="006F5F73">
        <w:rPr>
          <w:vertAlign w:val="superscript"/>
        </w:rPr>
        <w:t>3+</w:t>
      </w:r>
      <w:r w:rsidR="006F5F73">
        <w:t>/V</w:t>
      </w:r>
      <w:r w:rsidR="006F5F73">
        <w:rPr>
          <w:vertAlign w:val="superscript"/>
        </w:rPr>
        <w:t>2+</w:t>
      </w:r>
      <w:r w:rsidR="006F5F73">
        <w:t xml:space="preserve"> couple. In the mixed-acid electrolyte, the exchange current density for the VO</w:t>
      </w:r>
      <w:r w:rsidR="006F5F73">
        <w:rPr>
          <w:vertAlign w:val="subscript"/>
        </w:rPr>
        <w:t>2</w:t>
      </w:r>
      <w:r w:rsidR="006F5F73">
        <w:rPr>
          <w:vertAlign w:val="superscript"/>
        </w:rPr>
        <w:t>+</w:t>
      </w:r>
      <w:r w:rsidR="006F5F73">
        <w:t>/VO</w:t>
      </w:r>
      <w:r w:rsidR="006F5F73">
        <w:rPr>
          <w:vertAlign w:val="superscript"/>
        </w:rPr>
        <w:t>2+</w:t>
      </w:r>
      <w:r w:rsidR="006F5F73">
        <w:t xml:space="preserve"> is approximately 3 times greater than that of the V</w:t>
      </w:r>
      <w:r w:rsidR="006F5F73">
        <w:rPr>
          <w:vertAlign w:val="superscript"/>
        </w:rPr>
        <w:t>3+</w:t>
      </w:r>
      <w:r w:rsidR="006F5F73">
        <w:t>/V</w:t>
      </w:r>
      <w:r w:rsidR="006F5F73">
        <w:rPr>
          <w:vertAlign w:val="superscript"/>
        </w:rPr>
        <w:t>2+</w:t>
      </w:r>
      <w:r w:rsidR="006F5F73">
        <w:t xml:space="preserve"> couple. Thus, kinetic performance is improved for both couples in the mixed-acid electrolyte, and the V</w:t>
      </w:r>
      <w:r w:rsidR="006F5F73">
        <w:rPr>
          <w:vertAlign w:val="superscript"/>
        </w:rPr>
        <w:t>3+</w:t>
      </w:r>
      <w:r w:rsidR="006F5F73">
        <w:t>/V</w:t>
      </w:r>
      <w:r w:rsidR="006F5F73">
        <w:rPr>
          <w:vertAlign w:val="superscript"/>
        </w:rPr>
        <w:t>2+</w:t>
      </w:r>
      <w:r w:rsidR="006F5F73">
        <w:t xml:space="preserve"> appears to benefit most strongly from the change in electrolyte composition. This finding is particularly promising as the kinetic performance of the negative couple is most in need of improvement.</w:t>
      </w:r>
    </w:p>
    <w:p w14:paraId="09A1D209" w14:textId="650F9B1C" w:rsidR="00827390" w:rsidRDefault="009C1CDD" w:rsidP="00D82CB2">
      <w:pPr>
        <w:widowControl w:val="0"/>
        <w:autoSpaceDE w:val="0"/>
        <w:autoSpaceDN w:val="0"/>
        <w:adjustRightInd w:val="0"/>
        <w:spacing w:after="0" w:line="480" w:lineRule="auto"/>
        <w:ind w:firstLine="720"/>
      </w:pPr>
      <w:r>
        <w:t>A final item of note concerns the realistic state of charge operating window for each system. The pure-sulfuric acid electrolyte system can safely be cycled between 10% and 90% state of charge without threat of harmful side reactions or significant loss of efficiency. The mixed-acid electrolyte system must operate under a more constrictive window of approximately 30% to 70% state of charge</w:t>
      </w:r>
      <w:r w:rsidR="000E0BD6">
        <w:t xml:space="preserve"> to avoid chlorine evolution which poses a hazard to both human health and equipment integrity. Additionally, the electrochemical stability of the system is empirically much more fragile than that of the pure-acid electrolyte. Therefore, while the kinetic gains of the mixed-acid electrolyte system are initially very </w:t>
      </w:r>
      <w:r w:rsidR="000E0BD6">
        <w:lastRenderedPageBreak/>
        <w:t>promising, the risk of side reactions and reduced operating window may make these gains virtually unimportant in a commercial sense.</w:t>
      </w:r>
      <w:r w:rsidR="00300A7C">
        <w:t xml:space="preserve"> Further studies are needed to fully assess these limitations.</w:t>
      </w:r>
    </w:p>
    <w:p w14:paraId="4DC4AAB5" w14:textId="22BE789C" w:rsidR="00827390" w:rsidRPr="00013901" w:rsidRDefault="00D82CB2" w:rsidP="00D82CB2">
      <w:pPr>
        <w:widowControl w:val="0"/>
        <w:autoSpaceDE w:val="0"/>
        <w:autoSpaceDN w:val="0"/>
        <w:adjustRightInd w:val="0"/>
        <w:spacing w:after="0" w:line="480" w:lineRule="auto"/>
        <w:rPr>
          <w:b/>
        </w:rPr>
      </w:pPr>
      <w:r w:rsidRPr="00013901">
        <w:rPr>
          <w:b/>
        </w:rPr>
        <w:t>5.5 Conclusion</w:t>
      </w:r>
    </w:p>
    <w:p w14:paraId="5BDC242F" w14:textId="7BF64628" w:rsidR="00B42BCC" w:rsidRDefault="00827390" w:rsidP="008C6460">
      <w:pPr>
        <w:widowControl w:val="0"/>
        <w:autoSpaceDE w:val="0"/>
        <w:autoSpaceDN w:val="0"/>
        <w:adjustRightInd w:val="0"/>
        <w:spacing w:after="0" w:line="480" w:lineRule="auto"/>
        <w:ind w:firstLine="720"/>
      </w:pPr>
      <w:r>
        <w:t>The kinetic performance of the VO</w:t>
      </w:r>
      <w:r>
        <w:rPr>
          <w:vertAlign w:val="subscript"/>
        </w:rPr>
        <w:t>2</w:t>
      </w:r>
      <w:r>
        <w:rPr>
          <w:vertAlign w:val="superscript"/>
        </w:rPr>
        <w:t>+</w:t>
      </w:r>
      <w:r>
        <w:t>/VO</w:t>
      </w:r>
      <w:r>
        <w:rPr>
          <w:vertAlign w:val="superscript"/>
        </w:rPr>
        <w:t>2+</w:t>
      </w:r>
      <w:r>
        <w:t xml:space="preserve"> redox couple in an operating vanadium redox flow battery</w:t>
      </w:r>
      <w:r w:rsidR="00300A7C">
        <w:t xml:space="preserve"> with pure-sulfuric acid electrolyte</w:t>
      </w:r>
      <w:r>
        <w:t xml:space="preserve"> was found to be superior to that of the V</w:t>
      </w:r>
      <w:r>
        <w:rPr>
          <w:vertAlign w:val="superscript"/>
        </w:rPr>
        <w:t>3+</w:t>
      </w:r>
      <w:r>
        <w:t>/V</w:t>
      </w:r>
      <w:r>
        <w:rPr>
          <w:vertAlign w:val="superscript"/>
        </w:rPr>
        <w:t>2+</w:t>
      </w:r>
      <w:r>
        <w:t xml:space="preserve"> redox couple in the same operating battery. While the positive couple showed a stronger absolute current response to state of charge, both couples exhibited the same normalized exchange current density dependence on state of charge. The standard reaction rate constant was found to be constant and independent of state of charge for both couples</w:t>
      </w:r>
      <w:r w:rsidR="00C26114">
        <w:t xml:space="preserve"> with the VO</w:t>
      </w:r>
      <w:r w:rsidR="00C26114">
        <w:rPr>
          <w:vertAlign w:val="subscript"/>
        </w:rPr>
        <w:t>2</w:t>
      </w:r>
      <w:r w:rsidR="00C26114">
        <w:rPr>
          <w:vertAlign w:val="superscript"/>
        </w:rPr>
        <w:t>+</w:t>
      </w:r>
      <w:r w:rsidR="00C26114">
        <w:t>/VO</w:t>
      </w:r>
      <w:r w:rsidR="00C26114">
        <w:rPr>
          <w:vertAlign w:val="superscript"/>
        </w:rPr>
        <w:t>2+</w:t>
      </w:r>
      <w:r w:rsidR="00C26114">
        <w:t xml:space="preserve"> redox couple having a constant of 1.5 </w:t>
      </w:r>
      <w:r w:rsidR="002F609A">
        <w:t>orders of magnitude</w:t>
      </w:r>
      <w:r w:rsidR="00C26114">
        <w:t xml:space="preserve"> </w:t>
      </w:r>
      <w:r w:rsidR="002F609A">
        <w:t>higher rate</w:t>
      </w:r>
      <w:r w:rsidR="00C26114">
        <w:t>. The initial findings of Aaron et al. of the negative electrode being the limiting process in the vanadium redox flow battery was supported at all states of charge.</w:t>
      </w:r>
      <w:r w:rsidR="00C26114">
        <w:fldChar w:fldCharType="begin"/>
      </w:r>
      <w:r w:rsidR="00DC6E54">
        <w:instrText xml:space="preserve"> ADDIN ZOTERO_ITEM CSL_CITATION {"citationID":"gos7prt6t","properties":{"formattedCitation":"{\\rtf \\super 10\\nosupersub{}}","plainCitation":"10"},"citationItems":[{"id":83,"uris":["http://zotero.org/users/local/rZ3AHC6s/items/KVD48ERQ"],"uri":["http://zotero.org/users/local/rZ3AHC6s/items/KVD48ERQ"],"itemData":{"id":83,"type":"article-journal","title":"In Situ Single Electrode Studies of an All-Vanadium Redox Flow Battery","container-title":"ECS Transactions","page":"43-51","volume":"41","issue":"23","abstract":"We use polarization curves and a dynamic hydrogen reference electrode (DHE) to study the effects of electrode material and state of charge on all-vanadium redox flow battery (VRB) performance. The current trend in studying these systems is to evaluate new materials or designs based on voltage, charge and power efficiency metrics.  However, such characterization does not allude to which processes may be limiting performance or which electrode dominates performance loss.  At moderate state of charge, the negative electrode dominated cell overpotential at all current densities.  As state of charge increased, the overpotential was dominated less by the negative electrode.  Thicker carbon paper showed better performance while partially wet-proofed carbon paper had a negative impact on performance compared to untreated carbon paper.  Through improvements made to the design and materials, VRB power output increased from 77 mW/cm2 to 404 mW/cm2.","DOI":"10.1149/1.3697453","journalAbbreviation":"ECS Transactions","author":[{"family":"Aaron","given":"Douglas S."},{"family":"Tang","given":"Zhijiang"},{"family":"Lawton","given":"Jamie S."},{"family":"Papandrew","given":"Alexander P."},{"family":"Zawodzinski","given":"Thomas A."}],"issued":{"date-parts":[["2012",5,4]]}}}],"schema":"https://github.com/citation-style-language/schema/raw/master/csl-citation.json"} </w:instrText>
      </w:r>
      <w:r w:rsidR="00C26114">
        <w:fldChar w:fldCharType="separate"/>
      </w:r>
      <w:r w:rsidR="00DC6E54" w:rsidRPr="00DC6E54">
        <w:rPr>
          <w:rFonts w:ascii="Calibri" w:hAnsi="Calibri" w:cs="Times New Roman"/>
          <w:szCs w:val="24"/>
          <w:vertAlign w:val="superscript"/>
        </w:rPr>
        <w:t>10</w:t>
      </w:r>
      <w:r w:rsidR="00C26114">
        <w:fldChar w:fldCharType="end"/>
      </w:r>
      <w:r w:rsidR="00300A7C">
        <w:t xml:space="preserve"> </w:t>
      </w:r>
      <w:r w:rsidR="00D82CB2">
        <w:t>V</w:t>
      </w:r>
      <w:r w:rsidR="00D82CB2">
        <w:rPr>
          <w:vertAlign w:val="subscript"/>
        </w:rPr>
        <w:t>2</w:t>
      </w:r>
      <w:r w:rsidR="00D82CB2">
        <w:t>O</w:t>
      </w:r>
      <w:r w:rsidR="00D82CB2">
        <w:rPr>
          <w:vertAlign w:val="subscript"/>
        </w:rPr>
        <w:t>3</w:t>
      </w:r>
      <w:r w:rsidR="00D82CB2">
        <w:rPr>
          <w:vertAlign w:val="superscript"/>
        </w:rPr>
        <w:t>3+</w:t>
      </w:r>
      <w:r w:rsidR="00D82CB2">
        <w:t xml:space="preserve"> was found to have no significant role in the superior performance of the positive side of battery. </w:t>
      </w:r>
      <w:r w:rsidR="00300A7C">
        <w:t>The kinetic performance of both couples was improved in the mixed-acid electrolyte system, with the V</w:t>
      </w:r>
      <w:r w:rsidR="00300A7C">
        <w:rPr>
          <w:vertAlign w:val="superscript"/>
        </w:rPr>
        <w:t>3+</w:t>
      </w:r>
      <w:r w:rsidR="00300A7C">
        <w:t>/V</w:t>
      </w:r>
      <w:r w:rsidR="00300A7C">
        <w:rPr>
          <w:vertAlign w:val="superscript"/>
        </w:rPr>
        <w:t>2+</w:t>
      </w:r>
      <w:r w:rsidR="00300A7C">
        <w:t xml:space="preserve"> couple benefitting more strongly than the VO</w:t>
      </w:r>
      <w:r w:rsidR="00300A7C">
        <w:rPr>
          <w:vertAlign w:val="subscript"/>
        </w:rPr>
        <w:t>2</w:t>
      </w:r>
      <w:r w:rsidR="00300A7C">
        <w:rPr>
          <w:vertAlign w:val="superscript"/>
        </w:rPr>
        <w:t>+</w:t>
      </w:r>
      <w:r w:rsidR="00300A7C">
        <w:t>/VO</w:t>
      </w:r>
      <w:r w:rsidR="00300A7C">
        <w:rPr>
          <w:vertAlign w:val="superscript"/>
        </w:rPr>
        <w:t>2+</w:t>
      </w:r>
      <w:r w:rsidR="00300A7C">
        <w:t xml:space="preserve"> redox couple. However, the limited operating window and risk of harmful side reactions may preclude this mixed-acid system from replacing the traditional pure-sulfuric acid system despite large kinetic gains.</w:t>
      </w:r>
    </w:p>
    <w:p w14:paraId="678B7C3B" w14:textId="1D3C5610" w:rsidR="00B42BCC" w:rsidRPr="00013901" w:rsidRDefault="008C6460" w:rsidP="008C6460">
      <w:pPr>
        <w:widowControl w:val="0"/>
        <w:autoSpaceDE w:val="0"/>
        <w:autoSpaceDN w:val="0"/>
        <w:adjustRightInd w:val="0"/>
        <w:spacing w:after="0" w:line="480" w:lineRule="auto"/>
        <w:rPr>
          <w:b/>
        </w:rPr>
      </w:pPr>
      <w:r w:rsidRPr="00013901">
        <w:rPr>
          <w:b/>
        </w:rPr>
        <w:t xml:space="preserve">6.  Spectroscopy </w:t>
      </w:r>
    </w:p>
    <w:p w14:paraId="64CECC32" w14:textId="23F08CE9" w:rsidR="00951B6B" w:rsidRPr="00013901" w:rsidRDefault="008C6460" w:rsidP="008C6460">
      <w:pPr>
        <w:widowControl w:val="0"/>
        <w:autoSpaceDE w:val="0"/>
        <w:autoSpaceDN w:val="0"/>
        <w:adjustRightInd w:val="0"/>
        <w:spacing w:after="0" w:line="480" w:lineRule="auto"/>
        <w:rPr>
          <w:b/>
        </w:rPr>
      </w:pPr>
      <w:r w:rsidRPr="00013901">
        <w:rPr>
          <w:b/>
        </w:rPr>
        <w:t>6.1 Materials</w:t>
      </w:r>
    </w:p>
    <w:p w14:paraId="1C9F9350" w14:textId="4685042D" w:rsidR="00B42BCC" w:rsidRDefault="00951B6B" w:rsidP="008C6460">
      <w:pPr>
        <w:widowControl w:val="0"/>
        <w:autoSpaceDE w:val="0"/>
        <w:autoSpaceDN w:val="0"/>
        <w:adjustRightInd w:val="0"/>
        <w:spacing w:after="0" w:line="480" w:lineRule="auto"/>
        <w:ind w:firstLine="720"/>
      </w:pPr>
      <w:r>
        <w:t xml:space="preserve">Electrolyte was prepared by first preparing 5.0M sulfuric acid from concentrated sulfuric acid (96 </w:t>
      </w:r>
      <w:proofErr w:type="spellStart"/>
      <w:r>
        <w:t>wt</w:t>
      </w:r>
      <w:proofErr w:type="spellEnd"/>
      <w:r>
        <w:t>% H</w:t>
      </w:r>
      <w:r>
        <w:rPr>
          <w:vertAlign w:val="subscript"/>
        </w:rPr>
        <w:t>2</w:t>
      </w:r>
      <w:r>
        <w:t>SO</w:t>
      </w:r>
      <w:r>
        <w:rPr>
          <w:vertAlign w:val="subscript"/>
        </w:rPr>
        <w:t>4</w:t>
      </w:r>
      <w:r>
        <w:t>, Sigma-Aldrich). VOSO</w:t>
      </w:r>
      <w:r>
        <w:rPr>
          <w:vertAlign w:val="subscript"/>
        </w:rPr>
        <w:t>4</w:t>
      </w:r>
      <w:r>
        <w:t>·xH</w:t>
      </w:r>
      <w:r>
        <w:rPr>
          <w:vertAlign w:val="subscript"/>
        </w:rPr>
        <w:t>2</w:t>
      </w:r>
      <w:r>
        <w:t xml:space="preserve">O (Alfa </w:t>
      </w:r>
      <w:proofErr w:type="spellStart"/>
      <w:r>
        <w:t>Aesar</w:t>
      </w:r>
      <w:proofErr w:type="spellEnd"/>
      <w:r>
        <w:t>) was then dissolved in the above solution to a concentration of 1.0M VOSO</w:t>
      </w:r>
      <w:r>
        <w:rPr>
          <w:vertAlign w:val="subscript"/>
        </w:rPr>
        <w:t>4</w:t>
      </w:r>
      <w:r>
        <w:t>. All reagents were used as received.</w:t>
      </w:r>
      <w:r w:rsidR="00D63E13">
        <w:t xml:space="preserve"> </w:t>
      </w:r>
    </w:p>
    <w:p w14:paraId="1389551E" w14:textId="24DC4A38" w:rsidR="00B42BCC" w:rsidRPr="00013901" w:rsidRDefault="00B42BCC" w:rsidP="00523E01">
      <w:pPr>
        <w:widowControl w:val="0"/>
        <w:autoSpaceDE w:val="0"/>
        <w:autoSpaceDN w:val="0"/>
        <w:adjustRightInd w:val="0"/>
        <w:spacing w:after="0" w:line="480" w:lineRule="auto"/>
        <w:rPr>
          <w:b/>
        </w:rPr>
      </w:pPr>
      <w:r w:rsidRPr="00013901">
        <w:rPr>
          <w:b/>
        </w:rPr>
        <w:t>6.2 Experimental Setup</w:t>
      </w:r>
    </w:p>
    <w:p w14:paraId="25049BE1" w14:textId="2B66FDEB" w:rsidR="0005159B" w:rsidRDefault="00523E01" w:rsidP="00523E01">
      <w:pPr>
        <w:widowControl w:val="0"/>
        <w:autoSpaceDE w:val="0"/>
        <w:autoSpaceDN w:val="0"/>
        <w:adjustRightInd w:val="0"/>
        <w:spacing w:after="0" w:line="480" w:lineRule="auto"/>
        <w:ind w:firstLine="720"/>
      </w:pPr>
      <w:r>
        <w:t xml:space="preserve">The electrolyte was separated into two compartments of an H-cell separated by a </w:t>
      </w:r>
      <w:proofErr w:type="spellStart"/>
      <w:r>
        <w:t>Nafion</w:t>
      </w:r>
      <w:proofErr w:type="spellEnd"/>
      <w:r>
        <w:t xml:space="preserve"> 117 membrane. The volume of the electrolyte on the positive side of the battery was twice that of the </w:t>
      </w:r>
      <w:r>
        <w:lastRenderedPageBreak/>
        <w:t>electrolyte on the negative side of the battery. The electrolyte was charged and discharged to desired states of charge. Both electrolytes were continuously bubble with nitrogen to prevent oxidation of vanadium species by atmospheric oxygen.</w:t>
      </w:r>
    </w:p>
    <w:p w14:paraId="42F4438C" w14:textId="527BB1D8" w:rsidR="00951B6B" w:rsidRPr="00013901" w:rsidRDefault="0005159B" w:rsidP="008C6460">
      <w:pPr>
        <w:widowControl w:val="0"/>
        <w:autoSpaceDE w:val="0"/>
        <w:autoSpaceDN w:val="0"/>
        <w:adjustRightInd w:val="0"/>
        <w:spacing w:after="0" w:line="480" w:lineRule="auto"/>
        <w:rPr>
          <w:b/>
        </w:rPr>
      </w:pPr>
      <w:r w:rsidRPr="00013901">
        <w:rPr>
          <w:b/>
        </w:rPr>
        <w:t xml:space="preserve">6.2.1 </w:t>
      </w:r>
      <w:r w:rsidR="008C6460" w:rsidRPr="00013901">
        <w:rPr>
          <w:b/>
        </w:rPr>
        <w:t>Raman Experimental Setup</w:t>
      </w:r>
    </w:p>
    <w:p w14:paraId="2FD0325E" w14:textId="62D67DEE" w:rsidR="00951B6B" w:rsidRDefault="0005159B" w:rsidP="008C6460">
      <w:pPr>
        <w:widowControl w:val="0"/>
        <w:autoSpaceDE w:val="0"/>
        <w:autoSpaceDN w:val="0"/>
        <w:adjustRightInd w:val="0"/>
        <w:spacing w:after="0" w:line="480" w:lineRule="auto"/>
      </w:pPr>
      <w:r>
        <w:t>Micro-Raman spectra were collected using a house-made instrument consisting of the following:</w:t>
      </w:r>
    </w:p>
    <w:p w14:paraId="1AD3EFE2" w14:textId="550F2111" w:rsidR="0005159B" w:rsidRDefault="0005159B" w:rsidP="00055CFD">
      <w:pPr>
        <w:pStyle w:val="ListParagraph"/>
        <w:widowControl w:val="0"/>
        <w:numPr>
          <w:ilvl w:val="0"/>
          <w:numId w:val="3"/>
        </w:numPr>
        <w:autoSpaceDE w:val="0"/>
        <w:autoSpaceDN w:val="0"/>
        <w:adjustRightInd w:val="0"/>
        <w:spacing w:line="480" w:lineRule="auto"/>
      </w:pPr>
      <w:r>
        <w:t xml:space="preserve">A double Czerny-Turner </w:t>
      </w:r>
      <w:proofErr w:type="spellStart"/>
      <w:r>
        <w:t>monochromator</w:t>
      </w:r>
      <w:proofErr w:type="spellEnd"/>
      <w:r>
        <w:t xml:space="preserve"> at a focal distance of 400 millimeters and a grating of 1,800 lines per millimeter blazed at 5,000 Angstrom</w:t>
      </w:r>
    </w:p>
    <w:p w14:paraId="53BB5740" w14:textId="414F1E48" w:rsidR="0005159B" w:rsidRDefault="0005159B" w:rsidP="00055CFD">
      <w:pPr>
        <w:pStyle w:val="ListParagraph"/>
        <w:widowControl w:val="0"/>
        <w:numPr>
          <w:ilvl w:val="0"/>
          <w:numId w:val="3"/>
        </w:numPr>
        <w:autoSpaceDE w:val="0"/>
        <w:autoSpaceDN w:val="0"/>
        <w:adjustRightInd w:val="0"/>
        <w:spacing w:line="480" w:lineRule="auto"/>
      </w:pPr>
      <w:r>
        <w:t xml:space="preserve">A Spectra-Physics </w:t>
      </w:r>
      <w:proofErr w:type="spellStart"/>
      <w:r>
        <w:t>Stabilite</w:t>
      </w:r>
      <w:proofErr w:type="spellEnd"/>
      <w:r>
        <w:t xml:space="preserve"> 2017 argon laser with excitation line at 514.15 nanometers as the light source</w:t>
      </w:r>
    </w:p>
    <w:p w14:paraId="4C8C66C3" w14:textId="4718A116" w:rsidR="0005159B" w:rsidRDefault="0005159B" w:rsidP="00523E01">
      <w:pPr>
        <w:pStyle w:val="ListParagraph"/>
        <w:widowControl w:val="0"/>
        <w:numPr>
          <w:ilvl w:val="0"/>
          <w:numId w:val="3"/>
        </w:numPr>
        <w:autoSpaceDE w:val="0"/>
        <w:autoSpaceDN w:val="0"/>
        <w:adjustRightInd w:val="0"/>
        <w:spacing w:after="0" w:line="480" w:lineRule="auto"/>
      </w:pPr>
      <w:r>
        <w:t>An Olympus BX-41 confocal microscope equipped with a 50x objective lens</w:t>
      </w:r>
    </w:p>
    <w:p w14:paraId="30B912F2" w14:textId="39A90A80" w:rsidR="0005159B" w:rsidRDefault="0005159B" w:rsidP="00523E01">
      <w:pPr>
        <w:pStyle w:val="ListParagraph"/>
        <w:widowControl w:val="0"/>
        <w:numPr>
          <w:ilvl w:val="0"/>
          <w:numId w:val="3"/>
        </w:numPr>
        <w:autoSpaceDE w:val="0"/>
        <w:autoSpaceDN w:val="0"/>
        <w:adjustRightInd w:val="0"/>
        <w:spacing w:after="0" w:line="480" w:lineRule="auto"/>
      </w:pPr>
      <w:r>
        <w:t xml:space="preserve">A </w:t>
      </w:r>
      <w:proofErr w:type="spellStart"/>
      <w:r>
        <w:t>Jobin-Yvon</w:t>
      </w:r>
      <w:proofErr w:type="spellEnd"/>
      <w:r>
        <w:t xml:space="preserve"> Symphony charge-coupled device (CCD) detector system, cooled with liquid nitrogen</w:t>
      </w:r>
    </w:p>
    <w:p w14:paraId="5ADDF196" w14:textId="630F00BC" w:rsidR="0005159B" w:rsidRDefault="0005159B" w:rsidP="00523E01">
      <w:pPr>
        <w:widowControl w:val="0"/>
        <w:autoSpaceDE w:val="0"/>
        <w:autoSpaceDN w:val="0"/>
        <w:adjustRightInd w:val="0"/>
        <w:spacing w:after="0" w:line="480" w:lineRule="auto"/>
      </w:pPr>
      <w:r>
        <w:t>Samples were measured at room temperature.</w:t>
      </w:r>
      <w:r w:rsidR="00523E01">
        <w:t xml:space="preserve"> At desired states of charge, aliquots of electrolyte were removed from each side of the vessel and transferred to a vial without expose to the atmosphere.  The contents of the vial were then transferred to a quartz cylinder, again without exposure to oxygen. The quartz cylinder was sealed and stored in a dry </w:t>
      </w:r>
      <w:proofErr w:type="gramStart"/>
      <w:r w:rsidR="00523E01">
        <w:t>box  until</w:t>
      </w:r>
      <w:proofErr w:type="gramEnd"/>
      <w:r w:rsidR="00523E01">
        <w:t xml:space="preserve"> the cylinders were placed under the micro-Raman laser for spectrum collection.</w:t>
      </w:r>
    </w:p>
    <w:p w14:paraId="15B78DCE" w14:textId="09017142" w:rsidR="0005159B" w:rsidRPr="00013901" w:rsidRDefault="00013901" w:rsidP="00523E01">
      <w:pPr>
        <w:widowControl w:val="0"/>
        <w:autoSpaceDE w:val="0"/>
        <w:autoSpaceDN w:val="0"/>
        <w:adjustRightInd w:val="0"/>
        <w:spacing w:after="0" w:line="480" w:lineRule="auto"/>
        <w:rPr>
          <w:b/>
        </w:rPr>
      </w:pPr>
      <w:r w:rsidRPr="00013901">
        <w:rPr>
          <w:b/>
        </w:rPr>
        <w:t>6.2.2</w:t>
      </w:r>
      <w:r w:rsidR="00523E01" w:rsidRPr="00013901">
        <w:rPr>
          <w:b/>
        </w:rPr>
        <w:t xml:space="preserve"> FTIR Experimental Setup</w:t>
      </w:r>
    </w:p>
    <w:p w14:paraId="16931D6B" w14:textId="47E77893" w:rsidR="00B42BCC" w:rsidRDefault="0005159B" w:rsidP="00523E01">
      <w:pPr>
        <w:widowControl w:val="0"/>
        <w:autoSpaceDE w:val="0"/>
        <w:autoSpaceDN w:val="0"/>
        <w:adjustRightInd w:val="0"/>
        <w:spacing w:after="0" w:line="480" w:lineRule="auto"/>
        <w:ind w:firstLine="720"/>
      </w:pPr>
      <w:r>
        <w:t>A Nicolet Nexus spectrometer was used to acquire FT-MIR and FT-FIR spectra in the wavenumber range between 4,000 and 50 cm</w:t>
      </w:r>
      <w:r>
        <w:rPr>
          <w:vertAlign w:val="superscript"/>
        </w:rPr>
        <w:t>-1</w:t>
      </w:r>
      <w:r>
        <w:t>. The spectra were obtained by averaging 1000 measurements. The initial</w:t>
      </w:r>
      <w:r w:rsidR="00523E01">
        <w:t xml:space="preserve"> V</w:t>
      </w:r>
      <w:r w:rsidR="00523E01">
        <w:rPr>
          <w:vertAlign w:val="superscript"/>
        </w:rPr>
        <w:t>4+</w:t>
      </w:r>
      <w:r>
        <w:t xml:space="preserve"> electrolyte solution was applied to a single-reflection accessory and covered with a lid designed to prevent sample evaporation during the course of measurements. Samples were measured at room temperature.</w:t>
      </w:r>
      <w:r w:rsidR="00523E01">
        <w:t xml:space="preserve"> For all other electrolyte compositions, electrolyte was removed from the setup at desired states of charge and sealed in a vial as described in 6.2.1. The single-reflection </w:t>
      </w:r>
      <w:r w:rsidR="00523E01">
        <w:lastRenderedPageBreak/>
        <w:t>accessory was then moved to the dry box where it was loaded with the contents of the vial. The accessory was sealed to ensure no atmospheric contamination and removed from the dry box to collect FT-MIR and FT-FIR spectra.</w:t>
      </w:r>
    </w:p>
    <w:p w14:paraId="4F637B85" w14:textId="55330E10" w:rsidR="00B42BCC" w:rsidRPr="00013901" w:rsidRDefault="00523E01" w:rsidP="00523E01">
      <w:pPr>
        <w:widowControl w:val="0"/>
        <w:autoSpaceDE w:val="0"/>
        <w:autoSpaceDN w:val="0"/>
        <w:adjustRightInd w:val="0"/>
        <w:spacing w:after="0" w:line="480" w:lineRule="auto"/>
        <w:rPr>
          <w:b/>
        </w:rPr>
      </w:pPr>
      <w:r w:rsidRPr="00013901">
        <w:rPr>
          <w:b/>
        </w:rPr>
        <w:t>6.3 Data</w:t>
      </w:r>
    </w:p>
    <w:p w14:paraId="460448F2" w14:textId="252CB167" w:rsidR="00A23F27" w:rsidRDefault="00523E01" w:rsidP="00523E01">
      <w:pPr>
        <w:widowControl w:val="0"/>
        <w:autoSpaceDE w:val="0"/>
        <w:autoSpaceDN w:val="0"/>
        <w:adjustRightInd w:val="0"/>
        <w:spacing w:after="0" w:line="480" w:lineRule="auto"/>
      </w:pPr>
      <w:r>
        <w:rPr>
          <w:b/>
        </w:rPr>
        <w:t>Table 3</w:t>
      </w:r>
      <w:r w:rsidR="0006051A">
        <w:t xml:space="preserve">: </w:t>
      </w:r>
      <w:r w:rsidR="00A23F27">
        <w:t>V</w:t>
      </w:r>
      <w:r w:rsidR="00A23F27">
        <w:rPr>
          <w:vertAlign w:val="superscript"/>
        </w:rPr>
        <w:t>5+</w:t>
      </w:r>
      <w:r w:rsidR="00A23F27">
        <w:t>/V</w:t>
      </w:r>
      <w:r w:rsidR="00A23F27">
        <w:rPr>
          <w:vertAlign w:val="superscript"/>
        </w:rPr>
        <w:t>4+</w:t>
      </w:r>
      <w:r w:rsidR="00A23F27">
        <w:t xml:space="preserve"> Theoretical Raman Band Assignments</w:t>
      </w:r>
      <w:r w:rsidR="0006051A">
        <w:t>. Quantum mechanical calculations were used to predict the Raman spectrum of the VO</w:t>
      </w:r>
      <w:r w:rsidR="0006051A">
        <w:rPr>
          <w:vertAlign w:val="subscript"/>
        </w:rPr>
        <w:t>2</w:t>
      </w:r>
      <w:r w:rsidR="0006051A">
        <w:rPr>
          <w:vertAlign w:val="superscript"/>
        </w:rPr>
        <w:t>+</w:t>
      </w:r>
      <w:r w:rsidR="0006051A">
        <w:t>/VO</w:t>
      </w:r>
      <w:r w:rsidR="0006051A">
        <w:rPr>
          <w:vertAlign w:val="superscript"/>
        </w:rPr>
        <w:t>2+</w:t>
      </w:r>
      <w:r w:rsidR="0006051A">
        <w:t xml:space="preserve"> redox couple in sulfuric acid electrolyte. The peak assignments were further verified in the literature.</w:t>
      </w:r>
    </w:p>
    <w:tbl>
      <w:tblPr>
        <w:tblStyle w:val="PlainTable2"/>
        <w:tblW w:w="5000" w:type="pct"/>
        <w:tblLook w:val="04A0" w:firstRow="1" w:lastRow="0" w:firstColumn="1" w:lastColumn="0" w:noHBand="0" w:noVBand="1"/>
      </w:tblPr>
      <w:tblGrid>
        <w:gridCol w:w="328"/>
        <w:gridCol w:w="1532"/>
        <w:gridCol w:w="6359"/>
        <w:gridCol w:w="1141"/>
      </w:tblGrid>
      <w:tr w:rsidR="00A23F27" w:rsidRPr="00AC0E65" w14:paraId="661BE69B" w14:textId="77777777" w:rsidTr="00A23F2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 w:type="pct"/>
            <w:noWrap/>
            <w:hideMark/>
          </w:tcPr>
          <w:p w14:paraId="6A9F2577" w14:textId="77777777" w:rsidR="00A23F27" w:rsidRPr="00AC0E65" w:rsidRDefault="00A23F27" w:rsidP="00055CFD">
            <w:pPr>
              <w:spacing w:line="480" w:lineRule="auto"/>
              <w:rPr>
                <w:rFonts w:ascii="Times New Roman" w:eastAsia="Times New Roman" w:hAnsi="Times New Roman" w:cs="Times New Roman"/>
                <w:sz w:val="24"/>
                <w:szCs w:val="24"/>
                <w:lang w:eastAsia="it-IT"/>
              </w:rPr>
            </w:pPr>
          </w:p>
        </w:tc>
        <w:tc>
          <w:tcPr>
            <w:tcW w:w="818" w:type="pct"/>
            <w:noWrap/>
            <w:hideMark/>
          </w:tcPr>
          <w:p w14:paraId="766D2FE0" w14:textId="77777777" w:rsidR="00A23F27" w:rsidRPr="00AC0E65" w:rsidRDefault="00A23F27" w:rsidP="00055CFD">
            <w:pPr>
              <w:spacing w:line="48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it-IT"/>
              </w:rPr>
            </w:pPr>
            <w:r>
              <w:rPr>
                <w:rFonts w:ascii="Calibri" w:eastAsia="Times New Roman" w:hAnsi="Calibri" w:cs="Times New Roman"/>
                <w:lang w:eastAsia="it-IT"/>
              </w:rPr>
              <w:t>Position (cm</w:t>
            </w:r>
            <w:r w:rsidRPr="00FD2ED2">
              <w:rPr>
                <w:rFonts w:ascii="Calibri" w:eastAsia="Times New Roman" w:hAnsi="Calibri" w:cs="Times New Roman"/>
                <w:vertAlign w:val="superscript"/>
                <w:lang w:eastAsia="it-IT"/>
              </w:rPr>
              <w:t>-1</w:t>
            </w:r>
            <w:r>
              <w:rPr>
                <w:rFonts w:ascii="Calibri" w:eastAsia="Times New Roman" w:hAnsi="Calibri" w:cs="Times New Roman"/>
                <w:lang w:eastAsia="it-IT"/>
              </w:rPr>
              <w:t>)</w:t>
            </w:r>
          </w:p>
        </w:tc>
        <w:tc>
          <w:tcPr>
            <w:tcW w:w="3397" w:type="pct"/>
          </w:tcPr>
          <w:p w14:paraId="55D2A8EC" w14:textId="77777777" w:rsidR="00A23F27" w:rsidRPr="00AC0E65" w:rsidRDefault="00A23F27" w:rsidP="00055CFD">
            <w:pPr>
              <w:spacing w:line="48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it-IT"/>
              </w:rPr>
            </w:pPr>
            <w:r w:rsidRPr="00AC0E65">
              <w:rPr>
                <w:rFonts w:ascii="Calibri" w:eastAsia="Times New Roman" w:hAnsi="Calibri" w:cs="Times New Roman"/>
                <w:lang w:eastAsia="it-IT"/>
              </w:rPr>
              <w:t>Description</w:t>
            </w:r>
          </w:p>
        </w:tc>
        <w:tc>
          <w:tcPr>
            <w:tcW w:w="610" w:type="pct"/>
          </w:tcPr>
          <w:p w14:paraId="0DA74C04" w14:textId="77777777" w:rsidR="00A23F27" w:rsidRPr="00AC0E65" w:rsidRDefault="00A23F27" w:rsidP="00055CFD">
            <w:pPr>
              <w:spacing w:line="48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it-IT"/>
              </w:rPr>
            </w:pPr>
            <w:r w:rsidRPr="00AC0E65">
              <w:rPr>
                <w:rFonts w:ascii="Calibri" w:eastAsia="Times New Roman" w:hAnsi="Calibri" w:cs="Times New Roman"/>
                <w:lang w:eastAsia="it-IT"/>
              </w:rPr>
              <w:t>Reference</w:t>
            </w:r>
          </w:p>
        </w:tc>
      </w:tr>
      <w:tr w:rsidR="00A23F27" w:rsidRPr="00AC0E65" w14:paraId="5FA3473D" w14:textId="77777777" w:rsidTr="00A23F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 w:type="pct"/>
            <w:noWrap/>
            <w:hideMark/>
          </w:tcPr>
          <w:p w14:paraId="576AA824" w14:textId="77777777" w:rsidR="00A23F27" w:rsidRPr="00AC0E65" w:rsidRDefault="00A23F27" w:rsidP="00055CFD">
            <w:pPr>
              <w:spacing w:line="480" w:lineRule="auto"/>
              <w:jc w:val="right"/>
              <w:rPr>
                <w:rFonts w:ascii="Calibri" w:eastAsia="Times New Roman" w:hAnsi="Calibri" w:cs="Times New Roman"/>
                <w:color w:val="000000"/>
                <w:lang w:eastAsia="it-IT"/>
              </w:rPr>
            </w:pPr>
            <w:r w:rsidRPr="00AC0E65">
              <w:rPr>
                <w:rFonts w:ascii="Calibri" w:eastAsia="Times New Roman" w:hAnsi="Calibri" w:cs="Times New Roman"/>
                <w:color w:val="000000"/>
                <w:lang w:eastAsia="it-IT"/>
              </w:rPr>
              <w:t>1</w:t>
            </w:r>
          </w:p>
        </w:tc>
        <w:tc>
          <w:tcPr>
            <w:tcW w:w="649" w:type="pct"/>
            <w:noWrap/>
            <w:hideMark/>
          </w:tcPr>
          <w:p w14:paraId="31C15322" w14:textId="77777777" w:rsidR="00A23F27" w:rsidRPr="00391DDC" w:rsidRDefault="00A23F27" w:rsidP="00055CFD">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it-IT"/>
              </w:rPr>
            </w:pPr>
            <w:r w:rsidRPr="00391DDC">
              <w:rPr>
                <w:rFonts w:ascii="Calibri" w:eastAsia="Times New Roman" w:hAnsi="Calibri" w:cs="Times New Roman"/>
                <w:lang w:eastAsia="it-IT"/>
              </w:rPr>
              <w:t>335-381</w:t>
            </w:r>
          </w:p>
        </w:tc>
        <w:tc>
          <w:tcPr>
            <w:tcW w:w="3684" w:type="pct"/>
          </w:tcPr>
          <w:p w14:paraId="609F01F6" w14:textId="77777777" w:rsidR="00A23F27" w:rsidRPr="00402B29" w:rsidRDefault="00A23F27" w:rsidP="00055CFD">
            <w:pPr>
              <w:spacing w:line="480" w:lineRule="auto"/>
              <w:jc w:val="center"/>
              <w:cnfStyle w:val="000000100000" w:firstRow="0" w:lastRow="0" w:firstColumn="0" w:lastColumn="0" w:oddVBand="0" w:evenVBand="0" w:oddHBand="1" w:evenHBand="0" w:firstRowFirstColumn="0" w:firstRowLastColumn="0" w:lastRowFirstColumn="0" w:lastRowLastColumn="0"/>
            </w:pPr>
            <m:oMath>
              <m:r>
                <w:rPr>
                  <w:rFonts w:ascii="Cambria Math" w:hAnsi="Cambria Math"/>
                </w:rPr>
                <m:t>VO</m:t>
              </m:r>
              <m:sSubSup>
                <m:sSubSupPr>
                  <m:ctrlPr>
                    <w:rPr>
                      <w:rFonts w:ascii="Cambria Math" w:hAnsi="Cambria Math"/>
                      <w:i/>
                    </w:rPr>
                  </m:ctrlPr>
                </m:sSubSupPr>
                <m:e>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e>
                  </m:d>
                </m:e>
                <m:sub>
                  <m:r>
                    <w:rPr>
                      <w:rFonts w:ascii="Cambria Math" w:hAnsi="Cambria Math"/>
                    </w:rPr>
                    <m:t>5</m:t>
                  </m:r>
                </m:sub>
                <m:sup>
                  <m:r>
                    <w:rPr>
                      <w:rFonts w:ascii="Cambria Math" w:hAnsi="Cambria Math"/>
                    </w:rPr>
                    <m:t>2+</m:t>
                  </m:r>
                </m:sup>
              </m:sSubSup>
            </m:oMath>
            <w:r>
              <w:rPr>
                <w:rFonts w:eastAsiaTheme="minorEastAsia"/>
              </w:rPr>
              <w:t xml:space="preserve"> </w:t>
            </w:r>
            <w:r w:rsidRPr="00AC0E65">
              <w:t>V=O deformations</w:t>
            </w:r>
          </w:p>
        </w:tc>
        <w:tc>
          <w:tcPr>
            <w:tcW w:w="495" w:type="pct"/>
          </w:tcPr>
          <w:p w14:paraId="4F1B2690" w14:textId="2762F654" w:rsidR="00A23F27" w:rsidRPr="00AC0E65" w:rsidRDefault="00A23F27" w:rsidP="00055CFD">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it-IT"/>
              </w:rPr>
            </w:pPr>
            <w:r>
              <w:rPr>
                <w:rFonts w:ascii="Calibri" w:eastAsia="Times New Roman" w:hAnsi="Calibri" w:cs="Times New Roman"/>
                <w:color w:val="000000"/>
                <w:lang w:eastAsia="it-IT"/>
              </w:rPr>
              <w:fldChar w:fldCharType="begin"/>
            </w:r>
            <w:r w:rsidR="00DC6E54">
              <w:rPr>
                <w:rFonts w:ascii="Calibri" w:eastAsia="Times New Roman" w:hAnsi="Calibri" w:cs="Times New Roman"/>
                <w:color w:val="000000"/>
                <w:lang w:eastAsia="it-IT"/>
              </w:rPr>
              <w:instrText xml:space="preserve"> ADDIN ZOTERO_ITEM CSL_CITATION {"citationID":"hc7dge5a4","properties":{"formattedCitation":"{\\rtf \\super 35\\nosupersub{}}","plainCitation":"35"},"citationItems":[{"id":58,"uris":["http://zotero.org/users/local/rZ3AHC6s/items/ZEG2RBVW"],"uri":["http://zotero.org/users/local/rZ3AHC6s/items/ZEG2RBVW"],"itemData":{"id":58,"type":"article-journal","title":"Raman studies on species in aqueous solutions. Part III. Vanadates, molybdates, and tungstates","container-title":"Journal of the Chemical Society A: Inorganic, Physical, Theoretical","page":"1066-1071","issue":"0","abstract":"The nature of the species present in aqueous solutions of vanadates(), peroxovanadates(), molybdates, and tungstates() at different pH and high metal concentrations (. 1) has been studied by means of Raman and i.r. spectroscopy.","DOI":"10.1039/J19690001066","ISSN":"0022-4944","journalAbbreviation":"J. Chem. Soc. A","author":[{"family":"Griffith","given":"W. P."},{"family":"Lesniak","given":"P. J. B."}],"issued":{"date-parts":[["1969"]]}}}],"schema":"https://github.com/citation-style-language/schema/raw/master/csl-citation.json"} </w:instrText>
            </w:r>
            <w:r>
              <w:rPr>
                <w:rFonts w:ascii="Calibri" w:eastAsia="Times New Roman" w:hAnsi="Calibri" w:cs="Times New Roman"/>
                <w:color w:val="000000"/>
                <w:lang w:eastAsia="it-IT"/>
              </w:rPr>
              <w:fldChar w:fldCharType="separate"/>
            </w:r>
            <w:r w:rsidR="00DC6E54" w:rsidRPr="00DC6E54">
              <w:rPr>
                <w:rFonts w:ascii="Calibri" w:hAnsi="Calibri" w:cs="Times New Roman"/>
                <w:szCs w:val="24"/>
                <w:vertAlign w:val="superscript"/>
              </w:rPr>
              <w:t>35</w:t>
            </w:r>
            <w:r>
              <w:rPr>
                <w:rFonts w:ascii="Calibri" w:eastAsia="Times New Roman" w:hAnsi="Calibri" w:cs="Times New Roman"/>
                <w:color w:val="000000"/>
                <w:lang w:eastAsia="it-IT"/>
              </w:rPr>
              <w:fldChar w:fldCharType="end"/>
            </w:r>
          </w:p>
        </w:tc>
      </w:tr>
      <w:tr w:rsidR="00A23F27" w:rsidRPr="00AC0E65" w14:paraId="6C47F743" w14:textId="77777777" w:rsidTr="00A23F27">
        <w:trPr>
          <w:trHeight w:val="300"/>
        </w:trPr>
        <w:tc>
          <w:tcPr>
            <w:cnfStyle w:val="001000000000" w:firstRow="0" w:lastRow="0" w:firstColumn="1" w:lastColumn="0" w:oddVBand="0" w:evenVBand="0" w:oddHBand="0" w:evenHBand="0" w:firstRowFirstColumn="0" w:firstRowLastColumn="0" w:lastRowFirstColumn="0" w:lastRowLastColumn="0"/>
            <w:tcW w:w="171" w:type="pct"/>
            <w:noWrap/>
            <w:hideMark/>
          </w:tcPr>
          <w:p w14:paraId="15F0E2B4" w14:textId="77777777" w:rsidR="00A23F27" w:rsidRPr="00AC0E65" w:rsidRDefault="00A23F27" w:rsidP="00055CFD">
            <w:pPr>
              <w:spacing w:line="480" w:lineRule="auto"/>
              <w:jc w:val="right"/>
              <w:rPr>
                <w:rFonts w:ascii="Calibri" w:eastAsia="Times New Roman" w:hAnsi="Calibri" w:cs="Times New Roman"/>
                <w:color w:val="000000"/>
                <w:lang w:eastAsia="it-IT"/>
              </w:rPr>
            </w:pPr>
            <w:r w:rsidRPr="00AC0E65">
              <w:rPr>
                <w:rFonts w:ascii="Calibri" w:eastAsia="Times New Roman" w:hAnsi="Calibri" w:cs="Times New Roman"/>
                <w:color w:val="000000"/>
                <w:lang w:eastAsia="it-IT"/>
              </w:rPr>
              <w:t>2</w:t>
            </w:r>
          </w:p>
        </w:tc>
        <w:tc>
          <w:tcPr>
            <w:tcW w:w="649" w:type="pct"/>
            <w:noWrap/>
            <w:hideMark/>
          </w:tcPr>
          <w:p w14:paraId="5535CA50" w14:textId="77777777" w:rsidR="00A23F27" w:rsidRPr="00391DDC" w:rsidRDefault="00A23F27" w:rsidP="00055CFD">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it-IT"/>
              </w:rPr>
            </w:pPr>
            <w:r w:rsidRPr="00391DDC">
              <w:rPr>
                <w:rFonts w:ascii="Calibri" w:eastAsia="Times New Roman" w:hAnsi="Calibri" w:cs="Times New Roman"/>
                <w:lang w:eastAsia="it-IT"/>
              </w:rPr>
              <w:t>438-456</w:t>
            </w:r>
          </w:p>
        </w:tc>
        <w:tc>
          <w:tcPr>
            <w:tcW w:w="3684" w:type="pct"/>
          </w:tcPr>
          <w:p w14:paraId="0B9F3E60" w14:textId="77777777" w:rsidR="00A23F27" w:rsidRPr="001920CC" w:rsidRDefault="00A23F27" w:rsidP="00055CFD">
            <w:pPr>
              <w:spacing w:line="480" w:lineRule="auto"/>
              <w:jc w:val="center"/>
              <w:cnfStyle w:val="000000000000" w:firstRow="0" w:lastRow="0" w:firstColumn="0" w:lastColumn="0" w:oddVBand="0" w:evenVBand="0" w:oddHBand="0" w:evenHBand="0" w:firstRowFirstColumn="0" w:firstRowLastColumn="0" w:lastRowFirstColumn="0" w:lastRowLastColumn="0"/>
            </w:pPr>
            <m:oMath>
              <m:r>
                <w:rPr>
                  <w:rFonts w:ascii="Cambria Math" w:hAnsi="Cambria Math"/>
                </w:rPr>
                <m:t>S</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2-</m:t>
                  </m:r>
                </m:sup>
              </m:sSubSup>
            </m:oMath>
            <w:r>
              <w:rPr>
                <w:rFonts w:eastAsiaTheme="minorEastAsia"/>
              </w:rPr>
              <w:t>(450 cm</w:t>
            </w:r>
            <w:r w:rsidRPr="001920CC">
              <w:rPr>
                <w:rFonts w:eastAsiaTheme="minorEastAsia"/>
                <w:vertAlign w:val="superscript"/>
              </w:rPr>
              <w:t>-1</w:t>
            </w:r>
            <w:r>
              <w:rPr>
                <w:rFonts w:eastAsiaTheme="minorEastAsia"/>
              </w:rPr>
              <w:t xml:space="preserve">)and </w:t>
            </w:r>
            <m:oMath>
              <m:r>
                <w:rPr>
                  <w:rFonts w:ascii="Cambria Math" w:hAnsi="Cambria Math"/>
                </w:rPr>
                <m:t>HS</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m:t>
                  </m:r>
                </m:sup>
              </m:sSubSup>
              <m:r>
                <w:rPr>
                  <w:rFonts w:ascii="Cambria Math" w:hAnsi="Cambria Math"/>
                </w:rPr>
                <m:t xml:space="preserve"> </m:t>
              </m:r>
            </m:oMath>
            <w:r>
              <w:rPr>
                <w:rFonts w:eastAsiaTheme="minorEastAsia"/>
              </w:rPr>
              <w:t>(424 cm</w:t>
            </w:r>
            <w:r w:rsidRPr="001920CC">
              <w:rPr>
                <w:rFonts w:eastAsiaTheme="minorEastAsia"/>
                <w:vertAlign w:val="superscript"/>
              </w:rPr>
              <w:t>-1</w:t>
            </w:r>
            <w:r>
              <w:t>)</w:t>
            </w:r>
          </w:p>
        </w:tc>
        <w:tc>
          <w:tcPr>
            <w:tcW w:w="495" w:type="pct"/>
          </w:tcPr>
          <w:p w14:paraId="77289E25" w14:textId="5CDA1CBF" w:rsidR="00A23F27" w:rsidRPr="00AC0E65" w:rsidRDefault="00A23F27" w:rsidP="00055CFD">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it-IT"/>
              </w:rPr>
            </w:pPr>
            <w:r>
              <w:rPr>
                <w:rFonts w:ascii="Calibri" w:eastAsia="Times New Roman" w:hAnsi="Calibri" w:cs="Times New Roman"/>
                <w:color w:val="000000"/>
                <w:lang w:eastAsia="it-IT"/>
              </w:rPr>
              <w:fldChar w:fldCharType="begin"/>
            </w:r>
            <w:r w:rsidR="00DC6E54">
              <w:rPr>
                <w:rFonts w:ascii="Calibri" w:eastAsia="Times New Roman" w:hAnsi="Calibri" w:cs="Times New Roman"/>
                <w:color w:val="000000"/>
                <w:lang w:eastAsia="it-IT"/>
              </w:rPr>
              <w:instrText xml:space="preserve"> ADDIN ZOTERO_ITEM CSL_CITATION {"citationID":"1a717ugvkh","properties":{"formattedCitation":"{\\rtf \\super 36,37\\nosupersub{}}","plainCitation":"36,37"},"citationItems":[{"id":59,"uris":["http://zotero.org/users/local/rZ3AHC6s/items/9C4V5724"],"uri":["http://zotero.org/users/local/rZ3AHC6s/items/9C4V5724"],"itemData":{"id":59,"type":"article-journal","title":"Equilibriums and proton transfer in the bisulfate-sulfate system","container-title":"The Journal of Physical Chemistry","page":"3796-3801","volume":"74","issue":"21","DOI":"10.1021/j100715a014","ISSN":"0022-3654","journalAbbreviation":"J. Phys. Chem.","author":[{"family":"Irish","given":"Donald E."},{"family":"Chen","given":"H."}],"issued":{"date-parts":[["1970",10,1]]},"accessed":{"date-parts":[["2015",2,16]]}}},{"id":63,"uris":["http://zotero.org/users/local/rZ3AHC6s/items/8VA92FM8"],"uri":["http://zotero.org/users/local/rZ3AHC6s/items/8VA92FM8"],"itemData":{"id":63,"type":"article-journal","title":"The vibrational spectra and structure of the vanadyl ion in aqueous solution","container-title":"Inorganic Chemistry","page":"372-375","volume":"2","author":[{"family":"Evans","given":"J.C."}],"issued":{"date-parts":[["1963"]]}}}],"schema":"https://github.com/citation-style-language/schema/raw/master/csl-citation.json"} </w:instrText>
            </w:r>
            <w:r>
              <w:rPr>
                <w:rFonts w:ascii="Calibri" w:eastAsia="Times New Roman" w:hAnsi="Calibri" w:cs="Times New Roman"/>
                <w:color w:val="000000"/>
                <w:lang w:eastAsia="it-IT"/>
              </w:rPr>
              <w:fldChar w:fldCharType="separate"/>
            </w:r>
            <w:r w:rsidR="00DC6E54" w:rsidRPr="00DC6E54">
              <w:rPr>
                <w:rFonts w:ascii="Calibri" w:hAnsi="Calibri" w:cs="Times New Roman"/>
                <w:szCs w:val="24"/>
                <w:vertAlign w:val="superscript"/>
              </w:rPr>
              <w:t>36,37</w:t>
            </w:r>
            <w:r>
              <w:rPr>
                <w:rFonts w:ascii="Calibri" w:eastAsia="Times New Roman" w:hAnsi="Calibri" w:cs="Times New Roman"/>
                <w:color w:val="000000"/>
                <w:lang w:eastAsia="it-IT"/>
              </w:rPr>
              <w:fldChar w:fldCharType="end"/>
            </w:r>
          </w:p>
        </w:tc>
      </w:tr>
      <w:tr w:rsidR="003228DE" w:rsidRPr="00AC0E65" w14:paraId="666AB313" w14:textId="77777777" w:rsidTr="00A23F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 w:type="pct"/>
            <w:noWrap/>
          </w:tcPr>
          <w:p w14:paraId="0EAFD6FA" w14:textId="2664E008" w:rsidR="003228DE" w:rsidRPr="00AC0E65" w:rsidRDefault="003228DE" w:rsidP="00055CFD">
            <w:pPr>
              <w:spacing w:line="480" w:lineRule="auto"/>
              <w:jc w:val="right"/>
              <w:rPr>
                <w:rFonts w:ascii="Calibri" w:eastAsia="Times New Roman" w:hAnsi="Calibri" w:cs="Times New Roman"/>
                <w:color w:val="000000"/>
                <w:lang w:eastAsia="it-IT"/>
              </w:rPr>
            </w:pPr>
            <w:r>
              <w:rPr>
                <w:rFonts w:ascii="Calibri" w:eastAsia="Times New Roman" w:hAnsi="Calibri" w:cs="Times New Roman"/>
                <w:color w:val="000000"/>
                <w:lang w:eastAsia="it-IT"/>
              </w:rPr>
              <w:t>3</w:t>
            </w:r>
          </w:p>
        </w:tc>
        <w:tc>
          <w:tcPr>
            <w:tcW w:w="649" w:type="pct"/>
            <w:noWrap/>
          </w:tcPr>
          <w:p w14:paraId="0AD6FF27" w14:textId="06F35D9D" w:rsidR="003228DE" w:rsidRPr="00391DDC" w:rsidRDefault="003228DE" w:rsidP="00055CFD">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it-IT"/>
              </w:rPr>
            </w:pPr>
            <w:r>
              <w:rPr>
                <w:rFonts w:ascii="Calibri" w:eastAsia="Times New Roman" w:hAnsi="Calibri" w:cs="Times New Roman"/>
                <w:lang w:eastAsia="it-IT"/>
              </w:rPr>
              <w:t>490-493</w:t>
            </w:r>
          </w:p>
        </w:tc>
        <w:tc>
          <w:tcPr>
            <w:tcW w:w="3684" w:type="pct"/>
          </w:tcPr>
          <w:p w14:paraId="750735D5" w14:textId="21194A60" w:rsidR="003228DE" w:rsidRDefault="003228DE" w:rsidP="00055CFD">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m:oMathPara>
              <m:oMath>
                <m:r>
                  <w:rPr>
                    <w:rFonts w:ascii="Cambria Math" w:hAnsi="Cambria Math"/>
                  </w:rPr>
                  <m:t>VO</m:t>
                </m:r>
                <m:sSubSup>
                  <m:sSubSupPr>
                    <m:ctrlPr>
                      <w:rPr>
                        <w:rFonts w:ascii="Cambria Math" w:hAnsi="Cambria Math"/>
                        <w:i/>
                      </w:rPr>
                    </m:ctrlPr>
                  </m:sSubSupPr>
                  <m:e>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e>
                    </m:d>
                  </m:e>
                  <m:sub>
                    <m:r>
                      <w:rPr>
                        <w:rFonts w:ascii="Cambria Math" w:hAnsi="Cambria Math"/>
                      </w:rPr>
                      <m:t>5</m:t>
                    </m:r>
                  </m:sub>
                  <m:sup>
                    <m:r>
                      <w:rPr>
                        <w:rFonts w:ascii="Cambria Math" w:hAnsi="Cambria Math"/>
                      </w:rPr>
                      <m:t>2+</m:t>
                    </m:r>
                  </m:sup>
                </m:sSubSup>
              </m:oMath>
            </m:oMathPara>
          </w:p>
        </w:tc>
        <w:tc>
          <w:tcPr>
            <w:tcW w:w="495" w:type="pct"/>
          </w:tcPr>
          <w:p w14:paraId="30A93533" w14:textId="14E4A8D3" w:rsidR="003228DE" w:rsidRDefault="00CE4698" w:rsidP="00055CFD">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it-IT"/>
              </w:rPr>
            </w:pPr>
            <w:r>
              <w:rPr>
                <w:rFonts w:ascii="Calibri" w:eastAsia="Times New Roman" w:hAnsi="Calibri" w:cs="Times New Roman"/>
                <w:color w:val="000000"/>
                <w:lang w:eastAsia="it-IT"/>
              </w:rPr>
              <w:fldChar w:fldCharType="begin"/>
            </w:r>
            <w:r w:rsidR="00DC6E54">
              <w:rPr>
                <w:rFonts w:ascii="Calibri" w:eastAsia="Times New Roman" w:hAnsi="Calibri" w:cs="Times New Roman"/>
                <w:color w:val="000000"/>
                <w:lang w:eastAsia="it-IT"/>
              </w:rPr>
              <w:instrText xml:space="preserve"> ADDIN ZOTERO_ITEM CSL_CITATION {"citationID":"1sptqr1b22","properties":{"formattedCitation":"{\\rtf \\super 38\\nosupersub{}}","plainCitation":"38"},"citationItems":[{"id":39,"uris":["http://zotero.org/users/local/rZ3AHC6s/items/5F748GU2"],"uri":["http://zotero.org/users/local/rZ3AHC6s/items/5F748GU2"],"itemData":{"id":39,"type":"article-journal","title":"Raman spectroscopy studies of concentrated vanadium redox battery positive electrolytes","container-title":"Journal of Applied Electrochemistry","page":"1327-1332","volume":"31","issue":"12","DOI":"10.1023/A:1013870624722","ISSN":"0021-891X","journalAbbreviation":"Journal of Applied Electrochemistry","language":"English","author":[{"family":"Kausar","given":"N."},{"family":"Howe","given":"R."},{"family":"Skyllas-Kazacos","given":"M."}],"issued":{"date-parts":[["2001",12,1]]}}}],"schema":"https://github.com/citation-style-language/schema/raw/master/csl-citation.json"} </w:instrText>
            </w:r>
            <w:r>
              <w:rPr>
                <w:rFonts w:ascii="Calibri" w:eastAsia="Times New Roman" w:hAnsi="Calibri" w:cs="Times New Roman"/>
                <w:color w:val="000000"/>
                <w:lang w:eastAsia="it-IT"/>
              </w:rPr>
              <w:fldChar w:fldCharType="separate"/>
            </w:r>
            <w:r w:rsidR="00DC6E54" w:rsidRPr="00DC6E54">
              <w:rPr>
                <w:rFonts w:ascii="Calibri" w:hAnsi="Calibri" w:cs="Times New Roman"/>
                <w:szCs w:val="24"/>
                <w:vertAlign w:val="superscript"/>
              </w:rPr>
              <w:t>38</w:t>
            </w:r>
            <w:r>
              <w:rPr>
                <w:rFonts w:ascii="Calibri" w:eastAsia="Times New Roman" w:hAnsi="Calibri" w:cs="Times New Roman"/>
                <w:color w:val="000000"/>
                <w:lang w:eastAsia="it-IT"/>
              </w:rPr>
              <w:fldChar w:fldCharType="end"/>
            </w:r>
          </w:p>
        </w:tc>
      </w:tr>
      <w:tr w:rsidR="00A23F27" w:rsidRPr="00AC0E65" w14:paraId="599F78AA" w14:textId="77777777" w:rsidTr="00A23F27">
        <w:trPr>
          <w:trHeight w:val="300"/>
        </w:trPr>
        <w:tc>
          <w:tcPr>
            <w:cnfStyle w:val="001000000000" w:firstRow="0" w:lastRow="0" w:firstColumn="1" w:lastColumn="0" w:oddVBand="0" w:evenVBand="0" w:oddHBand="0" w:evenHBand="0" w:firstRowFirstColumn="0" w:firstRowLastColumn="0" w:lastRowFirstColumn="0" w:lastRowLastColumn="0"/>
            <w:tcW w:w="171" w:type="pct"/>
            <w:noWrap/>
            <w:hideMark/>
          </w:tcPr>
          <w:p w14:paraId="606A5A20" w14:textId="77777777" w:rsidR="00A23F27" w:rsidRPr="00AC0E65" w:rsidRDefault="00A23F27" w:rsidP="00055CFD">
            <w:pPr>
              <w:spacing w:line="480" w:lineRule="auto"/>
              <w:jc w:val="right"/>
              <w:rPr>
                <w:rFonts w:ascii="Calibri" w:eastAsia="Times New Roman" w:hAnsi="Calibri" w:cs="Times New Roman"/>
                <w:color w:val="000000"/>
                <w:lang w:eastAsia="it-IT"/>
              </w:rPr>
            </w:pPr>
            <w:r w:rsidRPr="00AC0E65">
              <w:rPr>
                <w:rFonts w:ascii="Calibri" w:eastAsia="Times New Roman" w:hAnsi="Calibri" w:cs="Times New Roman"/>
                <w:color w:val="000000"/>
                <w:lang w:eastAsia="it-IT"/>
              </w:rPr>
              <w:t>4</w:t>
            </w:r>
          </w:p>
        </w:tc>
        <w:tc>
          <w:tcPr>
            <w:tcW w:w="649" w:type="pct"/>
            <w:noWrap/>
            <w:hideMark/>
          </w:tcPr>
          <w:p w14:paraId="6B105763" w14:textId="77777777" w:rsidR="00A23F27" w:rsidRPr="00391DDC" w:rsidRDefault="00A23F27" w:rsidP="00055CFD">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it-IT"/>
              </w:rPr>
            </w:pPr>
            <w:r w:rsidRPr="00391DDC">
              <w:rPr>
                <w:rFonts w:ascii="Calibri" w:eastAsia="Times New Roman" w:hAnsi="Calibri" w:cs="Times New Roman"/>
                <w:lang w:eastAsia="it-IT"/>
              </w:rPr>
              <w:t>593-606</w:t>
            </w:r>
          </w:p>
        </w:tc>
        <w:tc>
          <w:tcPr>
            <w:tcW w:w="3684" w:type="pct"/>
          </w:tcPr>
          <w:p w14:paraId="6CF56207" w14:textId="77777777" w:rsidR="00A23F27" w:rsidRPr="00AC0E65" w:rsidRDefault="00A23F27" w:rsidP="00055CFD">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it-IT"/>
              </w:rPr>
            </w:pPr>
            <m:oMath>
              <m:r>
                <w:rPr>
                  <w:rFonts w:ascii="Cambria Math" w:hAnsi="Cambria Math"/>
                </w:rPr>
                <m:t>S</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2-</m:t>
                  </m:r>
                </m:sup>
              </m:sSubSup>
            </m:oMath>
            <w:r>
              <w:rPr>
                <w:rFonts w:eastAsiaTheme="minorEastAsia"/>
              </w:rPr>
              <w:t>(592 cm</w:t>
            </w:r>
            <w:r w:rsidRPr="001920CC">
              <w:rPr>
                <w:rFonts w:eastAsiaTheme="minorEastAsia"/>
                <w:vertAlign w:val="superscript"/>
              </w:rPr>
              <w:t>-1</w:t>
            </w:r>
            <w:r>
              <w:rPr>
                <w:rFonts w:eastAsiaTheme="minorEastAsia"/>
              </w:rPr>
              <w:t xml:space="preserve">)and </w:t>
            </w:r>
            <m:oMath>
              <m:r>
                <w:rPr>
                  <w:rFonts w:ascii="Cambria Math" w:hAnsi="Cambria Math"/>
                </w:rPr>
                <m:t>HS</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m:t>
                  </m:r>
                </m:sup>
              </m:sSubSup>
              <m:r>
                <w:rPr>
                  <w:rFonts w:ascii="Cambria Math" w:hAnsi="Cambria Math"/>
                </w:rPr>
                <m:t xml:space="preserve"> </m:t>
              </m:r>
            </m:oMath>
            <w:r>
              <w:rPr>
                <w:rFonts w:eastAsiaTheme="minorEastAsia"/>
              </w:rPr>
              <w:t>(613 cm</w:t>
            </w:r>
            <w:r w:rsidRPr="001920CC">
              <w:rPr>
                <w:rFonts w:eastAsiaTheme="minorEastAsia"/>
                <w:vertAlign w:val="superscript"/>
              </w:rPr>
              <w:t>-1</w:t>
            </w:r>
            <w:r>
              <w:t>)</w:t>
            </w:r>
          </w:p>
        </w:tc>
        <w:tc>
          <w:tcPr>
            <w:tcW w:w="495" w:type="pct"/>
          </w:tcPr>
          <w:p w14:paraId="1CBEAA7F" w14:textId="71F12CF3" w:rsidR="00A23F27" w:rsidRPr="00AC0E65" w:rsidRDefault="00A23F27" w:rsidP="00055CFD">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it-IT"/>
              </w:rPr>
            </w:pPr>
            <w:r>
              <w:rPr>
                <w:rFonts w:ascii="Calibri" w:eastAsia="Times New Roman" w:hAnsi="Calibri" w:cs="Times New Roman"/>
                <w:color w:val="000000"/>
                <w:lang w:eastAsia="it-IT"/>
              </w:rPr>
              <w:fldChar w:fldCharType="begin"/>
            </w:r>
            <w:r w:rsidR="00DC6E54">
              <w:rPr>
                <w:rFonts w:ascii="Calibri" w:eastAsia="Times New Roman" w:hAnsi="Calibri" w:cs="Times New Roman"/>
                <w:color w:val="000000"/>
                <w:lang w:eastAsia="it-IT"/>
              </w:rPr>
              <w:instrText xml:space="preserve"> ADDIN ZOTERO_ITEM CSL_CITATION {"citationID":"10gk2ln8cm","properties":{"formattedCitation":"{\\rtf \\super 36\\nosupersub{}}","plainCitation":"36"},"citationItems":[{"id":59,"uris":["http://zotero.org/users/local/rZ3AHC6s/items/9C4V5724"],"uri":["http://zotero.org/users/local/rZ3AHC6s/items/9C4V5724"],"itemData":{"id":59,"type":"article-journal","title":"Equilibriums and proton transfer in the bisulfate-sulfate system","container-title":"The Journal of Physical Chemistry","page":"3796-3801","volume":"74","issue":"21","DOI":"10.1021/j100715a014","ISSN":"0022-3654","journalAbbreviation":"J. Phys. Chem.","author":[{"family":"Irish","given":"Donald E."},{"family":"Chen","given":"H."}],"issued":{"date-parts":[["1970",10,1]]},"accessed":{"date-parts":[["2015",2,16]]}}}],"schema":"https://github.com/citation-style-language/schema/raw/master/csl-citation.json"} </w:instrText>
            </w:r>
            <w:r>
              <w:rPr>
                <w:rFonts w:ascii="Calibri" w:eastAsia="Times New Roman" w:hAnsi="Calibri" w:cs="Times New Roman"/>
                <w:color w:val="000000"/>
                <w:lang w:eastAsia="it-IT"/>
              </w:rPr>
              <w:fldChar w:fldCharType="separate"/>
            </w:r>
            <w:r w:rsidR="00DC6E54" w:rsidRPr="00DC6E54">
              <w:rPr>
                <w:rFonts w:ascii="Calibri" w:hAnsi="Calibri" w:cs="Times New Roman"/>
                <w:szCs w:val="24"/>
                <w:vertAlign w:val="superscript"/>
              </w:rPr>
              <w:t>36</w:t>
            </w:r>
            <w:r>
              <w:rPr>
                <w:rFonts w:ascii="Calibri" w:eastAsia="Times New Roman" w:hAnsi="Calibri" w:cs="Times New Roman"/>
                <w:color w:val="000000"/>
                <w:lang w:eastAsia="it-IT"/>
              </w:rPr>
              <w:fldChar w:fldCharType="end"/>
            </w:r>
          </w:p>
        </w:tc>
      </w:tr>
      <w:tr w:rsidR="00A23F27" w:rsidRPr="00AC0E65" w14:paraId="099B4B88" w14:textId="77777777" w:rsidTr="00A23F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 w:type="pct"/>
            <w:noWrap/>
            <w:hideMark/>
          </w:tcPr>
          <w:p w14:paraId="55E50A3E" w14:textId="77777777" w:rsidR="00A23F27" w:rsidRPr="00AC0E65" w:rsidRDefault="00A23F27" w:rsidP="00055CFD">
            <w:pPr>
              <w:spacing w:line="480" w:lineRule="auto"/>
              <w:jc w:val="right"/>
              <w:rPr>
                <w:rFonts w:ascii="Calibri" w:eastAsia="Times New Roman" w:hAnsi="Calibri" w:cs="Times New Roman"/>
                <w:color w:val="000000"/>
                <w:lang w:eastAsia="it-IT"/>
              </w:rPr>
            </w:pPr>
            <w:r w:rsidRPr="00AC0E65">
              <w:rPr>
                <w:rFonts w:ascii="Calibri" w:eastAsia="Times New Roman" w:hAnsi="Calibri" w:cs="Times New Roman"/>
                <w:color w:val="000000"/>
                <w:lang w:eastAsia="it-IT"/>
              </w:rPr>
              <w:t>5</w:t>
            </w:r>
          </w:p>
        </w:tc>
        <w:tc>
          <w:tcPr>
            <w:tcW w:w="818" w:type="pct"/>
            <w:noWrap/>
            <w:hideMark/>
          </w:tcPr>
          <w:p w14:paraId="4EC6C95C" w14:textId="77777777" w:rsidR="00A23F27" w:rsidRPr="00391DDC" w:rsidRDefault="00A23F27" w:rsidP="00055CFD">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it-IT"/>
              </w:rPr>
            </w:pPr>
            <w:r w:rsidRPr="00391DDC">
              <w:rPr>
                <w:rFonts w:ascii="Calibri" w:eastAsia="Times New Roman" w:hAnsi="Calibri" w:cs="Times New Roman"/>
                <w:lang w:eastAsia="it-IT"/>
              </w:rPr>
              <w:t>796-817</w:t>
            </w:r>
          </w:p>
        </w:tc>
        <w:tc>
          <w:tcPr>
            <w:tcW w:w="3397" w:type="pct"/>
          </w:tcPr>
          <w:p w14:paraId="3B27AA49" w14:textId="77777777" w:rsidR="00A23F27" w:rsidRPr="00AC0E65" w:rsidRDefault="00A23F27" w:rsidP="00055CFD">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it-IT"/>
              </w:rPr>
            </w:pPr>
            <w:r w:rsidRPr="00AC0E65">
              <w:rPr>
                <w:rFonts w:ascii="Calibri" w:eastAsia="Times New Roman" w:hAnsi="Calibri" w:cs="Times New Roman"/>
                <w:color w:val="000000"/>
                <w:lang w:eastAsia="it-IT"/>
              </w:rPr>
              <w:t>V-O-V</w:t>
            </w:r>
            <w:r>
              <w:rPr>
                <w:rFonts w:ascii="Calibri" w:eastAsia="Times New Roman" w:hAnsi="Calibri" w:cs="Times New Roman"/>
                <w:color w:val="000000"/>
                <w:lang w:eastAsia="it-IT"/>
              </w:rPr>
              <w:t xml:space="preserve"> depolarized asymmetrical stretch in vanadium dimer</w:t>
            </w:r>
          </w:p>
        </w:tc>
        <w:tc>
          <w:tcPr>
            <w:tcW w:w="610" w:type="pct"/>
          </w:tcPr>
          <w:p w14:paraId="7BBC8084" w14:textId="64EEFFE6" w:rsidR="00A23F27" w:rsidRPr="00AC0E65" w:rsidRDefault="00A23F27" w:rsidP="00055CFD">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it-IT"/>
              </w:rPr>
            </w:pPr>
            <w:r>
              <w:rPr>
                <w:rFonts w:ascii="Calibri" w:eastAsia="Times New Roman" w:hAnsi="Calibri" w:cs="Times New Roman"/>
                <w:color w:val="000000"/>
                <w:lang w:eastAsia="it-IT"/>
              </w:rPr>
              <w:fldChar w:fldCharType="begin"/>
            </w:r>
            <w:r w:rsidR="00DC6E54">
              <w:rPr>
                <w:rFonts w:ascii="Calibri" w:eastAsia="Times New Roman" w:hAnsi="Calibri" w:cs="Times New Roman"/>
                <w:color w:val="000000"/>
                <w:lang w:eastAsia="it-IT"/>
              </w:rPr>
              <w:instrText xml:space="preserve"> ADDIN ZOTERO_ITEM CSL_CITATION {"citationID":"1mc10427df","properties":{"formattedCitation":"{\\rtf \\super 38\\nosupersub{}}","plainCitation":"38"},"citationItems":[{"id":39,"uris":["http://zotero.org/users/local/rZ3AHC6s/items/5F748GU2"],"uri":["http://zotero.org/users/local/rZ3AHC6s/items/5F748GU2"],"itemData":{"id":39,"type":"article-journal","title":"Raman spectroscopy studies of concentrated vanadium redox battery positive electrolytes","container-title":"Journal of Applied Electrochemistry","page":"1327-1332","volume":"31","issue":"12","DOI":"10.1023/A:1013870624722","ISSN":"0021-891X","journalAbbreviation":"Journal of Applied Electrochemistry","language":"English","author":[{"family":"Kausar","given":"N."},{"family":"Howe","given":"R."},{"family":"Skyllas-Kazacos","given":"M."}],"issued":{"date-parts":[["2001",12,1]]}}}],"schema":"https://github.com/citation-style-language/schema/raw/master/csl-citation.json"} </w:instrText>
            </w:r>
            <w:r>
              <w:rPr>
                <w:rFonts w:ascii="Calibri" w:eastAsia="Times New Roman" w:hAnsi="Calibri" w:cs="Times New Roman"/>
                <w:color w:val="000000"/>
                <w:lang w:eastAsia="it-IT"/>
              </w:rPr>
              <w:fldChar w:fldCharType="separate"/>
            </w:r>
            <w:r w:rsidR="00DC6E54" w:rsidRPr="00DC6E54">
              <w:rPr>
                <w:rFonts w:ascii="Calibri" w:hAnsi="Calibri" w:cs="Times New Roman"/>
                <w:szCs w:val="24"/>
                <w:vertAlign w:val="superscript"/>
              </w:rPr>
              <w:t>38</w:t>
            </w:r>
            <w:r>
              <w:rPr>
                <w:rFonts w:ascii="Calibri" w:eastAsia="Times New Roman" w:hAnsi="Calibri" w:cs="Times New Roman"/>
                <w:color w:val="000000"/>
                <w:lang w:eastAsia="it-IT"/>
              </w:rPr>
              <w:fldChar w:fldCharType="end"/>
            </w:r>
          </w:p>
        </w:tc>
      </w:tr>
      <w:tr w:rsidR="00A23F27" w:rsidRPr="00AC0E65" w14:paraId="3844E4D4" w14:textId="77777777" w:rsidTr="00A23F27">
        <w:trPr>
          <w:trHeight w:val="300"/>
        </w:trPr>
        <w:tc>
          <w:tcPr>
            <w:cnfStyle w:val="001000000000" w:firstRow="0" w:lastRow="0" w:firstColumn="1" w:lastColumn="0" w:oddVBand="0" w:evenVBand="0" w:oddHBand="0" w:evenHBand="0" w:firstRowFirstColumn="0" w:firstRowLastColumn="0" w:lastRowFirstColumn="0" w:lastRowLastColumn="0"/>
            <w:tcW w:w="175" w:type="pct"/>
            <w:noWrap/>
            <w:hideMark/>
          </w:tcPr>
          <w:p w14:paraId="25AD5263" w14:textId="77777777" w:rsidR="00A23F27" w:rsidRPr="00AC0E65" w:rsidRDefault="00A23F27" w:rsidP="00055CFD">
            <w:pPr>
              <w:spacing w:line="480" w:lineRule="auto"/>
              <w:jc w:val="right"/>
              <w:rPr>
                <w:rFonts w:ascii="Calibri" w:eastAsia="Times New Roman" w:hAnsi="Calibri" w:cs="Times New Roman"/>
                <w:color w:val="000000"/>
                <w:lang w:eastAsia="it-IT"/>
              </w:rPr>
            </w:pPr>
            <w:r w:rsidRPr="00AC0E65">
              <w:rPr>
                <w:rFonts w:ascii="Calibri" w:eastAsia="Times New Roman" w:hAnsi="Calibri" w:cs="Times New Roman"/>
                <w:color w:val="000000"/>
                <w:lang w:eastAsia="it-IT"/>
              </w:rPr>
              <w:t>6</w:t>
            </w:r>
          </w:p>
        </w:tc>
        <w:tc>
          <w:tcPr>
            <w:tcW w:w="818" w:type="pct"/>
            <w:noWrap/>
            <w:hideMark/>
          </w:tcPr>
          <w:p w14:paraId="053E595D" w14:textId="77777777" w:rsidR="00A23F27" w:rsidRPr="00391DDC" w:rsidRDefault="00A23F27" w:rsidP="00055CFD">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it-IT"/>
              </w:rPr>
            </w:pPr>
            <w:r w:rsidRPr="00391DDC">
              <w:rPr>
                <w:rFonts w:ascii="Calibri" w:eastAsia="Times New Roman" w:hAnsi="Calibri" w:cs="Times New Roman"/>
                <w:lang w:eastAsia="it-IT"/>
              </w:rPr>
              <w:t>890-919*</w:t>
            </w:r>
          </w:p>
        </w:tc>
        <w:tc>
          <w:tcPr>
            <w:tcW w:w="3397" w:type="pct"/>
          </w:tcPr>
          <w:p w14:paraId="43F6FD82" w14:textId="77777777" w:rsidR="00A23F27" w:rsidRPr="00827967" w:rsidRDefault="00A23F27" w:rsidP="00055CFD">
            <w:pPr>
              <w:spacing w:line="480" w:lineRule="auto"/>
              <w:jc w:val="center"/>
              <w:cnfStyle w:val="000000000000" w:firstRow="0" w:lastRow="0" w:firstColumn="0" w:lastColumn="0" w:oddVBand="0" w:evenVBand="0" w:oddHBand="0" w:evenHBand="0" w:firstRowFirstColumn="0" w:firstRowLastColumn="0" w:lastRowFirstColumn="0" w:lastRowLastColumn="0"/>
            </w:pPr>
            <m:oMath>
              <m:r>
                <w:rPr>
                  <w:rFonts w:ascii="Cambria Math" w:hAnsi="Cambria Math"/>
                </w:rPr>
                <m:t>V</m:t>
              </m:r>
              <m:sSub>
                <m:sSubPr>
                  <m:ctrlPr>
                    <w:rPr>
                      <w:rFonts w:ascii="Cambria Math" w:hAnsi="Cambria Math"/>
                      <w:i/>
                    </w:rPr>
                  </m:ctrlPr>
                </m:sSubPr>
                <m:e>
                  <m:r>
                    <w:rPr>
                      <w:rFonts w:ascii="Cambria Math" w:hAnsi="Cambria Math"/>
                    </w:rPr>
                    <m:t>O</m:t>
                  </m:r>
                </m:e>
                <m:sub>
                  <m:r>
                    <w:rPr>
                      <w:rFonts w:ascii="Cambria Math" w:hAnsi="Cambria Math"/>
                    </w:rPr>
                    <m:t>2</m:t>
                  </m:r>
                </m:sub>
              </m:sSub>
              <m:sSubSup>
                <m:sSubSupPr>
                  <m:ctrlPr>
                    <w:rPr>
                      <w:rFonts w:ascii="Cambria Math" w:hAnsi="Cambria Math"/>
                      <w:i/>
                    </w:rPr>
                  </m:ctrlPr>
                </m:sSubSupPr>
                <m:e>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e>
                  </m:d>
                </m:e>
                <m:sub>
                  <m:r>
                    <w:rPr>
                      <w:rFonts w:ascii="Cambria Math" w:hAnsi="Cambria Math"/>
                    </w:rPr>
                    <m:t>4</m:t>
                  </m:r>
                </m:sub>
                <m:sup>
                  <m:r>
                    <w:rPr>
                      <w:rFonts w:ascii="Cambria Math" w:hAnsi="Cambria Math"/>
                    </w:rPr>
                    <m:t>+</m:t>
                  </m:r>
                </m:sup>
              </m:sSubSup>
            </m:oMath>
            <w:r>
              <w:t xml:space="preserve"> (917 cm</w:t>
            </w:r>
            <w:r w:rsidRPr="00FF1D99">
              <w:rPr>
                <w:vertAlign w:val="superscript"/>
              </w:rPr>
              <w:t>-1</w:t>
            </w:r>
            <w:r>
              <w:t>)</w:t>
            </w:r>
            <w:proofErr w:type="spellStart"/>
            <w:r w:rsidRPr="00AC0E65">
              <w:rPr>
                <w:rFonts w:eastAsiaTheme="minorEastAsia"/>
              </w:rPr>
              <w:t>antisymmetrical</w:t>
            </w:r>
            <w:proofErr w:type="spellEnd"/>
            <w:r w:rsidRPr="00AC0E65">
              <w:rPr>
                <w:rFonts w:eastAsiaTheme="minorEastAsia"/>
              </w:rPr>
              <w:t xml:space="preserve"> stretching</w:t>
            </w:r>
            <w:r>
              <w:rPr>
                <w:rFonts w:eastAsiaTheme="minorEastAsia"/>
              </w:rPr>
              <w:t xml:space="preserve"> </w:t>
            </w:r>
            <w:r w:rsidRPr="00AC0E65">
              <w:rPr>
                <w:rFonts w:eastAsiaTheme="minorEastAsia"/>
              </w:rPr>
              <w:t>and</w:t>
            </w:r>
            <w:r>
              <w:t xml:space="preserve"> </w:t>
            </w:r>
            <m:oMath>
              <m:r>
                <w:rPr>
                  <w:rFonts w:ascii="Cambria Math" w:hAnsi="Cambria Math"/>
                </w:rPr>
                <m:t>HS</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m:t>
                  </m:r>
                </m:sup>
              </m:sSubSup>
              <m:r>
                <w:rPr>
                  <w:rFonts w:ascii="Cambria Math" w:hAnsi="Cambria Math"/>
                </w:rPr>
                <m:t xml:space="preserve"> </m:t>
              </m:r>
            </m:oMath>
            <w:r w:rsidRPr="00AC0E65">
              <w:rPr>
                <w:rFonts w:eastAsiaTheme="minorEastAsia"/>
              </w:rPr>
              <w:t>symmetrical stretch of S-OH (902 cm</w:t>
            </w:r>
            <w:r w:rsidRPr="00AC0E65">
              <w:rPr>
                <w:rFonts w:eastAsiaTheme="minorEastAsia"/>
                <w:vertAlign w:val="superscript"/>
              </w:rPr>
              <w:t>-1</w:t>
            </w:r>
            <w:r w:rsidRPr="00AC0E65">
              <w:rPr>
                <w:rFonts w:eastAsiaTheme="minorEastAsia"/>
              </w:rPr>
              <w:t>)</w:t>
            </w:r>
          </w:p>
        </w:tc>
        <w:tc>
          <w:tcPr>
            <w:tcW w:w="610" w:type="pct"/>
          </w:tcPr>
          <w:p w14:paraId="75682AF5" w14:textId="62DACC28" w:rsidR="00A23F27" w:rsidRPr="00AC0E65" w:rsidRDefault="003A6FD5" w:rsidP="00055CFD">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it-IT"/>
              </w:rPr>
            </w:pPr>
            <w:r>
              <w:rPr>
                <w:rFonts w:ascii="Calibri" w:eastAsia="Times New Roman" w:hAnsi="Calibri" w:cs="Times New Roman"/>
                <w:color w:val="000000"/>
                <w:lang w:eastAsia="it-IT"/>
              </w:rPr>
              <w:fldChar w:fldCharType="begin"/>
            </w:r>
            <w:r w:rsidR="00DC6E54">
              <w:rPr>
                <w:rFonts w:ascii="Calibri" w:eastAsia="Times New Roman" w:hAnsi="Calibri" w:cs="Times New Roman"/>
                <w:color w:val="000000"/>
                <w:lang w:eastAsia="it-IT"/>
              </w:rPr>
              <w:instrText xml:space="preserve"> ADDIN ZOTERO_ITEM CSL_CITATION {"citationID":"1llelkkm1g","properties":{"formattedCitation":"{\\rtf \\super 39\\nosupersub{}}","plainCitation":"39"},"citationItems":[{"id":61,"uris":["http://zotero.org/users/local/rZ3AHC6s/items/I88XNZ54"],"uri":["http://zotero.org/users/local/rZ3AHC6s/items/I88XNZ54"],"itemData":{"id":61,"type":"article-journal","title":"Dimerization of aquadioxovanadium(V) ion in concentrated perchloric and sulfuric acid media","container-title":"Inorganic Chemistry","page":"469-476","volume":"23","issue":"4","DOI":"10.1021/ic00172a019","ISSN":"0020-1669","journalAbbreviation":"Inorg. Chem.","author":[{"family":"Madic","given":"C."},{"family":"Begun","given":"G. M."},{"family":"Hahn","given":"R. L."},{"family":"Launay","given":"J. P."},{"family":"Thiessen","given":"W. E."}],"issued":{"date-parts":[["1984",2,1]]},"accessed":{"date-parts":[["2015",2,16]]}}}],"schema":"https://github.com/citation-style-language/schema/raw/master/csl-citation.json"} </w:instrText>
            </w:r>
            <w:r>
              <w:rPr>
                <w:rFonts w:ascii="Calibri" w:eastAsia="Times New Roman" w:hAnsi="Calibri" w:cs="Times New Roman"/>
                <w:color w:val="000000"/>
                <w:lang w:eastAsia="it-IT"/>
              </w:rPr>
              <w:fldChar w:fldCharType="separate"/>
            </w:r>
            <w:r w:rsidR="00DC6E54" w:rsidRPr="00DC6E54">
              <w:rPr>
                <w:rFonts w:ascii="Calibri" w:hAnsi="Calibri" w:cs="Times New Roman"/>
                <w:szCs w:val="24"/>
                <w:vertAlign w:val="superscript"/>
              </w:rPr>
              <w:t>39</w:t>
            </w:r>
            <w:r>
              <w:rPr>
                <w:rFonts w:ascii="Calibri" w:eastAsia="Times New Roman" w:hAnsi="Calibri" w:cs="Times New Roman"/>
                <w:color w:val="000000"/>
                <w:lang w:eastAsia="it-IT"/>
              </w:rPr>
              <w:fldChar w:fldCharType="end"/>
            </w:r>
          </w:p>
        </w:tc>
      </w:tr>
      <w:tr w:rsidR="00A23F27" w:rsidRPr="00AC0E65" w14:paraId="0D3957E4" w14:textId="77777777" w:rsidTr="00A23F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 w:type="pct"/>
            <w:noWrap/>
            <w:hideMark/>
          </w:tcPr>
          <w:p w14:paraId="460B5B2D" w14:textId="77777777" w:rsidR="00A23F27" w:rsidRPr="00AC0E65" w:rsidRDefault="00A23F27" w:rsidP="00055CFD">
            <w:pPr>
              <w:spacing w:line="480" w:lineRule="auto"/>
              <w:jc w:val="right"/>
              <w:rPr>
                <w:rFonts w:ascii="Calibri" w:eastAsia="Times New Roman" w:hAnsi="Calibri" w:cs="Times New Roman"/>
                <w:color w:val="000000"/>
                <w:lang w:eastAsia="it-IT"/>
              </w:rPr>
            </w:pPr>
          </w:p>
        </w:tc>
        <w:tc>
          <w:tcPr>
            <w:tcW w:w="818" w:type="pct"/>
            <w:noWrap/>
            <w:hideMark/>
          </w:tcPr>
          <w:p w14:paraId="3CB5B619" w14:textId="77777777" w:rsidR="00A23F27" w:rsidRPr="00391DDC" w:rsidRDefault="00A23F27" w:rsidP="00055CFD">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it-IT"/>
              </w:rPr>
            </w:pPr>
            <w:r w:rsidRPr="00391DDC">
              <w:rPr>
                <w:rFonts w:ascii="Calibri" w:eastAsia="Times New Roman" w:hAnsi="Calibri" w:cs="Times New Roman"/>
                <w:lang w:eastAsia="it-IT"/>
              </w:rPr>
              <w:t>924-941*</w:t>
            </w:r>
          </w:p>
        </w:tc>
        <w:tc>
          <w:tcPr>
            <w:tcW w:w="3397" w:type="pct"/>
          </w:tcPr>
          <w:p w14:paraId="2217B460" w14:textId="77777777" w:rsidR="00A23F27" w:rsidRPr="00827967" w:rsidRDefault="00A23F27" w:rsidP="00055CFD">
            <w:pPr>
              <w:spacing w:line="480" w:lineRule="auto"/>
              <w:jc w:val="center"/>
              <w:cnfStyle w:val="000000100000" w:firstRow="0" w:lastRow="0" w:firstColumn="0" w:lastColumn="0" w:oddVBand="0" w:evenVBand="0" w:oddHBand="1" w:evenHBand="0" w:firstRowFirstColumn="0" w:firstRowLastColumn="0" w:lastRowFirstColumn="0" w:lastRowLastColumn="0"/>
            </w:pPr>
            <m:oMath>
              <m:r>
                <w:rPr>
                  <w:rFonts w:ascii="Cambria Math" w:hAnsi="Cambria Math"/>
                </w:rPr>
                <m:t>VO</m:t>
              </m:r>
              <m:sSubSup>
                <m:sSubSupPr>
                  <m:ctrlPr>
                    <w:rPr>
                      <w:rFonts w:ascii="Cambria Math" w:hAnsi="Cambria Math"/>
                      <w:i/>
                    </w:rPr>
                  </m:ctrlPr>
                </m:sSubSupPr>
                <m:e>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e>
                  </m:d>
                </m:e>
                <m:sub>
                  <m:r>
                    <w:rPr>
                      <w:rFonts w:ascii="Cambria Math" w:hAnsi="Cambria Math"/>
                    </w:rPr>
                    <m:t>4</m:t>
                  </m:r>
                </m:sub>
                <m:sup>
                  <m:r>
                    <w:rPr>
                      <w:rFonts w:ascii="Cambria Math" w:hAnsi="Cambria Math"/>
                    </w:rPr>
                    <m:t>+</m:t>
                  </m:r>
                </m:sup>
              </m:sSubSup>
            </m:oMath>
            <w:r>
              <w:t xml:space="preserve"> </w:t>
            </w:r>
            <w:r w:rsidRPr="00AC0E65">
              <w:rPr>
                <w:rFonts w:eastAsiaTheme="minorEastAsia"/>
              </w:rPr>
              <w:t>symmetrical stretching</w:t>
            </w:r>
          </w:p>
        </w:tc>
        <w:tc>
          <w:tcPr>
            <w:tcW w:w="610" w:type="pct"/>
          </w:tcPr>
          <w:p w14:paraId="026F91CF" w14:textId="7B50799C" w:rsidR="00A23F27" w:rsidRPr="00AC0E65" w:rsidRDefault="003A6FD5" w:rsidP="00055CFD">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it-IT"/>
              </w:rPr>
            </w:pPr>
            <w:r>
              <w:rPr>
                <w:rFonts w:ascii="Calibri" w:eastAsia="Times New Roman" w:hAnsi="Calibri" w:cs="Times New Roman"/>
                <w:color w:val="000000"/>
                <w:lang w:eastAsia="it-IT"/>
              </w:rPr>
              <w:fldChar w:fldCharType="begin"/>
            </w:r>
            <w:r w:rsidR="00DC6E54">
              <w:rPr>
                <w:rFonts w:ascii="Calibri" w:eastAsia="Times New Roman" w:hAnsi="Calibri" w:cs="Times New Roman"/>
                <w:color w:val="000000"/>
                <w:lang w:eastAsia="it-IT"/>
              </w:rPr>
              <w:instrText xml:space="preserve"> ADDIN ZOTERO_ITEM CSL_CITATION {"citationID":"2fsfm6nptn","properties":{"formattedCitation":"{\\rtf \\super 39\\nosupersub{}}","plainCitation":"39"},"citationItems":[{"id":61,"uris":["http://zotero.org/users/local/rZ3AHC6s/items/I88XNZ54"],"uri":["http://zotero.org/users/local/rZ3AHC6s/items/I88XNZ54"],"itemData":{"id":61,"type":"article-journal","title":"Dimerization of aquadioxovanadium(V) ion in concentrated perchloric and sulfuric acid media","container-title":"Inorganic Chemistry","page":"469-476","volume":"23","issue":"4","DOI":"10.1021/ic00172a019","ISSN":"0020-1669","journalAbbreviation":"Inorg. Chem.","author":[{"family":"Madic","given":"C."},{"family":"Begun","given":"G. M."},{"family":"Hahn","given":"R. L."},{"family":"Launay","given":"J. P."},{"family":"Thiessen","given":"W. E."}],"issued":{"date-parts":[["1984",2,1]]},"accessed":{"date-parts":[["2015",2,16]]}}}],"schema":"https://github.com/citation-style-language/schema/raw/master/csl-citation.json"} </w:instrText>
            </w:r>
            <w:r>
              <w:rPr>
                <w:rFonts w:ascii="Calibri" w:eastAsia="Times New Roman" w:hAnsi="Calibri" w:cs="Times New Roman"/>
                <w:color w:val="000000"/>
                <w:lang w:eastAsia="it-IT"/>
              </w:rPr>
              <w:fldChar w:fldCharType="separate"/>
            </w:r>
            <w:r w:rsidR="00DC6E54" w:rsidRPr="00DC6E54">
              <w:rPr>
                <w:rFonts w:ascii="Calibri" w:hAnsi="Calibri" w:cs="Times New Roman"/>
                <w:szCs w:val="24"/>
                <w:vertAlign w:val="superscript"/>
              </w:rPr>
              <w:t>39</w:t>
            </w:r>
            <w:r>
              <w:rPr>
                <w:rFonts w:ascii="Calibri" w:eastAsia="Times New Roman" w:hAnsi="Calibri" w:cs="Times New Roman"/>
                <w:color w:val="000000"/>
                <w:lang w:eastAsia="it-IT"/>
              </w:rPr>
              <w:fldChar w:fldCharType="end"/>
            </w:r>
          </w:p>
        </w:tc>
      </w:tr>
      <w:tr w:rsidR="00A23F27" w:rsidRPr="00AC0E65" w14:paraId="188D1BAE" w14:textId="77777777" w:rsidTr="00A23F27">
        <w:trPr>
          <w:trHeight w:val="300"/>
        </w:trPr>
        <w:tc>
          <w:tcPr>
            <w:cnfStyle w:val="001000000000" w:firstRow="0" w:lastRow="0" w:firstColumn="1" w:lastColumn="0" w:oddVBand="0" w:evenVBand="0" w:oddHBand="0" w:evenHBand="0" w:firstRowFirstColumn="0" w:firstRowLastColumn="0" w:lastRowFirstColumn="0" w:lastRowLastColumn="0"/>
            <w:tcW w:w="175" w:type="pct"/>
            <w:noWrap/>
            <w:hideMark/>
          </w:tcPr>
          <w:p w14:paraId="6BED8751" w14:textId="77777777" w:rsidR="00A23F27" w:rsidRPr="00AC0E65" w:rsidRDefault="00A23F27" w:rsidP="00055CFD">
            <w:pPr>
              <w:spacing w:line="480" w:lineRule="auto"/>
              <w:jc w:val="right"/>
              <w:rPr>
                <w:rFonts w:ascii="Calibri" w:eastAsia="Times New Roman" w:hAnsi="Calibri" w:cs="Times New Roman"/>
                <w:color w:val="000000"/>
                <w:lang w:eastAsia="it-IT"/>
              </w:rPr>
            </w:pPr>
            <w:r w:rsidRPr="00AC0E65">
              <w:rPr>
                <w:rFonts w:ascii="Calibri" w:eastAsia="Times New Roman" w:hAnsi="Calibri" w:cs="Times New Roman"/>
                <w:color w:val="000000"/>
                <w:lang w:eastAsia="it-IT"/>
              </w:rPr>
              <w:t>7</w:t>
            </w:r>
          </w:p>
        </w:tc>
        <w:tc>
          <w:tcPr>
            <w:tcW w:w="818" w:type="pct"/>
            <w:noWrap/>
            <w:hideMark/>
          </w:tcPr>
          <w:p w14:paraId="126D15D2" w14:textId="77777777" w:rsidR="00A23F27" w:rsidRPr="00391DDC" w:rsidRDefault="00A23F27" w:rsidP="00055CFD">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it-IT"/>
              </w:rPr>
            </w:pPr>
            <w:r w:rsidRPr="00391DDC">
              <w:rPr>
                <w:rFonts w:ascii="Calibri" w:eastAsia="Times New Roman" w:hAnsi="Calibri" w:cs="Times New Roman"/>
                <w:lang w:eastAsia="it-IT"/>
              </w:rPr>
              <w:t>987-994</w:t>
            </w:r>
          </w:p>
        </w:tc>
        <w:tc>
          <w:tcPr>
            <w:tcW w:w="3397" w:type="pct"/>
          </w:tcPr>
          <w:p w14:paraId="7DEAD71A" w14:textId="77777777" w:rsidR="00A23F27" w:rsidRPr="00200463" w:rsidRDefault="00A23F27" w:rsidP="00055CFD">
            <w:pPr>
              <w:spacing w:line="480" w:lineRule="auto"/>
              <w:jc w:val="center"/>
              <w:cnfStyle w:val="000000000000" w:firstRow="0" w:lastRow="0" w:firstColumn="0" w:lastColumn="0" w:oddVBand="0" w:evenVBand="0" w:oddHBand="0" w:evenHBand="0" w:firstRowFirstColumn="0" w:firstRowLastColumn="0" w:lastRowFirstColumn="0" w:lastRowLastColumn="0"/>
            </w:pPr>
            <w:r>
              <w:rPr>
                <w:rFonts w:ascii="Calibri" w:eastAsia="Times New Roman" w:hAnsi="Calibri" w:cs="Times New Roman"/>
              </w:rPr>
              <w:t xml:space="preserve">V=O terminal </w:t>
            </w:r>
            <m:oMath>
              <m:r>
                <w:rPr>
                  <w:rFonts w:ascii="Cambria Math" w:hAnsi="Cambria Math"/>
                </w:rPr>
                <m:t>VO</m:t>
              </m:r>
              <m:sSubSup>
                <m:sSubSupPr>
                  <m:ctrlPr>
                    <w:rPr>
                      <w:rFonts w:ascii="Cambria Math" w:hAnsi="Cambria Math"/>
                      <w:i/>
                    </w:rPr>
                  </m:ctrlPr>
                </m:sSubSupPr>
                <m:e>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e>
                  </m:d>
                </m:e>
                <m:sub>
                  <m:r>
                    <w:rPr>
                      <w:rFonts w:ascii="Cambria Math" w:hAnsi="Cambria Math"/>
                    </w:rPr>
                    <m:t>5</m:t>
                  </m:r>
                </m:sub>
                <m:sup>
                  <m:r>
                    <w:rPr>
                      <w:rFonts w:ascii="Cambria Math" w:hAnsi="Cambria Math"/>
                    </w:rPr>
                    <m:t>2+</m:t>
                  </m:r>
                </m:sup>
              </m:sSubSup>
            </m:oMath>
            <w:r>
              <w:t xml:space="preserve"> </w:t>
            </w:r>
            <w:r>
              <w:rPr>
                <w:rFonts w:eastAsiaTheme="minorEastAsia"/>
              </w:rPr>
              <w:t>polarized stretch (988</w:t>
            </w:r>
            <w:r w:rsidRPr="00AC0E65">
              <w:rPr>
                <w:rFonts w:eastAsiaTheme="minorEastAsia"/>
              </w:rPr>
              <w:t xml:space="preserve"> cm</w:t>
            </w:r>
            <w:r w:rsidRPr="00AC0E65">
              <w:rPr>
                <w:rFonts w:eastAsiaTheme="minorEastAsia"/>
                <w:vertAlign w:val="superscript"/>
              </w:rPr>
              <w:t>-1</w:t>
            </w:r>
            <w:r w:rsidRPr="00AC0E65">
              <w:rPr>
                <w:rFonts w:eastAsiaTheme="minorEastAsia"/>
              </w:rPr>
              <w:t>)</w:t>
            </w:r>
            <w:r>
              <w:rPr>
                <w:rFonts w:eastAsiaTheme="minorEastAsia"/>
              </w:rPr>
              <w:t xml:space="preserve">, </w:t>
            </w:r>
            <m:oMath>
              <m:r>
                <w:rPr>
                  <w:rFonts w:ascii="Cambria Math" w:hAnsi="Cambria Math"/>
                </w:rPr>
                <m:t>VO</m:t>
              </m:r>
              <m:sSubSup>
                <m:sSubSupPr>
                  <m:ctrlPr>
                    <w:rPr>
                      <w:rFonts w:ascii="Cambria Math" w:hAnsi="Cambria Math"/>
                      <w:i/>
                    </w:rPr>
                  </m:ctrlPr>
                </m:sSubSupPr>
                <m:e>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e>
                  </m:d>
                </m:e>
                <m:sub>
                  <m:r>
                    <w:rPr>
                      <w:rFonts w:ascii="Cambria Math" w:hAnsi="Cambria Math"/>
                    </w:rPr>
                    <m:t>4</m:t>
                  </m:r>
                </m:sub>
                <m:sup>
                  <m:r>
                    <w:rPr>
                      <w:rFonts w:ascii="Cambria Math" w:hAnsi="Cambria Math"/>
                    </w:rPr>
                    <m:t>+</m:t>
                  </m:r>
                </m:sup>
              </m:sSubSup>
            </m:oMath>
            <w:r>
              <w:rPr>
                <w:rFonts w:eastAsiaTheme="minorEastAsia"/>
              </w:rPr>
              <w:t xml:space="preserve"> (990 </w:t>
            </w:r>
            <w:r w:rsidRPr="00AC0E65">
              <w:rPr>
                <w:rFonts w:eastAsiaTheme="minorEastAsia"/>
              </w:rPr>
              <w:t>cm</w:t>
            </w:r>
            <w:r w:rsidRPr="00AC0E65">
              <w:rPr>
                <w:rFonts w:eastAsiaTheme="minorEastAsia"/>
                <w:vertAlign w:val="superscript"/>
              </w:rPr>
              <w:t>-1</w:t>
            </w:r>
            <w:r>
              <w:t>)</w:t>
            </w:r>
          </w:p>
        </w:tc>
        <w:tc>
          <w:tcPr>
            <w:tcW w:w="610" w:type="pct"/>
          </w:tcPr>
          <w:p w14:paraId="354AFB07" w14:textId="4FF90A63" w:rsidR="00A23F27" w:rsidRPr="00AC0E65" w:rsidRDefault="003A6FD5" w:rsidP="00055CFD">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it-IT"/>
              </w:rPr>
            </w:pPr>
            <w:r>
              <w:rPr>
                <w:rFonts w:ascii="Calibri" w:eastAsia="Times New Roman" w:hAnsi="Calibri" w:cs="Times New Roman"/>
                <w:color w:val="000000"/>
                <w:lang w:eastAsia="it-IT"/>
              </w:rPr>
              <w:fldChar w:fldCharType="begin"/>
            </w:r>
            <w:r w:rsidR="00DC6E54">
              <w:rPr>
                <w:rFonts w:ascii="Calibri" w:eastAsia="Times New Roman" w:hAnsi="Calibri" w:cs="Times New Roman"/>
                <w:color w:val="000000"/>
                <w:lang w:eastAsia="it-IT"/>
              </w:rPr>
              <w:instrText xml:space="preserve"> ADDIN ZOTERO_ITEM CSL_CITATION {"citationID":"23e9kl5uam","properties":{"formattedCitation":"{\\rtf \\super 39\\nosupersub{}}","plainCitation":"39"},"citationItems":[{"id":61,"uris":["http://zotero.org/users/local/rZ3AHC6s/items/I88XNZ54"],"uri":["http://zotero.org/users/local/rZ3AHC6s/items/I88XNZ54"],"itemData":{"id":61,"type":"article-journal","title":"Dimerization of aquadioxovanadium(V) ion in concentrated perchloric and sulfuric acid media","container-title":"Inorganic Chemistry","page":"469-476","volume":"23","issue":"4","DOI":"10.1021/ic00172a019","ISSN":"0020-1669","journalAbbreviation":"Inorg. Chem.","author":[{"family":"Madic","given":"C."},{"family":"Begun","given":"G. M."},{"family":"Hahn","given":"R. L."},{"family":"Launay","given":"J. P."},{"family":"Thiessen","given":"W. E."}],"issued":{"date-parts":[["1984",2,1]]},"accessed":{"date-parts":[["2015",2,16]]}}}],"schema":"https://github.com/citation-style-language/schema/raw/master/csl-citation.json"} </w:instrText>
            </w:r>
            <w:r>
              <w:rPr>
                <w:rFonts w:ascii="Calibri" w:eastAsia="Times New Roman" w:hAnsi="Calibri" w:cs="Times New Roman"/>
                <w:color w:val="000000"/>
                <w:lang w:eastAsia="it-IT"/>
              </w:rPr>
              <w:fldChar w:fldCharType="separate"/>
            </w:r>
            <w:r w:rsidR="00DC6E54" w:rsidRPr="00DC6E54">
              <w:rPr>
                <w:rFonts w:ascii="Calibri" w:hAnsi="Calibri" w:cs="Times New Roman"/>
                <w:szCs w:val="24"/>
                <w:vertAlign w:val="superscript"/>
              </w:rPr>
              <w:t>39</w:t>
            </w:r>
            <w:r>
              <w:rPr>
                <w:rFonts w:ascii="Calibri" w:eastAsia="Times New Roman" w:hAnsi="Calibri" w:cs="Times New Roman"/>
                <w:color w:val="000000"/>
                <w:lang w:eastAsia="it-IT"/>
              </w:rPr>
              <w:fldChar w:fldCharType="end"/>
            </w:r>
          </w:p>
        </w:tc>
      </w:tr>
      <w:tr w:rsidR="00A23F27" w:rsidRPr="00AC0E65" w14:paraId="4E1D16C3" w14:textId="77777777" w:rsidTr="00A23F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 w:type="pct"/>
            <w:noWrap/>
            <w:hideMark/>
          </w:tcPr>
          <w:p w14:paraId="786B9768" w14:textId="77777777" w:rsidR="00A23F27" w:rsidRPr="00AC0E65" w:rsidRDefault="00A23F27" w:rsidP="00055CFD">
            <w:pPr>
              <w:spacing w:line="480" w:lineRule="auto"/>
              <w:jc w:val="right"/>
              <w:rPr>
                <w:rFonts w:ascii="Calibri" w:eastAsia="Times New Roman" w:hAnsi="Calibri" w:cs="Times New Roman"/>
                <w:color w:val="000000"/>
                <w:lang w:eastAsia="it-IT"/>
              </w:rPr>
            </w:pPr>
            <w:r w:rsidRPr="00AC0E65">
              <w:rPr>
                <w:rFonts w:ascii="Calibri" w:eastAsia="Times New Roman" w:hAnsi="Calibri" w:cs="Times New Roman"/>
                <w:color w:val="000000"/>
                <w:lang w:eastAsia="it-IT"/>
              </w:rPr>
              <w:t>8</w:t>
            </w:r>
          </w:p>
        </w:tc>
        <w:tc>
          <w:tcPr>
            <w:tcW w:w="818" w:type="pct"/>
            <w:noWrap/>
            <w:hideMark/>
          </w:tcPr>
          <w:p w14:paraId="529C6FA2" w14:textId="77777777" w:rsidR="00A23F27" w:rsidRPr="00391DDC" w:rsidRDefault="00A23F27" w:rsidP="00055CFD">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it-IT"/>
              </w:rPr>
            </w:pPr>
            <w:r w:rsidRPr="00391DDC">
              <w:rPr>
                <w:rFonts w:ascii="Calibri" w:eastAsia="Times New Roman" w:hAnsi="Calibri" w:cs="Times New Roman"/>
                <w:lang w:eastAsia="it-IT"/>
              </w:rPr>
              <w:t>1044-1051</w:t>
            </w:r>
          </w:p>
        </w:tc>
        <w:tc>
          <w:tcPr>
            <w:tcW w:w="3397" w:type="pct"/>
          </w:tcPr>
          <w:p w14:paraId="5673879F" w14:textId="77777777" w:rsidR="00A23F27" w:rsidRPr="00AC0E65" w:rsidRDefault="00A23F27" w:rsidP="00055CFD">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it-IT"/>
              </w:rPr>
            </w:pPr>
            <m:oMath>
              <m:r>
                <w:rPr>
                  <w:rFonts w:ascii="Cambria Math" w:hAnsi="Cambria Math"/>
                </w:rPr>
                <m:t>HS</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m:t>
                  </m:r>
                </m:sup>
              </m:sSubSup>
              <m:r>
                <w:rPr>
                  <w:rFonts w:ascii="Cambria Math" w:hAnsi="Cambria Math"/>
                </w:rPr>
                <m:t xml:space="preserve"> </m:t>
              </m:r>
            </m:oMath>
            <w:r w:rsidRPr="00AC0E65">
              <w:rPr>
                <w:rFonts w:ascii="Calibri" w:eastAsia="Times New Roman" w:hAnsi="Calibri" w:cs="Times New Roman"/>
                <w:color w:val="000000"/>
                <w:lang w:eastAsia="it-IT"/>
              </w:rPr>
              <w:t>(SO</w:t>
            </w:r>
            <w:r w:rsidRPr="00AC0E65">
              <w:rPr>
                <w:rFonts w:ascii="Calibri" w:eastAsia="Times New Roman" w:hAnsi="Calibri" w:cs="Times New Roman"/>
                <w:color w:val="000000"/>
                <w:vertAlign w:val="subscript"/>
                <w:lang w:eastAsia="it-IT"/>
              </w:rPr>
              <w:t>3</w:t>
            </w:r>
            <w:r w:rsidRPr="00AC0E65">
              <w:rPr>
                <w:rFonts w:ascii="Calibri" w:eastAsia="Times New Roman" w:hAnsi="Calibri" w:cs="Times New Roman"/>
                <w:color w:val="000000"/>
                <w:lang w:eastAsia="it-IT"/>
              </w:rPr>
              <w:t xml:space="preserve"> sy</w:t>
            </w:r>
            <w:r>
              <w:rPr>
                <w:rFonts w:ascii="Calibri" w:eastAsia="Times New Roman" w:hAnsi="Calibri" w:cs="Times New Roman"/>
                <w:color w:val="000000"/>
                <w:lang w:eastAsia="it-IT"/>
              </w:rPr>
              <w:t>m</w:t>
            </w:r>
            <w:r w:rsidRPr="00AC0E65">
              <w:rPr>
                <w:rFonts w:ascii="Calibri" w:eastAsia="Times New Roman" w:hAnsi="Calibri" w:cs="Times New Roman"/>
                <w:color w:val="000000"/>
                <w:lang w:eastAsia="it-IT"/>
              </w:rPr>
              <w:t>metrical stretch)</w:t>
            </w:r>
          </w:p>
        </w:tc>
        <w:tc>
          <w:tcPr>
            <w:tcW w:w="610" w:type="pct"/>
          </w:tcPr>
          <w:p w14:paraId="2926BC93" w14:textId="2AE25F73" w:rsidR="00A23F27" w:rsidRPr="00AC0E65" w:rsidRDefault="003A6FD5" w:rsidP="00055CFD">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it-IT"/>
              </w:rPr>
            </w:pPr>
            <w:r>
              <w:rPr>
                <w:rFonts w:ascii="Calibri" w:eastAsia="Times New Roman" w:hAnsi="Calibri" w:cs="Times New Roman"/>
                <w:color w:val="000000"/>
                <w:lang w:eastAsia="it-IT"/>
              </w:rPr>
              <w:fldChar w:fldCharType="begin"/>
            </w:r>
            <w:r w:rsidR="00DC6E54">
              <w:rPr>
                <w:rFonts w:ascii="Calibri" w:eastAsia="Times New Roman" w:hAnsi="Calibri" w:cs="Times New Roman"/>
                <w:color w:val="000000"/>
                <w:lang w:eastAsia="it-IT"/>
              </w:rPr>
              <w:instrText xml:space="preserve"> ADDIN ZOTERO_ITEM CSL_CITATION {"citationID":"lvqh1adrg","properties":{"formattedCitation":"{\\rtf \\super 36,38,39\\nosupersub{}}","plainCitation":"36,38,39"},"citationItems":[{"id":39,"uris":["http://zotero.org/users/local/rZ3AHC6s/items/5F748GU2"],"uri":["http://zotero.org/users/local/rZ3AHC6s/items/5F748GU2"],"itemData":{"id":39,"type":"article-journal","title":"Raman spectroscopy studies of concentrated vanadium redox battery positive electrolytes","container-title":"Journal of Applied Electrochemistry","page":"1327-1332","volume":"31","issue":"12","DOI":"10.1023/A:1013870624722","ISSN":"0021-891X","journalAbbreviation":"Journal of Applied Electrochemistry","language":"English","author":[{"family":"Kausar","given":"N."},{"family":"Howe","given":"R."},{"family":"Skyllas-Kazacos","given":"M."}],"issued":{"date-parts":[["2001",12,1]]}}},{"id":59,"uris":["http://zotero.org/users/local/rZ3AHC6s/items/9C4V5724"],"uri":["http://zotero.org/users/local/rZ3AHC6s/items/9C4V5724"],"itemData":{"id":59,"type":"article-journal","title":"Equilibriums and proton transfer in the bisulfate-sulfate system","container-title":"The Journal of Physical Chemistry","page":"3796-3801","volume":"74","issue":"21","DOI":"10.1021/j100715a014","ISSN":"0022-3654","journalAbbreviation":"J. Phys. Chem.","author":[{"family":"Irish","given":"Donald E."},{"family":"Chen","given":"H."}],"issued":{"date-parts":[["1970",10,1]]},"accessed":{"date-parts":[["2015",2,16]]}}},{"id":61,"uris":["http://zotero.org/users/local/rZ3AHC6s/items/I88XNZ54"],"uri":["http://zotero.org/users/local/rZ3AHC6s/items/I88XNZ54"],"itemData":{"id":61,"type":"article-journal","title":"Dimerization of aquadioxovanadium(V) ion in concentrated perchloric and sulfuric acid media","container-title":"Inorganic Chemistry","page":"469-476","volume":"23","issue":"4","DOI":"10.1021/ic00172a019","ISSN":"0020-1669","journalAbbreviation":"Inorg. Chem.","author":[{"family":"Madic","given":"C."},{"family":"Begun","given":"G. M."},{"family":"Hahn","given":"R. L."},{"family":"Launay","given":"J. P."},{"family":"Thiessen","given":"W. E."}],"issued":{"date-parts":[["1984",2,1]]},"accessed":{"date-parts":[["2015",2,16]]}}}],"schema":"https://github.com/citation-style-language/schema/raw/master/csl-citation.json"} </w:instrText>
            </w:r>
            <w:r>
              <w:rPr>
                <w:rFonts w:ascii="Calibri" w:eastAsia="Times New Roman" w:hAnsi="Calibri" w:cs="Times New Roman"/>
                <w:color w:val="000000"/>
                <w:lang w:eastAsia="it-IT"/>
              </w:rPr>
              <w:fldChar w:fldCharType="separate"/>
            </w:r>
            <w:r w:rsidR="00DC6E54" w:rsidRPr="00DC6E54">
              <w:rPr>
                <w:rFonts w:ascii="Calibri" w:hAnsi="Calibri" w:cs="Times New Roman"/>
                <w:szCs w:val="24"/>
                <w:vertAlign w:val="superscript"/>
              </w:rPr>
              <w:t>36,38,39</w:t>
            </w:r>
            <w:r>
              <w:rPr>
                <w:rFonts w:ascii="Calibri" w:eastAsia="Times New Roman" w:hAnsi="Calibri" w:cs="Times New Roman"/>
                <w:color w:val="000000"/>
                <w:lang w:eastAsia="it-IT"/>
              </w:rPr>
              <w:fldChar w:fldCharType="end"/>
            </w:r>
          </w:p>
        </w:tc>
      </w:tr>
      <w:tr w:rsidR="00A23F27" w:rsidRPr="00AC0E65" w14:paraId="41E5F78C" w14:textId="77777777" w:rsidTr="00A23F27">
        <w:trPr>
          <w:trHeight w:val="300"/>
        </w:trPr>
        <w:tc>
          <w:tcPr>
            <w:cnfStyle w:val="001000000000" w:firstRow="0" w:lastRow="0" w:firstColumn="1" w:lastColumn="0" w:oddVBand="0" w:evenVBand="0" w:oddHBand="0" w:evenHBand="0" w:firstRowFirstColumn="0" w:firstRowLastColumn="0" w:lastRowFirstColumn="0" w:lastRowLastColumn="0"/>
            <w:tcW w:w="175" w:type="pct"/>
            <w:noWrap/>
            <w:hideMark/>
          </w:tcPr>
          <w:p w14:paraId="4CFF1BFE" w14:textId="77777777" w:rsidR="00A23F27" w:rsidRPr="00AC0E65" w:rsidRDefault="00A23F27" w:rsidP="00055CFD">
            <w:pPr>
              <w:spacing w:line="480" w:lineRule="auto"/>
              <w:jc w:val="right"/>
              <w:rPr>
                <w:rFonts w:ascii="Calibri" w:eastAsia="Times New Roman" w:hAnsi="Calibri" w:cs="Times New Roman"/>
                <w:color w:val="000000"/>
                <w:lang w:eastAsia="it-IT"/>
              </w:rPr>
            </w:pPr>
            <w:r w:rsidRPr="00AC0E65">
              <w:rPr>
                <w:rFonts w:ascii="Calibri" w:eastAsia="Times New Roman" w:hAnsi="Calibri" w:cs="Times New Roman"/>
                <w:color w:val="000000"/>
                <w:lang w:eastAsia="it-IT"/>
              </w:rPr>
              <w:t>9</w:t>
            </w:r>
          </w:p>
        </w:tc>
        <w:tc>
          <w:tcPr>
            <w:tcW w:w="818" w:type="pct"/>
            <w:noWrap/>
            <w:hideMark/>
          </w:tcPr>
          <w:p w14:paraId="71E1C15A" w14:textId="77777777" w:rsidR="00A23F27" w:rsidRPr="00391DDC" w:rsidRDefault="00A23F27" w:rsidP="00055CFD">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it-IT"/>
              </w:rPr>
            </w:pPr>
            <w:r w:rsidRPr="00391DDC">
              <w:rPr>
                <w:rFonts w:ascii="Calibri" w:eastAsia="Times New Roman" w:hAnsi="Calibri" w:cs="Times New Roman"/>
                <w:lang w:eastAsia="it-IT"/>
              </w:rPr>
              <w:t>11</w:t>
            </w:r>
            <w:r>
              <w:rPr>
                <w:rFonts w:ascii="Calibri" w:eastAsia="Times New Roman" w:hAnsi="Calibri" w:cs="Times New Roman"/>
                <w:lang w:eastAsia="it-IT"/>
              </w:rPr>
              <w:t>97</w:t>
            </w:r>
            <w:r w:rsidRPr="00391DDC">
              <w:rPr>
                <w:rFonts w:ascii="Calibri" w:eastAsia="Times New Roman" w:hAnsi="Calibri" w:cs="Times New Roman"/>
                <w:lang w:eastAsia="it-IT"/>
              </w:rPr>
              <w:t>-1236</w:t>
            </w:r>
          </w:p>
        </w:tc>
        <w:tc>
          <w:tcPr>
            <w:tcW w:w="3397" w:type="pct"/>
          </w:tcPr>
          <w:p w14:paraId="7CC390FA" w14:textId="77777777" w:rsidR="00A23F27" w:rsidRPr="00AC0E65" w:rsidRDefault="00056C85" w:rsidP="00055CFD">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it-IT"/>
              </w:rPr>
            </w:pPr>
            <m:oMath>
              <m:sSub>
                <m:sSubPr>
                  <m:ctrlPr>
                    <w:rPr>
                      <w:rFonts w:ascii="Cambria Math" w:hAnsi="Cambria Math"/>
                      <w:i/>
                    </w:rPr>
                  </m:ctrlPr>
                </m:sSubPr>
                <m:e>
                  <m:r>
                    <w:rPr>
                      <w:rFonts w:ascii="Cambria Math" w:hAnsi="Cambria Math"/>
                    </w:rPr>
                    <m:t>H</m:t>
                  </m:r>
                </m:e>
                <m:sub>
                  <m:r>
                    <w:rPr>
                      <w:rFonts w:ascii="Cambria Math" w:hAnsi="Cambria Math"/>
                    </w:rPr>
                    <m:t>3</m:t>
                  </m:r>
                </m:sub>
              </m:sSub>
              <m:sSup>
                <m:sSupPr>
                  <m:ctrlPr>
                    <w:rPr>
                      <w:rFonts w:ascii="Cambria Math" w:hAnsi="Cambria Math"/>
                      <w:i/>
                    </w:rPr>
                  </m:ctrlPr>
                </m:sSupPr>
                <m:e>
                  <m:r>
                    <w:rPr>
                      <w:rFonts w:ascii="Cambria Math" w:hAnsi="Cambria Math"/>
                    </w:rPr>
                    <m:t>O</m:t>
                  </m:r>
                </m:e>
                <m:sup>
                  <m:r>
                    <w:rPr>
                      <w:rFonts w:ascii="Cambria Math" w:hAnsi="Cambria Math"/>
                    </w:rPr>
                    <m:t>+</m:t>
                  </m:r>
                </m:sup>
              </m:sSup>
              <m:r>
                <w:rPr>
                  <w:rFonts w:ascii="Cambria Math" w:hAnsi="Cambria Math"/>
                </w:rPr>
                <m:t xml:space="preserve"> </m:t>
              </m:r>
            </m:oMath>
            <w:r w:rsidR="00A23F27" w:rsidRPr="00AC0E65">
              <w:rPr>
                <w:rFonts w:eastAsiaTheme="minorEastAsia"/>
              </w:rPr>
              <w:t>deformation</w:t>
            </w:r>
            <w:r w:rsidR="00A23F27">
              <w:rPr>
                <w:rFonts w:eastAsiaTheme="minorEastAsia"/>
              </w:rPr>
              <w:t xml:space="preserve">, </w:t>
            </w:r>
            <m:oMath>
              <m:r>
                <w:rPr>
                  <w:rFonts w:ascii="Cambria Math" w:hAnsi="Cambria Math"/>
                </w:rPr>
                <m:t>HS</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m:t>
                  </m:r>
                </m:sup>
              </m:sSubSup>
            </m:oMath>
            <w:r w:rsidR="00A23F27" w:rsidRPr="0039276A">
              <w:rPr>
                <w:rFonts w:eastAsiaTheme="minorEastAsia"/>
              </w:rPr>
              <w:t xml:space="preserve"> (1204 cm</w:t>
            </w:r>
            <w:r w:rsidR="00A23F27" w:rsidRPr="0039276A">
              <w:rPr>
                <w:rFonts w:eastAsiaTheme="minorEastAsia"/>
                <w:vertAlign w:val="superscript"/>
              </w:rPr>
              <w:t>-1</w:t>
            </w:r>
            <w:r w:rsidR="00A23F27" w:rsidRPr="0039276A">
              <w:t xml:space="preserve"> weak)</w:t>
            </w:r>
          </w:p>
        </w:tc>
        <w:tc>
          <w:tcPr>
            <w:tcW w:w="610" w:type="pct"/>
          </w:tcPr>
          <w:p w14:paraId="759DCD9D" w14:textId="26FC33A0" w:rsidR="00A23F27" w:rsidRPr="00AC0E65" w:rsidRDefault="003A6FD5" w:rsidP="00055CFD">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it-IT"/>
              </w:rPr>
            </w:pPr>
            <w:r>
              <w:rPr>
                <w:rFonts w:ascii="Calibri" w:eastAsia="Times New Roman" w:hAnsi="Calibri" w:cs="Times New Roman"/>
                <w:color w:val="000000"/>
                <w:lang w:eastAsia="it-IT"/>
              </w:rPr>
              <w:fldChar w:fldCharType="begin"/>
            </w:r>
            <w:r w:rsidR="00DC6E54">
              <w:rPr>
                <w:rFonts w:ascii="Calibri" w:eastAsia="Times New Roman" w:hAnsi="Calibri" w:cs="Times New Roman"/>
                <w:color w:val="000000"/>
                <w:lang w:eastAsia="it-IT"/>
              </w:rPr>
              <w:instrText xml:space="preserve"> ADDIN ZOTERO_ITEM CSL_CITATION {"citationID":"7rk8sup7q","properties":{"formattedCitation":"{\\rtf \\super 36,38\\nosupersub{}}","plainCitation":"36,38"},"citationItems":[{"id":39,"uris":["http://zotero.org/users/local/rZ3AHC6s/items/5F748GU2"],"uri":["http://zotero.org/users/local/rZ3AHC6s/items/5F748GU2"],"itemData":{"id":39,"type":"article-journal","title":"Raman spectroscopy studies of concentrated vanadium redox battery positive electrolytes","container-title":"Journal of Applied Electrochemistry","page":"1327-1332","volume":"31","issue":"12","DOI":"10.1023/A:1013870624722","ISSN":"0021-891X","journalAbbreviation":"Journal of Applied Electrochemistry","language":"English","author":[{"family":"Kausar","given":"N."},{"family":"Howe","given":"R."},{"family":"Skyllas-Kazacos","given":"M."}],"issued":{"date-parts":[["2001",12,1]]}}},{"id":59,"uris":["http://zotero.org/users/local/rZ3AHC6s/items/9C4V5724"],"uri":["http://zotero.org/users/local/rZ3AHC6s/items/9C4V5724"],"itemData":{"id":59,"type":"article-journal","title":"Equilibriums and proton transfer in the bisulfate-sulfate system","container-title":"The Journal of Physical Chemistry","page":"3796-3801","volume":"74","issue":"21","DOI":"10.1021/j100715a014","ISSN":"0022-3654","journalAbbreviation":"J. Phys. Chem.","author":[{"family":"Irish","given":"Donald E."},{"family":"Chen","given":"H."}],"issued":{"date-parts":[["1970",10,1]]},"accessed":{"date-parts":[["2015",2,16]]}}}],"schema":"https://github.com/citation-style-language/schema/raw/master/csl-citation.json"} </w:instrText>
            </w:r>
            <w:r>
              <w:rPr>
                <w:rFonts w:ascii="Calibri" w:eastAsia="Times New Roman" w:hAnsi="Calibri" w:cs="Times New Roman"/>
                <w:color w:val="000000"/>
                <w:lang w:eastAsia="it-IT"/>
              </w:rPr>
              <w:fldChar w:fldCharType="separate"/>
            </w:r>
            <w:r w:rsidR="00DC6E54" w:rsidRPr="00DC6E54">
              <w:rPr>
                <w:rFonts w:ascii="Calibri" w:hAnsi="Calibri" w:cs="Times New Roman"/>
                <w:szCs w:val="24"/>
                <w:vertAlign w:val="superscript"/>
              </w:rPr>
              <w:t>36,38</w:t>
            </w:r>
            <w:r>
              <w:rPr>
                <w:rFonts w:ascii="Calibri" w:eastAsia="Times New Roman" w:hAnsi="Calibri" w:cs="Times New Roman"/>
                <w:color w:val="000000"/>
                <w:lang w:eastAsia="it-IT"/>
              </w:rPr>
              <w:fldChar w:fldCharType="end"/>
            </w:r>
          </w:p>
        </w:tc>
      </w:tr>
    </w:tbl>
    <w:p w14:paraId="2D6F412F" w14:textId="77777777" w:rsidR="00A23F27" w:rsidRDefault="00A23F27" w:rsidP="00055CFD">
      <w:pPr>
        <w:widowControl w:val="0"/>
        <w:autoSpaceDE w:val="0"/>
        <w:autoSpaceDN w:val="0"/>
        <w:adjustRightInd w:val="0"/>
        <w:spacing w:line="480" w:lineRule="auto"/>
      </w:pPr>
    </w:p>
    <w:p w14:paraId="1EDA2F30" w14:textId="6EAAE4EA" w:rsidR="00A23F27" w:rsidRDefault="0006051A" w:rsidP="00523E01">
      <w:pPr>
        <w:widowControl w:val="0"/>
        <w:autoSpaceDE w:val="0"/>
        <w:autoSpaceDN w:val="0"/>
        <w:adjustRightInd w:val="0"/>
        <w:spacing w:after="0" w:line="480" w:lineRule="auto"/>
      </w:pPr>
      <w:r>
        <w:rPr>
          <w:b/>
        </w:rPr>
        <w:t xml:space="preserve">Table </w:t>
      </w:r>
      <w:r w:rsidR="00523E01">
        <w:rPr>
          <w:b/>
        </w:rPr>
        <w:t>4</w:t>
      </w:r>
      <w:r>
        <w:t xml:space="preserve">: </w:t>
      </w:r>
      <w:r w:rsidR="00A23F27" w:rsidRPr="0006051A">
        <w:t>V</w:t>
      </w:r>
      <w:r w:rsidR="00A23F27" w:rsidRPr="0006051A">
        <w:rPr>
          <w:vertAlign w:val="superscript"/>
        </w:rPr>
        <w:t>3</w:t>
      </w:r>
      <w:r w:rsidR="00A23F27">
        <w:rPr>
          <w:vertAlign w:val="superscript"/>
        </w:rPr>
        <w:t>+</w:t>
      </w:r>
      <w:r w:rsidR="00A23F27">
        <w:t>/V</w:t>
      </w:r>
      <w:r w:rsidR="00A23F27">
        <w:rPr>
          <w:vertAlign w:val="superscript"/>
        </w:rPr>
        <w:t>2+</w:t>
      </w:r>
      <w:r w:rsidR="00A23F27">
        <w:t xml:space="preserve"> Theoretical Raman Band Assignments</w:t>
      </w:r>
      <w:r>
        <w:t xml:space="preserve">. Quantum mechanical calculations were used to predict the Raman spectrum of the </w:t>
      </w:r>
      <w:r w:rsidRPr="0006051A">
        <w:t>V</w:t>
      </w:r>
      <w:r w:rsidRPr="0006051A">
        <w:rPr>
          <w:vertAlign w:val="superscript"/>
        </w:rPr>
        <w:t>3</w:t>
      </w:r>
      <w:r>
        <w:rPr>
          <w:vertAlign w:val="superscript"/>
        </w:rPr>
        <w:t>+</w:t>
      </w:r>
      <w:r>
        <w:t>/V</w:t>
      </w:r>
      <w:r>
        <w:rPr>
          <w:vertAlign w:val="superscript"/>
        </w:rPr>
        <w:t>2+</w:t>
      </w:r>
      <w:r>
        <w:t xml:space="preserve"> redox couple in sulfuric acid electrolyte. The peak assignments were furt</w:t>
      </w:r>
      <w:r w:rsidR="00523E01">
        <w:t>her verified in the literature.</w:t>
      </w:r>
    </w:p>
    <w:tbl>
      <w:tblPr>
        <w:tblStyle w:val="PlainTable2"/>
        <w:tblW w:w="5001" w:type="pct"/>
        <w:tblLook w:val="04A0" w:firstRow="1" w:lastRow="0" w:firstColumn="1" w:lastColumn="0" w:noHBand="0" w:noVBand="1"/>
      </w:tblPr>
      <w:tblGrid>
        <w:gridCol w:w="328"/>
        <w:gridCol w:w="1532"/>
        <w:gridCol w:w="5622"/>
        <w:gridCol w:w="1880"/>
      </w:tblGrid>
      <w:tr w:rsidR="00A23F27" w:rsidRPr="00AC0E65" w14:paraId="0BFEBD65" w14:textId="77777777" w:rsidTr="00B4339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 w:type="pct"/>
            <w:noWrap/>
            <w:hideMark/>
          </w:tcPr>
          <w:p w14:paraId="43726F9D" w14:textId="77777777" w:rsidR="00A23F27" w:rsidRPr="00AC0E65" w:rsidRDefault="00A23F27" w:rsidP="00523E01">
            <w:pPr>
              <w:spacing w:after="0" w:line="480" w:lineRule="auto"/>
              <w:rPr>
                <w:rFonts w:ascii="Times New Roman" w:eastAsia="Times New Roman" w:hAnsi="Times New Roman" w:cs="Times New Roman"/>
                <w:sz w:val="24"/>
                <w:szCs w:val="24"/>
                <w:lang w:eastAsia="it-IT"/>
              </w:rPr>
            </w:pPr>
          </w:p>
        </w:tc>
        <w:tc>
          <w:tcPr>
            <w:tcW w:w="818" w:type="pct"/>
            <w:noWrap/>
            <w:hideMark/>
          </w:tcPr>
          <w:p w14:paraId="1830BF1E" w14:textId="77777777" w:rsidR="00A23F27" w:rsidRPr="00AC0E65" w:rsidRDefault="00A23F27" w:rsidP="00523E01">
            <w:pPr>
              <w:spacing w:after="0" w:line="48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it-IT"/>
              </w:rPr>
            </w:pPr>
            <w:r>
              <w:rPr>
                <w:rFonts w:ascii="Calibri" w:eastAsia="Times New Roman" w:hAnsi="Calibri" w:cs="Times New Roman"/>
                <w:lang w:eastAsia="it-IT"/>
              </w:rPr>
              <w:t>Position (cm</w:t>
            </w:r>
            <w:r w:rsidRPr="00FD2ED2">
              <w:rPr>
                <w:rFonts w:ascii="Calibri" w:eastAsia="Times New Roman" w:hAnsi="Calibri" w:cs="Times New Roman"/>
                <w:vertAlign w:val="superscript"/>
                <w:lang w:eastAsia="it-IT"/>
              </w:rPr>
              <w:t>-1</w:t>
            </w:r>
            <w:r>
              <w:rPr>
                <w:rFonts w:ascii="Calibri" w:eastAsia="Times New Roman" w:hAnsi="Calibri" w:cs="Times New Roman"/>
                <w:lang w:eastAsia="it-IT"/>
              </w:rPr>
              <w:t>)</w:t>
            </w:r>
          </w:p>
        </w:tc>
        <w:tc>
          <w:tcPr>
            <w:tcW w:w="3003" w:type="pct"/>
          </w:tcPr>
          <w:p w14:paraId="212096A6" w14:textId="77777777" w:rsidR="00A23F27" w:rsidRPr="00AC0E65" w:rsidRDefault="00A23F27" w:rsidP="00523E01">
            <w:pPr>
              <w:spacing w:after="0" w:line="48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it-IT"/>
              </w:rPr>
            </w:pPr>
            <w:r w:rsidRPr="00AC0E65">
              <w:rPr>
                <w:rFonts w:ascii="Calibri" w:eastAsia="Times New Roman" w:hAnsi="Calibri" w:cs="Times New Roman"/>
                <w:lang w:eastAsia="it-IT"/>
              </w:rPr>
              <w:t>Description</w:t>
            </w:r>
          </w:p>
        </w:tc>
        <w:tc>
          <w:tcPr>
            <w:tcW w:w="1004" w:type="pct"/>
          </w:tcPr>
          <w:p w14:paraId="7A403358" w14:textId="77777777" w:rsidR="00A23F27" w:rsidRPr="00AC0E65" w:rsidRDefault="00A23F27" w:rsidP="00523E01">
            <w:pPr>
              <w:spacing w:after="0" w:line="480" w:lineRule="auto"/>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it-IT"/>
              </w:rPr>
            </w:pPr>
            <w:r w:rsidRPr="00AC0E65">
              <w:rPr>
                <w:rFonts w:ascii="Calibri" w:eastAsia="Times New Roman" w:hAnsi="Calibri" w:cs="Times New Roman"/>
                <w:lang w:eastAsia="it-IT"/>
              </w:rPr>
              <w:t>Reference</w:t>
            </w:r>
          </w:p>
        </w:tc>
      </w:tr>
      <w:tr w:rsidR="00A23F27" w:rsidRPr="00AC0E65" w14:paraId="390138B6" w14:textId="77777777" w:rsidTr="00B4339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 w:type="pct"/>
            <w:noWrap/>
            <w:hideMark/>
          </w:tcPr>
          <w:p w14:paraId="46B47A12" w14:textId="77777777" w:rsidR="00A23F27" w:rsidRPr="00AC0E65" w:rsidRDefault="00A23F27" w:rsidP="00055CFD">
            <w:pPr>
              <w:spacing w:line="480" w:lineRule="auto"/>
              <w:jc w:val="right"/>
              <w:rPr>
                <w:rFonts w:ascii="Calibri" w:eastAsia="Times New Roman" w:hAnsi="Calibri" w:cs="Times New Roman"/>
                <w:color w:val="000000"/>
                <w:lang w:eastAsia="it-IT"/>
              </w:rPr>
            </w:pPr>
            <w:r w:rsidRPr="00AC0E65">
              <w:rPr>
                <w:rFonts w:ascii="Calibri" w:eastAsia="Times New Roman" w:hAnsi="Calibri" w:cs="Times New Roman"/>
                <w:color w:val="000000"/>
                <w:lang w:eastAsia="it-IT"/>
              </w:rPr>
              <w:t>1</w:t>
            </w:r>
          </w:p>
        </w:tc>
        <w:tc>
          <w:tcPr>
            <w:tcW w:w="818" w:type="pct"/>
            <w:noWrap/>
            <w:hideMark/>
          </w:tcPr>
          <w:p w14:paraId="14BBEF17" w14:textId="77777777" w:rsidR="00A23F27" w:rsidRPr="005A3FCD" w:rsidRDefault="00A23F27" w:rsidP="00055CFD">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it-IT"/>
              </w:rPr>
            </w:pPr>
            <w:r w:rsidRPr="005A3FCD">
              <w:rPr>
                <w:rFonts w:ascii="Calibri" w:eastAsia="Times New Roman" w:hAnsi="Calibri" w:cs="Times New Roman"/>
                <w:lang w:eastAsia="it-IT"/>
              </w:rPr>
              <w:t>283-305</w:t>
            </w:r>
          </w:p>
        </w:tc>
        <w:tc>
          <w:tcPr>
            <w:tcW w:w="3003" w:type="pct"/>
          </w:tcPr>
          <w:p w14:paraId="08D00413" w14:textId="77777777" w:rsidR="00A23F27" w:rsidRPr="00AC0E65" w:rsidRDefault="00A23F27" w:rsidP="00055CFD">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it-IT"/>
              </w:rPr>
            </w:pPr>
            <m:oMathPara>
              <m:oMath>
                <m:r>
                  <w:rPr>
                    <w:rFonts w:ascii="Cambria Math" w:hAnsi="Cambria Math"/>
                  </w:rPr>
                  <m:t>VO</m:t>
                </m:r>
                <m:sSubSup>
                  <m:sSubSupPr>
                    <m:ctrlPr>
                      <w:rPr>
                        <w:rFonts w:ascii="Cambria Math" w:hAnsi="Cambria Math"/>
                        <w:i/>
                      </w:rPr>
                    </m:ctrlPr>
                  </m:sSubSupPr>
                  <m:e>
                    <m:d>
                      <m:dPr>
                        <m:ctrlPr>
                          <w:rPr>
                            <w:rFonts w:ascii="Cambria Math" w:hAnsi="Cambria Math"/>
                            <w:i/>
                          </w:rPr>
                        </m:ctrlPr>
                      </m:dPr>
                      <m:e>
                        <m:r>
                          <w:rPr>
                            <w:rFonts w:ascii="Cambria Math" w:hAnsi="Cambria Math"/>
                          </w:rPr>
                          <m:t>O</m:t>
                        </m:r>
                        <m:sSub>
                          <m:sSubPr>
                            <m:ctrlPr>
                              <w:rPr>
                                <w:rFonts w:ascii="Cambria Math" w:hAnsi="Cambria Math"/>
                                <w:i/>
                              </w:rPr>
                            </m:ctrlPr>
                          </m:sSubPr>
                          <m:e>
                            <m:r>
                              <w:rPr>
                                <w:rFonts w:ascii="Cambria Math" w:hAnsi="Cambria Math"/>
                              </w:rPr>
                              <m:t>H</m:t>
                            </m:r>
                          </m:e>
                          <m:sub>
                            <m:r>
                              <w:rPr>
                                <w:rFonts w:ascii="Cambria Math" w:hAnsi="Cambria Math"/>
                              </w:rPr>
                              <m:t>2</m:t>
                            </m:r>
                          </m:sub>
                        </m:sSub>
                      </m:e>
                    </m:d>
                  </m:e>
                  <m:sub>
                    <m:r>
                      <w:rPr>
                        <w:rFonts w:ascii="Cambria Math" w:hAnsi="Cambria Math"/>
                      </w:rPr>
                      <m:t>5</m:t>
                    </m:r>
                  </m:sub>
                  <m:sup>
                    <m:r>
                      <w:rPr>
                        <w:rFonts w:ascii="Cambria Math" w:hAnsi="Cambria Math"/>
                      </w:rPr>
                      <m:t>2+</m:t>
                    </m:r>
                  </m:sup>
                </m:sSubSup>
                <m:r>
                  <w:rPr>
                    <w:rFonts w:ascii="Cambria Math" w:hAnsi="Cambria Math"/>
                  </w:rPr>
                  <m:t xml:space="preserve"> and VO</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e>
                    </m:d>
                  </m:e>
                  <m:sub>
                    <m:r>
                      <w:rPr>
                        <w:rFonts w:ascii="Cambria Math" w:hAnsi="Cambria Math"/>
                      </w:rPr>
                      <m:t>4</m:t>
                    </m:r>
                  </m:sub>
                </m:sSub>
                <m:r>
                  <w:rPr>
                    <w:rFonts w:ascii="Cambria Math" w:hAnsi="Cambria Math"/>
                  </w:rPr>
                  <m:t>S</m:t>
                </m:r>
                <m:sSub>
                  <m:sSubPr>
                    <m:ctrlPr>
                      <w:rPr>
                        <w:rFonts w:ascii="Cambria Math" w:hAnsi="Cambria Math"/>
                        <w:i/>
                      </w:rPr>
                    </m:ctrlPr>
                  </m:sSubPr>
                  <m:e>
                    <m:r>
                      <w:rPr>
                        <w:rFonts w:ascii="Cambria Math" w:hAnsi="Cambria Math"/>
                      </w:rPr>
                      <m:t>O</m:t>
                    </m:r>
                  </m:e>
                  <m:sub>
                    <m:r>
                      <w:rPr>
                        <w:rFonts w:ascii="Cambria Math" w:hAnsi="Cambria Math"/>
                      </w:rPr>
                      <m:t>4</m:t>
                    </m:r>
                  </m:sub>
                </m:sSub>
              </m:oMath>
            </m:oMathPara>
          </w:p>
        </w:tc>
        <w:tc>
          <w:tcPr>
            <w:tcW w:w="1004" w:type="pct"/>
          </w:tcPr>
          <w:p w14:paraId="2F3901A7" w14:textId="414D1578" w:rsidR="00A23F27" w:rsidRPr="00AC0E65" w:rsidRDefault="00B4339B" w:rsidP="00055CFD">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it-IT"/>
              </w:rPr>
            </w:pPr>
            <w:r>
              <w:rPr>
                <w:rFonts w:ascii="Calibri" w:eastAsia="Times New Roman" w:hAnsi="Calibri" w:cs="Times New Roman"/>
                <w:color w:val="000000"/>
                <w:lang w:eastAsia="it-IT"/>
              </w:rPr>
              <w:fldChar w:fldCharType="begin"/>
            </w:r>
            <w:r w:rsidR="00DC6E54">
              <w:rPr>
                <w:rFonts w:ascii="Calibri" w:eastAsia="Times New Roman" w:hAnsi="Calibri" w:cs="Times New Roman"/>
                <w:color w:val="000000"/>
                <w:lang w:eastAsia="it-IT"/>
              </w:rPr>
              <w:instrText xml:space="preserve"> ADDIN ZOTERO_ITEM CSL_CITATION {"citationID":"2jinl78791","properties":{"formattedCitation":"{\\rtf \\super 37\\nosupersub{}}","plainCitation":"37"},"citationItems":[{"id":63,"uris":["http://zotero.org/users/local/rZ3AHC6s/items/8VA92FM8"],"uri":["http://zotero.org/users/local/rZ3AHC6s/items/8VA92FM8"],"itemData":{"id":63,"type":"article-journal","title":"The vibrational spectra and structure of the vanadyl ion in aqueous solution","container-title":"Inorganic Chemistry","page":"372-375","volume":"2","author":[{"family":"Evans","given":"J.C."}],"issued":{"date-parts":[["1963"]]}}}],"schema":"https://github.com/citation-style-language/schema/raw/master/csl-citation.json"} </w:instrText>
            </w:r>
            <w:r>
              <w:rPr>
                <w:rFonts w:ascii="Calibri" w:eastAsia="Times New Roman" w:hAnsi="Calibri" w:cs="Times New Roman"/>
                <w:color w:val="000000"/>
                <w:lang w:eastAsia="it-IT"/>
              </w:rPr>
              <w:fldChar w:fldCharType="separate"/>
            </w:r>
            <w:r w:rsidR="00DC6E54" w:rsidRPr="00DC6E54">
              <w:rPr>
                <w:rFonts w:ascii="Calibri" w:hAnsi="Calibri" w:cs="Times New Roman"/>
                <w:szCs w:val="24"/>
                <w:vertAlign w:val="superscript"/>
              </w:rPr>
              <w:t>37</w:t>
            </w:r>
            <w:r>
              <w:rPr>
                <w:rFonts w:ascii="Calibri" w:eastAsia="Times New Roman" w:hAnsi="Calibri" w:cs="Times New Roman"/>
                <w:color w:val="000000"/>
                <w:lang w:eastAsia="it-IT"/>
              </w:rPr>
              <w:fldChar w:fldCharType="end"/>
            </w:r>
          </w:p>
        </w:tc>
      </w:tr>
      <w:tr w:rsidR="00A23F27" w:rsidRPr="00AC0E65" w14:paraId="31BF0E3C" w14:textId="77777777" w:rsidTr="00B4339B">
        <w:trPr>
          <w:trHeight w:val="300"/>
        </w:trPr>
        <w:tc>
          <w:tcPr>
            <w:cnfStyle w:val="001000000000" w:firstRow="0" w:lastRow="0" w:firstColumn="1" w:lastColumn="0" w:oddVBand="0" w:evenVBand="0" w:oddHBand="0" w:evenHBand="0" w:firstRowFirstColumn="0" w:firstRowLastColumn="0" w:lastRowFirstColumn="0" w:lastRowLastColumn="0"/>
            <w:tcW w:w="175" w:type="pct"/>
            <w:noWrap/>
            <w:hideMark/>
          </w:tcPr>
          <w:p w14:paraId="7EE97E2C" w14:textId="77777777" w:rsidR="00A23F27" w:rsidRPr="00AC0E65" w:rsidRDefault="00A23F27" w:rsidP="00055CFD">
            <w:pPr>
              <w:spacing w:line="480" w:lineRule="auto"/>
              <w:jc w:val="right"/>
              <w:rPr>
                <w:rFonts w:ascii="Calibri" w:eastAsia="Times New Roman" w:hAnsi="Calibri" w:cs="Times New Roman"/>
                <w:color w:val="000000"/>
                <w:lang w:eastAsia="it-IT"/>
              </w:rPr>
            </w:pPr>
          </w:p>
        </w:tc>
        <w:tc>
          <w:tcPr>
            <w:tcW w:w="818" w:type="pct"/>
            <w:noWrap/>
            <w:hideMark/>
          </w:tcPr>
          <w:p w14:paraId="5E9A58F1" w14:textId="77777777" w:rsidR="00A23F27" w:rsidRPr="005A3FCD" w:rsidRDefault="00A23F27" w:rsidP="00055CFD">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it-IT"/>
              </w:rPr>
            </w:pPr>
            <w:r w:rsidRPr="005A3FCD">
              <w:rPr>
                <w:rFonts w:ascii="Calibri" w:eastAsia="Times New Roman" w:hAnsi="Calibri" w:cs="Times New Roman"/>
                <w:lang w:eastAsia="it-IT"/>
              </w:rPr>
              <w:t>355-390</w:t>
            </w:r>
          </w:p>
        </w:tc>
        <w:tc>
          <w:tcPr>
            <w:tcW w:w="3003" w:type="pct"/>
          </w:tcPr>
          <w:p w14:paraId="6252F23C" w14:textId="77777777" w:rsidR="00A23F27" w:rsidRPr="00402B29" w:rsidRDefault="00A23F27" w:rsidP="00055CFD">
            <w:pPr>
              <w:spacing w:line="480" w:lineRule="auto"/>
              <w:jc w:val="center"/>
              <w:cnfStyle w:val="000000000000" w:firstRow="0" w:lastRow="0" w:firstColumn="0" w:lastColumn="0" w:oddVBand="0" w:evenVBand="0" w:oddHBand="0" w:evenHBand="0" w:firstRowFirstColumn="0" w:firstRowLastColumn="0" w:lastRowFirstColumn="0" w:lastRowLastColumn="0"/>
            </w:pPr>
            <m:oMath>
              <m:r>
                <w:rPr>
                  <w:rFonts w:ascii="Cambria Math" w:hAnsi="Cambria Math"/>
                </w:rPr>
                <m:t>V</m:t>
              </m:r>
              <m:sSub>
                <m:sSubPr>
                  <m:ctrlPr>
                    <w:rPr>
                      <w:rFonts w:ascii="Cambria Math" w:hAnsi="Cambria Math"/>
                      <w:i/>
                    </w:rPr>
                  </m:ctrlPr>
                </m:sSubPr>
                <m:e>
                  <m:r>
                    <w:rPr>
                      <w:rFonts w:ascii="Cambria Math" w:hAnsi="Cambria Math"/>
                    </w:rPr>
                    <m:t>O</m:t>
                  </m:r>
                </m:e>
                <m:sub>
                  <m:r>
                    <w:rPr>
                      <w:rFonts w:ascii="Cambria Math" w:hAnsi="Cambria Math"/>
                    </w:rPr>
                    <m:t>2</m:t>
                  </m:r>
                </m:sub>
              </m:sSub>
              <m:sSubSup>
                <m:sSubSupPr>
                  <m:ctrlPr>
                    <w:rPr>
                      <w:rFonts w:ascii="Cambria Math" w:hAnsi="Cambria Math"/>
                      <w:i/>
                    </w:rPr>
                  </m:ctrlPr>
                </m:sSubSupPr>
                <m:e>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e>
                  </m:d>
                </m:e>
                <m:sub>
                  <m:r>
                    <w:rPr>
                      <w:rFonts w:ascii="Cambria Math" w:hAnsi="Cambria Math"/>
                    </w:rPr>
                    <m:t>4</m:t>
                  </m:r>
                </m:sub>
                <m:sup>
                  <m:r>
                    <w:rPr>
                      <w:rFonts w:ascii="Cambria Math" w:hAnsi="Cambria Math"/>
                    </w:rPr>
                    <m:t>+</m:t>
                  </m:r>
                </m:sup>
              </m:sSubSup>
            </m:oMath>
            <w:r>
              <w:rPr>
                <w:rFonts w:eastAsiaTheme="minorEastAsia"/>
              </w:rPr>
              <w:t xml:space="preserve"> </w:t>
            </w:r>
            <w:r w:rsidRPr="00AC0E65">
              <w:t>V=O deformations</w:t>
            </w:r>
          </w:p>
        </w:tc>
        <w:tc>
          <w:tcPr>
            <w:tcW w:w="1004" w:type="pct"/>
          </w:tcPr>
          <w:p w14:paraId="2323DC16" w14:textId="43AA3EFB" w:rsidR="00A23F27" w:rsidRPr="00AC0E65" w:rsidRDefault="00B4339B" w:rsidP="00055CFD">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it-IT"/>
              </w:rPr>
            </w:pPr>
            <w:r>
              <w:rPr>
                <w:rFonts w:ascii="Calibri" w:eastAsia="Times New Roman" w:hAnsi="Calibri" w:cs="Times New Roman"/>
                <w:color w:val="000000"/>
                <w:lang w:eastAsia="it-IT"/>
              </w:rPr>
              <w:fldChar w:fldCharType="begin"/>
            </w:r>
            <w:r w:rsidR="00DC6E54">
              <w:rPr>
                <w:rFonts w:ascii="Calibri" w:eastAsia="Times New Roman" w:hAnsi="Calibri" w:cs="Times New Roman"/>
                <w:color w:val="000000"/>
                <w:lang w:eastAsia="it-IT"/>
              </w:rPr>
              <w:instrText xml:space="preserve"> ADDIN ZOTERO_ITEM CSL_CITATION {"citationID":"21ame0fdgo","properties":{"formattedCitation":"{\\rtf \\super 35\\nosupersub{}}","plainCitation":"35"},"citationItems":[{"id":58,"uris":["http://zotero.org/users/local/rZ3AHC6s/items/ZEG2RBVW"],"uri":["http://zotero.org/users/local/rZ3AHC6s/items/ZEG2RBVW"],"itemData":{"id":58,"type":"article-journal","title":"Raman studies on species in aqueous solutions. Part III. Vanadates, molybdates, and tungstates","container-title":"Journal of the Chemical Society A: Inorganic, Physical, Theoretical","page":"1066-1071","issue":"0","abstract":"The nature of the species present in aqueous solutions of vanadates(), peroxovanadates(), molybdates, and tungstates() at different pH and high metal concentrations (. 1) has been studied by means of Raman and i.r. spectroscopy.","DOI":"10.1039/J19690001066","ISSN":"0022-4944","journalAbbreviation":"J. Chem. Soc. A","author":[{"family":"Griffith","given":"W. P."},{"family":"Lesniak","given":"P. J. B."}],"issued":{"date-parts":[["1969"]]}}}],"schema":"https://github.com/citation-style-language/schema/raw/master/csl-citation.json"} </w:instrText>
            </w:r>
            <w:r>
              <w:rPr>
                <w:rFonts w:ascii="Calibri" w:eastAsia="Times New Roman" w:hAnsi="Calibri" w:cs="Times New Roman"/>
                <w:color w:val="000000"/>
                <w:lang w:eastAsia="it-IT"/>
              </w:rPr>
              <w:fldChar w:fldCharType="separate"/>
            </w:r>
            <w:r w:rsidR="00DC6E54" w:rsidRPr="00DC6E54">
              <w:rPr>
                <w:rFonts w:ascii="Calibri" w:hAnsi="Calibri" w:cs="Times New Roman"/>
                <w:szCs w:val="24"/>
                <w:vertAlign w:val="superscript"/>
              </w:rPr>
              <w:t>35</w:t>
            </w:r>
            <w:r>
              <w:rPr>
                <w:rFonts w:ascii="Calibri" w:eastAsia="Times New Roman" w:hAnsi="Calibri" w:cs="Times New Roman"/>
                <w:color w:val="000000"/>
                <w:lang w:eastAsia="it-IT"/>
              </w:rPr>
              <w:fldChar w:fldCharType="end"/>
            </w:r>
          </w:p>
        </w:tc>
      </w:tr>
      <w:tr w:rsidR="00A23F27" w:rsidRPr="00AC0E65" w14:paraId="5CF157AF" w14:textId="77777777" w:rsidTr="00B4339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 w:type="pct"/>
            <w:noWrap/>
            <w:hideMark/>
          </w:tcPr>
          <w:p w14:paraId="0991F043" w14:textId="77777777" w:rsidR="00A23F27" w:rsidRPr="00AC0E65" w:rsidRDefault="00A23F27" w:rsidP="00055CFD">
            <w:pPr>
              <w:spacing w:line="480" w:lineRule="auto"/>
              <w:jc w:val="right"/>
              <w:rPr>
                <w:rFonts w:ascii="Calibri" w:eastAsia="Times New Roman" w:hAnsi="Calibri" w:cs="Times New Roman"/>
                <w:color w:val="000000"/>
                <w:lang w:eastAsia="it-IT"/>
              </w:rPr>
            </w:pPr>
            <w:r w:rsidRPr="00AC0E65">
              <w:rPr>
                <w:rFonts w:ascii="Calibri" w:eastAsia="Times New Roman" w:hAnsi="Calibri" w:cs="Times New Roman"/>
                <w:color w:val="000000"/>
                <w:lang w:eastAsia="it-IT"/>
              </w:rPr>
              <w:t>2</w:t>
            </w:r>
          </w:p>
        </w:tc>
        <w:tc>
          <w:tcPr>
            <w:tcW w:w="818" w:type="pct"/>
            <w:noWrap/>
            <w:hideMark/>
          </w:tcPr>
          <w:p w14:paraId="3EBAF35C" w14:textId="77777777" w:rsidR="00A23F27" w:rsidRPr="005A3FCD" w:rsidRDefault="00A23F27" w:rsidP="00055CFD">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it-IT"/>
              </w:rPr>
            </w:pPr>
            <w:r w:rsidRPr="005A3FCD">
              <w:rPr>
                <w:rFonts w:ascii="Calibri" w:eastAsia="Times New Roman" w:hAnsi="Calibri" w:cs="Times New Roman"/>
                <w:lang w:eastAsia="it-IT"/>
              </w:rPr>
              <w:t>430-444</w:t>
            </w:r>
          </w:p>
        </w:tc>
        <w:tc>
          <w:tcPr>
            <w:tcW w:w="3003" w:type="pct"/>
          </w:tcPr>
          <w:p w14:paraId="2516F308" w14:textId="77777777" w:rsidR="00A23F27" w:rsidRPr="009F33FB" w:rsidRDefault="00A23F27" w:rsidP="00055CFD">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m:oMath>
              <m:r>
                <w:rPr>
                  <w:rFonts w:ascii="Cambria Math" w:hAnsi="Cambria Math"/>
                </w:rPr>
                <m:t>S</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2-</m:t>
                  </m:r>
                </m:sup>
              </m:sSubSup>
            </m:oMath>
            <w:r w:rsidRPr="00AC0E65">
              <w:rPr>
                <w:rFonts w:ascii="Calibri" w:eastAsia="Times New Roman" w:hAnsi="Calibri" w:cs="Times New Roman"/>
              </w:rPr>
              <w:t xml:space="preserve"> (451 cm</w:t>
            </w:r>
            <w:r w:rsidRPr="00AC0E65">
              <w:rPr>
                <w:rFonts w:ascii="Calibri" w:eastAsia="Times New Roman" w:hAnsi="Calibri" w:cs="Times New Roman"/>
                <w:vertAlign w:val="superscript"/>
              </w:rPr>
              <w:t>-1</w:t>
            </w:r>
            <w:r w:rsidRPr="00AC0E65">
              <w:rPr>
                <w:rFonts w:ascii="Calibri" w:eastAsia="Times New Roman" w:hAnsi="Calibri" w:cs="Times New Roman"/>
              </w:rPr>
              <w:t xml:space="preserve">) </w:t>
            </w:r>
            <m:oMath>
              <m:r>
                <w:rPr>
                  <w:rFonts w:ascii="Cambria Math" w:hAnsi="Cambria Math"/>
                </w:rPr>
                <m:t>HS</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m:t>
                  </m:r>
                </m:sup>
              </m:sSubSup>
            </m:oMath>
            <w:r w:rsidRPr="00AC0E65">
              <w:rPr>
                <w:rFonts w:ascii="Calibri" w:eastAsia="Times New Roman" w:hAnsi="Calibri" w:cs="Times New Roman"/>
              </w:rPr>
              <w:t xml:space="preserve"> (424 cm</w:t>
            </w:r>
            <w:r w:rsidRPr="00AC0E65">
              <w:rPr>
                <w:rFonts w:ascii="Calibri" w:eastAsia="Times New Roman" w:hAnsi="Calibri" w:cs="Times New Roman"/>
                <w:vertAlign w:val="superscript"/>
              </w:rPr>
              <w:t>-1</w:t>
            </w:r>
            <w:r w:rsidRPr="00AC0E65">
              <w:rPr>
                <w:rFonts w:ascii="Calibri" w:eastAsia="Times New Roman" w:hAnsi="Calibri" w:cs="Times New Roman"/>
              </w:rPr>
              <w:t>)</w:t>
            </w:r>
            <w:r>
              <w:rPr>
                <w:rFonts w:ascii="Calibri" w:eastAsia="Times New Roman" w:hAnsi="Calibri" w:cs="Times New Roman"/>
              </w:rPr>
              <w:t>,</w:t>
            </w:r>
            <w:r>
              <w:t xml:space="preserve"> </w:t>
            </w:r>
            <w:r w:rsidRPr="009F33FB">
              <w:rPr>
                <w:rFonts w:ascii="Calibri" w:eastAsia="Times New Roman" w:hAnsi="Calibri" w:cs="Times New Roman"/>
              </w:rPr>
              <w:t>V(III)-OH</w:t>
            </w:r>
            <w:r w:rsidRPr="009F33FB">
              <w:rPr>
                <w:rFonts w:ascii="Calibri" w:eastAsia="Times New Roman" w:hAnsi="Calibri" w:cs="Times New Roman"/>
                <w:vertAlign w:val="subscript"/>
              </w:rPr>
              <w:t>2</w:t>
            </w:r>
            <w:r>
              <w:rPr>
                <w:rFonts w:ascii="Calibri" w:eastAsia="Times New Roman" w:hAnsi="Calibri" w:cs="Times New Roman"/>
              </w:rPr>
              <w:t xml:space="preserve"> a</w:t>
            </w:r>
            <w:r w:rsidRPr="009F33FB">
              <w:rPr>
                <w:rFonts w:ascii="Calibri" w:eastAsia="Times New Roman" w:hAnsi="Calibri" w:cs="Times New Roman"/>
              </w:rPr>
              <w:t>nd</w:t>
            </w:r>
            <w:r>
              <w:rPr>
                <w:rFonts w:ascii="Calibri" w:eastAsia="Times New Roman" w:hAnsi="Calibri" w:cs="Times New Roman"/>
              </w:rPr>
              <w:t xml:space="preserve"> </w:t>
            </w:r>
            <w:r w:rsidRPr="00475D81">
              <w:rPr>
                <w:rFonts w:ascii="Calibri" w:eastAsia="Times New Roman" w:hAnsi="Calibri" w:cs="Times New Roman"/>
                <w:color w:val="000000"/>
                <w:lang w:eastAsia="it-IT"/>
              </w:rPr>
              <w:t>symmetric</w:t>
            </w:r>
            <w:r>
              <w:rPr>
                <w:rFonts w:ascii="Calibri" w:eastAsia="Times New Roman" w:hAnsi="Calibri" w:cs="Times New Roman"/>
              </w:rPr>
              <w:t xml:space="preserve"> </w:t>
            </w:r>
            <w:r w:rsidRPr="00475D81">
              <w:rPr>
                <w:rFonts w:ascii="Calibri" w:eastAsia="Times New Roman" w:hAnsi="Calibri" w:cs="Times New Roman"/>
                <w:color w:val="000000"/>
                <w:lang w:eastAsia="it-IT"/>
              </w:rPr>
              <w:t xml:space="preserve">V (III)-O-V(III) </w:t>
            </w:r>
            <w:r>
              <w:rPr>
                <w:rFonts w:ascii="Calibri" w:eastAsia="Times New Roman" w:hAnsi="Calibri" w:cs="Times New Roman"/>
              </w:rPr>
              <w:t>dimer</w:t>
            </w:r>
          </w:p>
        </w:tc>
        <w:tc>
          <w:tcPr>
            <w:tcW w:w="1004" w:type="pct"/>
          </w:tcPr>
          <w:p w14:paraId="7C762EE1" w14:textId="276DDB12" w:rsidR="00A23F27" w:rsidRPr="00AC0E65" w:rsidRDefault="00B4339B" w:rsidP="00055CFD">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it-IT"/>
              </w:rPr>
            </w:pPr>
            <w:r>
              <w:rPr>
                <w:rFonts w:ascii="Calibri" w:eastAsia="Times New Roman" w:hAnsi="Calibri" w:cs="Times New Roman"/>
                <w:color w:val="000000"/>
                <w:lang w:eastAsia="it-IT"/>
              </w:rPr>
              <w:fldChar w:fldCharType="begin"/>
            </w:r>
            <w:r w:rsidR="00DC6E54">
              <w:rPr>
                <w:rFonts w:ascii="Calibri" w:eastAsia="Times New Roman" w:hAnsi="Calibri" w:cs="Times New Roman"/>
                <w:color w:val="000000"/>
                <w:lang w:eastAsia="it-IT"/>
              </w:rPr>
              <w:instrText xml:space="preserve"> ADDIN ZOTERO_ITEM CSL_CITATION {"citationID":"2akighu3mg","properties":{"formattedCitation":"{\\rtf \\super 36,37\\nosupersub{}}","plainCitation":"36,37"},"citationItems":[{"id":59,"uris":["http://zotero.org/users/local/rZ3AHC6s/items/9C4V5724"],"uri":["http://zotero.org/users/local/rZ3AHC6s/items/9C4V5724"],"itemData":{"id":59,"type":"article-journal","title":"Equilibriums and proton transfer in the bisulfate-sulfate system","container-title":"The Journal of Physical Chemistry","page":"3796-3801","volume":"74","issue":"21","DOI":"10.1021/j100715a014","ISSN":"0022-3654","journalAbbreviation":"J. Phys. Chem.","author":[{"family":"Irish","given":"Donald E."},{"family":"Chen","given":"H."}],"issued":{"date-parts":[["1970",10,1]]},"accessed":{"date-parts":[["2015",2,16]]}}},{"id":63,"uris":["http://zotero.org/users/local/rZ3AHC6s/items/8VA92FM8"],"uri":["http://zotero.org/users/local/rZ3AHC6s/items/8VA92FM8"],"itemData":{"id":63,"type":"article-journal","title":"The vibrational spectra and structure of the vanadyl ion in aqueous solution","container-title":"Inorganic Chemistry","page":"372-375","volume":"2","author":[{"family":"Evans","given":"J.C."}],"issued":{"date-parts":[["1963"]]}}}],"schema":"https://github.com/citation-style-language/schema/raw/master/csl-citation.json"} </w:instrText>
            </w:r>
            <w:r>
              <w:rPr>
                <w:rFonts w:ascii="Calibri" w:eastAsia="Times New Roman" w:hAnsi="Calibri" w:cs="Times New Roman"/>
                <w:color w:val="000000"/>
                <w:lang w:eastAsia="it-IT"/>
              </w:rPr>
              <w:fldChar w:fldCharType="separate"/>
            </w:r>
            <w:r w:rsidR="00DC6E54" w:rsidRPr="00DC6E54">
              <w:rPr>
                <w:rFonts w:ascii="Calibri" w:hAnsi="Calibri" w:cs="Times New Roman"/>
                <w:szCs w:val="24"/>
                <w:vertAlign w:val="superscript"/>
              </w:rPr>
              <w:t>36,37</w:t>
            </w:r>
            <w:r>
              <w:rPr>
                <w:rFonts w:ascii="Calibri" w:eastAsia="Times New Roman" w:hAnsi="Calibri" w:cs="Times New Roman"/>
                <w:color w:val="000000"/>
                <w:lang w:eastAsia="it-IT"/>
              </w:rPr>
              <w:fldChar w:fldCharType="end"/>
            </w:r>
          </w:p>
        </w:tc>
      </w:tr>
      <w:tr w:rsidR="00A23F27" w:rsidRPr="00AC0E65" w14:paraId="02427BD1" w14:textId="77777777" w:rsidTr="00B4339B">
        <w:trPr>
          <w:trHeight w:val="300"/>
        </w:trPr>
        <w:tc>
          <w:tcPr>
            <w:cnfStyle w:val="001000000000" w:firstRow="0" w:lastRow="0" w:firstColumn="1" w:lastColumn="0" w:oddVBand="0" w:evenVBand="0" w:oddHBand="0" w:evenHBand="0" w:firstRowFirstColumn="0" w:firstRowLastColumn="0" w:lastRowFirstColumn="0" w:lastRowLastColumn="0"/>
            <w:tcW w:w="175" w:type="pct"/>
            <w:noWrap/>
            <w:hideMark/>
          </w:tcPr>
          <w:p w14:paraId="58A92CB8" w14:textId="77777777" w:rsidR="00A23F27" w:rsidRPr="00AC0E65" w:rsidRDefault="00A23F27" w:rsidP="00055CFD">
            <w:pPr>
              <w:spacing w:line="480" w:lineRule="auto"/>
              <w:jc w:val="right"/>
              <w:rPr>
                <w:rFonts w:ascii="Calibri" w:eastAsia="Times New Roman" w:hAnsi="Calibri" w:cs="Times New Roman"/>
                <w:color w:val="000000"/>
                <w:lang w:eastAsia="it-IT"/>
              </w:rPr>
            </w:pPr>
            <w:r w:rsidRPr="00AC0E65">
              <w:rPr>
                <w:rFonts w:ascii="Calibri" w:eastAsia="Times New Roman" w:hAnsi="Calibri" w:cs="Times New Roman"/>
                <w:color w:val="000000"/>
                <w:lang w:eastAsia="it-IT"/>
              </w:rPr>
              <w:t>4</w:t>
            </w:r>
          </w:p>
        </w:tc>
        <w:tc>
          <w:tcPr>
            <w:tcW w:w="818" w:type="pct"/>
            <w:noWrap/>
            <w:hideMark/>
          </w:tcPr>
          <w:p w14:paraId="6D257352" w14:textId="77777777" w:rsidR="00A23F27" w:rsidRPr="005A3FCD" w:rsidRDefault="00A23F27" w:rsidP="00055CFD">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it-IT"/>
              </w:rPr>
            </w:pPr>
            <w:r w:rsidRPr="005A3FCD">
              <w:rPr>
                <w:rFonts w:ascii="Calibri" w:eastAsia="Times New Roman" w:hAnsi="Calibri" w:cs="Times New Roman"/>
                <w:lang w:eastAsia="it-IT"/>
              </w:rPr>
              <w:t>597-602</w:t>
            </w:r>
          </w:p>
        </w:tc>
        <w:tc>
          <w:tcPr>
            <w:tcW w:w="3003" w:type="pct"/>
          </w:tcPr>
          <w:p w14:paraId="50C600E2" w14:textId="77777777" w:rsidR="00A23F27" w:rsidRPr="00AC0E65" w:rsidRDefault="00A23F27" w:rsidP="00055CFD">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it-IT"/>
              </w:rPr>
            </w:pPr>
            <m:oMath>
              <m:r>
                <w:rPr>
                  <w:rFonts w:ascii="Cambria Math" w:hAnsi="Cambria Math"/>
                </w:rPr>
                <m:t>S</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2-</m:t>
                  </m:r>
                </m:sup>
              </m:sSubSup>
            </m:oMath>
            <w:r>
              <w:rPr>
                <w:rFonts w:eastAsiaTheme="minorEastAsia"/>
              </w:rPr>
              <w:t>(592 cm</w:t>
            </w:r>
            <w:r w:rsidRPr="001920CC">
              <w:rPr>
                <w:rFonts w:eastAsiaTheme="minorEastAsia"/>
                <w:vertAlign w:val="superscript"/>
              </w:rPr>
              <w:t>-1</w:t>
            </w:r>
            <w:r>
              <w:rPr>
                <w:rFonts w:eastAsiaTheme="minorEastAsia"/>
              </w:rPr>
              <w:t xml:space="preserve">)and </w:t>
            </w:r>
            <m:oMath>
              <m:r>
                <w:rPr>
                  <w:rFonts w:ascii="Cambria Math" w:hAnsi="Cambria Math"/>
                </w:rPr>
                <m:t>HS</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m:t>
                  </m:r>
                </m:sup>
              </m:sSubSup>
              <m:r>
                <w:rPr>
                  <w:rFonts w:ascii="Cambria Math" w:hAnsi="Cambria Math"/>
                </w:rPr>
                <m:t xml:space="preserve"> </m:t>
              </m:r>
            </m:oMath>
            <w:r>
              <w:rPr>
                <w:rFonts w:eastAsiaTheme="minorEastAsia"/>
              </w:rPr>
              <w:t>(613 cm</w:t>
            </w:r>
            <w:r w:rsidRPr="001920CC">
              <w:rPr>
                <w:rFonts w:eastAsiaTheme="minorEastAsia"/>
                <w:vertAlign w:val="superscript"/>
              </w:rPr>
              <w:t>-1</w:t>
            </w:r>
            <w:r>
              <w:t>)</w:t>
            </w:r>
          </w:p>
        </w:tc>
        <w:tc>
          <w:tcPr>
            <w:tcW w:w="1004" w:type="pct"/>
          </w:tcPr>
          <w:p w14:paraId="571CADC0" w14:textId="6F951C9D" w:rsidR="00A23F27" w:rsidRPr="00AC0E65" w:rsidRDefault="00B4339B" w:rsidP="00055CFD">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it-IT"/>
              </w:rPr>
            </w:pPr>
            <w:r>
              <w:rPr>
                <w:rFonts w:ascii="Calibri" w:eastAsia="Times New Roman" w:hAnsi="Calibri" w:cs="Times New Roman"/>
                <w:color w:val="000000"/>
                <w:lang w:eastAsia="it-IT"/>
              </w:rPr>
              <w:fldChar w:fldCharType="begin"/>
            </w:r>
            <w:r w:rsidR="00DC6E54">
              <w:rPr>
                <w:rFonts w:ascii="Calibri" w:eastAsia="Times New Roman" w:hAnsi="Calibri" w:cs="Times New Roman"/>
                <w:color w:val="000000"/>
                <w:lang w:eastAsia="it-IT"/>
              </w:rPr>
              <w:instrText xml:space="preserve"> ADDIN ZOTERO_ITEM CSL_CITATION {"citationID":"2bs71fipa3","properties":{"formattedCitation":"{\\rtf \\super 36,39\\nosupersub{}}","plainCitation":"36,39"},"citationItems":[{"id":59,"uris":["http://zotero.org/users/local/rZ3AHC6s/items/9C4V5724"],"uri":["http://zotero.org/users/local/rZ3AHC6s/items/9C4V5724"],"itemData":{"id":59,"type":"article-journal","title":"Equilibriums and proton transfer in the bisulfate-sulfate system","container-title":"The Journal of Physical Chemistry","page":"3796-3801","volume":"74","issue":"21","DOI":"10.1021/j100715a014","ISSN":"0022-3654","journalAbbreviation":"J. Phys. Chem.","author":[{"family":"Irish","given":"Donald E."},{"family":"Chen","given":"H."}],"issued":{"date-parts":[["1970",10,1]]},"accessed":{"date-parts":[["2015",2,16]]}}},{"id":61,"uris":["http://zotero.org/users/local/rZ3AHC6s/items/I88XNZ54"],"uri":["http://zotero.org/users/local/rZ3AHC6s/items/I88XNZ54"],"itemData":{"id":61,"type":"article-journal","title":"Dimerization of aquadioxovanadium(V) ion in concentrated perchloric and sulfuric acid media","container-title":"Inorganic Chemistry","page":"469-476","volume":"23","issue":"4","DOI":"10.1021/ic00172a019","ISSN":"0020-1669","journalAbbreviation":"Inorg. Chem.","author":[{"family":"Madic","given":"C."},{"family":"Begun","given":"G. M."},{"family":"Hahn","given":"R. L."},{"family":"Launay","given":"J. P."},{"family":"Thiessen","given":"W. E."}],"issued":{"date-parts":[["1984",2,1]]},"accessed":{"date-parts":[["2015",2,16]]}}}],"schema":"https://github.com/citation-style-language/schema/raw/master/csl-citation.json"} </w:instrText>
            </w:r>
            <w:r>
              <w:rPr>
                <w:rFonts w:ascii="Calibri" w:eastAsia="Times New Roman" w:hAnsi="Calibri" w:cs="Times New Roman"/>
                <w:color w:val="000000"/>
                <w:lang w:eastAsia="it-IT"/>
              </w:rPr>
              <w:fldChar w:fldCharType="separate"/>
            </w:r>
            <w:r w:rsidR="00DC6E54" w:rsidRPr="00DC6E54">
              <w:rPr>
                <w:rFonts w:ascii="Calibri" w:hAnsi="Calibri" w:cs="Times New Roman"/>
                <w:szCs w:val="24"/>
                <w:vertAlign w:val="superscript"/>
              </w:rPr>
              <w:t>36,39</w:t>
            </w:r>
            <w:r>
              <w:rPr>
                <w:rFonts w:ascii="Calibri" w:eastAsia="Times New Roman" w:hAnsi="Calibri" w:cs="Times New Roman"/>
                <w:color w:val="000000"/>
                <w:lang w:eastAsia="it-IT"/>
              </w:rPr>
              <w:fldChar w:fldCharType="end"/>
            </w:r>
          </w:p>
        </w:tc>
      </w:tr>
      <w:tr w:rsidR="00A23F27" w:rsidRPr="00AC0E65" w14:paraId="0D3130EE" w14:textId="77777777" w:rsidTr="00B4339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 w:type="pct"/>
            <w:noWrap/>
            <w:hideMark/>
          </w:tcPr>
          <w:p w14:paraId="01BEF3E3" w14:textId="77777777" w:rsidR="00A23F27" w:rsidRPr="00AC0E65" w:rsidRDefault="00A23F27" w:rsidP="00055CFD">
            <w:pPr>
              <w:spacing w:line="480" w:lineRule="auto"/>
              <w:jc w:val="right"/>
              <w:rPr>
                <w:rFonts w:ascii="Calibri" w:eastAsia="Times New Roman" w:hAnsi="Calibri" w:cs="Times New Roman"/>
                <w:color w:val="000000"/>
                <w:lang w:eastAsia="it-IT"/>
              </w:rPr>
            </w:pPr>
            <w:r w:rsidRPr="00AC0E65">
              <w:rPr>
                <w:rFonts w:ascii="Calibri" w:eastAsia="Times New Roman" w:hAnsi="Calibri" w:cs="Times New Roman"/>
                <w:color w:val="000000"/>
                <w:lang w:eastAsia="it-IT"/>
              </w:rPr>
              <w:t>6</w:t>
            </w:r>
          </w:p>
        </w:tc>
        <w:tc>
          <w:tcPr>
            <w:tcW w:w="818" w:type="pct"/>
            <w:noWrap/>
            <w:hideMark/>
          </w:tcPr>
          <w:p w14:paraId="159EFCD8" w14:textId="77777777" w:rsidR="00A23F27" w:rsidRPr="005A3FCD" w:rsidRDefault="00A23F27" w:rsidP="00055CFD">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it-IT"/>
              </w:rPr>
            </w:pPr>
            <w:r w:rsidRPr="005A3FCD">
              <w:rPr>
                <w:rFonts w:ascii="Calibri" w:eastAsia="Times New Roman" w:hAnsi="Calibri" w:cs="Times New Roman"/>
                <w:lang w:eastAsia="it-IT"/>
              </w:rPr>
              <w:t>899-908</w:t>
            </w:r>
          </w:p>
        </w:tc>
        <w:tc>
          <w:tcPr>
            <w:tcW w:w="3003" w:type="pct"/>
          </w:tcPr>
          <w:p w14:paraId="0F56B8D9" w14:textId="77777777" w:rsidR="00A23F27" w:rsidRPr="00AC0E65" w:rsidRDefault="00A23F27" w:rsidP="00055CFD">
            <w:pPr>
              <w:spacing w:line="480" w:lineRule="auto"/>
              <w:jc w:val="center"/>
              <w:cnfStyle w:val="000000100000" w:firstRow="0" w:lastRow="0" w:firstColumn="0" w:lastColumn="0" w:oddVBand="0" w:evenVBand="0" w:oddHBand="1" w:evenHBand="0" w:firstRowFirstColumn="0" w:firstRowLastColumn="0" w:lastRowFirstColumn="0" w:lastRowLastColumn="0"/>
            </w:pPr>
            <m:oMath>
              <m:r>
                <w:rPr>
                  <w:rFonts w:ascii="Cambria Math" w:hAnsi="Cambria Math"/>
                </w:rPr>
                <m:t>HS</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m:t>
                  </m:r>
                </m:sup>
              </m:sSubSup>
              <m:r>
                <w:rPr>
                  <w:rFonts w:ascii="Cambria Math" w:hAnsi="Cambria Math"/>
                </w:rPr>
                <m:t xml:space="preserve"> </m:t>
              </m:r>
            </m:oMath>
            <w:r w:rsidRPr="00AC0E65">
              <w:rPr>
                <w:rFonts w:eastAsiaTheme="minorEastAsia"/>
              </w:rPr>
              <w:t>symmetrical stretch of S-OH (902 cm</w:t>
            </w:r>
            <w:r w:rsidRPr="00AC0E65">
              <w:rPr>
                <w:rFonts w:eastAsiaTheme="minorEastAsia"/>
                <w:vertAlign w:val="superscript"/>
              </w:rPr>
              <w:t>-1</w:t>
            </w:r>
            <w:r w:rsidRPr="00AC0E65">
              <w:rPr>
                <w:rFonts w:eastAsiaTheme="minorEastAsia"/>
              </w:rPr>
              <w:t>)</w:t>
            </w:r>
            <w:r>
              <w:rPr>
                <w:rFonts w:eastAsiaTheme="minorEastAsia"/>
              </w:rPr>
              <w:t xml:space="preserve"> and </w:t>
            </w:r>
            <m:oMath>
              <m:r>
                <w:rPr>
                  <w:rFonts w:ascii="Cambria Math" w:hAnsi="Cambria Math"/>
                </w:rPr>
                <m:t>V</m:t>
              </m:r>
              <m:sSub>
                <m:sSubPr>
                  <m:ctrlPr>
                    <w:rPr>
                      <w:rFonts w:ascii="Cambria Math" w:hAnsi="Cambria Math"/>
                      <w:i/>
                    </w:rPr>
                  </m:ctrlPr>
                </m:sSubPr>
                <m:e>
                  <m:r>
                    <w:rPr>
                      <w:rFonts w:ascii="Cambria Math" w:hAnsi="Cambria Math"/>
                    </w:rPr>
                    <m:t>O</m:t>
                  </m:r>
                </m:e>
                <m:sub>
                  <m:r>
                    <w:rPr>
                      <w:rFonts w:ascii="Cambria Math" w:hAnsi="Cambria Math"/>
                    </w:rPr>
                    <m:t>2</m:t>
                  </m:r>
                </m:sub>
              </m:sSub>
              <m:sSubSup>
                <m:sSubSupPr>
                  <m:ctrlPr>
                    <w:rPr>
                      <w:rFonts w:ascii="Cambria Math" w:hAnsi="Cambria Math"/>
                      <w:i/>
                    </w:rPr>
                  </m:ctrlPr>
                </m:sSubSupPr>
                <m:e>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e>
                  </m:d>
                </m:e>
                <m:sub>
                  <m:r>
                    <w:rPr>
                      <w:rFonts w:ascii="Cambria Math" w:hAnsi="Cambria Math"/>
                    </w:rPr>
                    <m:t>4</m:t>
                  </m:r>
                </m:sub>
                <m:sup>
                  <m:r>
                    <w:rPr>
                      <w:rFonts w:ascii="Cambria Math" w:hAnsi="Cambria Math"/>
                    </w:rPr>
                    <m:t>+</m:t>
                  </m:r>
                </m:sup>
              </m:sSubSup>
            </m:oMath>
            <w:r>
              <w:t xml:space="preserve"> </w:t>
            </w:r>
            <w:proofErr w:type="spellStart"/>
            <w:r w:rsidRPr="00AC0E65">
              <w:rPr>
                <w:rFonts w:eastAsiaTheme="minorEastAsia"/>
              </w:rPr>
              <w:t>antisymmetrical</w:t>
            </w:r>
            <w:proofErr w:type="spellEnd"/>
            <w:r w:rsidRPr="00AC0E65">
              <w:rPr>
                <w:rFonts w:eastAsiaTheme="minorEastAsia"/>
              </w:rPr>
              <w:t xml:space="preserve"> stretching (917 cm</w:t>
            </w:r>
            <w:r w:rsidRPr="00AC0E65">
              <w:rPr>
                <w:rFonts w:eastAsiaTheme="minorEastAsia"/>
                <w:vertAlign w:val="superscript"/>
              </w:rPr>
              <w:t>-1</w:t>
            </w:r>
            <w:r w:rsidRPr="00AC0E65">
              <w:rPr>
                <w:rFonts w:eastAsiaTheme="minorEastAsia"/>
              </w:rPr>
              <w:t>)</w:t>
            </w:r>
          </w:p>
        </w:tc>
        <w:tc>
          <w:tcPr>
            <w:tcW w:w="1004" w:type="pct"/>
          </w:tcPr>
          <w:p w14:paraId="0CFE272A" w14:textId="17928A2A" w:rsidR="00A23F27" w:rsidRPr="00AC0E65" w:rsidRDefault="00B4339B" w:rsidP="00055CFD">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it-IT"/>
              </w:rPr>
            </w:pPr>
            <w:r>
              <w:rPr>
                <w:rFonts w:ascii="Calibri" w:eastAsia="Times New Roman" w:hAnsi="Calibri" w:cs="Times New Roman"/>
                <w:color w:val="000000"/>
                <w:lang w:eastAsia="it-IT"/>
              </w:rPr>
              <w:fldChar w:fldCharType="begin"/>
            </w:r>
            <w:r w:rsidR="00DC6E54">
              <w:rPr>
                <w:rFonts w:ascii="Calibri" w:eastAsia="Times New Roman" w:hAnsi="Calibri" w:cs="Times New Roman"/>
                <w:color w:val="000000"/>
                <w:lang w:eastAsia="it-IT"/>
              </w:rPr>
              <w:instrText xml:space="preserve"> ADDIN ZOTERO_ITEM CSL_CITATION {"citationID":"2m9iapff8o","properties":{"formattedCitation":"{\\rtf \\super 39\\nosupersub{}}","plainCitation":"39"},"citationItems":[{"id":61,"uris":["http://zotero.org/users/local/rZ3AHC6s/items/I88XNZ54"],"uri":["http://zotero.org/users/local/rZ3AHC6s/items/I88XNZ54"],"itemData":{"id":61,"type":"article-journal","title":"Dimerization of aquadioxovanadium(V) ion in concentrated perchloric and sulfuric acid media","container-title":"Inorganic Chemistry","page":"469-476","volume":"23","issue":"4","DOI":"10.1021/ic00172a019","ISSN":"0020-1669","journalAbbreviation":"Inorg. Chem.","author":[{"family":"Madic","given":"C."},{"family":"Begun","given":"G. M."},{"family":"Hahn","given":"R. L."},{"family":"Launay","given":"J. P."},{"family":"Thiessen","given":"W. E."}],"issued":{"date-parts":[["1984",2,1]]},"accessed":{"date-parts":[["2015",2,16]]}}}],"schema":"https://github.com/citation-style-language/schema/raw/master/csl-citation.json"} </w:instrText>
            </w:r>
            <w:r>
              <w:rPr>
                <w:rFonts w:ascii="Calibri" w:eastAsia="Times New Roman" w:hAnsi="Calibri" w:cs="Times New Roman"/>
                <w:color w:val="000000"/>
                <w:lang w:eastAsia="it-IT"/>
              </w:rPr>
              <w:fldChar w:fldCharType="separate"/>
            </w:r>
            <w:r w:rsidR="00DC6E54" w:rsidRPr="00DC6E54">
              <w:rPr>
                <w:rFonts w:ascii="Calibri" w:hAnsi="Calibri" w:cs="Times New Roman"/>
                <w:szCs w:val="24"/>
                <w:vertAlign w:val="superscript"/>
              </w:rPr>
              <w:t>39</w:t>
            </w:r>
            <w:r>
              <w:rPr>
                <w:rFonts w:ascii="Calibri" w:eastAsia="Times New Roman" w:hAnsi="Calibri" w:cs="Times New Roman"/>
                <w:color w:val="000000"/>
                <w:lang w:eastAsia="it-IT"/>
              </w:rPr>
              <w:fldChar w:fldCharType="end"/>
            </w:r>
          </w:p>
        </w:tc>
      </w:tr>
      <w:tr w:rsidR="00A23F27" w:rsidRPr="00AC0E65" w14:paraId="6EA6BF24" w14:textId="77777777" w:rsidTr="00B4339B">
        <w:trPr>
          <w:trHeight w:val="300"/>
        </w:trPr>
        <w:tc>
          <w:tcPr>
            <w:cnfStyle w:val="001000000000" w:firstRow="0" w:lastRow="0" w:firstColumn="1" w:lastColumn="0" w:oddVBand="0" w:evenVBand="0" w:oddHBand="0" w:evenHBand="0" w:firstRowFirstColumn="0" w:firstRowLastColumn="0" w:lastRowFirstColumn="0" w:lastRowLastColumn="0"/>
            <w:tcW w:w="175" w:type="pct"/>
            <w:noWrap/>
            <w:hideMark/>
          </w:tcPr>
          <w:p w14:paraId="332ED68E" w14:textId="77777777" w:rsidR="00A23F27" w:rsidRPr="00AC0E65" w:rsidRDefault="00A23F27" w:rsidP="00055CFD">
            <w:pPr>
              <w:spacing w:line="480" w:lineRule="auto"/>
              <w:jc w:val="right"/>
              <w:rPr>
                <w:rFonts w:ascii="Calibri" w:eastAsia="Times New Roman" w:hAnsi="Calibri" w:cs="Times New Roman"/>
                <w:color w:val="000000"/>
                <w:lang w:eastAsia="it-IT"/>
              </w:rPr>
            </w:pPr>
            <w:r w:rsidRPr="00AC0E65">
              <w:rPr>
                <w:rFonts w:ascii="Calibri" w:eastAsia="Times New Roman" w:hAnsi="Calibri" w:cs="Times New Roman"/>
                <w:color w:val="000000"/>
                <w:lang w:eastAsia="it-IT"/>
              </w:rPr>
              <w:t>7</w:t>
            </w:r>
          </w:p>
        </w:tc>
        <w:tc>
          <w:tcPr>
            <w:tcW w:w="818" w:type="pct"/>
            <w:noWrap/>
            <w:hideMark/>
          </w:tcPr>
          <w:p w14:paraId="26E9D2FD" w14:textId="77777777" w:rsidR="00A23F27" w:rsidRPr="005A3FCD" w:rsidRDefault="00A23F27" w:rsidP="00055CFD">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it-IT"/>
              </w:rPr>
            </w:pPr>
            <w:r w:rsidRPr="005A3FCD">
              <w:rPr>
                <w:rFonts w:ascii="Calibri" w:eastAsia="Times New Roman" w:hAnsi="Calibri" w:cs="Times New Roman"/>
                <w:lang w:eastAsia="it-IT"/>
              </w:rPr>
              <w:t>985-993</w:t>
            </w:r>
          </w:p>
        </w:tc>
        <w:tc>
          <w:tcPr>
            <w:tcW w:w="3003" w:type="pct"/>
          </w:tcPr>
          <w:p w14:paraId="734FFFBC" w14:textId="77777777" w:rsidR="00A23F27" w:rsidRPr="00AC0E65" w:rsidRDefault="00A23F27" w:rsidP="00055CFD">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it-IT"/>
              </w:rPr>
            </w:pPr>
            <w:r w:rsidRPr="00AC0E65">
              <w:rPr>
                <w:rFonts w:ascii="Calibri" w:eastAsia="Times New Roman" w:hAnsi="Calibri" w:cs="Times New Roman"/>
                <w:color w:val="000000"/>
                <w:lang w:eastAsia="it-IT"/>
              </w:rPr>
              <w:t>V=O</w:t>
            </w:r>
            <w:r>
              <w:rPr>
                <w:rFonts w:ascii="Calibri" w:eastAsia="Times New Roman" w:hAnsi="Calibri" w:cs="Times New Roman"/>
                <w:color w:val="000000"/>
                <w:lang w:eastAsia="it-IT"/>
              </w:rPr>
              <w:t xml:space="preserve"> (terminal)</w:t>
            </w:r>
          </w:p>
        </w:tc>
        <w:tc>
          <w:tcPr>
            <w:tcW w:w="1004" w:type="pct"/>
          </w:tcPr>
          <w:p w14:paraId="5F12C89B" w14:textId="3DC02ADD" w:rsidR="00A23F27" w:rsidRPr="00AC0E65" w:rsidRDefault="00B4339B" w:rsidP="00055CFD">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it-IT"/>
              </w:rPr>
            </w:pPr>
            <w:r>
              <w:rPr>
                <w:rFonts w:ascii="Calibri" w:eastAsia="Times New Roman" w:hAnsi="Calibri" w:cs="Times New Roman"/>
                <w:color w:val="000000"/>
                <w:lang w:eastAsia="it-IT"/>
              </w:rPr>
              <w:fldChar w:fldCharType="begin"/>
            </w:r>
            <w:r w:rsidR="00DC6E54">
              <w:rPr>
                <w:rFonts w:ascii="Calibri" w:eastAsia="Times New Roman" w:hAnsi="Calibri" w:cs="Times New Roman"/>
                <w:color w:val="000000"/>
                <w:lang w:eastAsia="it-IT"/>
              </w:rPr>
              <w:instrText xml:space="preserve"> ADDIN ZOTERO_ITEM CSL_CITATION {"citationID":"2l87b9sdli","properties":{"formattedCitation":"{\\rtf \\super 38\\nosupersub{}}","plainCitation":"38"},"citationItems":[{"id":39,"uris":["http://zotero.org/users/local/rZ3AHC6s/items/5F748GU2"],"uri":["http://zotero.org/users/local/rZ3AHC6s/items/5F748GU2"],"itemData":{"id":39,"type":"article-journal","title":"Raman spectroscopy studies of concentrated vanadium redox battery positive electrolytes","container-title":"Journal of Applied Electrochemistry","page":"1327-1332","volume":"31","issue":"12","DOI":"10.1023/A:1013870624722","ISSN":"0021-891X","journalAbbreviation":"Journal of Applied Electrochemistry","language":"English","author":[{"family":"Kausar","given":"N."},{"family":"Howe","given":"R."},{"family":"Skyllas-Kazacos","given":"M."}],"issued":{"date-parts":[["2001",12,1]]}}}],"schema":"https://github.com/citation-style-language/schema/raw/master/csl-citation.json"} </w:instrText>
            </w:r>
            <w:r>
              <w:rPr>
                <w:rFonts w:ascii="Calibri" w:eastAsia="Times New Roman" w:hAnsi="Calibri" w:cs="Times New Roman"/>
                <w:color w:val="000000"/>
                <w:lang w:eastAsia="it-IT"/>
              </w:rPr>
              <w:fldChar w:fldCharType="separate"/>
            </w:r>
            <w:r w:rsidR="00DC6E54" w:rsidRPr="00DC6E54">
              <w:rPr>
                <w:rFonts w:ascii="Calibri" w:hAnsi="Calibri" w:cs="Times New Roman"/>
                <w:szCs w:val="24"/>
                <w:vertAlign w:val="superscript"/>
              </w:rPr>
              <w:t>38</w:t>
            </w:r>
            <w:r>
              <w:rPr>
                <w:rFonts w:ascii="Calibri" w:eastAsia="Times New Roman" w:hAnsi="Calibri" w:cs="Times New Roman"/>
                <w:color w:val="000000"/>
                <w:lang w:eastAsia="it-IT"/>
              </w:rPr>
              <w:fldChar w:fldCharType="end"/>
            </w:r>
          </w:p>
        </w:tc>
      </w:tr>
      <w:tr w:rsidR="00A23F27" w:rsidRPr="00AC0E65" w14:paraId="1E4B20DA" w14:textId="77777777" w:rsidTr="00B4339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 w:type="pct"/>
            <w:noWrap/>
            <w:hideMark/>
          </w:tcPr>
          <w:p w14:paraId="0DFFCA4F" w14:textId="77777777" w:rsidR="00A23F27" w:rsidRPr="00AC0E65" w:rsidRDefault="00A23F27" w:rsidP="00055CFD">
            <w:pPr>
              <w:spacing w:line="480" w:lineRule="auto"/>
              <w:jc w:val="right"/>
              <w:rPr>
                <w:rFonts w:ascii="Calibri" w:eastAsia="Times New Roman" w:hAnsi="Calibri" w:cs="Times New Roman"/>
                <w:color w:val="000000"/>
                <w:lang w:eastAsia="it-IT"/>
              </w:rPr>
            </w:pPr>
            <w:r w:rsidRPr="00AC0E65">
              <w:rPr>
                <w:rFonts w:ascii="Calibri" w:eastAsia="Times New Roman" w:hAnsi="Calibri" w:cs="Times New Roman"/>
                <w:color w:val="000000"/>
                <w:lang w:eastAsia="it-IT"/>
              </w:rPr>
              <w:t>8</w:t>
            </w:r>
          </w:p>
        </w:tc>
        <w:tc>
          <w:tcPr>
            <w:tcW w:w="818" w:type="pct"/>
            <w:noWrap/>
            <w:hideMark/>
          </w:tcPr>
          <w:p w14:paraId="2900E07D" w14:textId="77777777" w:rsidR="00A23F27" w:rsidRPr="005A3FCD" w:rsidRDefault="00A23F27" w:rsidP="00055CFD">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it-IT"/>
              </w:rPr>
            </w:pPr>
            <w:r w:rsidRPr="005A3FCD">
              <w:rPr>
                <w:rFonts w:ascii="Calibri" w:eastAsia="Times New Roman" w:hAnsi="Calibri" w:cs="Times New Roman"/>
                <w:lang w:eastAsia="it-IT"/>
              </w:rPr>
              <w:t>1044-1047</w:t>
            </w:r>
          </w:p>
        </w:tc>
        <w:tc>
          <w:tcPr>
            <w:tcW w:w="3003" w:type="pct"/>
          </w:tcPr>
          <w:p w14:paraId="21B0E032" w14:textId="77777777" w:rsidR="00A23F27" w:rsidRPr="00AC0E65" w:rsidRDefault="00A23F27" w:rsidP="00055CFD">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it-IT"/>
              </w:rPr>
            </w:pPr>
            <m:oMath>
              <m:r>
                <w:rPr>
                  <w:rFonts w:ascii="Cambria Math" w:hAnsi="Cambria Math"/>
                </w:rPr>
                <m:t>HS</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m:t>
                  </m:r>
                </m:sup>
              </m:sSubSup>
              <m:r>
                <w:rPr>
                  <w:rFonts w:ascii="Cambria Math" w:hAnsi="Cambria Math"/>
                </w:rPr>
                <m:t xml:space="preserve"> </m:t>
              </m:r>
            </m:oMath>
            <w:r w:rsidRPr="00AC0E65">
              <w:rPr>
                <w:rFonts w:ascii="Calibri" w:eastAsia="Times New Roman" w:hAnsi="Calibri" w:cs="Times New Roman"/>
                <w:color w:val="000000"/>
                <w:lang w:eastAsia="it-IT"/>
              </w:rPr>
              <w:t>(SO</w:t>
            </w:r>
            <w:r w:rsidRPr="00AC0E65">
              <w:rPr>
                <w:rFonts w:ascii="Calibri" w:eastAsia="Times New Roman" w:hAnsi="Calibri" w:cs="Times New Roman"/>
                <w:color w:val="000000"/>
                <w:vertAlign w:val="subscript"/>
                <w:lang w:eastAsia="it-IT"/>
              </w:rPr>
              <w:t>3</w:t>
            </w:r>
            <w:r w:rsidRPr="00AC0E65">
              <w:rPr>
                <w:rFonts w:ascii="Calibri" w:eastAsia="Times New Roman" w:hAnsi="Calibri" w:cs="Times New Roman"/>
                <w:color w:val="000000"/>
                <w:lang w:eastAsia="it-IT"/>
              </w:rPr>
              <w:t xml:space="preserve"> sy</w:t>
            </w:r>
            <w:r>
              <w:rPr>
                <w:rFonts w:ascii="Calibri" w:eastAsia="Times New Roman" w:hAnsi="Calibri" w:cs="Times New Roman"/>
                <w:color w:val="000000"/>
                <w:lang w:eastAsia="it-IT"/>
              </w:rPr>
              <w:t>m</w:t>
            </w:r>
            <w:r w:rsidRPr="00AC0E65">
              <w:rPr>
                <w:rFonts w:ascii="Calibri" w:eastAsia="Times New Roman" w:hAnsi="Calibri" w:cs="Times New Roman"/>
                <w:color w:val="000000"/>
                <w:lang w:eastAsia="it-IT"/>
              </w:rPr>
              <w:t>metrical stretch)</w:t>
            </w:r>
          </w:p>
        </w:tc>
        <w:tc>
          <w:tcPr>
            <w:tcW w:w="1004" w:type="pct"/>
          </w:tcPr>
          <w:p w14:paraId="1995AE44" w14:textId="5FB58844" w:rsidR="00A23F27" w:rsidRPr="00AC0E65" w:rsidRDefault="00B4339B" w:rsidP="00055CFD">
            <w:pPr>
              <w:spacing w:line="48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it-IT"/>
              </w:rPr>
            </w:pPr>
            <w:r>
              <w:rPr>
                <w:rFonts w:ascii="Calibri" w:eastAsia="Times New Roman" w:hAnsi="Calibri" w:cs="Times New Roman"/>
                <w:color w:val="000000"/>
                <w:lang w:eastAsia="it-IT"/>
              </w:rPr>
              <w:fldChar w:fldCharType="begin"/>
            </w:r>
            <w:r w:rsidR="00DC6E54">
              <w:rPr>
                <w:rFonts w:ascii="Calibri" w:eastAsia="Times New Roman" w:hAnsi="Calibri" w:cs="Times New Roman"/>
                <w:color w:val="000000"/>
                <w:lang w:eastAsia="it-IT"/>
              </w:rPr>
              <w:instrText xml:space="preserve"> ADDIN ZOTERO_ITEM CSL_CITATION {"citationID":"bbm2ud4uf","properties":{"formattedCitation":"{\\rtf \\super 36,38\\nosupersub{}}","plainCitation":"36,38"},"citationItems":[{"id":39,"uris":["http://zotero.org/users/local/rZ3AHC6s/items/5F748GU2"],"uri":["http://zotero.org/users/local/rZ3AHC6s/items/5F748GU2"],"itemData":{"id":39,"type":"article-journal","title":"Raman spectroscopy studies of concentrated vanadium redox battery positive electrolytes","container-title":"Journal of Applied Electrochemistry","page":"1327-1332","volume":"31","issue":"12","DOI":"10.1023/A:1013870624722","ISSN":"0021-891X","journalAbbreviation":"Journal of Applied Electrochemistry","language":"English","author":[{"family":"Kausar","given":"N."},{"family":"Howe","given":"R."},{"family":"Skyllas-Kazacos","given":"M."}],"issued":{"date-parts":[["2001",12,1]]}}},{"id":59,"uris":["http://zotero.org/users/local/rZ3AHC6s/items/9C4V5724"],"uri":["http://zotero.org/users/local/rZ3AHC6s/items/9C4V5724"],"itemData":{"id":59,"type":"article-journal","title":"Equilibriums and proton transfer in the bisulfate-sulfate system","container-title":"The Journal of Physical Chemistry","page":"3796-3801","volume":"74","issue":"21","DOI":"10.1021/j100715a014","ISSN":"0022-3654","journalAbbreviation":"J. Phys. Chem.","author":[{"family":"Irish","given":"Donald E."},{"family":"Chen","given":"H."}],"issued":{"date-parts":[["1970",10,1]]},"accessed":{"date-parts":[["2015",2,16]]}}}],"schema":"https://github.com/citation-style-language/schema/raw/master/csl-citation.json"} </w:instrText>
            </w:r>
            <w:r>
              <w:rPr>
                <w:rFonts w:ascii="Calibri" w:eastAsia="Times New Roman" w:hAnsi="Calibri" w:cs="Times New Roman"/>
                <w:color w:val="000000"/>
                <w:lang w:eastAsia="it-IT"/>
              </w:rPr>
              <w:fldChar w:fldCharType="separate"/>
            </w:r>
            <w:r w:rsidR="00DC6E54" w:rsidRPr="00DC6E54">
              <w:rPr>
                <w:rFonts w:ascii="Calibri" w:hAnsi="Calibri" w:cs="Times New Roman"/>
                <w:szCs w:val="24"/>
                <w:vertAlign w:val="superscript"/>
              </w:rPr>
              <w:t>36,38</w:t>
            </w:r>
            <w:r>
              <w:rPr>
                <w:rFonts w:ascii="Calibri" w:eastAsia="Times New Roman" w:hAnsi="Calibri" w:cs="Times New Roman"/>
                <w:color w:val="000000"/>
                <w:lang w:eastAsia="it-IT"/>
              </w:rPr>
              <w:fldChar w:fldCharType="end"/>
            </w:r>
          </w:p>
        </w:tc>
      </w:tr>
      <w:tr w:rsidR="00A23F27" w:rsidRPr="00AC0E65" w14:paraId="34EE3C44" w14:textId="77777777" w:rsidTr="00B4339B">
        <w:trPr>
          <w:trHeight w:val="300"/>
        </w:trPr>
        <w:tc>
          <w:tcPr>
            <w:cnfStyle w:val="001000000000" w:firstRow="0" w:lastRow="0" w:firstColumn="1" w:lastColumn="0" w:oddVBand="0" w:evenVBand="0" w:oddHBand="0" w:evenHBand="0" w:firstRowFirstColumn="0" w:firstRowLastColumn="0" w:lastRowFirstColumn="0" w:lastRowLastColumn="0"/>
            <w:tcW w:w="175" w:type="pct"/>
            <w:noWrap/>
            <w:hideMark/>
          </w:tcPr>
          <w:p w14:paraId="4337FCDF" w14:textId="77777777" w:rsidR="00A23F27" w:rsidRPr="00AC0E65" w:rsidRDefault="00A23F27" w:rsidP="00055CFD">
            <w:pPr>
              <w:spacing w:line="480" w:lineRule="auto"/>
              <w:jc w:val="right"/>
              <w:rPr>
                <w:rFonts w:ascii="Calibri" w:eastAsia="Times New Roman" w:hAnsi="Calibri" w:cs="Times New Roman"/>
                <w:color w:val="000000"/>
                <w:lang w:eastAsia="it-IT"/>
              </w:rPr>
            </w:pPr>
            <w:r w:rsidRPr="00AC0E65">
              <w:rPr>
                <w:rFonts w:ascii="Calibri" w:eastAsia="Times New Roman" w:hAnsi="Calibri" w:cs="Times New Roman"/>
                <w:color w:val="000000"/>
                <w:lang w:eastAsia="it-IT"/>
              </w:rPr>
              <w:t>9</w:t>
            </w:r>
          </w:p>
        </w:tc>
        <w:tc>
          <w:tcPr>
            <w:tcW w:w="818" w:type="pct"/>
            <w:noWrap/>
            <w:hideMark/>
          </w:tcPr>
          <w:p w14:paraId="55ECE142" w14:textId="77777777" w:rsidR="00A23F27" w:rsidRPr="005A3FCD" w:rsidRDefault="00A23F27" w:rsidP="00055CFD">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it-IT"/>
              </w:rPr>
            </w:pPr>
            <w:r w:rsidRPr="005A3FCD">
              <w:rPr>
                <w:rFonts w:ascii="Calibri" w:eastAsia="Times New Roman" w:hAnsi="Calibri" w:cs="Times New Roman"/>
                <w:lang w:eastAsia="it-IT"/>
              </w:rPr>
              <w:t>11</w:t>
            </w:r>
            <w:r>
              <w:rPr>
                <w:rFonts w:ascii="Calibri" w:eastAsia="Times New Roman" w:hAnsi="Calibri" w:cs="Times New Roman"/>
                <w:lang w:eastAsia="it-IT"/>
              </w:rPr>
              <w:t>7</w:t>
            </w:r>
            <w:r w:rsidRPr="005A3FCD">
              <w:rPr>
                <w:rFonts w:ascii="Calibri" w:eastAsia="Times New Roman" w:hAnsi="Calibri" w:cs="Times New Roman"/>
                <w:lang w:eastAsia="it-IT"/>
              </w:rPr>
              <w:t>4-1218</w:t>
            </w:r>
          </w:p>
        </w:tc>
        <w:tc>
          <w:tcPr>
            <w:tcW w:w="3003" w:type="pct"/>
          </w:tcPr>
          <w:p w14:paraId="7B8A908B" w14:textId="77777777" w:rsidR="00A23F27" w:rsidRPr="005A3FCD" w:rsidRDefault="00056C85" w:rsidP="00055CFD">
            <w:pPr>
              <w:spacing w:line="480" w:lineRule="auto"/>
              <w:jc w:val="center"/>
              <w:cnfStyle w:val="000000000000" w:firstRow="0" w:lastRow="0" w:firstColumn="0" w:lastColumn="0" w:oddVBand="0" w:evenVBand="0" w:oddHBand="0" w:evenHBand="0" w:firstRowFirstColumn="0" w:firstRowLastColumn="0" w:lastRowFirstColumn="0" w:lastRowLastColumn="0"/>
            </w:pPr>
            <m:oMath>
              <m:sSub>
                <m:sSubPr>
                  <m:ctrlPr>
                    <w:rPr>
                      <w:rFonts w:ascii="Cambria Math" w:hAnsi="Cambria Math"/>
                      <w:i/>
                    </w:rPr>
                  </m:ctrlPr>
                </m:sSubPr>
                <m:e>
                  <m:r>
                    <w:rPr>
                      <w:rFonts w:ascii="Cambria Math" w:hAnsi="Cambria Math"/>
                    </w:rPr>
                    <m:t>H</m:t>
                  </m:r>
                </m:e>
                <m:sub>
                  <m:r>
                    <w:rPr>
                      <w:rFonts w:ascii="Cambria Math" w:hAnsi="Cambria Math"/>
                    </w:rPr>
                    <m:t>3</m:t>
                  </m:r>
                </m:sub>
              </m:sSub>
              <m:sSup>
                <m:sSupPr>
                  <m:ctrlPr>
                    <w:rPr>
                      <w:rFonts w:ascii="Cambria Math" w:hAnsi="Cambria Math"/>
                      <w:i/>
                    </w:rPr>
                  </m:ctrlPr>
                </m:sSupPr>
                <m:e>
                  <m:r>
                    <w:rPr>
                      <w:rFonts w:ascii="Cambria Math" w:hAnsi="Cambria Math"/>
                    </w:rPr>
                    <m:t>O</m:t>
                  </m:r>
                </m:e>
                <m:sup>
                  <m:r>
                    <w:rPr>
                      <w:rFonts w:ascii="Cambria Math" w:hAnsi="Cambria Math"/>
                    </w:rPr>
                    <m:t>+</m:t>
                  </m:r>
                </m:sup>
              </m:sSup>
              <m:r>
                <w:rPr>
                  <w:rFonts w:ascii="Cambria Math" w:hAnsi="Cambria Math"/>
                </w:rPr>
                <m:t xml:space="preserve"> </m:t>
              </m:r>
            </m:oMath>
            <w:r w:rsidR="00A23F27" w:rsidRPr="00AC0E65">
              <w:rPr>
                <w:rFonts w:eastAsiaTheme="minorEastAsia"/>
              </w:rPr>
              <w:t>deformation</w:t>
            </w:r>
            <w:r w:rsidR="00A23F27">
              <w:rPr>
                <w:rFonts w:eastAsiaTheme="minorEastAsia"/>
              </w:rPr>
              <w:t xml:space="preserve">, </w:t>
            </w:r>
            <m:oMath>
              <m:r>
                <w:rPr>
                  <w:rFonts w:ascii="Cambria Math" w:hAnsi="Cambria Math"/>
                </w:rPr>
                <m:t>HS</m:t>
              </m:r>
              <m:sSubSup>
                <m:sSubSupPr>
                  <m:ctrlPr>
                    <w:rPr>
                      <w:rFonts w:ascii="Cambria Math" w:hAnsi="Cambria Math"/>
                      <w:i/>
                    </w:rPr>
                  </m:ctrlPr>
                </m:sSubSupPr>
                <m:e>
                  <m:r>
                    <w:rPr>
                      <w:rFonts w:ascii="Cambria Math" w:hAnsi="Cambria Math"/>
                    </w:rPr>
                    <m:t>O</m:t>
                  </m:r>
                </m:e>
                <m:sub>
                  <m:r>
                    <w:rPr>
                      <w:rFonts w:ascii="Cambria Math" w:hAnsi="Cambria Math"/>
                    </w:rPr>
                    <m:t>4</m:t>
                  </m:r>
                </m:sub>
                <m:sup>
                  <m:r>
                    <w:rPr>
                      <w:rFonts w:ascii="Cambria Math" w:hAnsi="Cambria Math"/>
                    </w:rPr>
                    <m:t>-</m:t>
                  </m:r>
                </m:sup>
              </m:sSubSup>
            </m:oMath>
            <w:r w:rsidR="00A23F27" w:rsidRPr="0039276A">
              <w:rPr>
                <w:rFonts w:eastAsiaTheme="minorEastAsia"/>
              </w:rPr>
              <w:t xml:space="preserve"> (1204 cm</w:t>
            </w:r>
            <w:r w:rsidR="00A23F27" w:rsidRPr="0039276A">
              <w:rPr>
                <w:rFonts w:eastAsiaTheme="minorEastAsia"/>
                <w:vertAlign w:val="superscript"/>
              </w:rPr>
              <w:t>-1</w:t>
            </w:r>
            <w:r w:rsidR="00A23F27" w:rsidRPr="0039276A">
              <w:t xml:space="preserve"> weak)</w:t>
            </w:r>
          </w:p>
        </w:tc>
        <w:tc>
          <w:tcPr>
            <w:tcW w:w="1004" w:type="pct"/>
          </w:tcPr>
          <w:p w14:paraId="0DD81019" w14:textId="6ADE1DD1" w:rsidR="00A23F27" w:rsidRPr="00AC0E65" w:rsidRDefault="00B4339B" w:rsidP="00055CFD">
            <w:pPr>
              <w:spacing w:line="48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it-IT"/>
              </w:rPr>
            </w:pPr>
            <w:r>
              <w:rPr>
                <w:rFonts w:ascii="Calibri" w:eastAsia="Times New Roman" w:hAnsi="Calibri" w:cs="Times New Roman"/>
                <w:color w:val="000000"/>
                <w:lang w:eastAsia="it-IT"/>
              </w:rPr>
              <w:fldChar w:fldCharType="begin"/>
            </w:r>
            <w:r w:rsidR="00DC6E54">
              <w:rPr>
                <w:rFonts w:ascii="Calibri" w:eastAsia="Times New Roman" w:hAnsi="Calibri" w:cs="Times New Roman"/>
                <w:color w:val="000000"/>
                <w:lang w:eastAsia="it-IT"/>
              </w:rPr>
              <w:instrText xml:space="preserve"> ADDIN ZOTERO_ITEM CSL_CITATION {"citationID":"2au14ar1jh","properties":{"formattedCitation":"{\\rtf \\super 36,38\\nosupersub{}}","plainCitation":"36,38"},"citationItems":[{"id":39,"uris":["http://zotero.org/users/local/rZ3AHC6s/items/5F748GU2"],"uri":["http://zotero.org/users/local/rZ3AHC6s/items/5F748GU2"],"itemData":{"id":39,"type":"article-journal","title":"Raman spectroscopy studies of concentrated vanadium redox battery positive electrolytes","container-title":"Journal of Applied Electrochemistry","page":"1327-1332","volume":"31","issue":"12","DOI":"10.1023/A:1013870624722","ISSN":"0021-891X","journalAbbreviation":"Journal of Applied Electrochemistry","language":"English","author":[{"family":"Kausar","given":"N."},{"family":"Howe","given":"R."},{"family":"Skyllas-Kazacos","given":"M."}],"issued":{"date-parts":[["2001",12,1]]}}},{"id":59,"uris":["http://zotero.org/users/local/rZ3AHC6s/items/9C4V5724"],"uri":["http://zotero.org/users/local/rZ3AHC6s/items/9C4V5724"],"itemData":{"id":59,"type":"article-journal","title":"Equilibriums and proton transfer in the bisulfate-sulfate system","container-title":"The Journal of Physical Chemistry","page":"3796-3801","volume":"74","issue":"21","DOI":"10.1021/j100715a014","ISSN":"0022-3654","journalAbbreviation":"J. Phys. Chem.","author":[{"family":"Irish","given":"Donald E."},{"family":"Chen","given":"H."}],"issued":{"date-parts":[["1970",10,1]]},"accessed":{"date-parts":[["2015",2,16]]}}}],"schema":"https://github.com/citation-style-language/schema/raw/master/csl-citation.json"} </w:instrText>
            </w:r>
            <w:r>
              <w:rPr>
                <w:rFonts w:ascii="Calibri" w:eastAsia="Times New Roman" w:hAnsi="Calibri" w:cs="Times New Roman"/>
                <w:color w:val="000000"/>
                <w:lang w:eastAsia="it-IT"/>
              </w:rPr>
              <w:fldChar w:fldCharType="separate"/>
            </w:r>
            <w:r w:rsidR="00DC6E54" w:rsidRPr="00DC6E54">
              <w:rPr>
                <w:rFonts w:ascii="Calibri" w:hAnsi="Calibri" w:cs="Times New Roman"/>
                <w:szCs w:val="24"/>
                <w:vertAlign w:val="superscript"/>
              </w:rPr>
              <w:t>36,38</w:t>
            </w:r>
            <w:r>
              <w:rPr>
                <w:rFonts w:ascii="Calibri" w:eastAsia="Times New Roman" w:hAnsi="Calibri" w:cs="Times New Roman"/>
                <w:color w:val="000000"/>
                <w:lang w:eastAsia="it-IT"/>
              </w:rPr>
              <w:fldChar w:fldCharType="end"/>
            </w:r>
          </w:p>
        </w:tc>
      </w:tr>
    </w:tbl>
    <w:p w14:paraId="33511609" w14:textId="77777777" w:rsidR="00A23F27" w:rsidRPr="00A23F27" w:rsidRDefault="00A23F27" w:rsidP="00055CFD">
      <w:pPr>
        <w:widowControl w:val="0"/>
        <w:autoSpaceDE w:val="0"/>
        <w:autoSpaceDN w:val="0"/>
        <w:adjustRightInd w:val="0"/>
        <w:spacing w:line="480" w:lineRule="auto"/>
      </w:pPr>
    </w:p>
    <w:p w14:paraId="7FFA1DDE" w14:textId="5B5B76D6" w:rsidR="00A75D60" w:rsidRDefault="0045001C" w:rsidP="00523E01">
      <w:pPr>
        <w:widowControl w:val="0"/>
        <w:autoSpaceDE w:val="0"/>
        <w:autoSpaceDN w:val="0"/>
        <w:adjustRightInd w:val="0"/>
        <w:spacing w:after="0" w:line="480" w:lineRule="auto"/>
      </w:pPr>
      <w:r>
        <w:rPr>
          <w:noProof/>
        </w:rPr>
        <w:lastRenderedPageBreak/>
        <w:drawing>
          <wp:inline distT="0" distB="0" distL="0" distR="0" wp14:anchorId="5EEAD6C4" wp14:editId="18D4C529">
            <wp:extent cx="5943600" cy="3843020"/>
            <wp:effectExtent l="0" t="0" r="0" b="50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cathode raman spectrum.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3843020"/>
                    </a:xfrm>
                    <a:prstGeom prst="rect">
                      <a:avLst/>
                    </a:prstGeom>
                  </pic:spPr>
                </pic:pic>
              </a:graphicData>
            </a:graphic>
          </wp:inline>
        </w:drawing>
      </w:r>
    </w:p>
    <w:p w14:paraId="4B3A8FAC" w14:textId="2EB7C348" w:rsidR="00576F62" w:rsidRPr="00CE4698" w:rsidRDefault="00523E01" w:rsidP="00523E01">
      <w:pPr>
        <w:widowControl w:val="0"/>
        <w:autoSpaceDE w:val="0"/>
        <w:autoSpaceDN w:val="0"/>
        <w:adjustRightInd w:val="0"/>
        <w:spacing w:after="0" w:line="480" w:lineRule="auto"/>
      </w:pPr>
      <w:r>
        <w:rPr>
          <w:b/>
        </w:rPr>
        <w:t>Figure 20</w:t>
      </w:r>
      <w:r>
        <w:t>: Raman s</w:t>
      </w:r>
      <w:r w:rsidR="00CE4698">
        <w:t>pectrum for the VO</w:t>
      </w:r>
      <w:r w:rsidR="00CE4698">
        <w:rPr>
          <w:vertAlign w:val="subscript"/>
        </w:rPr>
        <w:t>2</w:t>
      </w:r>
      <w:r w:rsidR="00CE4698">
        <w:rPr>
          <w:vertAlign w:val="superscript"/>
        </w:rPr>
        <w:t>+</w:t>
      </w:r>
      <w:r w:rsidR="00CE4698">
        <w:t>/VO</w:t>
      </w:r>
      <w:r w:rsidR="00CE4698">
        <w:rPr>
          <w:vertAlign w:val="superscript"/>
        </w:rPr>
        <w:t>2+</w:t>
      </w:r>
      <w:r w:rsidR="00CE4698">
        <w:t xml:space="preserve"> redox couple in sulfuric acid electrolyte as a function of state of charge. Prominent peak changes occur at approximately 440 cm</w:t>
      </w:r>
      <w:r w:rsidR="00CE4698">
        <w:rPr>
          <w:vertAlign w:val="superscript"/>
        </w:rPr>
        <w:t>-1</w:t>
      </w:r>
      <w:r w:rsidR="00CE4698">
        <w:t xml:space="preserve"> and 600 cm</w:t>
      </w:r>
      <w:r w:rsidR="00CE4698">
        <w:rPr>
          <w:vertAlign w:val="superscript"/>
        </w:rPr>
        <w:t>-1</w:t>
      </w:r>
      <w:r w:rsidR="00CE4698">
        <w:t xml:space="preserve">, both involving sulfate and bisulfate anions. This peak difference indicates that sulfate and bisulfate complexation with the </w:t>
      </w:r>
      <w:proofErr w:type="spellStart"/>
      <w:r w:rsidR="00CE4698">
        <w:t>oxo</w:t>
      </w:r>
      <w:proofErr w:type="spellEnd"/>
      <w:r w:rsidR="00CE4698">
        <w:t>-vanadium species in solution changes as a function of</w:t>
      </w:r>
      <w:r>
        <w:t xml:space="preserve"> state of</w:t>
      </w:r>
      <w:r w:rsidR="00CE4698">
        <w:t xml:space="preserve"> charge.</w:t>
      </w:r>
    </w:p>
    <w:p w14:paraId="39DC07E3" w14:textId="75C3D58A" w:rsidR="003E5139" w:rsidRDefault="00576F62" w:rsidP="00523E01">
      <w:pPr>
        <w:widowControl w:val="0"/>
        <w:autoSpaceDE w:val="0"/>
        <w:autoSpaceDN w:val="0"/>
        <w:adjustRightInd w:val="0"/>
        <w:spacing w:after="0" w:line="480" w:lineRule="auto"/>
      </w:pPr>
      <w:r>
        <w:rPr>
          <w:noProof/>
        </w:rPr>
        <w:lastRenderedPageBreak/>
        <w:drawing>
          <wp:inline distT="0" distB="0" distL="0" distR="0" wp14:anchorId="6AC39299" wp14:editId="10ABFEC6">
            <wp:extent cx="5943600" cy="383794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node raman spectrum.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3600" cy="3837940"/>
                    </a:xfrm>
                    <a:prstGeom prst="rect">
                      <a:avLst/>
                    </a:prstGeom>
                  </pic:spPr>
                </pic:pic>
              </a:graphicData>
            </a:graphic>
          </wp:inline>
        </w:drawing>
      </w:r>
    </w:p>
    <w:p w14:paraId="492758BF" w14:textId="6EB37607" w:rsidR="003E5139" w:rsidRPr="003E5139" w:rsidRDefault="00523E01" w:rsidP="00523E01">
      <w:pPr>
        <w:widowControl w:val="0"/>
        <w:autoSpaceDE w:val="0"/>
        <w:autoSpaceDN w:val="0"/>
        <w:adjustRightInd w:val="0"/>
        <w:spacing w:after="0" w:line="480" w:lineRule="auto"/>
      </w:pPr>
      <w:r>
        <w:rPr>
          <w:b/>
        </w:rPr>
        <w:t>Figure 21</w:t>
      </w:r>
      <w:r w:rsidR="003E5139">
        <w:rPr>
          <w:b/>
        </w:rPr>
        <w:t xml:space="preserve">: </w:t>
      </w:r>
      <w:r w:rsidR="003E5139">
        <w:t xml:space="preserve">Raman Spectrum for the </w:t>
      </w:r>
      <w:r w:rsidR="003E5139" w:rsidRPr="0006051A">
        <w:t>V</w:t>
      </w:r>
      <w:r w:rsidR="003E5139" w:rsidRPr="0006051A">
        <w:rPr>
          <w:vertAlign w:val="superscript"/>
        </w:rPr>
        <w:t>3</w:t>
      </w:r>
      <w:r w:rsidR="003E5139">
        <w:rPr>
          <w:vertAlign w:val="superscript"/>
        </w:rPr>
        <w:t>+</w:t>
      </w:r>
      <w:r w:rsidR="003E5139">
        <w:t>/V</w:t>
      </w:r>
      <w:r w:rsidR="003E5139">
        <w:rPr>
          <w:vertAlign w:val="superscript"/>
        </w:rPr>
        <w:t>2+</w:t>
      </w:r>
      <w:r w:rsidR="003E5139">
        <w:t xml:space="preserve"> redox couple. As observed at the cathode, the most prominent peak changes occur at 440 cm</w:t>
      </w:r>
      <w:r w:rsidR="003E5139">
        <w:rPr>
          <w:vertAlign w:val="superscript"/>
        </w:rPr>
        <w:t>-1</w:t>
      </w:r>
      <w:r w:rsidR="003E5139">
        <w:t>, 600 cm</w:t>
      </w:r>
      <w:r w:rsidR="003E5139">
        <w:rPr>
          <w:vertAlign w:val="superscript"/>
        </w:rPr>
        <w:t>-1</w:t>
      </w:r>
      <w:r w:rsidR="003E5139">
        <w:t>, 1,000 cm</w:t>
      </w:r>
      <w:r w:rsidR="003E5139">
        <w:rPr>
          <w:vertAlign w:val="superscript"/>
        </w:rPr>
        <w:t>-1</w:t>
      </w:r>
      <w:r w:rsidR="003E5139">
        <w:t>, and 1045 cm</w:t>
      </w:r>
      <w:r w:rsidR="003E5139">
        <w:rPr>
          <w:vertAlign w:val="superscript"/>
        </w:rPr>
        <w:t>-1</w:t>
      </w:r>
      <w:r w:rsidR="003E5139">
        <w:t>. All of these peaks except for the peak at 1,000 cm</w:t>
      </w:r>
      <w:r w:rsidR="003E5139">
        <w:rPr>
          <w:vertAlign w:val="superscript"/>
        </w:rPr>
        <w:t>-1</w:t>
      </w:r>
      <w:r w:rsidR="003E5139">
        <w:t xml:space="preserve"> correspond to sulfate and bisulfate anion species, indicating that a change in complexation structure is occurring as was observed at the cathode. The peak occurring at 1,000 cm</w:t>
      </w:r>
      <w:r w:rsidR="003E5139">
        <w:rPr>
          <w:vertAlign w:val="superscript"/>
        </w:rPr>
        <w:t>-1</w:t>
      </w:r>
      <w:r w:rsidR="003E5139">
        <w:t xml:space="preserve"> corresponds to V=O terminal stretching. The decrease in this peak as state of charge increases corresponds to the disappearance of VO</w:t>
      </w:r>
      <w:r w:rsidR="003E5139">
        <w:rPr>
          <w:vertAlign w:val="superscript"/>
        </w:rPr>
        <w:t>2+</w:t>
      </w:r>
      <w:r w:rsidR="003E5139">
        <w:t xml:space="preserve"> and the formation of V</w:t>
      </w:r>
      <w:r w:rsidR="003E5139">
        <w:rPr>
          <w:vertAlign w:val="superscript"/>
        </w:rPr>
        <w:t>3+</w:t>
      </w:r>
      <w:r w:rsidR="003E5139">
        <w:t xml:space="preserve"> and V</w:t>
      </w:r>
      <w:r w:rsidR="003E5139">
        <w:rPr>
          <w:vertAlign w:val="superscript"/>
        </w:rPr>
        <w:t>2+</w:t>
      </w:r>
      <w:r w:rsidR="003E5139">
        <w:t>.</w:t>
      </w:r>
    </w:p>
    <w:p w14:paraId="3159B7B0" w14:textId="77777777" w:rsidR="00576F62" w:rsidRDefault="00576F62" w:rsidP="00055CFD">
      <w:pPr>
        <w:widowControl w:val="0"/>
        <w:autoSpaceDE w:val="0"/>
        <w:autoSpaceDN w:val="0"/>
        <w:adjustRightInd w:val="0"/>
        <w:spacing w:line="480" w:lineRule="auto"/>
      </w:pPr>
    </w:p>
    <w:p w14:paraId="543AFBAA" w14:textId="203324E5" w:rsidR="00E475D9" w:rsidRDefault="00576F62" w:rsidP="00523E01">
      <w:pPr>
        <w:widowControl w:val="0"/>
        <w:autoSpaceDE w:val="0"/>
        <w:autoSpaceDN w:val="0"/>
        <w:adjustRightInd w:val="0"/>
        <w:spacing w:after="0" w:line="480" w:lineRule="auto"/>
      </w:pPr>
      <w:r>
        <w:rPr>
          <w:noProof/>
        </w:rPr>
        <w:lastRenderedPageBreak/>
        <w:drawing>
          <wp:inline distT="0" distB="0" distL="0" distR="0" wp14:anchorId="72585565" wp14:editId="6F2B8C99">
            <wp:extent cx="5943600" cy="385635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cathode diff raman spectrum.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3600" cy="3856355"/>
                    </a:xfrm>
                    <a:prstGeom prst="rect">
                      <a:avLst/>
                    </a:prstGeom>
                  </pic:spPr>
                </pic:pic>
              </a:graphicData>
            </a:graphic>
          </wp:inline>
        </w:drawing>
      </w:r>
    </w:p>
    <w:p w14:paraId="47B183E4" w14:textId="480FBEC7" w:rsidR="00E475D9" w:rsidRDefault="00523E01" w:rsidP="00523E01">
      <w:pPr>
        <w:widowControl w:val="0"/>
        <w:autoSpaceDE w:val="0"/>
        <w:autoSpaceDN w:val="0"/>
        <w:adjustRightInd w:val="0"/>
        <w:spacing w:after="0" w:line="480" w:lineRule="auto"/>
      </w:pPr>
      <w:r>
        <w:rPr>
          <w:b/>
        </w:rPr>
        <w:t>Figure 22</w:t>
      </w:r>
      <w:r w:rsidR="0085709B">
        <w:t>: Cathode difference Raman spectrum. The most notable difference between the different cathode spectra is the change in intensity of the 800 cm</w:t>
      </w:r>
      <w:r w:rsidR="0085709B">
        <w:rPr>
          <w:vertAlign w:val="superscript"/>
        </w:rPr>
        <w:t>-1</w:t>
      </w:r>
      <w:r w:rsidR="0085709B">
        <w:t xml:space="preserve"> peak. The change in this peak may correspond to changes in the concentration of V</w:t>
      </w:r>
      <w:r w:rsidR="0085709B">
        <w:rPr>
          <w:vertAlign w:val="subscript"/>
        </w:rPr>
        <w:t>2</w:t>
      </w:r>
      <w:r w:rsidR="0085709B">
        <w:t>O</w:t>
      </w:r>
      <w:r w:rsidR="0085709B">
        <w:rPr>
          <w:vertAlign w:val="subscript"/>
        </w:rPr>
        <w:t>3</w:t>
      </w:r>
      <w:r w:rsidR="0085709B">
        <w:rPr>
          <w:vertAlign w:val="superscript"/>
        </w:rPr>
        <w:t>3+</w:t>
      </w:r>
      <w:r w:rsidR="0085709B">
        <w:t xml:space="preserve"> or VO</w:t>
      </w:r>
      <w:r w:rsidR="0085709B">
        <w:rPr>
          <w:vertAlign w:val="superscript"/>
        </w:rPr>
        <w:t>2+</w:t>
      </w:r>
      <w:r w:rsidR="0085709B">
        <w:t xml:space="preserve"> and VO</w:t>
      </w:r>
      <w:r w:rsidR="0085709B">
        <w:rPr>
          <w:vertAlign w:val="subscript"/>
        </w:rPr>
        <w:t>2</w:t>
      </w:r>
      <w:r w:rsidR="0085709B">
        <w:rPr>
          <w:vertAlign w:val="superscript"/>
        </w:rPr>
        <w:t xml:space="preserve">+ </w:t>
      </w:r>
      <w:r w:rsidR="0085709B">
        <w:t>dimers. The VO</w:t>
      </w:r>
      <w:r w:rsidR="0085709B">
        <w:rPr>
          <w:vertAlign w:val="subscript"/>
        </w:rPr>
        <w:t>2</w:t>
      </w:r>
      <w:r w:rsidR="0085709B">
        <w:rPr>
          <w:vertAlign w:val="superscript"/>
        </w:rPr>
        <w:t>+</w:t>
      </w:r>
      <w:r w:rsidR="0085709B">
        <w:t xml:space="preserve"> peak at 940 cm</w:t>
      </w:r>
      <w:r w:rsidR="0085709B">
        <w:rPr>
          <w:vertAlign w:val="superscript"/>
        </w:rPr>
        <w:t>-1</w:t>
      </w:r>
      <w:r w:rsidR="0085709B">
        <w:t xml:space="preserve"> has a maximum intensity at 90.1% state of charge, and the VO(H</w:t>
      </w:r>
      <w:r w:rsidR="0085709B">
        <w:rPr>
          <w:vertAlign w:val="subscript"/>
        </w:rPr>
        <w:t>2</w:t>
      </w:r>
      <w:r w:rsidR="0085709B">
        <w:t>O)</w:t>
      </w:r>
      <w:r w:rsidR="0085709B">
        <w:rPr>
          <w:vertAlign w:val="subscript"/>
        </w:rPr>
        <w:t>5</w:t>
      </w:r>
      <w:r w:rsidR="0085709B">
        <w:rPr>
          <w:vertAlign w:val="superscript"/>
        </w:rPr>
        <w:t>2+</w:t>
      </w:r>
      <w:r w:rsidR="00FF39C1">
        <w:t xml:space="preserve"> peak at 1,000 cm</w:t>
      </w:r>
      <w:r w:rsidR="00FF39C1">
        <w:rPr>
          <w:vertAlign w:val="superscript"/>
        </w:rPr>
        <w:t>-1</w:t>
      </w:r>
      <w:r w:rsidR="00FF39C1">
        <w:t xml:space="preserve"> has a maximum intensity at 1.2% state of charge. Both of these resul</w:t>
      </w:r>
      <w:r>
        <w:t>ts correspond to expected results at these states of charge</w:t>
      </w:r>
      <w:r w:rsidR="00FF39C1">
        <w:t>.</w:t>
      </w:r>
    </w:p>
    <w:p w14:paraId="70EF219E" w14:textId="77777777" w:rsidR="00FF39C1" w:rsidRDefault="00FF39C1" w:rsidP="00055CFD">
      <w:pPr>
        <w:widowControl w:val="0"/>
        <w:autoSpaceDE w:val="0"/>
        <w:autoSpaceDN w:val="0"/>
        <w:adjustRightInd w:val="0"/>
        <w:spacing w:line="480" w:lineRule="auto"/>
      </w:pPr>
    </w:p>
    <w:p w14:paraId="2D42FEF6" w14:textId="6059033C" w:rsidR="00FF39C1" w:rsidRDefault="00FF39C1" w:rsidP="00523E01">
      <w:pPr>
        <w:widowControl w:val="0"/>
        <w:autoSpaceDE w:val="0"/>
        <w:autoSpaceDN w:val="0"/>
        <w:adjustRightInd w:val="0"/>
        <w:spacing w:after="0" w:line="480" w:lineRule="auto"/>
      </w:pPr>
      <w:r>
        <w:rPr>
          <w:noProof/>
        </w:rPr>
        <w:lastRenderedPageBreak/>
        <w:drawing>
          <wp:inline distT="0" distB="0" distL="0" distR="0" wp14:anchorId="5DBF512D" wp14:editId="11B37959">
            <wp:extent cx="5943600" cy="385381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node diff raman spectrum.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3853815"/>
                    </a:xfrm>
                    <a:prstGeom prst="rect">
                      <a:avLst/>
                    </a:prstGeom>
                  </pic:spPr>
                </pic:pic>
              </a:graphicData>
            </a:graphic>
          </wp:inline>
        </w:drawing>
      </w:r>
    </w:p>
    <w:p w14:paraId="3F302D4E" w14:textId="192313D4" w:rsidR="00FF39C1" w:rsidRPr="00523E01" w:rsidRDefault="00FF39C1" w:rsidP="00523E01">
      <w:pPr>
        <w:widowControl w:val="0"/>
        <w:autoSpaceDE w:val="0"/>
        <w:autoSpaceDN w:val="0"/>
        <w:adjustRightInd w:val="0"/>
        <w:spacing w:after="0" w:line="480" w:lineRule="auto"/>
      </w:pPr>
      <w:r>
        <w:rPr>
          <w:b/>
        </w:rPr>
        <w:t>F</w:t>
      </w:r>
      <w:r w:rsidR="00523E01">
        <w:rPr>
          <w:b/>
        </w:rPr>
        <w:t>igure 23</w:t>
      </w:r>
      <w:r>
        <w:t>: Anode difference Raman spectrum. The most prominent peak change occurs at 990 cm</w:t>
      </w:r>
      <w:r>
        <w:rPr>
          <w:vertAlign w:val="superscript"/>
        </w:rPr>
        <w:t>-1</w:t>
      </w:r>
      <w:r>
        <w:t>, which corresponds to the expected decrease in VO</w:t>
      </w:r>
      <w:r>
        <w:rPr>
          <w:vertAlign w:val="superscript"/>
        </w:rPr>
        <w:t>2+</w:t>
      </w:r>
      <w:r>
        <w:t xml:space="preserve"> as state of charge decreases. The sulfate peak at 1100 cm</w:t>
      </w:r>
      <w:r>
        <w:rPr>
          <w:vertAlign w:val="superscript"/>
        </w:rPr>
        <w:t>-1</w:t>
      </w:r>
      <w:r>
        <w:t xml:space="preserve"> roughly decreases with an increase in state of charge, indicating that V</w:t>
      </w:r>
      <w:r>
        <w:rPr>
          <w:vertAlign w:val="superscript"/>
        </w:rPr>
        <w:t>2+</w:t>
      </w:r>
      <w:r>
        <w:t xml:space="preserve"> and V</w:t>
      </w:r>
      <w:r>
        <w:rPr>
          <w:vertAlign w:val="superscript"/>
        </w:rPr>
        <w:t>3+</w:t>
      </w:r>
      <w:r>
        <w:t xml:space="preserve"> do not complex as strongly with sulfa</w:t>
      </w:r>
      <w:r w:rsidR="00523E01">
        <w:t xml:space="preserve">te and </w:t>
      </w:r>
      <w:proofErr w:type="spellStart"/>
      <w:r w:rsidR="00523E01">
        <w:t>bisulphate</w:t>
      </w:r>
      <w:proofErr w:type="spellEnd"/>
      <w:r w:rsidR="00523E01">
        <w:t xml:space="preserve"> species as do</w:t>
      </w:r>
      <w:r>
        <w:t xml:space="preserve"> V</w:t>
      </w:r>
      <w:r>
        <w:rPr>
          <w:vertAlign w:val="superscript"/>
        </w:rPr>
        <w:t>4+</w:t>
      </w:r>
      <w:r>
        <w:t xml:space="preserve"> and V</w:t>
      </w:r>
      <w:r>
        <w:rPr>
          <w:vertAlign w:val="superscript"/>
        </w:rPr>
        <w:t>5+</w:t>
      </w:r>
      <w:r w:rsidR="00523E01">
        <w:t>.</w:t>
      </w:r>
    </w:p>
    <w:p w14:paraId="7E93568B" w14:textId="08043D07" w:rsidR="00FF39C1" w:rsidRDefault="00FF39C1" w:rsidP="00055CFD">
      <w:pPr>
        <w:widowControl w:val="0"/>
        <w:autoSpaceDE w:val="0"/>
        <w:autoSpaceDN w:val="0"/>
        <w:adjustRightInd w:val="0"/>
        <w:spacing w:line="480" w:lineRule="auto"/>
        <w:rPr>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F39C1" w14:paraId="3B34111E" w14:textId="77777777" w:rsidTr="00B85394">
        <w:tc>
          <w:tcPr>
            <w:tcW w:w="4675" w:type="dxa"/>
          </w:tcPr>
          <w:p w14:paraId="2A5AC4AE" w14:textId="548217B5" w:rsidR="00FF39C1" w:rsidRDefault="00FF39C1" w:rsidP="00523E01">
            <w:pPr>
              <w:widowControl w:val="0"/>
              <w:autoSpaceDE w:val="0"/>
              <w:autoSpaceDN w:val="0"/>
              <w:adjustRightInd w:val="0"/>
              <w:spacing w:after="0" w:line="480" w:lineRule="auto"/>
            </w:pPr>
            <w:r>
              <w:rPr>
                <w:noProof/>
              </w:rPr>
              <w:lastRenderedPageBreak/>
              <w:drawing>
                <wp:inline distT="0" distB="0" distL="0" distR="0" wp14:anchorId="1DD45D10" wp14:editId="7702EE46">
                  <wp:extent cx="2625318" cy="4210415"/>
                  <wp:effectExtent l="0" t="0" r="381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cathode mid IR spectrum.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625318" cy="4210415"/>
                          </a:xfrm>
                          <a:prstGeom prst="rect">
                            <a:avLst/>
                          </a:prstGeom>
                        </pic:spPr>
                      </pic:pic>
                    </a:graphicData>
                  </a:graphic>
                </wp:inline>
              </w:drawing>
            </w:r>
          </w:p>
        </w:tc>
        <w:tc>
          <w:tcPr>
            <w:tcW w:w="4675" w:type="dxa"/>
          </w:tcPr>
          <w:p w14:paraId="77380566" w14:textId="25A5E8CC" w:rsidR="00FF39C1" w:rsidRDefault="00FF39C1" w:rsidP="00523E01">
            <w:pPr>
              <w:widowControl w:val="0"/>
              <w:autoSpaceDE w:val="0"/>
              <w:autoSpaceDN w:val="0"/>
              <w:adjustRightInd w:val="0"/>
              <w:spacing w:after="0" w:line="480" w:lineRule="auto"/>
            </w:pPr>
            <w:r>
              <w:rPr>
                <w:noProof/>
              </w:rPr>
              <w:drawing>
                <wp:inline distT="0" distB="0" distL="0" distR="0" wp14:anchorId="68E096E0" wp14:editId="0B08F522">
                  <wp:extent cx="2702984" cy="4212590"/>
                  <wp:effectExtent l="0" t="0" r="254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anode mid IR results.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704374" cy="4214757"/>
                          </a:xfrm>
                          <a:prstGeom prst="rect">
                            <a:avLst/>
                          </a:prstGeom>
                        </pic:spPr>
                      </pic:pic>
                    </a:graphicData>
                  </a:graphic>
                </wp:inline>
              </w:drawing>
            </w:r>
          </w:p>
        </w:tc>
      </w:tr>
      <w:tr w:rsidR="00FF39C1" w14:paraId="4B03800B" w14:textId="77777777" w:rsidTr="00B85394">
        <w:tc>
          <w:tcPr>
            <w:tcW w:w="4675" w:type="dxa"/>
          </w:tcPr>
          <w:p w14:paraId="57817780" w14:textId="63408F97" w:rsidR="00FF39C1" w:rsidRPr="00FF39C1" w:rsidRDefault="00523E01" w:rsidP="00523E01">
            <w:pPr>
              <w:widowControl w:val="0"/>
              <w:autoSpaceDE w:val="0"/>
              <w:autoSpaceDN w:val="0"/>
              <w:adjustRightInd w:val="0"/>
              <w:spacing w:after="0" w:line="480" w:lineRule="auto"/>
              <w:jc w:val="center"/>
              <w:rPr>
                <w:b/>
              </w:rPr>
            </w:pPr>
            <w:r>
              <w:rPr>
                <w:b/>
              </w:rPr>
              <w:t>Figure 24</w:t>
            </w:r>
            <w:r w:rsidR="00FF39C1">
              <w:rPr>
                <w:b/>
              </w:rPr>
              <w:t>-A</w:t>
            </w:r>
          </w:p>
        </w:tc>
        <w:tc>
          <w:tcPr>
            <w:tcW w:w="4675" w:type="dxa"/>
          </w:tcPr>
          <w:p w14:paraId="1CD24DE8" w14:textId="051F03AF" w:rsidR="00FF39C1" w:rsidRPr="00FF39C1" w:rsidRDefault="00523E01" w:rsidP="00523E01">
            <w:pPr>
              <w:widowControl w:val="0"/>
              <w:autoSpaceDE w:val="0"/>
              <w:autoSpaceDN w:val="0"/>
              <w:adjustRightInd w:val="0"/>
              <w:spacing w:after="0" w:line="480" w:lineRule="auto"/>
              <w:jc w:val="center"/>
            </w:pPr>
            <w:r>
              <w:rPr>
                <w:b/>
              </w:rPr>
              <w:t>Figure 24</w:t>
            </w:r>
            <w:r w:rsidR="00FF39C1">
              <w:rPr>
                <w:b/>
              </w:rPr>
              <w:t>-B</w:t>
            </w:r>
          </w:p>
        </w:tc>
      </w:tr>
    </w:tbl>
    <w:p w14:paraId="5FB5DCD5" w14:textId="5D5B0C4D" w:rsidR="00B85394" w:rsidRPr="00B85394" w:rsidRDefault="00523E01" w:rsidP="00523E01">
      <w:pPr>
        <w:widowControl w:val="0"/>
        <w:autoSpaceDE w:val="0"/>
        <w:autoSpaceDN w:val="0"/>
        <w:adjustRightInd w:val="0"/>
        <w:spacing w:after="0" w:line="480" w:lineRule="auto"/>
      </w:pPr>
      <w:r>
        <w:rPr>
          <w:b/>
        </w:rPr>
        <w:t>Figure 24</w:t>
      </w:r>
      <w:r w:rsidR="00B85394">
        <w:t>: Cathode and a</w:t>
      </w:r>
      <w:r>
        <w:t>node mid-IR results, Figure 24-A and Figure 24</w:t>
      </w:r>
      <w:r w:rsidR="00B85394">
        <w:t xml:space="preserve">-B, respectively. Little qualitative difference is noted between the two spectra. This lack of difference indicates that the IR spectra are most likely products of </w:t>
      </w:r>
      <w:proofErr w:type="spellStart"/>
      <w:r w:rsidR="00B85394">
        <w:t>uncomplexed</w:t>
      </w:r>
      <w:proofErr w:type="spellEnd"/>
      <w:r w:rsidR="00B85394">
        <w:t xml:space="preserve"> water and sulfate species rather than the changing vanadium species.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674"/>
      </w:tblGrid>
      <w:tr w:rsidR="00B85394" w14:paraId="0B2144B6" w14:textId="77777777" w:rsidTr="00B85394">
        <w:tc>
          <w:tcPr>
            <w:tcW w:w="4675" w:type="dxa"/>
          </w:tcPr>
          <w:p w14:paraId="42EB0808" w14:textId="6FB820BE" w:rsidR="00B85394" w:rsidRDefault="00B85394" w:rsidP="00055CFD">
            <w:pPr>
              <w:widowControl w:val="0"/>
              <w:autoSpaceDE w:val="0"/>
              <w:autoSpaceDN w:val="0"/>
              <w:adjustRightInd w:val="0"/>
              <w:spacing w:line="480" w:lineRule="auto"/>
            </w:pPr>
            <w:r>
              <w:rPr>
                <w:noProof/>
              </w:rPr>
              <w:lastRenderedPageBreak/>
              <w:drawing>
                <wp:inline distT="0" distB="0" distL="0" distR="0" wp14:anchorId="05CD1B07" wp14:editId="289294B7">
                  <wp:extent cx="2884420" cy="4416173"/>
                  <wp:effectExtent l="0" t="0" r="0" b="381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cathode far IR results.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884420" cy="4416173"/>
                          </a:xfrm>
                          <a:prstGeom prst="rect">
                            <a:avLst/>
                          </a:prstGeom>
                        </pic:spPr>
                      </pic:pic>
                    </a:graphicData>
                  </a:graphic>
                </wp:inline>
              </w:drawing>
            </w:r>
          </w:p>
        </w:tc>
        <w:tc>
          <w:tcPr>
            <w:tcW w:w="4675" w:type="dxa"/>
          </w:tcPr>
          <w:p w14:paraId="4D9FEBAE" w14:textId="2DD0D640" w:rsidR="00B85394" w:rsidRDefault="00B85394" w:rsidP="00055CFD">
            <w:pPr>
              <w:widowControl w:val="0"/>
              <w:autoSpaceDE w:val="0"/>
              <w:autoSpaceDN w:val="0"/>
              <w:adjustRightInd w:val="0"/>
              <w:spacing w:line="480" w:lineRule="auto"/>
            </w:pPr>
            <w:r>
              <w:rPr>
                <w:noProof/>
              </w:rPr>
              <w:drawing>
                <wp:inline distT="0" distB="0" distL="0" distR="0" wp14:anchorId="3FB82DBE" wp14:editId="2FD73277">
                  <wp:extent cx="2868930" cy="4405049"/>
                  <wp:effectExtent l="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anode far IR spectrum.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870153" cy="4406927"/>
                          </a:xfrm>
                          <a:prstGeom prst="rect">
                            <a:avLst/>
                          </a:prstGeom>
                        </pic:spPr>
                      </pic:pic>
                    </a:graphicData>
                  </a:graphic>
                </wp:inline>
              </w:drawing>
            </w:r>
          </w:p>
        </w:tc>
      </w:tr>
      <w:tr w:rsidR="00B85394" w14:paraId="18BE2BFC" w14:textId="77777777" w:rsidTr="00B85394">
        <w:tc>
          <w:tcPr>
            <w:tcW w:w="4675" w:type="dxa"/>
          </w:tcPr>
          <w:p w14:paraId="1655AD12" w14:textId="0BE9CB07" w:rsidR="00B85394" w:rsidRPr="00B85394" w:rsidRDefault="00523E01" w:rsidP="00523E01">
            <w:pPr>
              <w:widowControl w:val="0"/>
              <w:autoSpaceDE w:val="0"/>
              <w:autoSpaceDN w:val="0"/>
              <w:adjustRightInd w:val="0"/>
              <w:spacing w:after="0" w:line="480" w:lineRule="auto"/>
              <w:jc w:val="center"/>
              <w:rPr>
                <w:b/>
              </w:rPr>
            </w:pPr>
            <w:r>
              <w:rPr>
                <w:b/>
              </w:rPr>
              <w:t>Figure 25</w:t>
            </w:r>
            <w:r w:rsidR="00B85394">
              <w:rPr>
                <w:b/>
              </w:rPr>
              <w:t>-A</w:t>
            </w:r>
          </w:p>
        </w:tc>
        <w:tc>
          <w:tcPr>
            <w:tcW w:w="4675" w:type="dxa"/>
          </w:tcPr>
          <w:p w14:paraId="6FDD52CB" w14:textId="661DDBEA" w:rsidR="00B85394" w:rsidRPr="00B85394" w:rsidRDefault="00523E01" w:rsidP="00523E01">
            <w:pPr>
              <w:widowControl w:val="0"/>
              <w:autoSpaceDE w:val="0"/>
              <w:autoSpaceDN w:val="0"/>
              <w:adjustRightInd w:val="0"/>
              <w:spacing w:after="0" w:line="480" w:lineRule="auto"/>
              <w:jc w:val="center"/>
            </w:pPr>
            <w:r>
              <w:rPr>
                <w:b/>
              </w:rPr>
              <w:t>Figure 25</w:t>
            </w:r>
            <w:r w:rsidR="00B85394">
              <w:rPr>
                <w:b/>
              </w:rPr>
              <w:t>-B</w:t>
            </w:r>
          </w:p>
        </w:tc>
      </w:tr>
    </w:tbl>
    <w:p w14:paraId="67D827CA" w14:textId="3509FFCA" w:rsidR="00B85394" w:rsidRDefault="00B85394" w:rsidP="00523E01">
      <w:pPr>
        <w:widowControl w:val="0"/>
        <w:autoSpaceDE w:val="0"/>
        <w:autoSpaceDN w:val="0"/>
        <w:adjustRightInd w:val="0"/>
        <w:spacing w:after="0" w:line="480" w:lineRule="auto"/>
      </w:pPr>
      <w:r>
        <w:rPr>
          <w:b/>
        </w:rPr>
        <w:t>Figu</w:t>
      </w:r>
      <w:r w:rsidR="00523E01">
        <w:rPr>
          <w:b/>
        </w:rPr>
        <w:t>re 25</w:t>
      </w:r>
      <w:r>
        <w:t>: Cathode and a</w:t>
      </w:r>
      <w:r w:rsidR="00523E01">
        <w:t>node far-IR results, Figure 25-A and Figure 25</w:t>
      </w:r>
      <w:r>
        <w:t xml:space="preserve">-B, respectively. Little qualitative difference is noted between the two spectra. This lack of difference indicates that the IR spectra are most likely products of </w:t>
      </w:r>
      <w:proofErr w:type="spellStart"/>
      <w:r>
        <w:t>uncomplexed</w:t>
      </w:r>
      <w:proofErr w:type="spellEnd"/>
      <w:r>
        <w:t xml:space="preserve"> water and sulfate species rather than</w:t>
      </w:r>
      <w:r w:rsidR="00523E01">
        <w:t xml:space="preserve"> the changing vanadium species.</w:t>
      </w:r>
    </w:p>
    <w:p w14:paraId="0B099790" w14:textId="5BA6AF30" w:rsidR="001C47D8" w:rsidRPr="00013901" w:rsidRDefault="001C47D8" w:rsidP="00523E01">
      <w:pPr>
        <w:widowControl w:val="0"/>
        <w:autoSpaceDE w:val="0"/>
        <w:autoSpaceDN w:val="0"/>
        <w:adjustRightInd w:val="0"/>
        <w:spacing w:after="0" w:line="480" w:lineRule="auto"/>
        <w:rPr>
          <w:b/>
        </w:rPr>
      </w:pPr>
      <w:r w:rsidRPr="00013901">
        <w:rPr>
          <w:b/>
        </w:rPr>
        <w:t>6.4 Discussion</w:t>
      </w:r>
    </w:p>
    <w:p w14:paraId="0A37EEAB" w14:textId="067001A1" w:rsidR="00492B40" w:rsidRDefault="001C47D8" w:rsidP="00A651F0">
      <w:pPr>
        <w:widowControl w:val="0"/>
        <w:autoSpaceDE w:val="0"/>
        <w:autoSpaceDN w:val="0"/>
        <w:adjustRightInd w:val="0"/>
        <w:spacing w:after="0" w:line="480" w:lineRule="auto"/>
        <w:ind w:firstLine="720"/>
      </w:pPr>
      <w:r>
        <w:t>Raman spectra were recorded for both VO</w:t>
      </w:r>
      <w:r>
        <w:rPr>
          <w:vertAlign w:val="superscript"/>
        </w:rPr>
        <w:t>2+</w:t>
      </w:r>
      <w:r>
        <w:t>/VO</w:t>
      </w:r>
      <w:r>
        <w:rPr>
          <w:vertAlign w:val="subscript"/>
        </w:rPr>
        <w:t>2</w:t>
      </w:r>
      <w:r>
        <w:rPr>
          <w:vertAlign w:val="superscript"/>
        </w:rPr>
        <w:t>+</w:t>
      </w:r>
      <w:r>
        <w:t xml:space="preserve"> and V</w:t>
      </w:r>
      <w:r>
        <w:rPr>
          <w:vertAlign w:val="superscript"/>
        </w:rPr>
        <w:t>3+</w:t>
      </w:r>
      <w:r>
        <w:t>/V</w:t>
      </w:r>
      <w:r>
        <w:rPr>
          <w:vertAlign w:val="superscript"/>
        </w:rPr>
        <w:t>2+</w:t>
      </w:r>
      <w:r w:rsidR="00C72058">
        <w:t xml:space="preserve"> redox couples as a function of state of charge. Mid-IR and far-IR spectra for both redox couples were also recorded as functions of state of charge. Raman spectra prove</w:t>
      </w:r>
      <w:r w:rsidR="00A651F0">
        <w:t>d</w:t>
      </w:r>
      <w:r w:rsidR="00C72058">
        <w:t xml:space="preserve"> most useful in identifying the movement of species as state of charge changes. Changes in complexation involving the VO</w:t>
      </w:r>
      <w:r w:rsidR="00C72058">
        <w:rPr>
          <w:vertAlign w:val="superscript"/>
        </w:rPr>
        <w:t>2+</w:t>
      </w:r>
      <w:r w:rsidR="00C72058">
        <w:t>/VO</w:t>
      </w:r>
      <w:r w:rsidR="00C72058">
        <w:rPr>
          <w:vertAlign w:val="subscript"/>
        </w:rPr>
        <w:t>2</w:t>
      </w:r>
      <w:r w:rsidR="00C72058">
        <w:rPr>
          <w:vertAlign w:val="superscript"/>
        </w:rPr>
        <w:t>+</w:t>
      </w:r>
      <w:r w:rsidR="00C72058">
        <w:t xml:space="preserve"> with sulfate and bisulfate species is </w:t>
      </w:r>
      <w:r w:rsidR="00C72058">
        <w:lastRenderedPageBreak/>
        <w:t>the most drastic change noted in the Raman spectra. V</w:t>
      </w:r>
      <w:r w:rsidR="00C72058">
        <w:rPr>
          <w:vertAlign w:val="superscript"/>
        </w:rPr>
        <w:t>3+</w:t>
      </w:r>
      <w:r w:rsidR="00C72058">
        <w:t>/V</w:t>
      </w:r>
      <w:r w:rsidR="00C72058">
        <w:rPr>
          <w:vertAlign w:val="superscript"/>
        </w:rPr>
        <w:t>2+</w:t>
      </w:r>
      <w:r w:rsidR="00C72058">
        <w:t xml:space="preserve"> exhibit little change as a function of state of charge, which is expected based on their known structures.</w:t>
      </w:r>
    </w:p>
    <w:p w14:paraId="3B66D808" w14:textId="50A76201" w:rsidR="00C72058" w:rsidRDefault="00492B40" w:rsidP="00A651F0">
      <w:pPr>
        <w:widowControl w:val="0"/>
        <w:autoSpaceDE w:val="0"/>
        <w:autoSpaceDN w:val="0"/>
        <w:adjustRightInd w:val="0"/>
        <w:spacing w:after="0" w:line="480" w:lineRule="auto"/>
        <w:ind w:firstLine="720"/>
      </w:pPr>
      <w:r>
        <w:t>Vanadium redox reactions are assumed to be outer shell reactions, making knowledge of the hydration shell vital.</w:t>
      </w:r>
      <w:r>
        <w:fldChar w:fldCharType="begin"/>
      </w:r>
      <w:r>
        <w:instrText xml:space="preserve"> ADDIN ZOTERO_ITEM CSL_CITATION {"citationID":"1at0f0t93c","properties":{"formattedCitation":"{\\rtf \\super 40\\nosupersub{}}","plainCitation":"40"},"citationItems":[{"id":25,"uris":["http://zotero.org/users/local/rZ3AHC6s/items/TBQBC4HU"],"uri":["http://zotero.org/users/local/rZ3AHC6s/items/TBQBC4HU"],"itemData":{"id":25,"type":"article-journal","title":"Electrochemical characteristics of vanadium redox reactions on porous carbon electrodes for microfluidic fuel cell applications","container-title":"Electrochimica Acta","page":"430-438","volume":"83","issue":"0","abstract":"Microfluidic vanadium redox fuel cells are membraneless and catalyst-free fuel cells comprising a microfluidic channel network with two porous carbon electrodes. The anolyte and catholyte for fuel cell operation are V(II) and V(V) in sulfuric acid based aqueous solution. In the present work, the electrochemical characteristics of the vanadium redox reactions are investigated on commonly used porous carbon paper electrodes and compared to a standard solid graphite electrode as baseline. Half-cell electrochemical impedance spectroscopy is applied to measure the overall ohmic resistance and resistivity of the electrodes. Kinetic parameters for both V(II) and V(V) discharging reactions are extracted from Tafel plots and compared for the different electrodes. Cyclic voltammetry techniques reveal that the redox reactions are irreversible and that the magnitudes of peak current density vary significantly for each electrode. The obtained kinetic parameters for the carbon paper are implemented into a numerical simulation and the results show a good agreement with measured polarization curves from operation of a microfluidic vanadium redox fuel cell employing the same material as flow-through porous electrodes. Recommendations for microfluidic fuel cell design and operation are provided based on the measured trends.","DOI":"10.1016/j.electacta.2012.07.104","ISSN":"0013-4686","journalAbbreviation":"Electrochimica Acta","author":[{"family":"Lee","given":"Jin Wook"},{"family":"Hong","given":"Jun Ki"},{"family":"Kjeang","given":"Erik"}],"issued":{"date-parts":[["2012",11,30]]}}}],"schema":"https://github.com/citation-style-language/schema/raw/master/csl-citation.json"} </w:instrText>
      </w:r>
      <w:r>
        <w:fldChar w:fldCharType="separate"/>
      </w:r>
      <w:r w:rsidRPr="00492B40">
        <w:rPr>
          <w:rFonts w:ascii="Calibri" w:hAnsi="Calibri" w:cs="Times New Roman"/>
          <w:szCs w:val="24"/>
          <w:vertAlign w:val="superscript"/>
        </w:rPr>
        <w:t>40</w:t>
      </w:r>
      <w:r>
        <w:fldChar w:fldCharType="end"/>
      </w:r>
      <w:r>
        <w:t xml:space="preserve"> Sulfate and bisulfate species in the electrolyte likely contribute to the second coordination sphere, most probably to the pyramidal faces of the different octahedral </w:t>
      </w:r>
      <w:proofErr w:type="spellStart"/>
      <w:r>
        <w:t>vanadyl</w:t>
      </w:r>
      <w:proofErr w:type="spellEnd"/>
      <w:r>
        <w:t xml:space="preserve"> species.</w:t>
      </w:r>
      <w:r>
        <w:fldChar w:fldCharType="begin"/>
      </w:r>
      <w:r>
        <w:instrText xml:space="preserve"> ADDIN ZOTERO_ITEM CSL_CITATION {"citationID":"211ipsrnd5","properties":{"formattedCitation":"{\\rtf \\super 22\\nosupersub{}}","plainCitation":"22"},"citationItems":[{"id":23,"uris":["http://zotero.org/users/local/rZ3AHC6s/items/8AS7Z2QU"],"uri":["http://zotero.org/users/local/rZ3AHC6s/items/8AS7Z2QU"],"itemData":{"id":23,"type":"article-journal","title":"Nuclear magnetic resonance studies on vanadium(IV) electrolyte solutions for vanadium redox flow battery","container-title":"Journal of Power Sources","page":"7709-7717","volume":"195","issue":"22","abstract":"The vanadium(IV) electrolyte solutions with various vanadium concentrations are studied by variable temperature 1H and 17O nuclear magnetic resonance (NMR) spectroscopy. The structure and kinetics of vanadium(IV) species in the electrolyte solutions are explored with respect to vanadium concentration and temperature. It was found that the vanadium(IV) species exist as hydrated vanadyl ion, i.e. [VO(H2O)5]2+ forming an octahedral coordination with vanadyl oxygen in the axial position and the remaining positions occupied by water molecules. This hydrated vanadyl ion structure is stable in vanadium concentrations up to 3 M and in the temperature range of 240–340 K. The sulfate anions in the electrolyte solutions are found to be weekly bound to this hydrated vanadyl ion and occupies its second-coordination sphere. The possible effects of these sulfate anions in proton and water exchange between vanadyl ion and solvent molecules are discussed based on 1H and 17O NMR results.","DOI":"10.1016/j.jpowsour.2010.05.008","ISSN":"0378-7753","journalAbbreviation":"Journal of Power Sources","author":[{"family":"Vijayakumar","given":"M."},{"family":"Burton","given":"Sarah D."},{"family":"Huang","given":"Cheng"},{"family":"Li","given":"Liyu"},{"family":"Yang","given":"Zhenguo"},{"family":"Graff","given":"Gordon L."},{"family":"Liu","given":"Jun"},{"family":"Hu","given":"Jianzhi"},{"family":"Skyllas-Kazacos","given":"Maria"}],"issued":{"date-parts":[["2010",11,15]]}}}],"schema":"https://github.com/citation-style-language/schema/raw/master/csl-citation.json"} </w:instrText>
      </w:r>
      <w:r>
        <w:fldChar w:fldCharType="separate"/>
      </w:r>
      <w:r w:rsidRPr="00492B40">
        <w:rPr>
          <w:rFonts w:ascii="Calibri" w:hAnsi="Calibri" w:cs="Times New Roman"/>
          <w:szCs w:val="24"/>
          <w:vertAlign w:val="superscript"/>
        </w:rPr>
        <w:t>22</w:t>
      </w:r>
      <w:r>
        <w:fldChar w:fldCharType="end"/>
      </w:r>
      <w:r>
        <w:t xml:space="preserve"> Therefore, the changes in sulfate Raman bands found in this study are further supported to be caused by changes in sulfate and bisulfate complexation as vanadium species change with state of charge. The changes in sulfate species’ arrangement may affect proton and water exchange mechanisms.</w:t>
      </w:r>
      <w:r>
        <w:fldChar w:fldCharType="begin"/>
      </w:r>
      <w:r>
        <w:instrText xml:space="preserve"> ADDIN ZOTERO_ITEM CSL_CITATION {"citationID":"9rekcsgmf","properties":{"formattedCitation":"{\\rtf \\super 22\\nosupersub{}}","plainCitation":"22"},"citationItems":[{"id":23,"uris":["http://zotero.org/users/local/rZ3AHC6s/items/8AS7Z2QU"],"uri":["http://zotero.org/users/local/rZ3AHC6s/items/8AS7Z2QU"],"itemData":{"id":23,"type":"article-journal","title":"Nuclear magnetic resonance studies on vanadium(IV) electrolyte solutions for vanadium redox flow battery","container-title":"Journal of Power Sources","page":"7709-7717","volume":"195","issue":"22","abstract":"The vanadium(IV) electrolyte solutions with various vanadium concentrations are studied by variable temperature 1H and 17O nuclear magnetic resonance (NMR) spectroscopy. The structure and kinetics of vanadium(IV) species in the electrolyte solutions are explored with respect to vanadium concentration and temperature. It was found that the vanadium(IV) species exist as hydrated vanadyl ion, i.e. [VO(H2O)5]2+ forming an octahedral coordination with vanadyl oxygen in the axial position and the remaining positions occupied by water molecules. This hydrated vanadyl ion structure is stable in vanadium concentrations up to 3 M and in the temperature range of 240–340 K. The sulfate anions in the electrolyte solutions are found to be weekly bound to this hydrated vanadyl ion and occupies its second-coordination sphere. The possible effects of these sulfate anions in proton and water exchange between vanadyl ion and solvent molecules are discussed based on 1H and 17O NMR results.","DOI":"10.1016/j.jpowsour.2010.05.008","ISSN":"0378-7753","journalAbbreviation":"Journal of Power Sources","author":[{"family":"Vijayakumar","given":"M."},{"family":"Burton","given":"Sarah D."},{"family":"Huang","given":"Cheng"},{"family":"Li","given":"Liyu"},{"family":"Yang","given":"Zhenguo"},{"family":"Graff","given":"Gordon L."},{"family":"Liu","given":"Jun"},{"family":"Hu","given":"Jianzhi"},{"family":"Skyllas-Kazacos","given":"Maria"}],"issued":{"date-parts":[["2010",11,15]]}}}],"schema":"https://github.com/citation-style-language/schema/raw/master/csl-citation.json"} </w:instrText>
      </w:r>
      <w:r>
        <w:fldChar w:fldCharType="separate"/>
      </w:r>
      <w:r w:rsidRPr="00492B40">
        <w:rPr>
          <w:rFonts w:ascii="Calibri" w:hAnsi="Calibri" w:cs="Times New Roman"/>
          <w:szCs w:val="24"/>
          <w:vertAlign w:val="superscript"/>
        </w:rPr>
        <w:t>22</w:t>
      </w:r>
      <w:r>
        <w:fldChar w:fldCharType="end"/>
      </w:r>
      <w:r>
        <w:t xml:space="preserve"> If so, the appa</w:t>
      </w:r>
      <w:r w:rsidR="00A651F0">
        <w:t>rent complexation observed in the</w:t>
      </w:r>
      <w:r>
        <w:t xml:space="preserve"> recorded Raman spectra for the positive electrolyte may explain the superior kinetic performance of the positive electrode as compared to the negative electrode.</w:t>
      </w:r>
      <w:r w:rsidR="00100277">
        <w:t xml:space="preserve"> Further studies are needed to support this hypothesis. If supported, considerable focus should be given to understanding outer sphere interactions with carbon electrode surfaces in order to optimize kinetic performance via surface chemistry modification.</w:t>
      </w:r>
    </w:p>
    <w:p w14:paraId="70234FCB" w14:textId="40678F43" w:rsidR="00623556" w:rsidRPr="00013901" w:rsidRDefault="00A651F0" w:rsidP="00A651F0">
      <w:pPr>
        <w:widowControl w:val="0"/>
        <w:autoSpaceDE w:val="0"/>
        <w:autoSpaceDN w:val="0"/>
        <w:adjustRightInd w:val="0"/>
        <w:spacing w:after="0" w:line="480" w:lineRule="auto"/>
        <w:rPr>
          <w:b/>
        </w:rPr>
      </w:pPr>
      <w:r w:rsidRPr="00013901">
        <w:rPr>
          <w:b/>
        </w:rPr>
        <w:t>6.5 Conclusion</w:t>
      </w:r>
    </w:p>
    <w:p w14:paraId="79B3C8B5" w14:textId="4B89BECE" w:rsidR="00623556" w:rsidRDefault="00623556" w:rsidP="00A651F0">
      <w:pPr>
        <w:widowControl w:val="0"/>
        <w:autoSpaceDE w:val="0"/>
        <w:autoSpaceDN w:val="0"/>
        <w:adjustRightInd w:val="0"/>
        <w:spacing w:after="0" w:line="480" w:lineRule="auto"/>
        <w:ind w:firstLine="720"/>
      </w:pPr>
      <w:r>
        <w:t xml:space="preserve">Initial Raman and infrared spectroscopy studies provide a valuable first step towards determining all species’ structures in operating VRB electrolyte as a function of state of charge. The most apparent change in structures appears to be related to complexation with sulfate species. </w:t>
      </w:r>
      <w:r w:rsidR="00100277">
        <w:t xml:space="preserve">Further work is needed to elucidate the structure of the second coordination sphere of each vanadium species and what effect, if any, the structure of this sphere has on electron transfer kinetics. </w:t>
      </w:r>
    </w:p>
    <w:p w14:paraId="073C07AA" w14:textId="3C2C8041" w:rsidR="00100277" w:rsidRPr="00013901" w:rsidRDefault="00013901" w:rsidP="00A651F0">
      <w:pPr>
        <w:widowControl w:val="0"/>
        <w:autoSpaceDE w:val="0"/>
        <w:autoSpaceDN w:val="0"/>
        <w:adjustRightInd w:val="0"/>
        <w:spacing w:after="0" w:line="480" w:lineRule="auto"/>
        <w:rPr>
          <w:b/>
        </w:rPr>
      </w:pPr>
      <w:r w:rsidRPr="00013901">
        <w:rPr>
          <w:b/>
        </w:rPr>
        <w:t>7.0 Conclusion and Future</w:t>
      </w:r>
      <w:r w:rsidR="00A651F0" w:rsidRPr="00013901">
        <w:rPr>
          <w:b/>
        </w:rPr>
        <w:t xml:space="preserve"> Work</w:t>
      </w:r>
    </w:p>
    <w:p w14:paraId="69E081CA" w14:textId="72103E8F" w:rsidR="003F138B" w:rsidRDefault="00100277" w:rsidP="00A651F0">
      <w:pPr>
        <w:widowControl w:val="0"/>
        <w:autoSpaceDE w:val="0"/>
        <w:autoSpaceDN w:val="0"/>
        <w:adjustRightInd w:val="0"/>
        <w:spacing w:after="0" w:line="480" w:lineRule="auto"/>
        <w:ind w:firstLine="720"/>
      </w:pPr>
      <w:r>
        <w:t>In this study, I show that the kinetic performance of an operating VRB is limited by the V</w:t>
      </w:r>
      <w:r>
        <w:rPr>
          <w:vertAlign w:val="superscript"/>
        </w:rPr>
        <w:t>3+</w:t>
      </w:r>
      <w:r>
        <w:t>/V</w:t>
      </w:r>
      <w:r>
        <w:rPr>
          <w:vertAlign w:val="superscript"/>
        </w:rPr>
        <w:t>2+</w:t>
      </w:r>
      <w:r>
        <w:t xml:space="preserve"> couple at all states of charge in both pure-sulfuric and mixed-acid electrolytes. The kinetic performance of the battery is significantly enhanced by the inclusion of hydrochloric acid in the electrolyte. The Raman and IR spectra of the pure-sulfuric acid electrolyte were recorded as functions of states of </w:t>
      </w:r>
      <w:r>
        <w:lastRenderedPageBreak/>
        <w:t>charge. The most significant change in the spectra are changes in sulfate species’ complexation with vanadium ions.</w:t>
      </w:r>
      <w:r w:rsidR="003F138B">
        <w:t xml:space="preserve"> Therefore, the superior performanc</w:t>
      </w:r>
      <w:r w:rsidR="00CB6C40">
        <w:t>e of the positive electrode may</w:t>
      </w:r>
      <w:r w:rsidR="003F138B">
        <w:t xml:space="preserve"> be linked to changes in the structure o</w:t>
      </w:r>
      <w:r w:rsidR="00A651F0">
        <w:t>f its outer coordination sphere.  T</w:t>
      </w:r>
      <w:r w:rsidR="00CB6C40">
        <w:t>he</w:t>
      </w:r>
      <w:r w:rsidR="003F138B">
        <w:t xml:space="preserve"> presence of the V</w:t>
      </w:r>
      <w:r w:rsidR="003F138B">
        <w:rPr>
          <w:vertAlign w:val="subscript"/>
        </w:rPr>
        <w:t>2</w:t>
      </w:r>
      <w:r w:rsidR="003F138B">
        <w:t>O</w:t>
      </w:r>
      <w:r w:rsidR="003F138B">
        <w:rPr>
          <w:vertAlign w:val="subscript"/>
        </w:rPr>
        <w:t>3</w:t>
      </w:r>
      <w:r w:rsidR="003F138B">
        <w:rPr>
          <w:vertAlign w:val="superscript"/>
        </w:rPr>
        <w:t>3+</w:t>
      </w:r>
      <w:r w:rsidR="003F138B">
        <w:t xml:space="preserve"> mixed valence cation-cation complex formed in the positive electrolyte</w:t>
      </w:r>
      <w:r w:rsidR="00CB6C40">
        <w:t xml:space="preserve"> was shown to have no impact on kinetic performance</w:t>
      </w:r>
      <w:r w:rsidR="003F138B">
        <w:t>.</w:t>
      </w:r>
    </w:p>
    <w:p w14:paraId="64E00357" w14:textId="4A355A50" w:rsidR="003F138B" w:rsidRPr="003F138B" w:rsidRDefault="003F138B" w:rsidP="00013901">
      <w:pPr>
        <w:widowControl w:val="0"/>
        <w:autoSpaceDE w:val="0"/>
        <w:autoSpaceDN w:val="0"/>
        <w:adjustRightInd w:val="0"/>
        <w:spacing w:after="0" w:line="480" w:lineRule="auto"/>
        <w:ind w:firstLine="720"/>
      </w:pPr>
      <w:r>
        <w:t xml:space="preserve">In future work, </w:t>
      </w:r>
      <w:r>
        <w:rPr>
          <w:i/>
        </w:rPr>
        <w:t>in-situ</w:t>
      </w:r>
      <w:r>
        <w:t xml:space="preserve"> Raman measurements during electrochemical experiments (e.g., cyclic voltammetry) </w:t>
      </w:r>
      <w:r w:rsidR="00A651F0">
        <w:t xml:space="preserve">will be used </w:t>
      </w:r>
      <w:r>
        <w:t>to monitor species’ formation under controlled reaction conditions. This work will provide valuable formation on the reasons for the performance discrepancies between the electrodes and will hopefully result in a clear reaction mechanism for each redox couple</w:t>
      </w:r>
      <w:r w:rsidR="00A651F0">
        <w:t xml:space="preserve"> that includes outer sphere species</w:t>
      </w:r>
      <w:r>
        <w:t>. These reaction mechanisms can then be used to design carbon electrodes with optimal surface chemistry that are dur</w:t>
      </w:r>
      <w:r w:rsidR="00CC0E19">
        <w:t>able and economically feasible, further increasing the ease with which VRBs will reach widespread commercialization.</w:t>
      </w:r>
    </w:p>
    <w:p w14:paraId="75D58F2F" w14:textId="620B7EA9" w:rsidR="00E475D9" w:rsidRPr="00013901" w:rsidRDefault="00A651F0" w:rsidP="00013901">
      <w:pPr>
        <w:widowControl w:val="0"/>
        <w:autoSpaceDE w:val="0"/>
        <w:autoSpaceDN w:val="0"/>
        <w:adjustRightInd w:val="0"/>
        <w:spacing w:after="0" w:line="480" w:lineRule="auto"/>
        <w:rPr>
          <w:b/>
        </w:rPr>
      </w:pPr>
      <w:r w:rsidRPr="00013901">
        <w:rPr>
          <w:b/>
        </w:rPr>
        <w:t>8. Acknowledgements</w:t>
      </w:r>
    </w:p>
    <w:p w14:paraId="77D8B8A8" w14:textId="2000865B" w:rsidR="00070F8E" w:rsidRDefault="00070F8E" w:rsidP="00070F8E">
      <w:pPr>
        <w:widowControl w:val="0"/>
        <w:autoSpaceDE w:val="0"/>
        <w:autoSpaceDN w:val="0"/>
        <w:adjustRightInd w:val="0"/>
        <w:spacing w:after="0" w:line="480" w:lineRule="auto"/>
      </w:pPr>
      <w:r>
        <w:t xml:space="preserve">Many thanks to Dr. </w:t>
      </w:r>
      <w:proofErr w:type="spellStart"/>
      <w:r>
        <w:t>Zawodzinski</w:t>
      </w:r>
      <w:proofErr w:type="spellEnd"/>
      <w:r>
        <w:t xml:space="preserve"> for his guidance and willingness to discuss my results. All spectra results were collected by Professor Vito Di Noto’s group at the University of Padua in Padua, Italy. My sanity was kept intact largely thanks to Dr. Douglas Aaron teaching me to take setbacks in stride.  Thank you to the Haslam Scholars Program for their monetary support of the Italian portion of this thesis.</w:t>
      </w:r>
    </w:p>
    <w:p w14:paraId="1C057A62" w14:textId="77777777" w:rsidR="00013901" w:rsidRDefault="00013901" w:rsidP="00070F8E">
      <w:pPr>
        <w:widowControl w:val="0"/>
        <w:autoSpaceDE w:val="0"/>
        <w:autoSpaceDN w:val="0"/>
        <w:adjustRightInd w:val="0"/>
        <w:spacing w:after="0" w:line="480" w:lineRule="auto"/>
      </w:pPr>
    </w:p>
    <w:p w14:paraId="1934CC75" w14:textId="77777777" w:rsidR="00013901" w:rsidRDefault="00013901" w:rsidP="00070F8E">
      <w:pPr>
        <w:widowControl w:val="0"/>
        <w:autoSpaceDE w:val="0"/>
        <w:autoSpaceDN w:val="0"/>
        <w:adjustRightInd w:val="0"/>
        <w:spacing w:after="0" w:line="480" w:lineRule="auto"/>
      </w:pPr>
    </w:p>
    <w:p w14:paraId="19946997" w14:textId="77777777" w:rsidR="00013901" w:rsidRDefault="00013901" w:rsidP="00070F8E">
      <w:pPr>
        <w:widowControl w:val="0"/>
        <w:autoSpaceDE w:val="0"/>
        <w:autoSpaceDN w:val="0"/>
        <w:adjustRightInd w:val="0"/>
        <w:spacing w:after="0" w:line="480" w:lineRule="auto"/>
      </w:pPr>
    </w:p>
    <w:p w14:paraId="6DA38B76" w14:textId="77777777" w:rsidR="00013901" w:rsidRDefault="00013901" w:rsidP="00070F8E">
      <w:pPr>
        <w:widowControl w:val="0"/>
        <w:autoSpaceDE w:val="0"/>
        <w:autoSpaceDN w:val="0"/>
        <w:adjustRightInd w:val="0"/>
        <w:spacing w:after="0" w:line="480" w:lineRule="auto"/>
      </w:pPr>
    </w:p>
    <w:p w14:paraId="362A2441" w14:textId="77777777" w:rsidR="00013901" w:rsidRDefault="00013901" w:rsidP="00070F8E">
      <w:pPr>
        <w:widowControl w:val="0"/>
        <w:autoSpaceDE w:val="0"/>
        <w:autoSpaceDN w:val="0"/>
        <w:adjustRightInd w:val="0"/>
        <w:spacing w:after="0" w:line="480" w:lineRule="auto"/>
      </w:pPr>
    </w:p>
    <w:p w14:paraId="09BDAB28" w14:textId="77777777" w:rsidR="00013901" w:rsidRDefault="00013901" w:rsidP="00070F8E">
      <w:pPr>
        <w:widowControl w:val="0"/>
        <w:autoSpaceDE w:val="0"/>
        <w:autoSpaceDN w:val="0"/>
        <w:adjustRightInd w:val="0"/>
        <w:spacing w:after="0" w:line="480" w:lineRule="auto"/>
      </w:pPr>
    </w:p>
    <w:p w14:paraId="4C5BD354" w14:textId="77777777" w:rsidR="00013901" w:rsidRDefault="00013901" w:rsidP="00070F8E">
      <w:pPr>
        <w:widowControl w:val="0"/>
        <w:autoSpaceDE w:val="0"/>
        <w:autoSpaceDN w:val="0"/>
        <w:adjustRightInd w:val="0"/>
        <w:spacing w:after="0" w:line="480" w:lineRule="auto"/>
      </w:pPr>
    </w:p>
    <w:p w14:paraId="79C72763" w14:textId="77777777" w:rsidR="00013901" w:rsidRDefault="00013901" w:rsidP="00070F8E">
      <w:pPr>
        <w:widowControl w:val="0"/>
        <w:autoSpaceDE w:val="0"/>
        <w:autoSpaceDN w:val="0"/>
        <w:adjustRightInd w:val="0"/>
        <w:spacing w:after="0" w:line="480" w:lineRule="auto"/>
      </w:pPr>
    </w:p>
    <w:p w14:paraId="3958BFFD" w14:textId="720C6F01" w:rsidR="00A75D60" w:rsidRPr="00013901" w:rsidRDefault="00A651F0" w:rsidP="00070F8E">
      <w:pPr>
        <w:widowControl w:val="0"/>
        <w:autoSpaceDE w:val="0"/>
        <w:autoSpaceDN w:val="0"/>
        <w:adjustRightInd w:val="0"/>
        <w:spacing w:after="0" w:line="480" w:lineRule="auto"/>
        <w:rPr>
          <w:b/>
        </w:rPr>
      </w:pPr>
      <w:r w:rsidRPr="00013901">
        <w:rPr>
          <w:b/>
        </w:rPr>
        <w:lastRenderedPageBreak/>
        <w:t>9</w:t>
      </w:r>
      <w:r w:rsidR="00A75D60" w:rsidRPr="00013901">
        <w:rPr>
          <w:b/>
        </w:rPr>
        <w:t>. References</w:t>
      </w:r>
    </w:p>
    <w:p w14:paraId="114A0E37" w14:textId="77777777" w:rsidR="003967D7" w:rsidRPr="003967D7" w:rsidRDefault="00A75D60" w:rsidP="003967D7">
      <w:pPr>
        <w:pStyle w:val="Bibliography"/>
        <w:rPr>
          <w:rFonts w:ascii="Calibri" w:hAnsi="Calibri"/>
        </w:rPr>
      </w:pPr>
      <w:r>
        <w:fldChar w:fldCharType="begin"/>
      </w:r>
      <w:r w:rsidR="00622627">
        <w:instrText xml:space="preserve"> ADDIN ZOTERO_BIBL {"custom":[]} CSL_BIBLIOGRAPHY </w:instrText>
      </w:r>
      <w:r>
        <w:fldChar w:fldCharType="separate"/>
      </w:r>
      <w:r w:rsidR="003967D7" w:rsidRPr="003967D7">
        <w:rPr>
          <w:rFonts w:ascii="Calibri" w:hAnsi="Calibri"/>
        </w:rPr>
        <w:t xml:space="preserve">(1) </w:t>
      </w:r>
      <w:r w:rsidR="003967D7" w:rsidRPr="003967D7">
        <w:rPr>
          <w:rFonts w:ascii="Calibri" w:hAnsi="Calibri"/>
        </w:rPr>
        <w:tab/>
        <w:t xml:space="preserve">Ponce de León, C.; Frías-Ferrer, A.; González-García, J.; Szánto, D. A.; Walsh, F. C. </w:t>
      </w:r>
      <w:r w:rsidR="003967D7" w:rsidRPr="003967D7">
        <w:rPr>
          <w:rFonts w:ascii="Calibri" w:hAnsi="Calibri"/>
          <w:i/>
          <w:iCs/>
        </w:rPr>
        <w:t>Journal of Power Sources</w:t>
      </w:r>
      <w:r w:rsidR="003967D7" w:rsidRPr="003967D7">
        <w:rPr>
          <w:rFonts w:ascii="Calibri" w:hAnsi="Calibri"/>
        </w:rPr>
        <w:t xml:space="preserve"> </w:t>
      </w:r>
      <w:r w:rsidR="003967D7" w:rsidRPr="003967D7">
        <w:rPr>
          <w:rFonts w:ascii="Calibri" w:hAnsi="Calibri"/>
          <w:b/>
          <w:bCs/>
        </w:rPr>
        <w:t>2006</w:t>
      </w:r>
      <w:r w:rsidR="003967D7" w:rsidRPr="003967D7">
        <w:rPr>
          <w:rFonts w:ascii="Calibri" w:hAnsi="Calibri"/>
        </w:rPr>
        <w:t xml:space="preserve">, </w:t>
      </w:r>
      <w:r w:rsidR="003967D7" w:rsidRPr="003967D7">
        <w:rPr>
          <w:rFonts w:ascii="Calibri" w:hAnsi="Calibri"/>
          <w:i/>
          <w:iCs/>
        </w:rPr>
        <w:t>160</w:t>
      </w:r>
      <w:r w:rsidR="003967D7" w:rsidRPr="003967D7">
        <w:rPr>
          <w:rFonts w:ascii="Calibri" w:hAnsi="Calibri"/>
        </w:rPr>
        <w:t xml:space="preserve"> (1), 716–732.</w:t>
      </w:r>
    </w:p>
    <w:p w14:paraId="610FFC71" w14:textId="77777777" w:rsidR="003967D7" w:rsidRPr="003967D7" w:rsidRDefault="003967D7" w:rsidP="003967D7">
      <w:pPr>
        <w:pStyle w:val="Bibliography"/>
        <w:rPr>
          <w:rFonts w:ascii="Calibri" w:hAnsi="Calibri"/>
        </w:rPr>
      </w:pPr>
      <w:r w:rsidRPr="003967D7">
        <w:rPr>
          <w:rFonts w:ascii="Calibri" w:hAnsi="Calibri"/>
        </w:rPr>
        <w:t xml:space="preserve">(2) </w:t>
      </w:r>
      <w:r w:rsidRPr="003967D7">
        <w:rPr>
          <w:rFonts w:ascii="Calibri" w:hAnsi="Calibri"/>
        </w:rPr>
        <w:tab/>
        <w:t xml:space="preserve">Weber, A.; Mench, M.; Meyers, J.; Ross, P.; Gostick, J.; Liu, Q. </w:t>
      </w:r>
      <w:r w:rsidRPr="003967D7">
        <w:rPr>
          <w:rFonts w:ascii="Calibri" w:hAnsi="Calibri"/>
          <w:i/>
          <w:iCs/>
        </w:rPr>
        <w:t>Journal of Applied Electrochemistry</w:t>
      </w:r>
      <w:r w:rsidRPr="003967D7">
        <w:rPr>
          <w:rFonts w:ascii="Calibri" w:hAnsi="Calibri"/>
        </w:rPr>
        <w:t xml:space="preserve"> </w:t>
      </w:r>
      <w:r w:rsidRPr="003967D7">
        <w:rPr>
          <w:rFonts w:ascii="Calibri" w:hAnsi="Calibri"/>
          <w:b/>
          <w:bCs/>
        </w:rPr>
        <w:t>2011</w:t>
      </w:r>
      <w:r w:rsidRPr="003967D7">
        <w:rPr>
          <w:rFonts w:ascii="Calibri" w:hAnsi="Calibri"/>
        </w:rPr>
        <w:t xml:space="preserve">, </w:t>
      </w:r>
      <w:r w:rsidRPr="003967D7">
        <w:rPr>
          <w:rFonts w:ascii="Calibri" w:hAnsi="Calibri"/>
          <w:i/>
          <w:iCs/>
        </w:rPr>
        <w:t>41</w:t>
      </w:r>
      <w:r w:rsidRPr="003967D7">
        <w:rPr>
          <w:rFonts w:ascii="Calibri" w:hAnsi="Calibri"/>
        </w:rPr>
        <w:t xml:space="preserve"> (10), 1137–1164.</w:t>
      </w:r>
    </w:p>
    <w:p w14:paraId="3D545830" w14:textId="77777777" w:rsidR="003967D7" w:rsidRPr="003967D7" w:rsidRDefault="003967D7" w:rsidP="003967D7">
      <w:pPr>
        <w:pStyle w:val="Bibliography"/>
        <w:rPr>
          <w:rFonts w:ascii="Calibri" w:hAnsi="Calibri"/>
        </w:rPr>
      </w:pPr>
      <w:r w:rsidRPr="003967D7">
        <w:rPr>
          <w:rFonts w:ascii="Calibri" w:hAnsi="Calibri"/>
        </w:rPr>
        <w:t xml:space="preserve">(3) </w:t>
      </w:r>
      <w:r w:rsidRPr="003967D7">
        <w:rPr>
          <w:rFonts w:ascii="Calibri" w:hAnsi="Calibri"/>
        </w:rPr>
        <w:tab/>
        <w:t xml:space="preserve">Skyllas-Kazacos, M.; Chakrabarti, M. H.; Hajimolana, S. A.; Mjalli, F. S.; Saleem, M. </w:t>
      </w:r>
      <w:r w:rsidRPr="003967D7">
        <w:rPr>
          <w:rFonts w:ascii="Calibri" w:hAnsi="Calibri"/>
          <w:i/>
          <w:iCs/>
        </w:rPr>
        <w:t>Journal of The Electrochemical Society</w:t>
      </w:r>
      <w:r w:rsidRPr="003967D7">
        <w:rPr>
          <w:rFonts w:ascii="Calibri" w:hAnsi="Calibri"/>
        </w:rPr>
        <w:t xml:space="preserve"> </w:t>
      </w:r>
      <w:r w:rsidRPr="003967D7">
        <w:rPr>
          <w:rFonts w:ascii="Calibri" w:hAnsi="Calibri"/>
          <w:b/>
          <w:bCs/>
        </w:rPr>
        <w:t>2011</w:t>
      </w:r>
      <w:r w:rsidRPr="003967D7">
        <w:rPr>
          <w:rFonts w:ascii="Calibri" w:hAnsi="Calibri"/>
        </w:rPr>
        <w:t xml:space="preserve">, </w:t>
      </w:r>
      <w:r w:rsidRPr="003967D7">
        <w:rPr>
          <w:rFonts w:ascii="Calibri" w:hAnsi="Calibri"/>
          <w:i/>
          <w:iCs/>
        </w:rPr>
        <w:t>158</w:t>
      </w:r>
      <w:r w:rsidRPr="003967D7">
        <w:rPr>
          <w:rFonts w:ascii="Calibri" w:hAnsi="Calibri"/>
        </w:rPr>
        <w:t xml:space="preserve"> (8), R55–R79.</w:t>
      </w:r>
    </w:p>
    <w:p w14:paraId="67C7FACF" w14:textId="77777777" w:rsidR="003967D7" w:rsidRPr="003967D7" w:rsidRDefault="003967D7" w:rsidP="003967D7">
      <w:pPr>
        <w:pStyle w:val="Bibliography"/>
        <w:rPr>
          <w:rFonts w:ascii="Calibri" w:hAnsi="Calibri"/>
        </w:rPr>
      </w:pPr>
      <w:r w:rsidRPr="003967D7">
        <w:rPr>
          <w:rFonts w:ascii="Calibri" w:hAnsi="Calibri"/>
        </w:rPr>
        <w:t xml:space="preserve">(4) </w:t>
      </w:r>
      <w:r w:rsidRPr="003967D7">
        <w:rPr>
          <w:rFonts w:ascii="Calibri" w:hAnsi="Calibri"/>
        </w:rPr>
        <w:tab/>
        <w:t xml:space="preserve">Skyllas-Kazacos, M.; Rychcik, M.; Robins, R. G.; Fane, A. G. </w:t>
      </w:r>
      <w:r w:rsidRPr="003967D7">
        <w:rPr>
          <w:rFonts w:ascii="Calibri" w:hAnsi="Calibri"/>
          <w:i/>
          <w:iCs/>
        </w:rPr>
        <w:t>Journal of the Electrochemical Society</w:t>
      </w:r>
      <w:r w:rsidRPr="003967D7">
        <w:rPr>
          <w:rFonts w:ascii="Calibri" w:hAnsi="Calibri"/>
        </w:rPr>
        <w:t xml:space="preserve"> </w:t>
      </w:r>
      <w:r w:rsidRPr="003967D7">
        <w:rPr>
          <w:rFonts w:ascii="Calibri" w:hAnsi="Calibri"/>
          <w:b/>
          <w:bCs/>
        </w:rPr>
        <w:t>1986</w:t>
      </w:r>
      <w:r w:rsidRPr="003967D7">
        <w:rPr>
          <w:rFonts w:ascii="Calibri" w:hAnsi="Calibri"/>
        </w:rPr>
        <w:t xml:space="preserve">, </w:t>
      </w:r>
      <w:r w:rsidRPr="003967D7">
        <w:rPr>
          <w:rFonts w:ascii="Calibri" w:hAnsi="Calibri"/>
          <w:i/>
          <w:iCs/>
        </w:rPr>
        <w:t>133</w:t>
      </w:r>
      <w:r w:rsidRPr="003967D7">
        <w:rPr>
          <w:rFonts w:ascii="Calibri" w:hAnsi="Calibri"/>
        </w:rPr>
        <w:t xml:space="preserve"> (5), 1057–1058.</w:t>
      </w:r>
    </w:p>
    <w:p w14:paraId="7DEDBB13" w14:textId="77777777" w:rsidR="003967D7" w:rsidRPr="003967D7" w:rsidRDefault="003967D7" w:rsidP="003967D7">
      <w:pPr>
        <w:pStyle w:val="Bibliography"/>
        <w:rPr>
          <w:rFonts w:ascii="Calibri" w:hAnsi="Calibri"/>
        </w:rPr>
      </w:pPr>
      <w:r w:rsidRPr="003967D7">
        <w:rPr>
          <w:rFonts w:ascii="Calibri" w:hAnsi="Calibri"/>
        </w:rPr>
        <w:t xml:space="preserve">(5) </w:t>
      </w:r>
      <w:r w:rsidRPr="003967D7">
        <w:rPr>
          <w:rFonts w:ascii="Calibri" w:hAnsi="Calibri"/>
        </w:rPr>
        <w:tab/>
        <w:t xml:space="preserve">Fabjan, C.; Garche, J.; Harrer, B.; Jörissen, L.; Kolbeck, C.; Philippi, F.; Tomazic, G.; Wagner, F. </w:t>
      </w:r>
      <w:r w:rsidRPr="003967D7">
        <w:rPr>
          <w:rFonts w:ascii="Calibri" w:hAnsi="Calibri"/>
          <w:i/>
          <w:iCs/>
        </w:rPr>
        <w:t>Electrochimica Acta</w:t>
      </w:r>
      <w:r w:rsidRPr="003967D7">
        <w:rPr>
          <w:rFonts w:ascii="Calibri" w:hAnsi="Calibri"/>
        </w:rPr>
        <w:t xml:space="preserve"> </w:t>
      </w:r>
      <w:r w:rsidRPr="003967D7">
        <w:rPr>
          <w:rFonts w:ascii="Calibri" w:hAnsi="Calibri"/>
          <w:b/>
          <w:bCs/>
        </w:rPr>
        <w:t>2001</w:t>
      </w:r>
      <w:r w:rsidRPr="003967D7">
        <w:rPr>
          <w:rFonts w:ascii="Calibri" w:hAnsi="Calibri"/>
        </w:rPr>
        <w:t xml:space="preserve">, </w:t>
      </w:r>
      <w:r w:rsidRPr="003967D7">
        <w:rPr>
          <w:rFonts w:ascii="Calibri" w:hAnsi="Calibri"/>
          <w:i/>
          <w:iCs/>
        </w:rPr>
        <w:t>47</w:t>
      </w:r>
      <w:r w:rsidRPr="003967D7">
        <w:rPr>
          <w:rFonts w:ascii="Calibri" w:hAnsi="Calibri"/>
        </w:rPr>
        <w:t xml:space="preserve"> (5), 825–831.</w:t>
      </w:r>
    </w:p>
    <w:p w14:paraId="242ECCFA" w14:textId="77777777" w:rsidR="003967D7" w:rsidRPr="003967D7" w:rsidRDefault="003967D7" w:rsidP="003967D7">
      <w:pPr>
        <w:pStyle w:val="Bibliography"/>
        <w:rPr>
          <w:rFonts w:ascii="Calibri" w:hAnsi="Calibri"/>
        </w:rPr>
      </w:pPr>
      <w:r w:rsidRPr="003967D7">
        <w:rPr>
          <w:rFonts w:ascii="Calibri" w:hAnsi="Calibri"/>
        </w:rPr>
        <w:t xml:space="preserve">(6) </w:t>
      </w:r>
      <w:r w:rsidRPr="003967D7">
        <w:rPr>
          <w:rFonts w:ascii="Calibri" w:hAnsi="Calibri"/>
        </w:rPr>
        <w:tab/>
        <w:t xml:space="preserve">Aaron, D. S.; Liu, Q.; Tang, Z.; Grim, G. M.; Papandrew, A. B.; Turhan, A.; Zawodzinski, T. A.; Mench, M. M. </w:t>
      </w:r>
      <w:r w:rsidRPr="003967D7">
        <w:rPr>
          <w:rFonts w:ascii="Calibri" w:hAnsi="Calibri"/>
          <w:i/>
          <w:iCs/>
        </w:rPr>
        <w:t>Journal of Power Sources</w:t>
      </w:r>
      <w:r w:rsidRPr="003967D7">
        <w:rPr>
          <w:rFonts w:ascii="Calibri" w:hAnsi="Calibri"/>
        </w:rPr>
        <w:t xml:space="preserve"> </w:t>
      </w:r>
      <w:r w:rsidRPr="003967D7">
        <w:rPr>
          <w:rFonts w:ascii="Calibri" w:hAnsi="Calibri"/>
          <w:b/>
          <w:bCs/>
        </w:rPr>
        <w:t>2012</w:t>
      </w:r>
      <w:r w:rsidRPr="003967D7">
        <w:rPr>
          <w:rFonts w:ascii="Calibri" w:hAnsi="Calibri"/>
        </w:rPr>
        <w:t xml:space="preserve">, </w:t>
      </w:r>
      <w:r w:rsidRPr="003967D7">
        <w:rPr>
          <w:rFonts w:ascii="Calibri" w:hAnsi="Calibri"/>
          <w:i/>
          <w:iCs/>
        </w:rPr>
        <w:t>206</w:t>
      </w:r>
      <w:r w:rsidRPr="003967D7">
        <w:rPr>
          <w:rFonts w:ascii="Calibri" w:hAnsi="Calibri"/>
        </w:rPr>
        <w:t xml:space="preserve"> (0), 450–453.</w:t>
      </w:r>
    </w:p>
    <w:p w14:paraId="327A5D13" w14:textId="77777777" w:rsidR="003967D7" w:rsidRPr="003967D7" w:rsidRDefault="003967D7" w:rsidP="003967D7">
      <w:pPr>
        <w:pStyle w:val="Bibliography"/>
        <w:rPr>
          <w:rFonts w:ascii="Calibri" w:hAnsi="Calibri"/>
        </w:rPr>
      </w:pPr>
      <w:r w:rsidRPr="003967D7">
        <w:rPr>
          <w:rFonts w:ascii="Calibri" w:hAnsi="Calibri"/>
        </w:rPr>
        <w:t xml:space="preserve">(7) </w:t>
      </w:r>
      <w:r w:rsidRPr="003967D7">
        <w:rPr>
          <w:rFonts w:ascii="Calibri" w:hAnsi="Calibri"/>
        </w:rPr>
        <w:tab/>
        <w:t xml:space="preserve">Li, L.; Kim, S.; Wang, W.; Vijayakumar, M.; Nie, Z.; Chen, B.; Zhang, J.; Xia, G.; Hu, J.; Graff, G.; Liu, J.; Yang, Z. </w:t>
      </w:r>
      <w:r w:rsidRPr="003967D7">
        <w:rPr>
          <w:rFonts w:ascii="Calibri" w:hAnsi="Calibri"/>
          <w:i/>
          <w:iCs/>
        </w:rPr>
        <w:t>Adv. Energy Mater.</w:t>
      </w:r>
      <w:r w:rsidRPr="003967D7">
        <w:rPr>
          <w:rFonts w:ascii="Calibri" w:hAnsi="Calibri"/>
        </w:rPr>
        <w:t xml:space="preserve"> </w:t>
      </w:r>
      <w:r w:rsidRPr="003967D7">
        <w:rPr>
          <w:rFonts w:ascii="Calibri" w:hAnsi="Calibri"/>
          <w:b/>
          <w:bCs/>
        </w:rPr>
        <w:t>2011</w:t>
      </w:r>
      <w:r w:rsidRPr="003967D7">
        <w:rPr>
          <w:rFonts w:ascii="Calibri" w:hAnsi="Calibri"/>
        </w:rPr>
        <w:t xml:space="preserve">, </w:t>
      </w:r>
      <w:r w:rsidRPr="003967D7">
        <w:rPr>
          <w:rFonts w:ascii="Calibri" w:hAnsi="Calibri"/>
          <w:i/>
          <w:iCs/>
        </w:rPr>
        <w:t>1</w:t>
      </w:r>
      <w:r w:rsidRPr="003967D7">
        <w:rPr>
          <w:rFonts w:ascii="Calibri" w:hAnsi="Calibri"/>
        </w:rPr>
        <w:t xml:space="preserve"> (3), 394–400.</w:t>
      </w:r>
    </w:p>
    <w:p w14:paraId="1B517BF8" w14:textId="77777777" w:rsidR="003967D7" w:rsidRPr="003967D7" w:rsidRDefault="003967D7" w:rsidP="003967D7">
      <w:pPr>
        <w:pStyle w:val="Bibliography"/>
        <w:rPr>
          <w:rFonts w:ascii="Calibri" w:hAnsi="Calibri"/>
        </w:rPr>
      </w:pPr>
      <w:r w:rsidRPr="003967D7">
        <w:rPr>
          <w:rFonts w:ascii="Calibri" w:hAnsi="Calibri"/>
        </w:rPr>
        <w:t xml:space="preserve">(8) </w:t>
      </w:r>
      <w:r w:rsidRPr="003967D7">
        <w:rPr>
          <w:rFonts w:ascii="Calibri" w:hAnsi="Calibri"/>
        </w:rPr>
        <w:tab/>
        <w:t xml:space="preserve">Liu, Q. H.; Grim, G. M.; Papandrew, A. B.; Turhan, A.; Zawodzinski, T. A.; Mench, M. M. </w:t>
      </w:r>
      <w:r w:rsidRPr="003967D7">
        <w:rPr>
          <w:rFonts w:ascii="Calibri" w:hAnsi="Calibri"/>
          <w:i/>
          <w:iCs/>
        </w:rPr>
        <w:t>Journal of The Electrochemical Society</w:t>
      </w:r>
      <w:r w:rsidRPr="003967D7">
        <w:rPr>
          <w:rFonts w:ascii="Calibri" w:hAnsi="Calibri"/>
        </w:rPr>
        <w:t xml:space="preserve"> </w:t>
      </w:r>
      <w:r w:rsidRPr="003967D7">
        <w:rPr>
          <w:rFonts w:ascii="Calibri" w:hAnsi="Calibri"/>
          <w:b/>
          <w:bCs/>
        </w:rPr>
        <w:t>2012</w:t>
      </w:r>
      <w:r w:rsidRPr="003967D7">
        <w:rPr>
          <w:rFonts w:ascii="Calibri" w:hAnsi="Calibri"/>
        </w:rPr>
        <w:t xml:space="preserve">, </w:t>
      </w:r>
      <w:r w:rsidRPr="003967D7">
        <w:rPr>
          <w:rFonts w:ascii="Calibri" w:hAnsi="Calibri"/>
          <w:i/>
          <w:iCs/>
        </w:rPr>
        <w:t>159</w:t>
      </w:r>
      <w:r w:rsidRPr="003967D7">
        <w:rPr>
          <w:rFonts w:ascii="Calibri" w:hAnsi="Calibri"/>
        </w:rPr>
        <w:t xml:space="preserve"> (8), A1246–A1252.</w:t>
      </w:r>
    </w:p>
    <w:p w14:paraId="200D994F" w14:textId="77777777" w:rsidR="003967D7" w:rsidRPr="003967D7" w:rsidRDefault="003967D7" w:rsidP="003967D7">
      <w:pPr>
        <w:pStyle w:val="Bibliography"/>
        <w:rPr>
          <w:rFonts w:ascii="Calibri" w:hAnsi="Calibri"/>
        </w:rPr>
      </w:pPr>
      <w:r w:rsidRPr="003967D7">
        <w:rPr>
          <w:rFonts w:ascii="Calibri" w:hAnsi="Calibri"/>
        </w:rPr>
        <w:t xml:space="preserve">(9) </w:t>
      </w:r>
      <w:r w:rsidRPr="003967D7">
        <w:rPr>
          <w:rFonts w:ascii="Calibri" w:hAnsi="Calibri"/>
        </w:rPr>
        <w:tab/>
        <w:t xml:space="preserve">Aaron, D.; Tang, Z.; Papandrew, A.; Zawodzinski, T. </w:t>
      </w:r>
      <w:r w:rsidRPr="003967D7">
        <w:rPr>
          <w:rFonts w:ascii="Calibri" w:hAnsi="Calibri"/>
          <w:i/>
          <w:iCs/>
        </w:rPr>
        <w:t>Journal of Applied Electrochemistry</w:t>
      </w:r>
      <w:r w:rsidRPr="003967D7">
        <w:rPr>
          <w:rFonts w:ascii="Calibri" w:hAnsi="Calibri"/>
        </w:rPr>
        <w:t xml:space="preserve"> </w:t>
      </w:r>
      <w:r w:rsidRPr="003967D7">
        <w:rPr>
          <w:rFonts w:ascii="Calibri" w:hAnsi="Calibri"/>
          <w:b/>
          <w:bCs/>
        </w:rPr>
        <w:t>2011</w:t>
      </w:r>
      <w:r w:rsidRPr="003967D7">
        <w:rPr>
          <w:rFonts w:ascii="Calibri" w:hAnsi="Calibri"/>
        </w:rPr>
        <w:t xml:space="preserve">, </w:t>
      </w:r>
      <w:r w:rsidRPr="003967D7">
        <w:rPr>
          <w:rFonts w:ascii="Calibri" w:hAnsi="Calibri"/>
          <w:i/>
          <w:iCs/>
        </w:rPr>
        <w:t>41</w:t>
      </w:r>
      <w:r w:rsidRPr="003967D7">
        <w:rPr>
          <w:rFonts w:ascii="Calibri" w:hAnsi="Calibri"/>
        </w:rPr>
        <w:t xml:space="preserve"> (10), 1175–1182.</w:t>
      </w:r>
    </w:p>
    <w:p w14:paraId="44BF38BA" w14:textId="77777777" w:rsidR="003967D7" w:rsidRPr="003967D7" w:rsidRDefault="003967D7" w:rsidP="003967D7">
      <w:pPr>
        <w:pStyle w:val="Bibliography"/>
        <w:rPr>
          <w:rFonts w:ascii="Calibri" w:hAnsi="Calibri"/>
        </w:rPr>
      </w:pPr>
      <w:r w:rsidRPr="003967D7">
        <w:rPr>
          <w:rFonts w:ascii="Calibri" w:hAnsi="Calibri"/>
        </w:rPr>
        <w:t xml:space="preserve">(10) </w:t>
      </w:r>
      <w:r w:rsidRPr="003967D7">
        <w:rPr>
          <w:rFonts w:ascii="Calibri" w:hAnsi="Calibri"/>
        </w:rPr>
        <w:tab/>
        <w:t xml:space="preserve">Aaron, D. S.; Tang, Z.; Lawton, J. S.; Papandrew, A. P.; Zawodzinski, T. A. </w:t>
      </w:r>
      <w:r w:rsidRPr="003967D7">
        <w:rPr>
          <w:rFonts w:ascii="Calibri" w:hAnsi="Calibri"/>
          <w:i/>
          <w:iCs/>
        </w:rPr>
        <w:t>ECS Transactions</w:t>
      </w:r>
      <w:r w:rsidRPr="003967D7">
        <w:rPr>
          <w:rFonts w:ascii="Calibri" w:hAnsi="Calibri"/>
        </w:rPr>
        <w:t xml:space="preserve"> </w:t>
      </w:r>
      <w:r w:rsidRPr="003967D7">
        <w:rPr>
          <w:rFonts w:ascii="Calibri" w:hAnsi="Calibri"/>
          <w:b/>
          <w:bCs/>
        </w:rPr>
        <w:t>2012</w:t>
      </w:r>
      <w:r w:rsidRPr="003967D7">
        <w:rPr>
          <w:rFonts w:ascii="Calibri" w:hAnsi="Calibri"/>
        </w:rPr>
        <w:t xml:space="preserve">, </w:t>
      </w:r>
      <w:r w:rsidRPr="003967D7">
        <w:rPr>
          <w:rFonts w:ascii="Calibri" w:hAnsi="Calibri"/>
          <w:i/>
          <w:iCs/>
        </w:rPr>
        <w:t>41</w:t>
      </w:r>
      <w:r w:rsidRPr="003967D7">
        <w:rPr>
          <w:rFonts w:ascii="Calibri" w:hAnsi="Calibri"/>
        </w:rPr>
        <w:t xml:space="preserve"> (23), 43–51.</w:t>
      </w:r>
    </w:p>
    <w:p w14:paraId="76F006EB" w14:textId="77777777" w:rsidR="003967D7" w:rsidRPr="003967D7" w:rsidRDefault="003967D7" w:rsidP="003967D7">
      <w:pPr>
        <w:pStyle w:val="Bibliography"/>
        <w:rPr>
          <w:rFonts w:ascii="Calibri" w:hAnsi="Calibri"/>
        </w:rPr>
      </w:pPr>
      <w:r w:rsidRPr="003967D7">
        <w:rPr>
          <w:rFonts w:ascii="Calibri" w:hAnsi="Calibri"/>
        </w:rPr>
        <w:t xml:space="preserve">(11) </w:t>
      </w:r>
      <w:r w:rsidRPr="003967D7">
        <w:rPr>
          <w:rFonts w:ascii="Calibri" w:hAnsi="Calibri"/>
        </w:rPr>
        <w:tab/>
        <w:t xml:space="preserve">Gattrell, M.; Park, J.; MacDougall, B.; Apte, J.; McCarthy, S.; Wu, C. W. </w:t>
      </w:r>
      <w:r w:rsidRPr="003967D7">
        <w:rPr>
          <w:rFonts w:ascii="Calibri" w:hAnsi="Calibri"/>
          <w:i/>
          <w:iCs/>
        </w:rPr>
        <w:t>Journal of The Electrochemical Society</w:t>
      </w:r>
      <w:r w:rsidRPr="003967D7">
        <w:rPr>
          <w:rFonts w:ascii="Calibri" w:hAnsi="Calibri"/>
        </w:rPr>
        <w:t xml:space="preserve"> </w:t>
      </w:r>
      <w:r w:rsidRPr="003967D7">
        <w:rPr>
          <w:rFonts w:ascii="Calibri" w:hAnsi="Calibri"/>
          <w:b/>
          <w:bCs/>
        </w:rPr>
        <w:t>2004</w:t>
      </w:r>
      <w:r w:rsidRPr="003967D7">
        <w:rPr>
          <w:rFonts w:ascii="Calibri" w:hAnsi="Calibri"/>
        </w:rPr>
        <w:t xml:space="preserve">, </w:t>
      </w:r>
      <w:r w:rsidRPr="003967D7">
        <w:rPr>
          <w:rFonts w:ascii="Calibri" w:hAnsi="Calibri"/>
          <w:i/>
          <w:iCs/>
        </w:rPr>
        <w:t>151</w:t>
      </w:r>
      <w:r w:rsidRPr="003967D7">
        <w:rPr>
          <w:rFonts w:ascii="Calibri" w:hAnsi="Calibri"/>
        </w:rPr>
        <w:t xml:space="preserve"> (1), A123–A130.</w:t>
      </w:r>
    </w:p>
    <w:p w14:paraId="71464CEB" w14:textId="77777777" w:rsidR="003967D7" w:rsidRPr="003967D7" w:rsidRDefault="003967D7" w:rsidP="003967D7">
      <w:pPr>
        <w:pStyle w:val="Bibliography"/>
        <w:rPr>
          <w:rFonts w:ascii="Calibri" w:hAnsi="Calibri"/>
        </w:rPr>
      </w:pPr>
      <w:r w:rsidRPr="003967D7">
        <w:rPr>
          <w:rFonts w:ascii="Calibri" w:hAnsi="Calibri"/>
        </w:rPr>
        <w:t xml:space="preserve">(12) </w:t>
      </w:r>
      <w:r w:rsidRPr="003967D7">
        <w:rPr>
          <w:rFonts w:ascii="Calibri" w:hAnsi="Calibri"/>
        </w:rPr>
        <w:tab/>
        <w:t xml:space="preserve">Kaneko, H.; Nozaki, K.; Wada, Y.; Aoki, T.; Negishi, A.; Kamimoto, M. </w:t>
      </w:r>
      <w:r w:rsidRPr="003967D7">
        <w:rPr>
          <w:rFonts w:ascii="Calibri" w:hAnsi="Calibri"/>
          <w:i/>
          <w:iCs/>
        </w:rPr>
        <w:t>Electrochimica Acta</w:t>
      </w:r>
      <w:r w:rsidRPr="003967D7">
        <w:rPr>
          <w:rFonts w:ascii="Calibri" w:hAnsi="Calibri"/>
        </w:rPr>
        <w:t xml:space="preserve"> </w:t>
      </w:r>
      <w:r w:rsidRPr="003967D7">
        <w:rPr>
          <w:rFonts w:ascii="Calibri" w:hAnsi="Calibri"/>
          <w:b/>
          <w:bCs/>
        </w:rPr>
        <w:t>1991</w:t>
      </w:r>
      <w:r w:rsidRPr="003967D7">
        <w:rPr>
          <w:rFonts w:ascii="Calibri" w:hAnsi="Calibri"/>
        </w:rPr>
        <w:t xml:space="preserve">, </w:t>
      </w:r>
      <w:r w:rsidRPr="003967D7">
        <w:rPr>
          <w:rFonts w:ascii="Calibri" w:hAnsi="Calibri"/>
          <w:i/>
          <w:iCs/>
        </w:rPr>
        <w:t>36</w:t>
      </w:r>
      <w:r w:rsidRPr="003967D7">
        <w:rPr>
          <w:rFonts w:ascii="Calibri" w:hAnsi="Calibri"/>
        </w:rPr>
        <w:t xml:space="preserve"> (7), 1191–1196.</w:t>
      </w:r>
    </w:p>
    <w:p w14:paraId="3101D4C6" w14:textId="77777777" w:rsidR="003967D7" w:rsidRPr="003967D7" w:rsidRDefault="003967D7" w:rsidP="003967D7">
      <w:pPr>
        <w:pStyle w:val="Bibliography"/>
        <w:rPr>
          <w:rFonts w:ascii="Calibri" w:hAnsi="Calibri"/>
        </w:rPr>
      </w:pPr>
      <w:r w:rsidRPr="003967D7">
        <w:rPr>
          <w:rFonts w:ascii="Calibri" w:hAnsi="Calibri"/>
        </w:rPr>
        <w:t xml:space="preserve">(13) </w:t>
      </w:r>
      <w:r w:rsidRPr="003967D7">
        <w:rPr>
          <w:rFonts w:ascii="Calibri" w:hAnsi="Calibri"/>
        </w:rPr>
        <w:tab/>
        <w:t xml:space="preserve">Sun, B.; Skyllas-Kazacos, M. </w:t>
      </w:r>
      <w:r w:rsidRPr="003967D7">
        <w:rPr>
          <w:rFonts w:ascii="Calibri" w:hAnsi="Calibri"/>
          <w:i/>
          <w:iCs/>
        </w:rPr>
        <w:t>Electrochimica Acta</w:t>
      </w:r>
      <w:r w:rsidRPr="003967D7">
        <w:rPr>
          <w:rFonts w:ascii="Calibri" w:hAnsi="Calibri"/>
        </w:rPr>
        <w:t xml:space="preserve"> </w:t>
      </w:r>
      <w:r w:rsidRPr="003967D7">
        <w:rPr>
          <w:rFonts w:ascii="Calibri" w:hAnsi="Calibri"/>
          <w:b/>
          <w:bCs/>
        </w:rPr>
        <w:t>1992</w:t>
      </w:r>
      <w:r w:rsidRPr="003967D7">
        <w:rPr>
          <w:rFonts w:ascii="Calibri" w:hAnsi="Calibri"/>
        </w:rPr>
        <w:t xml:space="preserve">, </w:t>
      </w:r>
      <w:r w:rsidRPr="003967D7">
        <w:rPr>
          <w:rFonts w:ascii="Calibri" w:hAnsi="Calibri"/>
          <w:i/>
          <w:iCs/>
        </w:rPr>
        <w:t>37</w:t>
      </w:r>
      <w:r w:rsidRPr="003967D7">
        <w:rPr>
          <w:rFonts w:ascii="Calibri" w:hAnsi="Calibri"/>
        </w:rPr>
        <w:t xml:space="preserve"> (7), 1253–1260.</w:t>
      </w:r>
    </w:p>
    <w:p w14:paraId="2E4C7E15" w14:textId="77777777" w:rsidR="003967D7" w:rsidRPr="003967D7" w:rsidRDefault="003967D7" w:rsidP="003967D7">
      <w:pPr>
        <w:pStyle w:val="Bibliography"/>
        <w:rPr>
          <w:rFonts w:ascii="Calibri" w:hAnsi="Calibri"/>
        </w:rPr>
      </w:pPr>
      <w:r w:rsidRPr="003967D7">
        <w:rPr>
          <w:rFonts w:ascii="Calibri" w:hAnsi="Calibri"/>
        </w:rPr>
        <w:t xml:space="preserve">(14) </w:t>
      </w:r>
      <w:r w:rsidRPr="003967D7">
        <w:rPr>
          <w:rFonts w:ascii="Calibri" w:hAnsi="Calibri"/>
        </w:rPr>
        <w:tab/>
        <w:t xml:space="preserve">Sun, B.; Skyllas-Kazacos, M. </w:t>
      </w:r>
      <w:r w:rsidRPr="003967D7">
        <w:rPr>
          <w:rFonts w:ascii="Calibri" w:hAnsi="Calibri"/>
          <w:i/>
          <w:iCs/>
        </w:rPr>
        <w:t>Electrochimica Acta</w:t>
      </w:r>
      <w:r w:rsidRPr="003967D7">
        <w:rPr>
          <w:rFonts w:ascii="Calibri" w:hAnsi="Calibri"/>
        </w:rPr>
        <w:t xml:space="preserve"> </w:t>
      </w:r>
      <w:r w:rsidRPr="003967D7">
        <w:rPr>
          <w:rFonts w:ascii="Calibri" w:hAnsi="Calibri"/>
          <w:b/>
          <w:bCs/>
        </w:rPr>
        <w:t>1992</w:t>
      </w:r>
      <w:r w:rsidRPr="003967D7">
        <w:rPr>
          <w:rFonts w:ascii="Calibri" w:hAnsi="Calibri"/>
        </w:rPr>
        <w:t xml:space="preserve">, </w:t>
      </w:r>
      <w:r w:rsidRPr="003967D7">
        <w:rPr>
          <w:rFonts w:ascii="Calibri" w:hAnsi="Calibri"/>
          <w:i/>
          <w:iCs/>
        </w:rPr>
        <w:t>37</w:t>
      </w:r>
      <w:r w:rsidRPr="003967D7">
        <w:rPr>
          <w:rFonts w:ascii="Calibri" w:hAnsi="Calibri"/>
        </w:rPr>
        <w:t xml:space="preserve"> (13), 2459–2465.</w:t>
      </w:r>
    </w:p>
    <w:p w14:paraId="478DB06A" w14:textId="77777777" w:rsidR="003967D7" w:rsidRPr="003967D7" w:rsidRDefault="003967D7" w:rsidP="003967D7">
      <w:pPr>
        <w:pStyle w:val="Bibliography"/>
        <w:rPr>
          <w:rFonts w:ascii="Calibri" w:hAnsi="Calibri"/>
        </w:rPr>
      </w:pPr>
      <w:r w:rsidRPr="003967D7">
        <w:rPr>
          <w:rFonts w:ascii="Calibri" w:hAnsi="Calibri"/>
        </w:rPr>
        <w:t xml:space="preserve">(15) </w:t>
      </w:r>
      <w:r w:rsidRPr="003967D7">
        <w:rPr>
          <w:rFonts w:ascii="Calibri" w:hAnsi="Calibri"/>
        </w:rPr>
        <w:tab/>
        <w:t xml:space="preserve">Han, P.; Wang, H.; Liu, Z.; Chen, X.; Ma, W.; Yao, J.; Zhu, Y.; Cui, G. </w:t>
      </w:r>
      <w:r w:rsidRPr="003967D7">
        <w:rPr>
          <w:rFonts w:ascii="Calibri" w:hAnsi="Calibri"/>
          <w:i/>
          <w:iCs/>
        </w:rPr>
        <w:t>Carbon</w:t>
      </w:r>
      <w:r w:rsidRPr="003967D7">
        <w:rPr>
          <w:rFonts w:ascii="Calibri" w:hAnsi="Calibri"/>
        </w:rPr>
        <w:t xml:space="preserve"> </w:t>
      </w:r>
      <w:r w:rsidRPr="003967D7">
        <w:rPr>
          <w:rFonts w:ascii="Calibri" w:hAnsi="Calibri"/>
          <w:b/>
          <w:bCs/>
        </w:rPr>
        <w:t>2011</w:t>
      </w:r>
      <w:r w:rsidRPr="003967D7">
        <w:rPr>
          <w:rFonts w:ascii="Calibri" w:hAnsi="Calibri"/>
        </w:rPr>
        <w:t xml:space="preserve">, </w:t>
      </w:r>
      <w:r w:rsidRPr="003967D7">
        <w:rPr>
          <w:rFonts w:ascii="Calibri" w:hAnsi="Calibri"/>
          <w:i/>
          <w:iCs/>
        </w:rPr>
        <w:t>49</w:t>
      </w:r>
      <w:r w:rsidRPr="003967D7">
        <w:rPr>
          <w:rFonts w:ascii="Calibri" w:hAnsi="Calibri"/>
        </w:rPr>
        <w:t xml:space="preserve"> (2), 693–700.</w:t>
      </w:r>
    </w:p>
    <w:p w14:paraId="21B5A29C" w14:textId="77777777" w:rsidR="003967D7" w:rsidRPr="003967D7" w:rsidRDefault="003967D7" w:rsidP="003967D7">
      <w:pPr>
        <w:pStyle w:val="Bibliography"/>
        <w:rPr>
          <w:rFonts w:ascii="Calibri" w:hAnsi="Calibri"/>
        </w:rPr>
      </w:pPr>
      <w:r w:rsidRPr="003967D7">
        <w:rPr>
          <w:rFonts w:ascii="Calibri" w:hAnsi="Calibri"/>
        </w:rPr>
        <w:t xml:space="preserve">(16) </w:t>
      </w:r>
      <w:r w:rsidRPr="003967D7">
        <w:rPr>
          <w:rFonts w:ascii="Calibri" w:hAnsi="Calibri"/>
        </w:rPr>
        <w:tab/>
        <w:t xml:space="preserve">Tang, Z.; Aaron, D. S.; Papandrew, A. B.; Zawodzinski, T. A. </w:t>
      </w:r>
      <w:r w:rsidRPr="003967D7">
        <w:rPr>
          <w:rFonts w:ascii="Calibri" w:hAnsi="Calibri"/>
          <w:i/>
          <w:iCs/>
        </w:rPr>
        <w:t>ECS Transactions</w:t>
      </w:r>
      <w:r w:rsidRPr="003967D7">
        <w:rPr>
          <w:rFonts w:ascii="Calibri" w:hAnsi="Calibri"/>
        </w:rPr>
        <w:t xml:space="preserve"> </w:t>
      </w:r>
      <w:r w:rsidRPr="003967D7">
        <w:rPr>
          <w:rFonts w:ascii="Calibri" w:hAnsi="Calibri"/>
          <w:b/>
          <w:bCs/>
        </w:rPr>
        <w:t>2012</w:t>
      </w:r>
      <w:r w:rsidRPr="003967D7">
        <w:rPr>
          <w:rFonts w:ascii="Calibri" w:hAnsi="Calibri"/>
        </w:rPr>
        <w:t xml:space="preserve">, </w:t>
      </w:r>
      <w:r w:rsidRPr="003967D7">
        <w:rPr>
          <w:rFonts w:ascii="Calibri" w:hAnsi="Calibri"/>
          <w:i/>
          <w:iCs/>
        </w:rPr>
        <w:t>41</w:t>
      </w:r>
      <w:r w:rsidRPr="003967D7">
        <w:rPr>
          <w:rFonts w:ascii="Calibri" w:hAnsi="Calibri"/>
        </w:rPr>
        <w:t xml:space="preserve"> (23), 1–9.</w:t>
      </w:r>
    </w:p>
    <w:p w14:paraId="502BF4D1" w14:textId="77777777" w:rsidR="003967D7" w:rsidRPr="003967D7" w:rsidRDefault="003967D7" w:rsidP="003967D7">
      <w:pPr>
        <w:pStyle w:val="Bibliography"/>
        <w:rPr>
          <w:rFonts w:ascii="Calibri" w:hAnsi="Calibri"/>
        </w:rPr>
      </w:pPr>
      <w:r w:rsidRPr="003967D7">
        <w:rPr>
          <w:rFonts w:ascii="Calibri" w:hAnsi="Calibri"/>
        </w:rPr>
        <w:t xml:space="preserve">(17) </w:t>
      </w:r>
      <w:r w:rsidRPr="003967D7">
        <w:rPr>
          <w:rFonts w:ascii="Calibri" w:hAnsi="Calibri"/>
        </w:rPr>
        <w:tab/>
        <w:t xml:space="preserve">Blanc, P.; Madic, C.; Launay, J. P. </w:t>
      </w:r>
      <w:r w:rsidRPr="003967D7">
        <w:rPr>
          <w:rFonts w:ascii="Calibri" w:hAnsi="Calibri"/>
          <w:i/>
          <w:iCs/>
        </w:rPr>
        <w:t>Inorg. Chem.</w:t>
      </w:r>
      <w:r w:rsidRPr="003967D7">
        <w:rPr>
          <w:rFonts w:ascii="Calibri" w:hAnsi="Calibri"/>
        </w:rPr>
        <w:t xml:space="preserve"> </w:t>
      </w:r>
      <w:r w:rsidRPr="003967D7">
        <w:rPr>
          <w:rFonts w:ascii="Calibri" w:hAnsi="Calibri"/>
          <w:b/>
          <w:bCs/>
        </w:rPr>
        <w:t>1982</w:t>
      </w:r>
      <w:r w:rsidRPr="003967D7">
        <w:rPr>
          <w:rFonts w:ascii="Calibri" w:hAnsi="Calibri"/>
        </w:rPr>
        <w:t xml:space="preserve">, </w:t>
      </w:r>
      <w:r w:rsidRPr="003967D7">
        <w:rPr>
          <w:rFonts w:ascii="Calibri" w:hAnsi="Calibri"/>
          <w:i/>
          <w:iCs/>
        </w:rPr>
        <w:t>21</w:t>
      </w:r>
      <w:r w:rsidRPr="003967D7">
        <w:rPr>
          <w:rFonts w:ascii="Calibri" w:hAnsi="Calibri"/>
        </w:rPr>
        <w:t xml:space="preserve"> (8), 2923–2928.</w:t>
      </w:r>
    </w:p>
    <w:p w14:paraId="415BCDF7" w14:textId="77777777" w:rsidR="003967D7" w:rsidRPr="003967D7" w:rsidRDefault="003967D7" w:rsidP="003967D7">
      <w:pPr>
        <w:pStyle w:val="Bibliography"/>
        <w:rPr>
          <w:rFonts w:ascii="Calibri" w:hAnsi="Calibri"/>
        </w:rPr>
      </w:pPr>
      <w:r w:rsidRPr="003967D7">
        <w:rPr>
          <w:rFonts w:ascii="Calibri" w:hAnsi="Calibri"/>
        </w:rPr>
        <w:t xml:space="preserve">(18) </w:t>
      </w:r>
      <w:r w:rsidRPr="003967D7">
        <w:rPr>
          <w:rFonts w:ascii="Calibri" w:hAnsi="Calibri"/>
        </w:rPr>
        <w:tab/>
        <w:t xml:space="preserve">Wu, X.; Wang, J.; Liu, S.; Wu, X.; Li, S. </w:t>
      </w:r>
      <w:r w:rsidRPr="003967D7">
        <w:rPr>
          <w:rFonts w:ascii="Calibri" w:hAnsi="Calibri"/>
          <w:i/>
          <w:iCs/>
        </w:rPr>
        <w:t>Electrochimica Acta</w:t>
      </w:r>
      <w:r w:rsidRPr="003967D7">
        <w:rPr>
          <w:rFonts w:ascii="Calibri" w:hAnsi="Calibri"/>
        </w:rPr>
        <w:t xml:space="preserve"> </w:t>
      </w:r>
      <w:r w:rsidRPr="003967D7">
        <w:rPr>
          <w:rFonts w:ascii="Calibri" w:hAnsi="Calibri"/>
          <w:b/>
          <w:bCs/>
        </w:rPr>
        <w:t>2011</w:t>
      </w:r>
      <w:r w:rsidRPr="003967D7">
        <w:rPr>
          <w:rFonts w:ascii="Calibri" w:hAnsi="Calibri"/>
        </w:rPr>
        <w:t xml:space="preserve">, </w:t>
      </w:r>
      <w:r w:rsidRPr="003967D7">
        <w:rPr>
          <w:rFonts w:ascii="Calibri" w:hAnsi="Calibri"/>
          <w:i/>
          <w:iCs/>
        </w:rPr>
        <w:t>56</w:t>
      </w:r>
      <w:r w:rsidRPr="003967D7">
        <w:rPr>
          <w:rFonts w:ascii="Calibri" w:hAnsi="Calibri"/>
        </w:rPr>
        <w:t xml:space="preserve"> (27), 10197–10203.</w:t>
      </w:r>
    </w:p>
    <w:p w14:paraId="79F966FA" w14:textId="77777777" w:rsidR="003967D7" w:rsidRPr="003967D7" w:rsidRDefault="003967D7" w:rsidP="003967D7">
      <w:pPr>
        <w:pStyle w:val="Bibliography"/>
        <w:rPr>
          <w:rFonts w:ascii="Calibri" w:hAnsi="Calibri"/>
        </w:rPr>
      </w:pPr>
      <w:r w:rsidRPr="003967D7">
        <w:rPr>
          <w:rFonts w:ascii="Calibri" w:hAnsi="Calibri"/>
        </w:rPr>
        <w:t xml:space="preserve">(19) </w:t>
      </w:r>
      <w:r w:rsidRPr="003967D7">
        <w:rPr>
          <w:rFonts w:ascii="Calibri" w:hAnsi="Calibri"/>
        </w:rPr>
        <w:tab/>
        <w:t xml:space="preserve">Sepehr, F.; Paddison, S. J. </w:t>
      </w:r>
      <w:r w:rsidRPr="003967D7">
        <w:rPr>
          <w:rFonts w:ascii="Calibri" w:hAnsi="Calibri"/>
          <w:i/>
          <w:iCs/>
        </w:rPr>
        <w:t>Chemical Physics Letters</w:t>
      </w:r>
      <w:r w:rsidRPr="003967D7">
        <w:rPr>
          <w:rFonts w:ascii="Calibri" w:hAnsi="Calibri"/>
        </w:rPr>
        <w:t xml:space="preserve"> </w:t>
      </w:r>
      <w:r w:rsidRPr="003967D7">
        <w:rPr>
          <w:rFonts w:ascii="Calibri" w:hAnsi="Calibri"/>
          <w:b/>
          <w:bCs/>
        </w:rPr>
        <w:t>2013</w:t>
      </w:r>
      <w:r w:rsidRPr="003967D7">
        <w:rPr>
          <w:rFonts w:ascii="Calibri" w:hAnsi="Calibri"/>
        </w:rPr>
        <w:t xml:space="preserve">, </w:t>
      </w:r>
      <w:r w:rsidRPr="003967D7">
        <w:rPr>
          <w:rFonts w:ascii="Calibri" w:hAnsi="Calibri"/>
          <w:i/>
          <w:iCs/>
        </w:rPr>
        <w:t>585</w:t>
      </w:r>
      <w:r w:rsidRPr="003967D7">
        <w:rPr>
          <w:rFonts w:ascii="Calibri" w:hAnsi="Calibri"/>
        </w:rPr>
        <w:t xml:space="preserve"> (0), 53–58.</w:t>
      </w:r>
    </w:p>
    <w:p w14:paraId="6FF07463" w14:textId="77777777" w:rsidR="003967D7" w:rsidRPr="003967D7" w:rsidRDefault="003967D7" w:rsidP="003967D7">
      <w:pPr>
        <w:pStyle w:val="Bibliography"/>
        <w:rPr>
          <w:rFonts w:ascii="Calibri" w:hAnsi="Calibri"/>
        </w:rPr>
      </w:pPr>
      <w:r w:rsidRPr="003967D7">
        <w:rPr>
          <w:rFonts w:ascii="Calibri" w:hAnsi="Calibri"/>
        </w:rPr>
        <w:lastRenderedPageBreak/>
        <w:t xml:space="preserve">(20) </w:t>
      </w:r>
      <w:r w:rsidRPr="003967D7">
        <w:rPr>
          <w:rFonts w:ascii="Calibri" w:hAnsi="Calibri"/>
        </w:rPr>
        <w:tab/>
        <w:t xml:space="preserve">Krakowiak, J.; Lundberg, D.; Persson, I. </w:t>
      </w:r>
      <w:r w:rsidRPr="003967D7">
        <w:rPr>
          <w:rFonts w:ascii="Calibri" w:hAnsi="Calibri"/>
          <w:i/>
          <w:iCs/>
        </w:rPr>
        <w:t>Inorg. Chem.</w:t>
      </w:r>
      <w:r w:rsidRPr="003967D7">
        <w:rPr>
          <w:rFonts w:ascii="Calibri" w:hAnsi="Calibri"/>
        </w:rPr>
        <w:t xml:space="preserve"> </w:t>
      </w:r>
      <w:r w:rsidRPr="003967D7">
        <w:rPr>
          <w:rFonts w:ascii="Calibri" w:hAnsi="Calibri"/>
          <w:b/>
          <w:bCs/>
        </w:rPr>
        <w:t>2012</w:t>
      </w:r>
      <w:r w:rsidRPr="003967D7">
        <w:rPr>
          <w:rFonts w:ascii="Calibri" w:hAnsi="Calibri"/>
        </w:rPr>
        <w:t xml:space="preserve">, </w:t>
      </w:r>
      <w:r w:rsidRPr="003967D7">
        <w:rPr>
          <w:rFonts w:ascii="Calibri" w:hAnsi="Calibri"/>
          <w:i/>
          <w:iCs/>
        </w:rPr>
        <w:t>51</w:t>
      </w:r>
      <w:r w:rsidRPr="003967D7">
        <w:rPr>
          <w:rFonts w:ascii="Calibri" w:hAnsi="Calibri"/>
        </w:rPr>
        <w:t xml:space="preserve"> (18), 9598–9609.</w:t>
      </w:r>
    </w:p>
    <w:p w14:paraId="76ADE5A2" w14:textId="77777777" w:rsidR="003967D7" w:rsidRPr="003967D7" w:rsidRDefault="003967D7" w:rsidP="003967D7">
      <w:pPr>
        <w:pStyle w:val="Bibliography"/>
        <w:rPr>
          <w:rFonts w:ascii="Calibri" w:hAnsi="Calibri"/>
        </w:rPr>
      </w:pPr>
      <w:r w:rsidRPr="003967D7">
        <w:rPr>
          <w:rFonts w:ascii="Calibri" w:hAnsi="Calibri"/>
        </w:rPr>
        <w:t xml:space="preserve">(21) </w:t>
      </w:r>
      <w:r w:rsidRPr="003967D7">
        <w:rPr>
          <w:rFonts w:ascii="Calibri" w:hAnsi="Calibri"/>
        </w:rPr>
        <w:tab/>
        <w:t xml:space="preserve">Vijayakumar, M.; Li, L.; Nie, Z.; Yang, Z.; Hu, J. </w:t>
      </w:r>
      <w:r w:rsidRPr="003967D7">
        <w:rPr>
          <w:rFonts w:ascii="Calibri" w:hAnsi="Calibri"/>
          <w:i/>
          <w:iCs/>
        </w:rPr>
        <w:t>Phys. Chem. Chem. Phys.</w:t>
      </w:r>
      <w:r w:rsidRPr="003967D7">
        <w:rPr>
          <w:rFonts w:ascii="Calibri" w:hAnsi="Calibri"/>
        </w:rPr>
        <w:t xml:space="preserve"> </w:t>
      </w:r>
      <w:r w:rsidRPr="003967D7">
        <w:rPr>
          <w:rFonts w:ascii="Calibri" w:hAnsi="Calibri"/>
          <w:b/>
          <w:bCs/>
        </w:rPr>
        <w:t>2012</w:t>
      </w:r>
      <w:r w:rsidRPr="003967D7">
        <w:rPr>
          <w:rFonts w:ascii="Calibri" w:hAnsi="Calibri"/>
        </w:rPr>
        <w:t xml:space="preserve">, </w:t>
      </w:r>
      <w:r w:rsidRPr="003967D7">
        <w:rPr>
          <w:rFonts w:ascii="Calibri" w:hAnsi="Calibri"/>
          <w:i/>
          <w:iCs/>
        </w:rPr>
        <w:t>14</w:t>
      </w:r>
      <w:r w:rsidRPr="003967D7">
        <w:rPr>
          <w:rFonts w:ascii="Calibri" w:hAnsi="Calibri"/>
        </w:rPr>
        <w:t xml:space="preserve"> (29), 10233–10242.</w:t>
      </w:r>
    </w:p>
    <w:p w14:paraId="084F78CF" w14:textId="77777777" w:rsidR="003967D7" w:rsidRPr="003967D7" w:rsidRDefault="003967D7" w:rsidP="003967D7">
      <w:pPr>
        <w:pStyle w:val="Bibliography"/>
        <w:rPr>
          <w:rFonts w:ascii="Calibri" w:hAnsi="Calibri"/>
        </w:rPr>
      </w:pPr>
      <w:r w:rsidRPr="003967D7">
        <w:rPr>
          <w:rFonts w:ascii="Calibri" w:hAnsi="Calibri"/>
        </w:rPr>
        <w:t xml:space="preserve">(22) </w:t>
      </w:r>
      <w:r w:rsidRPr="003967D7">
        <w:rPr>
          <w:rFonts w:ascii="Calibri" w:hAnsi="Calibri"/>
        </w:rPr>
        <w:tab/>
        <w:t xml:space="preserve">Vijayakumar, M.; Burton, S. D.; Huang, C.; Li, L.; Yang, Z.; Graff, G. L.; Liu, J.; Hu, J.; Skyllas-Kazacos, M. </w:t>
      </w:r>
      <w:r w:rsidRPr="003967D7">
        <w:rPr>
          <w:rFonts w:ascii="Calibri" w:hAnsi="Calibri"/>
          <w:i/>
          <w:iCs/>
        </w:rPr>
        <w:t>Journal of Power Sources</w:t>
      </w:r>
      <w:r w:rsidRPr="003967D7">
        <w:rPr>
          <w:rFonts w:ascii="Calibri" w:hAnsi="Calibri"/>
        </w:rPr>
        <w:t xml:space="preserve"> </w:t>
      </w:r>
      <w:r w:rsidRPr="003967D7">
        <w:rPr>
          <w:rFonts w:ascii="Calibri" w:hAnsi="Calibri"/>
          <w:b/>
          <w:bCs/>
        </w:rPr>
        <w:t>2010</w:t>
      </w:r>
      <w:r w:rsidRPr="003967D7">
        <w:rPr>
          <w:rFonts w:ascii="Calibri" w:hAnsi="Calibri"/>
        </w:rPr>
        <w:t xml:space="preserve">, </w:t>
      </w:r>
      <w:r w:rsidRPr="003967D7">
        <w:rPr>
          <w:rFonts w:ascii="Calibri" w:hAnsi="Calibri"/>
          <w:i/>
          <w:iCs/>
        </w:rPr>
        <w:t>195</w:t>
      </w:r>
      <w:r w:rsidRPr="003967D7">
        <w:rPr>
          <w:rFonts w:ascii="Calibri" w:hAnsi="Calibri"/>
        </w:rPr>
        <w:t xml:space="preserve"> (22), 7709–7717.</w:t>
      </w:r>
    </w:p>
    <w:p w14:paraId="6BDA4189" w14:textId="77777777" w:rsidR="003967D7" w:rsidRPr="003967D7" w:rsidRDefault="003967D7" w:rsidP="003967D7">
      <w:pPr>
        <w:pStyle w:val="Bibliography"/>
        <w:rPr>
          <w:rFonts w:ascii="Calibri" w:hAnsi="Calibri"/>
        </w:rPr>
      </w:pPr>
      <w:r w:rsidRPr="003967D7">
        <w:rPr>
          <w:rFonts w:ascii="Calibri" w:hAnsi="Calibri"/>
        </w:rPr>
        <w:t xml:space="preserve">(23) </w:t>
      </w:r>
      <w:r w:rsidRPr="003967D7">
        <w:rPr>
          <w:rFonts w:ascii="Calibri" w:hAnsi="Calibri"/>
        </w:rPr>
        <w:tab/>
        <w:t xml:space="preserve">Vijayakumar, M.; Li, L.; Graff, G.; Liu, J.; Zhang, H.; Yang, Z.; Hu, J. Z. </w:t>
      </w:r>
      <w:r w:rsidRPr="003967D7">
        <w:rPr>
          <w:rFonts w:ascii="Calibri" w:hAnsi="Calibri"/>
          <w:i/>
          <w:iCs/>
        </w:rPr>
        <w:t>J. Power Sources</w:t>
      </w:r>
      <w:r w:rsidRPr="003967D7">
        <w:rPr>
          <w:rFonts w:ascii="Calibri" w:hAnsi="Calibri"/>
        </w:rPr>
        <w:t xml:space="preserve"> </w:t>
      </w:r>
      <w:r w:rsidRPr="003967D7">
        <w:rPr>
          <w:rFonts w:ascii="Calibri" w:hAnsi="Calibri"/>
          <w:b/>
          <w:bCs/>
        </w:rPr>
        <w:t>2011</w:t>
      </w:r>
      <w:r w:rsidRPr="003967D7">
        <w:rPr>
          <w:rFonts w:ascii="Calibri" w:hAnsi="Calibri"/>
        </w:rPr>
        <w:t xml:space="preserve">, </w:t>
      </w:r>
      <w:r w:rsidRPr="003967D7">
        <w:rPr>
          <w:rFonts w:ascii="Calibri" w:hAnsi="Calibri"/>
          <w:i/>
          <w:iCs/>
        </w:rPr>
        <w:t>196</w:t>
      </w:r>
      <w:r w:rsidRPr="003967D7">
        <w:rPr>
          <w:rFonts w:ascii="Calibri" w:hAnsi="Calibri"/>
        </w:rPr>
        <w:t xml:space="preserve"> (7), 3669–3672.</w:t>
      </w:r>
    </w:p>
    <w:p w14:paraId="2F1128A5" w14:textId="77777777" w:rsidR="003967D7" w:rsidRPr="003967D7" w:rsidRDefault="003967D7" w:rsidP="003967D7">
      <w:pPr>
        <w:pStyle w:val="Bibliography"/>
        <w:rPr>
          <w:rFonts w:ascii="Calibri" w:hAnsi="Calibri"/>
        </w:rPr>
      </w:pPr>
      <w:r w:rsidRPr="003967D7">
        <w:rPr>
          <w:rFonts w:ascii="Calibri" w:hAnsi="Calibri"/>
        </w:rPr>
        <w:t xml:space="preserve">(24) </w:t>
      </w:r>
      <w:r w:rsidRPr="003967D7">
        <w:rPr>
          <w:rFonts w:ascii="Calibri" w:hAnsi="Calibri"/>
        </w:rPr>
        <w:tab/>
        <w:t xml:space="preserve">Liu, H.; Xu, Q.; Yan, C.; Qiao, Y. </w:t>
      </w:r>
      <w:r w:rsidRPr="003967D7">
        <w:rPr>
          <w:rFonts w:ascii="Calibri" w:hAnsi="Calibri"/>
          <w:i/>
          <w:iCs/>
        </w:rPr>
        <w:t>Electrochimica Acta</w:t>
      </w:r>
      <w:r w:rsidRPr="003967D7">
        <w:rPr>
          <w:rFonts w:ascii="Calibri" w:hAnsi="Calibri"/>
        </w:rPr>
        <w:t xml:space="preserve"> </w:t>
      </w:r>
      <w:r w:rsidRPr="003967D7">
        <w:rPr>
          <w:rFonts w:ascii="Calibri" w:hAnsi="Calibri"/>
          <w:b/>
          <w:bCs/>
        </w:rPr>
        <w:t>2011</w:t>
      </w:r>
      <w:r w:rsidRPr="003967D7">
        <w:rPr>
          <w:rFonts w:ascii="Calibri" w:hAnsi="Calibri"/>
        </w:rPr>
        <w:t xml:space="preserve">, </w:t>
      </w:r>
      <w:r w:rsidRPr="003967D7">
        <w:rPr>
          <w:rFonts w:ascii="Calibri" w:hAnsi="Calibri"/>
          <w:i/>
          <w:iCs/>
        </w:rPr>
        <w:t>56</w:t>
      </w:r>
      <w:r w:rsidRPr="003967D7">
        <w:rPr>
          <w:rFonts w:ascii="Calibri" w:hAnsi="Calibri"/>
        </w:rPr>
        <w:t xml:space="preserve"> (24), 8783–8790.</w:t>
      </w:r>
    </w:p>
    <w:p w14:paraId="40510FCB" w14:textId="77777777" w:rsidR="003967D7" w:rsidRPr="003967D7" w:rsidRDefault="003967D7" w:rsidP="003967D7">
      <w:pPr>
        <w:pStyle w:val="Bibliography"/>
        <w:rPr>
          <w:rFonts w:ascii="Calibri" w:hAnsi="Calibri"/>
        </w:rPr>
      </w:pPr>
      <w:r w:rsidRPr="003967D7">
        <w:rPr>
          <w:rFonts w:ascii="Calibri" w:hAnsi="Calibri"/>
        </w:rPr>
        <w:t xml:space="preserve">(25) </w:t>
      </w:r>
      <w:r w:rsidRPr="003967D7">
        <w:rPr>
          <w:rFonts w:ascii="Calibri" w:hAnsi="Calibri"/>
        </w:rPr>
        <w:tab/>
        <w:t xml:space="preserve">Sun, C.-N.; Delnick, F. M.; Baggetto, L.; Veith, G. M.; Zawodzinski Jr., T. A. </w:t>
      </w:r>
      <w:r w:rsidRPr="003967D7">
        <w:rPr>
          <w:rFonts w:ascii="Calibri" w:hAnsi="Calibri"/>
          <w:i/>
          <w:iCs/>
        </w:rPr>
        <w:t>Journal of Power Sources</w:t>
      </w:r>
      <w:r w:rsidRPr="003967D7">
        <w:rPr>
          <w:rFonts w:ascii="Calibri" w:hAnsi="Calibri"/>
        </w:rPr>
        <w:t xml:space="preserve"> </w:t>
      </w:r>
      <w:r w:rsidRPr="003967D7">
        <w:rPr>
          <w:rFonts w:ascii="Calibri" w:hAnsi="Calibri"/>
          <w:b/>
          <w:bCs/>
        </w:rPr>
        <w:t>2014</w:t>
      </w:r>
      <w:r w:rsidRPr="003967D7">
        <w:rPr>
          <w:rFonts w:ascii="Calibri" w:hAnsi="Calibri"/>
        </w:rPr>
        <w:t xml:space="preserve">, </w:t>
      </w:r>
      <w:r w:rsidRPr="003967D7">
        <w:rPr>
          <w:rFonts w:ascii="Calibri" w:hAnsi="Calibri"/>
          <w:i/>
          <w:iCs/>
        </w:rPr>
        <w:t>248</w:t>
      </w:r>
      <w:r w:rsidRPr="003967D7">
        <w:rPr>
          <w:rFonts w:ascii="Calibri" w:hAnsi="Calibri"/>
        </w:rPr>
        <w:t xml:space="preserve"> (0), 560–564.</w:t>
      </w:r>
    </w:p>
    <w:p w14:paraId="00D7AE06" w14:textId="77777777" w:rsidR="003967D7" w:rsidRPr="003967D7" w:rsidRDefault="003967D7" w:rsidP="003967D7">
      <w:pPr>
        <w:pStyle w:val="Bibliography"/>
        <w:rPr>
          <w:rFonts w:ascii="Calibri" w:hAnsi="Calibri"/>
        </w:rPr>
      </w:pPr>
      <w:r w:rsidRPr="003967D7">
        <w:rPr>
          <w:rFonts w:ascii="Calibri" w:hAnsi="Calibri"/>
        </w:rPr>
        <w:t xml:space="preserve">(26) </w:t>
      </w:r>
      <w:r w:rsidRPr="003967D7">
        <w:rPr>
          <w:rFonts w:ascii="Calibri" w:hAnsi="Calibri"/>
        </w:rPr>
        <w:tab/>
        <w:t xml:space="preserve">Shah, A. A.; Al-Fetlawi, H.; Walsh, F. C. </w:t>
      </w:r>
      <w:r w:rsidRPr="003967D7">
        <w:rPr>
          <w:rFonts w:ascii="Calibri" w:hAnsi="Calibri"/>
          <w:i/>
          <w:iCs/>
        </w:rPr>
        <w:t>Electrochimica Acta</w:t>
      </w:r>
      <w:r w:rsidRPr="003967D7">
        <w:rPr>
          <w:rFonts w:ascii="Calibri" w:hAnsi="Calibri"/>
        </w:rPr>
        <w:t xml:space="preserve"> </w:t>
      </w:r>
      <w:r w:rsidRPr="003967D7">
        <w:rPr>
          <w:rFonts w:ascii="Calibri" w:hAnsi="Calibri"/>
          <w:b/>
          <w:bCs/>
        </w:rPr>
        <w:t>2010</w:t>
      </w:r>
      <w:r w:rsidRPr="003967D7">
        <w:rPr>
          <w:rFonts w:ascii="Calibri" w:hAnsi="Calibri"/>
        </w:rPr>
        <w:t xml:space="preserve">, </w:t>
      </w:r>
      <w:r w:rsidRPr="003967D7">
        <w:rPr>
          <w:rFonts w:ascii="Calibri" w:hAnsi="Calibri"/>
          <w:i/>
          <w:iCs/>
        </w:rPr>
        <w:t>55</w:t>
      </w:r>
      <w:r w:rsidRPr="003967D7">
        <w:rPr>
          <w:rFonts w:ascii="Calibri" w:hAnsi="Calibri"/>
        </w:rPr>
        <w:t xml:space="preserve"> (3), 1125–1139.</w:t>
      </w:r>
    </w:p>
    <w:p w14:paraId="6D3BD666" w14:textId="77777777" w:rsidR="003967D7" w:rsidRPr="003967D7" w:rsidRDefault="003967D7" w:rsidP="003967D7">
      <w:pPr>
        <w:pStyle w:val="Bibliography"/>
        <w:rPr>
          <w:rFonts w:ascii="Calibri" w:hAnsi="Calibri"/>
        </w:rPr>
      </w:pPr>
      <w:r w:rsidRPr="003967D7">
        <w:rPr>
          <w:rFonts w:ascii="Calibri" w:hAnsi="Calibri"/>
        </w:rPr>
        <w:t xml:space="preserve">(27) </w:t>
      </w:r>
      <w:r w:rsidRPr="003967D7">
        <w:rPr>
          <w:rFonts w:ascii="Calibri" w:hAnsi="Calibri"/>
        </w:rPr>
        <w:tab/>
        <w:t xml:space="preserve">Liu, H.; Xu, Q.; Yan, C. </w:t>
      </w:r>
      <w:r w:rsidRPr="003967D7">
        <w:rPr>
          <w:rFonts w:ascii="Calibri" w:hAnsi="Calibri"/>
          <w:i/>
          <w:iCs/>
        </w:rPr>
        <w:t>Electrochemistry Communications</w:t>
      </w:r>
      <w:r w:rsidRPr="003967D7">
        <w:rPr>
          <w:rFonts w:ascii="Calibri" w:hAnsi="Calibri"/>
        </w:rPr>
        <w:t xml:space="preserve"> </w:t>
      </w:r>
      <w:r w:rsidRPr="003967D7">
        <w:rPr>
          <w:rFonts w:ascii="Calibri" w:hAnsi="Calibri"/>
          <w:b/>
          <w:bCs/>
        </w:rPr>
        <w:t>2013</w:t>
      </w:r>
      <w:r w:rsidRPr="003967D7">
        <w:rPr>
          <w:rFonts w:ascii="Calibri" w:hAnsi="Calibri"/>
        </w:rPr>
        <w:t xml:space="preserve">, </w:t>
      </w:r>
      <w:r w:rsidRPr="003967D7">
        <w:rPr>
          <w:rFonts w:ascii="Calibri" w:hAnsi="Calibri"/>
          <w:i/>
          <w:iCs/>
        </w:rPr>
        <w:t>28</w:t>
      </w:r>
      <w:r w:rsidRPr="003967D7">
        <w:rPr>
          <w:rFonts w:ascii="Calibri" w:hAnsi="Calibri"/>
        </w:rPr>
        <w:t xml:space="preserve"> (0), 58–62.</w:t>
      </w:r>
    </w:p>
    <w:p w14:paraId="2B9CE611" w14:textId="77777777" w:rsidR="003967D7" w:rsidRPr="003967D7" w:rsidRDefault="003967D7" w:rsidP="003967D7">
      <w:pPr>
        <w:pStyle w:val="Bibliography"/>
        <w:rPr>
          <w:rFonts w:ascii="Calibri" w:hAnsi="Calibri"/>
        </w:rPr>
      </w:pPr>
      <w:r w:rsidRPr="003967D7">
        <w:rPr>
          <w:rFonts w:ascii="Calibri" w:hAnsi="Calibri"/>
        </w:rPr>
        <w:t xml:space="preserve">(28) </w:t>
      </w:r>
      <w:r w:rsidRPr="003967D7">
        <w:rPr>
          <w:rFonts w:ascii="Calibri" w:hAnsi="Calibri"/>
        </w:rPr>
        <w:tab/>
        <w:t xml:space="preserve">Bard, A. J.; Faulkner, L. R. </w:t>
      </w:r>
      <w:r w:rsidRPr="003967D7">
        <w:rPr>
          <w:rFonts w:ascii="Calibri" w:hAnsi="Calibri"/>
          <w:i/>
          <w:iCs/>
        </w:rPr>
        <w:t>Electrochemical Methods: Fundamentals and Applications</w:t>
      </w:r>
      <w:r w:rsidRPr="003967D7">
        <w:rPr>
          <w:rFonts w:ascii="Calibri" w:hAnsi="Calibri"/>
        </w:rPr>
        <w:t>, Second.; John Wiley &amp; Sons, Inc., 2001.</w:t>
      </w:r>
    </w:p>
    <w:p w14:paraId="3D32E57B" w14:textId="77777777" w:rsidR="003967D7" w:rsidRPr="003967D7" w:rsidRDefault="003967D7" w:rsidP="003967D7">
      <w:pPr>
        <w:pStyle w:val="Bibliography"/>
        <w:rPr>
          <w:rFonts w:ascii="Calibri" w:hAnsi="Calibri"/>
        </w:rPr>
      </w:pPr>
      <w:r w:rsidRPr="003967D7">
        <w:rPr>
          <w:rFonts w:ascii="Calibri" w:hAnsi="Calibri"/>
        </w:rPr>
        <w:t xml:space="preserve">(29) </w:t>
      </w:r>
      <w:r w:rsidRPr="003967D7">
        <w:rPr>
          <w:rFonts w:ascii="Calibri" w:hAnsi="Calibri"/>
        </w:rPr>
        <w:tab/>
        <w:t xml:space="preserve">Jag Mohan. </w:t>
      </w:r>
      <w:r w:rsidRPr="003967D7">
        <w:rPr>
          <w:rFonts w:ascii="Calibri" w:hAnsi="Calibri"/>
          <w:i/>
          <w:iCs/>
        </w:rPr>
        <w:t>Organic spectroscopy : principles and applications</w:t>
      </w:r>
      <w:r w:rsidRPr="003967D7">
        <w:rPr>
          <w:rFonts w:ascii="Calibri" w:hAnsi="Calibri"/>
        </w:rPr>
        <w:t>; CRC Press, 2000.</w:t>
      </w:r>
    </w:p>
    <w:p w14:paraId="649A6836" w14:textId="77777777" w:rsidR="003967D7" w:rsidRPr="003967D7" w:rsidRDefault="003967D7" w:rsidP="003967D7">
      <w:pPr>
        <w:pStyle w:val="Bibliography"/>
        <w:rPr>
          <w:rFonts w:ascii="Calibri" w:hAnsi="Calibri"/>
        </w:rPr>
      </w:pPr>
      <w:r w:rsidRPr="003967D7">
        <w:rPr>
          <w:rFonts w:ascii="Calibri" w:hAnsi="Calibri"/>
        </w:rPr>
        <w:t xml:space="preserve">(30) </w:t>
      </w:r>
      <w:r w:rsidRPr="003967D7">
        <w:rPr>
          <w:rFonts w:ascii="Calibri" w:hAnsi="Calibri"/>
        </w:rPr>
        <w:tab/>
        <w:t xml:space="preserve">Larkin, P. </w:t>
      </w:r>
      <w:r w:rsidRPr="003967D7">
        <w:rPr>
          <w:rFonts w:ascii="Calibri" w:hAnsi="Calibri"/>
          <w:i/>
          <w:iCs/>
        </w:rPr>
        <w:t>Infrared and Raman Spectroscopy; Principles and Spectral Interpretation</w:t>
      </w:r>
      <w:r w:rsidRPr="003967D7">
        <w:rPr>
          <w:rFonts w:ascii="Calibri" w:hAnsi="Calibri"/>
        </w:rPr>
        <w:t>; An Elsevier Title: Saint Louis, MO, USA, 2011.</w:t>
      </w:r>
    </w:p>
    <w:p w14:paraId="129CD93B" w14:textId="77777777" w:rsidR="003967D7" w:rsidRPr="003967D7" w:rsidRDefault="003967D7" w:rsidP="003967D7">
      <w:pPr>
        <w:pStyle w:val="Bibliography"/>
        <w:rPr>
          <w:rFonts w:ascii="Calibri" w:hAnsi="Calibri"/>
        </w:rPr>
      </w:pPr>
      <w:r w:rsidRPr="003967D7">
        <w:rPr>
          <w:rFonts w:ascii="Calibri" w:hAnsi="Calibri"/>
        </w:rPr>
        <w:t xml:space="preserve">(31) </w:t>
      </w:r>
      <w:r w:rsidRPr="003967D7">
        <w:rPr>
          <w:rFonts w:ascii="Calibri" w:hAnsi="Calibri"/>
        </w:rPr>
        <w:tab/>
        <w:t xml:space="preserve">Schwedt, G. </w:t>
      </w:r>
      <w:r w:rsidRPr="003967D7">
        <w:rPr>
          <w:rFonts w:ascii="Calibri" w:hAnsi="Calibri"/>
          <w:i/>
          <w:iCs/>
        </w:rPr>
        <w:t>The Essential Guide to Analytical Chemistry</w:t>
      </w:r>
      <w:r w:rsidRPr="003967D7">
        <w:rPr>
          <w:rFonts w:ascii="Calibri" w:hAnsi="Calibri"/>
        </w:rPr>
        <w:t>, Second.; John Wiley &amp; Sons, Inc., 1997.</w:t>
      </w:r>
    </w:p>
    <w:p w14:paraId="26465858" w14:textId="77777777" w:rsidR="003967D7" w:rsidRPr="003967D7" w:rsidRDefault="003967D7" w:rsidP="003967D7">
      <w:pPr>
        <w:pStyle w:val="Bibliography"/>
        <w:rPr>
          <w:rFonts w:ascii="Calibri" w:hAnsi="Calibri"/>
        </w:rPr>
      </w:pPr>
      <w:r w:rsidRPr="003967D7">
        <w:rPr>
          <w:rFonts w:ascii="Calibri" w:hAnsi="Calibri"/>
        </w:rPr>
        <w:t xml:space="preserve">(32) </w:t>
      </w:r>
      <w:r w:rsidRPr="003967D7">
        <w:rPr>
          <w:rFonts w:ascii="Calibri" w:hAnsi="Calibri"/>
        </w:rPr>
        <w:tab/>
        <w:t xml:space="preserve">Smith, B. C. </w:t>
      </w:r>
      <w:r w:rsidRPr="003967D7">
        <w:rPr>
          <w:rFonts w:ascii="Calibri" w:hAnsi="Calibri"/>
          <w:i/>
          <w:iCs/>
        </w:rPr>
        <w:t>Fundamentals of Fouriertransform Infared Spectroscopy (2nd Edition)</w:t>
      </w:r>
      <w:r w:rsidRPr="003967D7">
        <w:rPr>
          <w:rFonts w:ascii="Calibri" w:hAnsi="Calibri"/>
        </w:rPr>
        <w:t>; CRC Press: Boca Raton, FL, USA, 2011.</w:t>
      </w:r>
    </w:p>
    <w:p w14:paraId="73B7EC60" w14:textId="77777777" w:rsidR="003967D7" w:rsidRPr="003967D7" w:rsidRDefault="003967D7" w:rsidP="003967D7">
      <w:pPr>
        <w:pStyle w:val="Bibliography"/>
        <w:rPr>
          <w:rFonts w:ascii="Calibri" w:hAnsi="Calibri"/>
        </w:rPr>
      </w:pPr>
      <w:r w:rsidRPr="003967D7">
        <w:rPr>
          <w:rFonts w:ascii="Calibri" w:hAnsi="Calibri"/>
        </w:rPr>
        <w:t xml:space="preserve">(33) </w:t>
      </w:r>
      <w:r w:rsidRPr="003967D7">
        <w:rPr>
          <w:rFonts w:ascii="Calibri" w:hAnsi="Calibri"/>
        </w:rPr>
        <w:tab/>
        <w:t xml:space="preserve">Li, G.; Pickup, P. G. </w:t>
      </w:r>
      <w:r w:rsidRPr="003967D7">
        <w:rPr>
          <w:rFonts w:ascii="Calibri" w:hAnsi="Calibri"/>
          <w:i/>
          <w:iCs/>
        </w:rPr>
        <w:t>Electrochimica Acta</w:t>
      </w:r>
      <w:r w:rsidRPr="003967D7">
        <w:rPr>
          <w:rFonts w:ascii="Calibri" w:hAnsi="Calibri"/>
        </w:rPr>
        <w:t xml:space="preserve"> </w:t>
      </w:r>
      <w:r w:rsidRPr="003967D7">
        <w:rPr>
          <w:rFonts w:ascii="Calibri" w:hAnsi="Calibri"/>
          <w:b/>
          <w:bCs/>
        </w:rPr>
        <w:t>2004</w:t>
      </w:r>
      <w:r w:rsidRPr="003967D7">
        <w:rPr>
          <w:rFonts w:ascii="Calibri" w:hAnsi="Calibri"/>
        </w:rPr>
        <w:t xml:space="preserve">, </w:t>
      </w:r>
      <w:r w:rsidRPr="003967D7">
        <w:rPr>
          <w:rFonts w:ascii="Calibri" w:hAnsi="Calibri"/>
          <w:i/>
          <w:iCs/>
        </w:rPr>
        <w:t>49</w:t>
      </w:r>
      <w:r w:rsidRPr="003967D7">
        <w:rPr>
          <w:rFonts w:ascii="Calibri" w:hAnsi="Calibri"/>
        </w:rPr>
        <w:t xml:space="preserve"> (24), 4119–4126.</w:t>
      </w:r>
    </w:p>
    <w:p w14:paraId="71F418DB" w14:textId="77777777" w:rsidR="003967D7" w:rsidRPr="003967D7" w:rsidRDefault="003967D7" w:rsidP="003967D7">
      <w:pPr>
        <w:pStyle w:val="Bibliography"/>
        <w:rPr>
          <w:rFonts w:ascii="Calibri" w:hAnsi="Calibri"/>
        </w:rPr>
      </w:pPr>
      <w:r w:rsidRPr="003967D7">
        <w:rPr>
          <w:rFonts w:ascii="Calibri" w:hAnsi="Calibri"/>
        </w:rPr>
        <w:t xml:space="preserve">(34) </w:t>
      </w:r>
      <w:r w:rsidRPr="003967D7">
        <w:rPr>
          <w:rFonts w:ascii="Calibri" w:hAnsi="Calibri"/>
        </w:rPr>
        <w:tab/>
        <w:t xml:space="preserve">Agar, E.; Dennison, C. R.; Knehr, K. W.; Kumbur, E. C. </w:t>
      </w:r>
      <w:r w:rsidRPr="003967D7">
        <w:rPr>
          <w:rFonts w:ascii="Calibri" w:hAnsi="Calibri"/>
          <w:i/>
          <w:iCs/>
        </w:rPr>
        <w:t>Journal of Power Sources</w:t>
      </w:r>
      <w:r w:rsidRPr="003967D7">
        <w:rPr>
          <w:rFonts w:ascii="Calibri" w:hAnsi="Calibri"/>
        </w:rPr>
        <w:t xml:space="preserve"> </w:t>
      </w:r>
      <w:r w:rsidRPr="003967D7">
        <w:rPr>
          <w:rFonts w:ascii="Calibri" w:hAnsi="Calibri"/>
          <w:b/>
          <w:bCs/>
        </w:rPr>
        <w:t>2013</w:t>
      </w:r>
      <w:r w:rsidRPr="003967D7">
        <w:rPr>
          <w:rFonts w:ascii="Calibri" w:hAnsi="Calibri"/>
        </w:rPr>
        <w:t xml:space="preserve">, </w:t>
      </w:r>
      <w:r w:rsidRPr="003967D7">
        <w:rPr>
          <w:rFonts w:ascii="Calibri" w:hAnsi="Calibri"/>
          <w:i/>
          <w:iCs/>
        </w:rPr>
        <w:t>225</w:t>
      </w:r>
      <w:r w:rsidRPr="003967D7">
        <w:rPr>
          <w:rFonts w:ascii="Calibri" w:hAnsi="Calibri"/>
        </w:rPr>
        <w:t xml:space="preserve"> (0), 89–94.</w:t>
      </w:r>
    </w:p>
    <w:p w14:paraId="3C6A7EAC" w14:textId="77777777" w:rsidR="003967D7" w:rsidRPr="003967D7" w:rsidRDefault="003967D7" w:rsidP="003967D7">
      <w:pPr>
        <w:pStyle w:val="Bibliography"/>
        <w:rPr>
          <w:rFonts w:ascii="Calibri" w:hAnsi="Calibri"/>
        </w:rPr>
      </w:pPr>
      <w:r w:rsidRPr="003967D7">
        <w:rPr>
          <w:rFonts w:ascii="Calibri" w:hAnsi="Calibri"/>
        </w:rPr>
        <w:t xml:space="preserve">(35) </w:t>
      </w:r>
      <w:r w:rsidRPr="003967D7">
        <w:rPr>
          <w:rFonts w:ascii="Calibri" w:hAnsi="Calibri"/>
        </w:rPr>
        <w:tab/>
        <w:t xml:space="preserve">Griffith, W. P.; Lesniak, P. J. B. </w:t>
      </w:r>
      <w:r w:rsidRPr="003967D7">
        <w:rPr>
          <w:rFonts w:ascii="Calibri" w:hAnsi="Calibri"/>
          <w:i/>
          <w:iCs/>
        </w:rPr>
        <w:t>J. Chem. Soc. A</w:t>
      </w:r>
      <w:r w:rsidRPr="003967D7">
        <w:rPr>
          <w:rFonts w:ascii="Calibri" w:hAnsi="Calibri"/>
        </w:rPr>
        <w:t xml:space="preserve"> </w:t>
      </w:r>
      <w:r w:rsidRPr="003967D7">
        <w:rPr>
          <w:rFonts w:ascii="Calibri" w:hAnsi="Calibri"/>
          <w:b/>
          <w:bCs/>
        </w:rPr>
        <w:t>1969</w:t>
      </w:r>
      <w:r w:rsidRPr="003967D7">
        <w:rPr>
          <w:rFonts w:ascii="Calibri" w:hAnsi="Calibri"/>
        </w:rPr>
        <w:t>, No. 0, 1066–1071.</w:t>
      </w:r>
    </w:p>
    <w:p w14:paraId="5C8A62BA" w14:textId="77777777" w:rsidR="003967D7" w:rsidRPr="003967D7" w:rsidRDefault="003967D7" w:rsidP="003967D7">
      <w:pPr>
        <w:pStyle w:val="Bibliography"/>
        <w:rPr>
          <w:rFonts w:ascii="Calibri" w:hAnsi="Calibri"/>
        </w:rPr>
      </w:pPr>
      <w:r w:rsidRPr="003967D7">
        <w:rPr>
          <w:rFonts w:ascii="Calibri" w:hAnsi="Calibri"/>
        </w:rPr>
        <w:t xml:space="preserve">(36) </w:t>
      </w:r>
      <w:r w:rsidRPr="003967D7">
        <w:rPr>
          <w:rFonts w:ascii="Calibri" w:hAnsi="Calibri"/>
        </w:rPr>
        <w:tab/>
        <w:t xml:space="preserve">Irish, D. E.; Chen, H. </w:t>
      </w:r>
      <w:r w:rsidRPr="003967D7">
        <w:rPr>
          <w:rFonts w:ascii="Calibri" w:hAnsi="Calibri"/>
          <w:i/>
          <w:iCs/>
        </w:rPr>
        <w:t>J. Phys. Chem.</w:t>
      </w:r>
      <w:r w:rsidRPr="003967D7">
        <w:rPr>
          <w:rFonts w:ascii="Calibri" w:hAnsi="Calibri"/>
        </w:rPr>
        <w:t xml:space="preserve"> </w:t>
      </w:r>
      <w:r w:rsidRPr="003967D7">
        <w:rPr>
          <w:rFonts w:ascii="Calibri" w:hAnsi="Calibri"/>
          <w:b/>
          <w:bCs/>
        </w:rPr>
        <w:t>1970</w:t>
      </w:r>
      <w:r w:rsidRPr="003967D7">
        <w:rPr>
          <w:rFonts w:ascii="Calibri" w:hAnsi="Calibri"/>
        </w:rPr>
        <w:t xml:space="preserve">, </w:t>
      </w:r>
      <w:r w:rsidRPr="003967D7">
        <w:rPr>
          <w:rFonts w:ascii="Calibri" w:hAnsi="Calibri"/>
          <w:i/>
          <w:iCs/>
        </w:rPr>
        <w:t>74</w:t>
      </w:r>
      <w:r w:rsidRPr="003967D7">
        <w:rPr>
          <w:rFonts w:ascii="Calibri" w:hAnsi="Calibri"/>
        </w:rPr>
        <w:t xml:space="preserve"> (21), 3796–3801.</w:t>
      </w:r>
    </w:p>
    <w:p w14:paraId="43FA5608" w14:textId="77777777" w:rsidR="003967D7" w:rsidRPr="003967D7" w:rsidRDefault="003967D7" w:rsidP="003967D7">
      <w:pPr>
        <w:pStyle w:val="Bibliography"/>
        <w:rPr>
          <w:rFonts w:ascii="Calibri" w:hAnsi="Calibri"/>
        </w:rPr>
      </w:pPr>
      <w:r w:rsidRPr="003967D7">
        <w:rPr>
          <w:rFonts w:ascii="Calibri" w:hAnsi="Calibri"/>
        </w:rPr>
        <w:t xml:space="preserve">(37) </w:t>
      </w:r>
      <w:r w:rsidRPr="003967D7">
        <w:rPr>
          <w:rFonts w:ascii="Calibri" w:hAnsi="Calibri"/>
        </w:rPr>
        <w:tab/>
        <w:t xml:space="preserve">Evans, J. C. </w:t>
      </w:r>
      <w:r w:rsidRPr="003967D7">
        <w:rPr>
          <w:rFonts w:ascii="Calibri" w:hAnsi="Calibri"/>
          <w:i/>
          <w:iCs/>
        </w:rPr>
        <w:t>Inorganic Chemistry</w:t>
      </w:r>
      <w:r w:rsidRPr="003967D7">
        <w:rPr>
          <w:rFonts w:ascii="Calibri" w:hAnsi="Calibri"/>
        </w:rPr>
        <w:t xml:space="preserve"> </w:t>
      </w:r>
      <w:r w:rsidRPr="003967D7">
        <w:rPr>
          <w:rFonts w:ascii="Calibri" w:hAnsi="Calibri"/>
          <w:b/>
          <w:bCs/>
        </w:rPr>
        <w:t>1963</w:t>
      </w:r>
      <w:r w:rsidRPr="003967D7">
        <w:rPr>
          <w:rFonts w:ascii="Calibri" w:hAnsi="Calibri"/>
        </w:rPr>
        <w:t xml:space="preserve">, </w:t>
      </w:r>
      <w:r w:rsidRPr="003967D7">
        <w:rPr>
          <w:rFonts w:ascii="Calibri" w:hAnsi="Calibri"/>
          <w:i/>
          <w:iCs/>
        </w:rPr>
        <w:t>2</w:t>
      </w:r>
      <w:r w:rsidRPr="003967D7">
        <w:rPr>
          <w:rFonts w:ascii="Calibri" w:hAnsi="Calibri"/>
        </w:rPr>
        <w:t>, 372–375.</w:t>
      </w:r>
    </w:p>
    <w:p w14:paraId="75C35049" w14:textId="77777777" w:rsidR="003967D7" w:rsidRPr="003967D7" w:rsidRDefault="003967D7" w:rsidP="003967D7">
      <w:pPr>
        <w:pStyle w:val="Bibliography"/>
        <w:rPr>
          <w:rFonts w:ascii="Calibri" w:hAnsi="Calibri"/>
        </w:rPr>
      </w:pPr>
      <w:r w:rsidRPr="003967D7">
        <w:rPr>
          <w:rFonts w:ascii="Calibri" w:hAnsi="Calibri"/>
        </w:rPr>
        <w:t xml:space="preserve">(38) </w:t>
      </w:r>
      <w:r w:rsidRPr="003967D7">
        <w:rPr>
          <w:rFonts w:ascii="Calibri" w:hAnsi="Calibri"/>
        </w:rPr>
        <w:tab/>
        <w:t xml:space="preserve">Kausar, N.; Howe, R.; Skyllas-Kazacos, M. </w:t>
      </w:r>
      <w:r w:rsidRPr="003967D7">
        <w:rPr>
          <w:rFonts w:ascii="Calibri" w:hAnsi="Calibri"/>
          <w:i/>
          <w:iCs/>
        </w:rPr>
        <w:t>Journal of Applied Electrochemistry</w:t>
      </w:r>
      <w:r w:rsidRPr="003967D7">
        <w:rPr>
          <w:rFonts w:ascii="Calibri" w:hAnsi="Calibri"/>
        </w:rPr>
        <w:t xml:space="preserve"> </w:t>
      </w:r>
      <w:r w:rsidRPr="003967D7">
        <w:rPr>
          <w:rFonts w:ascii="Calibri" w:hAnsi="Calibri"/>
          <w:b/>
          <w:bCs/>
        </w:rPr>
        <w:t>2001</w:t>
      </w:r>
      <w:r w:rsidRPr="003967D7">
        <w:rPr>
          <w:rFonts w:ascii="Calibri" w:hAnsi="Calibri"/>
        </w:rPr>
        <w:t xml:space="preserve">, </w:t>
      </w:r>
      <w:r w:rsidRPr="003967D7">
        <w:rPr>
          <w:rFonts w:ascii="Calibri" w:hAnsi="Calibri"/>
          <w:i/>
          <w:iCs/>
        </w:rPr>
        <w:t>31</w:t>
      </w:r>
      <w:r w:rsidRPr="003967D7">
        <w:rPr>
          <w:rFonts w:ascii="Calibri" w:hAnsi="Calibri"/>
        </w:rPr>
        <w:t xml:space="preserve"> (12), 1327–1332.</w:t>
      </w:r>
    </w:p>
    <w:p w14:paraId="60EC097D" w14:textId="77777777" w:rsidR="003967D7" w:rsidRPr="003967D7" w:rsidRDefault="003967D7" w:rsidP="003967D7">
      <w:pPr>
        <w:pStyle w:val="Bibliography"/>
        <w:rPr>
          <w:rFonts w:ascii="Calibri" w:hAnsi="Calibri"/>
        </w:rPr>
      </w:pPr>
      <w:r w:rsidRPr="003967D7">
        <w:rPr>
          <w:rFonts w:ascii="Calibri" w:hAnsi="Calibri"/>
        </w:rPr>
        <w:t xml:space="preserve">(39) </w:t>
      </w:r>
      <w:r w:rsidRPr="003967D7">
        <w:rPr>
          <w:rFonts w:ascii="Calibri" w:hAnsi="Calibri"/>
        </w:rPr>
        <w:tab/>
        <w:t xml:space="preserve">Madic, C.; Begun, G. M.; Hahn, R. L.; Launay, J. P.; Thiessen, W. E. </w:t>
      </w:r>
      <w:r w:rsidRPr="003967D7">
        <w:rPr>
          <w:rFonts w:ascii="Calibri" w:hAnsi="Calibri"/>
          <w:i/>
          <w:iCs/>
        </w:rPr>
        <w:t>Inorg. Chem.</w:t>
      </w:r>
      <w:r w:rsidRPr="003967D7">
        <w:rPr>
          <w:rFonts w:ascii="Calibri" w:hAnsi="Calibri"/>
        </w:rPr>
        <w:t xml:space="preserve"> </w:t>
      </w:r>
      <w:r w:rsidRPr="003967D7">
        <w:rPr>
          <w:rFonts w:ascii="Calibri" w:hAnsi="Calibri"/>
          <w:b/>
          <w:bCs/>
        </w:rPr>
        <w:t>1984</w:t>
      </w:r>
      <w:r w:rsidRPr="003967D7">
        <w:rPr>
          <w:rFonts w:ascii="Calibri" w:hAnsi="Calibri"/>
        </w:rPr>
        <w:t xml:space="preserve">, </w:t>
      </w:r>
      <w:r w:rsidRPr="003967D7">
        <w:rPr>
          <w:rFonts w:ascii="Calibri" w:hAnsi="Calibri"/>
          <w:i/>
          <w:iCs/>
        </w:rPr>
        <w:t>23</w:t>
      </w:r>
      <w:r w:rsidRPr="003967D7">
        <w:rPr>
          <w:rFonts w:ascii="Calibri" w:hAnsi="Calibri"/>
        </w:rPr>
        <w:t xml:space="preserve"> (4), 469–476.</w:t>
      </w:r>
    </w:p>
    <w:p w14:paraId="5A34DBBF" w14:textId="77777777" w:rsidR="003967D7" w:rsidRPr="003967D7" w:rsidRDefault="003967D7" w:rsidP="003967D7">
      <w:pPr>
        <w:pStyle w:val="Bibliography"/>
        <w:rPr>
          <w:rFonts w:ascii="Calibri" w:hAnsi="Calibri"/>
        </w:rPr>
      </w:pPr>
      <w:r w:rsidRPr="003967D7">
        <w:rPr>
          <w:rFonts w:ascii="Calibri" w:hAnsi="Calibri"/>
        </w:rPr>
        <w:t xml:space="preserve">(40) </w:t>
      </w:r>
      <w:r w:rsidRPr="003967D7">
        <w:rPr>
          <w:rFonts w:ascii="Calibri" w:hAnsi="Calibri"/>
        </w:rPr>
        <w:tab/>
        <w:t xml:space="preserve">Lee, J. W.; Hong, J. K.; Kjeang, E. </w:t>
      </w:r>
      <w:r w:rsidRPr="003967D7">
        <w:rPr>
          <w:rFonts w:ascii="Calibri" w:hAnsi="Calibri"/>
          <w:i/>
          <w:iCs/>
        </w:rPr>
        <w:t>Electrochimica Acta</w:t>
      </w:r>
      <w:r w:rsidRPr="003967D7">
        <w:rPr>
          <w:rFonts w:ascii="Calibri" w:hAnsi="Calibri"/>
        </w:rPr>
        <w:t xml:space="preserve"> </w:t>
      </w:r>
      <w:r w:rsidRPr="003967D7">
        <w:rPr>
          <w:rFonts w:ascii="Calibri" w:hAnsi="Calibri"/>
          <w:b/>
          <w:bCs/>
        </w:rPr>
        <w:t>2012</w:t>
      </w:r>
      <w:r w:rsidRPr="003967D7">
        <w:rPr>
          <w:rFonts w:ascii="Calibri" w:hAnsi="Calibri"/>
        </w:rPr>
        <w:t xml:space="preserve">, </w:t>
      </w:r>
      <w:r w:rsidRPr="003967D7">
        <w:rPr>
          <w:rFonts w:ascii="Calibri" w:hAnsi="Calibri"/>
          <w:i/>
          <w:iCs/>
        </w:rPr>
        <w:t>83</w:t>
      </w:r>
      <w:r w:rsidRPr="003967D7">
        <w:rPr>
          <w:rFonts w:ascii="Calibri" w:hAnsi="Calibri"/>
        </w:rPr>
        <w:t xml:space="preserve"> (0), 430–438.</w:t>
      </w:r>
    </w:p>
    <w:p w14:paraId="0BB318F7" w14:textId="683EF40D" w:rsidR="0073446A" w:rsidRPr="00AB7098" w:rsidRDefault="00A75D60" w:rsidP="00013901">
      <w:pPr>
        <w:widowControl w:val="0"/>
        <w:autoSpaceDE w:val="0"/>
        <w:autoSpaceDN w:val="0"/>
        <w:adjustRightInd w:val="0"/>
        <w:spacing w:line="480" w:lineRule="auto"/>
      </w:pPr>
      <w:r>
        <w:fldChar w:fldCharType="end"/>
      </w:r>
    </w:p>
    <w:sectPr w:rsidR="0073446A" w:rsidRPr="00AB7098" w:rsidSect="00402F62">
      <w:footerReference w:type="default" r:id="rId53"/>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430239" w14:textId="77777777" w:rsidR="00056C85" w:rsidRDefault="00056C85" w:rsidP="00B85394">
      <w:r>
        <w:separator/>
      </w:r>
    </w:p>
  </w:endnote>
  <w:endnote w:type="continuationSeparator" w:id="0">
    <w:p w14:paraId="43BEDF13" w14:textId="77777777" w:rsidR="00056C85" w:rsidRDefault="00056C85" w:rsidP="00B85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9227545"/>
      <w:docPartObj>
        <w:docPartGallery w:val="Page Numbers (Bottom of Page)"/>
        <w:docPartUnique/>
      </w:docPartObj>
    </w:sdtPr>
    <w:sdtEndPr>
      <w:rPr>
        <w:noProof/>
      </w:rPr>
    </w:sdtEndPr>
    <w:sdtContent>
      <w:p w14:paraId="64A7D4A6" w14:textId="2F9AA15C" w:rsidR="00523E01" w:rsidRDefault="00523E01">
        <w:pPr>
          <w:pStyle w:val="Footer"/>
          <w:jc w:val="center"/>
        </w:pPr>
        <w:r>
          <w:fldChar w:fldCharType="begin"/>
        </w:r>
        <w:r>
          <w:instrText xml:space="preserve"> PAGE   \* MERGEFORMAT </w:instrText>
        </w:r>
        <w:r>
          <w:fldChar w:fldCharType="separate"/>
        </w:r>
        <w:r w:rsidR="00E46BC0">
          <w:rPr>
            <w:noProof/>
          </w:rPr>
          <w:t>52</w:t>
        </w:r>
        <w:r>
          <w:rPr>
            <w:noProof/>
          </w:rPr>
          <w:fldChar w:fldCharType="end"/>
        </w:r>
      </w:p>
    </w:sdtContent>
  </w:sdt>
  <w:p w14:paraId="04300AF6" w14:textId="77777777" w:rsidR="00523E01" w:rsidRDefault="00523E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4E33B9" w14:textId="77777777" w:rsidR="00056C85" w:rsidRDefault="00056C85" w:rsidP="00B85394">
      <w:r>
        <w:separator/>
      </w:r>
    </w:p>
  </w:footnote>
  <w:footnote w:type="continuationSeparator" w:id="0">
    <w:p w14:paraId="6AD19EEB" w14:textId="77777777" w:rsidR="00056C85" w:rsidRDefault="00056C85" w:rsidP="00B853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B6B86"/>
    <w:multiLevelType w:val="hybridMultilevel"/>
    <w:tmpl w:val="7F9037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FFA2ACD"/>
    <w:multiLevelType w:val="hybridMultilevel"/>
    <w:tmpl w:val="93DAB8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72E7141"/>
    <w:multiLevelType w:val="multilevel"/>
    <w:tmpl w:val="8D46200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6DBF0573"/>
    <w:multiLevelType w:val="hybridMultilevel"/>
    <w:tmpl w:val="7F9037D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2A3"/>
    <w:rsid w:val="00010838"/>
    <w:rsid w:val="00013901"/>
    <w:rsid w:val="00017254"/>
    <w:rsid w:val="0003480D"/>
    <w:rsid w:val="00035BA6"/>
    <w:rsid w:val="0005159B"/>
    <w:rsid w:val="00051C68"/>
    <w:rsid w:val="00055CFD"/>
    <w:rsid w:val="00056C85"/>
    <w:rsid w:val="0006051A"/>
    <w:rsid w:val="0006525D"/>
    <w:rsid w:val="000673DF"/>
    <w:rsid w:val="00070F8E"/>
    <w:rsid w:val="00071F91"/>
    <w:rsid w:val="00094DF7"/>
    <w:rsid w:val="000A32FA"/>
    <w:rsid w:val="000B40F3"/>
    <w:rsid w:val="000B41A3"/>
    <w:rsid w:val="000D526F"/>
    <w:rsid w:val="000E0BD6"/>
    <w:rsid w:val="000E2D5B"/>
    <w:rsid w:val="000F03A9"/>
    <w:rsid w:val="000F6F68"/>
    <w:rsid w:val="00100277"/>
    <w:rsid w:val="00107C89"/>
    <w:rsid w:val="00115E72"/>
    <w:rsid w:val="001200B6"/>
    <w:rsid w:val="00124FC7"/>
    <w:rsid w:val="001273D9"/>
    <w:rsid w:val="00134729"/>
    <w:rsid w:val="001409E7"/>
    <w:rsid w:val="0015046B"/>
    <w:rsid w:val="00163D29"/>
    <w:rsid w:val="001646D2"/>
    <w:rsid w:val="00173E8D"/>
    <w:rsid w:val="00181A13"/>
    <w:rsid w:val="00187D34"/>
    <w:rsid w:val="00192153"/>
    <w:rsid w:val="001929E1"/>
    <w:rsid w:val="001935C4"/>
    <w:rsid w:val="001957CA"/>
    <w:rsid w:val="001A025B"/>
    <w:rsid w:val="001A0896"/>
    <w:rsid w:val="001A22A3"/>
    <w:rsid w:val="001A653A"/>
    <w:rsid w:val="001A6590"/>
    <w:rsid w:val="001B1B7B"/>
    <w:rsid w:val="001B32B7"/>
    <w:rsid w:val="001C47D8"/>
    <w:rsid w:val="001C58AD"/>
    <w:rsid w:val="001D0896"/>
    <w:rsid w:val="001D1CB2"/>
    <w:rsid w:val="001D3D2A"/>
    <w:rsid w:val="001E3EA9"/>
    <w:rsid w:val="001F18D5"/>
    <w:rsid w:val="001F3E35"/>
    <w:rsid w:val="001F48E4"/>
    <w:rsid w:val="0021028B"/>
    <w:rsid w:val="00221774"/>
    <w:rsid w:val="00223EB0"/>
    <w:rsid w:val="00230EC8"/>
    <w:rsid w:val="0023584D"/>
    <w:rsid w:val="00236FCF"/>
    <w:rsid w:val="00241E45"/>
    <w:rsid w:val="00247C56"/>
    <w:rsid w:val="00251AB9"/>
    <w:rsid w:val="00260ED9"/>
    <w:rsid w:val="00261EE9"/>
    <w:rsid w:val="00277611"/>
    <w:rsid w:val="002776D0"/>
    <w:rsid w:val="00282A7B"/>
    <w:rsid w:val="00293362"/>
    <w:rsid w:val="00293CCD"/>
    <w:rsid w:val="0029625F"/>
    <w:rsid w:val="002A2168"/>
    <w:rsid w:val="002B56DA"/>
    <w:rsid w:val="002B764A"/>
    <w:rsid w:val="002C4E32"/>
    <w:rsid w:val="002C6F27"/>
    <w:rsid w:val="002C71CF"/>
    <w:rsid w:val="002E7118"/>
    <w:rsid w:val="002F609A"/>
    <w:rsid w:val="00300A7C"/>
    <w:rsid w:val="00306F9E"/>
    <w:rsid w:val="00314E4B"/>
    <w:rsid w:val="00317F5F"/>
    <w:rsid w:val="003228DE"/>
    <w:rsid w:val="0033179A"/>
    <w:rsid w:val="00332F18"/>
    <w:rsid w:val="003511FD"/>
    <w:rsid w:val="00353B1F"/>
    <w:rsid w:val="00365818"/>
    <w:rsid w:val="00372129"/>
    <w:rsid w:val="003739F7"/>
    <w:rsid w:val="00375436"/>
    <w:rsid w:val="00375890"/>
    <w:rsid w:val="00383FF6"/>
    <w:rsid w:val="00384671"/>
    <w:rsid w:val="003967D7"/>
    <w:rsid w:val="003A1ABD"/>
    <w:rsid w:val="003A1C5E"/>
    <w:rsid w:val="003A6FD5"/>
    <w:rsid w:val="003C2C53"/>
    <w:rsid w:val="003C61D5"/>
    <w:rsid w:val="003C68EF"/>
    <w:rsid w:val="003C6E5C"/>
    <w:rsid w:val="003D01F8"/>
    <w:rsid w:val="003D2D15"/>
    <w:rsid w:val="003E5139"/>
    <w:rsid w:val="003E562D"/>
    <w:rsid w:val="003F1046"/>
    <w:rsid w:val="003F1384"/>
    <w:rsid w:val="003F138B"/>
    <w:rsid w:val="003F1BFD"/>
    <w:rsid w:val="00400E63"/>
    <w:rsid w:val="00400F27"/>
    <w:rsid w:val="004013E9"/>
    <w:rsid w:val="00402F62"/>
    <w:rsid w:val="00406191"/>
    <w:rsid w:val="00416504"/>
    <w:rsid w:val="00431C1F"/>
    <w:rsid w:val="0043514B"/>
    <w:rsid w:val="00443692"/>
    <w:rsid w:val="004441AC"/>
    <w:rsid w:val="004445DE"/>
    <w:rsid w:val="004476C7"/>
    <w:rsid w:val="0045001C"/>
    <w:rsid w:val="00450467"/>
    <w:rsid w:val="00450675"/>
    <w:rsid w:val="004649E6"/>
    <w:rsid w:val="00473670"/>
    <w:rsid w:val="00485091"/>
    <w:rsid w:val="00492B40"/>
    <w:rsid w:val="004B78D7"/>
    <w:rsid w:val="004B7FE8"/>
    <w:rsid w:val="004C791F"/>
    <w:rsid w:val="004E01A5"/>
    <w:rsid w:val="0050794B"/>
    <w:rsid w:val="00510AF1"/>
    <w:rsid w:val="00513E06"/>
    <w:rsid w:val="00515ABB"/>
    <w:rsid w:val="0051699A"/>
    <w:rsid w:val="00523E01"/>
    <w:rsid w:val="00526557"/>
    <w:rsid w:val="00533506"/>
    <w:rsid w:val="00544D38"/>
    <w:rsid w:val="00546EFF"/>
    <w:rsid w:val="0055367B"/>
    <w:rsid w:val="005567B8"/>
    <w:rsid w:val="00556957"/>
    <w:rsid w:val="0057000F"/>
    <w:rsid w:val="00576F62"/>
    <w:rsid w:val="00592ED9"/>
    <w:rsid w:val="0059500F"/>
    <w:rsid w:val="005A21F2"/>
    <w:rsid w:val="005B39A2"/>
    <w:rsid w:val="005B3D68"/>
    <w:rsid w:val="005B796C"/>
    <w:rsid w:val="005C1798"/>
    <w:rsid w:val="005D0786"/>
    <w:rsid w:val="005D588A"/>
    <w:rsid w:val="005E231E"/>
    <w:rsid w:val="005E517A"/>
    <w:rsid w:val="005E7889"/>
    <w:rsid w:val="00602A8F"/>
    <w:rsid w:val="006121DE"/>
    <w:rsid w:val="00612AE2"/>
    <w:rsid w:val="006165A7"/>
    <w:rsid w:val="006209AB"/>
    <w:rsid w:val="00621BF6"/>
    <w:rsid w:val="00622627"/>
    <w:rsid w:val="00623556"/>
    <w:rsid w:val="00627D1A"/>
    <w:rsid w:val="00633188"/>
    <w:rsid w:val="00637F74"/>
    <w:rsid w:val="006419EA"/>
    <w:rsid w:val="0065137A"/>
    <w:rsid w:val="00677D00"/>
    <w:rsid w:val="00682B85"/>
    <w:rsid w:val="006868AA"/>
    <w:rsid w:val="00687219"/>
    <w:rsid w:val="0069148C"/>
    <w:rsid w:val="00692E8E"/>
    <w:rsid w:val="006B6355"/>
    <w:rsid w:val="006C0E35"/>
    <w:rsid w:val="006C166A"/>
    <w:rsid w:val="006D06E3"/>
    <w:rsid w:val="006D242D"/>
    <w:rsid w:val="006D61A5"/>
    <w:rsid w:val="006E4676"/>
    <w:rsid w:val="006E4B64"/>
    <w:rsid w:val="006F20ED"/>
    <w:rsid w:val="006F5F73"/>
    <w:rsid w:val="00701BA9"/>
    <w:rsid w:val="00703BBE"/>
    <w:rsid w:val="007163C3"/>
    <w:rsid w:val="00723437"/>
    <w:rsid w:val="00725344"/>
    <w:rsid w:val="0073446A"/>
    <w:rsid w:val="00736C6C"/>
    <w:rsid w:val="007439D6"/>
    <w:rsid w:val="00744B00"/>
    <w:rsid w:val="007546B7"/>
    <w:rsid w:val="00764969"/>
    <w:rsid w:val="00765BE7"/>
    <w:rsid w:val="00766958"/>
    <w:rsid w:val="00766BAE"/>
    <w:rsid w:val="007758B8"/>
    <w:rsid w:val="00781AC2"/>
    <w:rsid w:val="00786455"/>
    <w:rsid w:val="00786A86"/>
    <w:rsid w:val="007871D1"/>
    <w:rsid w:val="00794A98"/>
    <w:rsid w:val="007B709F"/>
    <w:rsid w:val="007C2239"/>
    <w:rsid w:val="007C48BE"/>
    <w:rsid w:val="007D11C5"/>
    <w:rsid w:val="007D1291"/>
    <w:rsid w:val="007E496A"/>
    <w:rsid w:val="007E5218"/>
    <w:rsid w:val="007F2D76"/>
    <w:rsid w:val="007F6C7A"/>
    <w:rsid w:val="008142B6"/>
    <w:rsid w:val="0081697B"/>
    <w:rsid w:val="00827390"/>
    <w:rsid w:val="00827F8C"/>
    <w:rsid w:val="0083051E"/>
    <w:rsid w:val="00831F51"/>
    <w:rsid w:val="00842B09"/>
    <w:rsid w:val="00846794"/>
    <w:rsid w:val="00846A37"/>
    <w:rsid w:val="008505B1"/>
    <w:rsid w:val="00851D33"/>
    <w:rsid w:val="008559F0"/>
    <w:rsid w:val="0085709B"/>
    <w:rsid w:val="00861404"/>
    <w:rsid w:val="0087082B"/>
    <w:rsid w:val="008730EA"/>
    <w:rsid w:val="00891EDA"/>
    <w:rsid w:val="0089388C"/>
    <w:rsid w:val="00893FB3"/>
    <w:rsid w:val="008C6460"/>
    <w:rsid w:val="008D2512"/>
    <w:rsid w:val="00900135"/>
    <w:rsid w:val="00906180"/>
    <w:rsid w:val="0091402E"/>
    <w:rsid w:val="0091764B"/>
    <w:rsid w:val="00926960"/>
    <w:rsid w:val="00942C81"/>
    <w:rsid w:val="00942F44"/>
    <w:rsid w:val="00946B20"/>
    <w:rsid w:val="00951B6B"/>
    <w:rsid w:val="00951C48"/>
    <w:rsid w:val="00957832"/>
    <w:rsid w:val="00961449"/>
    <w:rsid w:val="009700EF"/>
    <w:rsid w:val="009770F1"/>
    <w:rsid w:val="0098095D"/>
    <w:rsid w:val="00981C5D"/>
    <w:rsid w:val="00985F7A"/>
    <w:rsid w:val="009914F7"/>
    <w:rsid w:val="00991B6C"/>
    <w:rsid w:val="00993378"/>
    <w:rsid w:val="009A031E"/>
    <w:rsid w:val="009A3771"/>
    <w:rsid w:val="009A3B70"/>
    <w:rsid w:val="009A6512"/>
    <w:rsid w:val="009B248F"/>
    <w:rsid w:val="009C01F5"/>
    <w:rsid w:val="009C1CDD"/>
    <w:rsid w:val="009C54DF"/>
    <w:rsid w:val="009D0EAB"/>
    <w:rsid w:val="009D75C5"/>
    <w:rsid w:val="009E4EDA"/>
    <w:rsid w:val="009E6A7E"/>
    <w:rsid w:val="009F43C7"/>
    <w:rsid w:val="00A20D60"/>
    <w:rsid w:val="00A21D1C"/>
    <w:rsid w:val="00A23F27"/>
    <w:rsid w:val="00A262E5"/>
    <w:rsid w:val="00A3397B"/>
    <w:rsid w:val="00A44824"/>
    <w:rsid w:val="00A51CB1"/>
    <w:rsid w:val="00A651F0"/>
    <w:rsid w:val="00A65EDB"/>
    <w:rsid w:val="00A6630C"/>
    <w:rsid w:val="00A731E6"/>
    <w:rsid w:val="00A75D60"/>
    <w:rsid w:val="00A833D1"/>
    <w:rsid w:val="00A84721"/>
    <w:rsid w:val="00A85654"/>
    <w:rsid w:val="00A90E9B"/>
    <w:rsid w:val="00AA2053"/>
    <w:rsid w:val="00AA6356"/>
    <w:rsid w:val="00AB04AB"/>
    <w:rsid w:val="00AB358E"/>
    <w:rsid w:val="00AB5273"/>
    <w:rsid w:val="00AB7098"/>
    <w:rsid w:val="00AC0669"/>
    <w:rsid w:val="00AD0C33"/>
    <w:rsid w:val="00AD3F89"/>
    <w:rsid w:val="00AD7CD2"/>
    <w:rsid w:val="00AE09E7"/>
    <w:rsid w:val="00AE381B"/>
    <w:rsid w:val="00AF36F4"/>
    <w:rsid w:val="00AF7D49"/>
    <w:rsid w:val="00B06D05"/>
    <w:rsid w:val="00B07EEC"/>
    <w:rsid w:val="00B12E17"/>
    <w:rsid w:val="00B130B5"/>
    <w:rsid w:val="00B14970"/>
    <w:rsid w:val="00B153CD"/>
    <w:rsid w:val="00B162D9"/>
    <w:rsid w:val="00B20C90"/>
    <w:rsid w:val="00B22E5B"/>
    <w:rsid w:val="00B34010"/>
    <w:rsid w:val="00B34196"/>
    <w:rsid w:val="00B34750"/>
    <w:rsid w:val="00B42BCC"/>
    <w:rsid w:val="00B4339B"/>
    <w:rsid w:val="00B6099B"/>
    <w:rsid w:val="00B81199"/>
    <w:rsid w:val="00B85020"/>
    <w:rsid w:val="00B85394"/>
    <w:rsid w:val="00B862D7"/>
    <w:rsid w:val="00BA08DE"/>
    <w:rsid w:val="00BB60F4"/>
    <w:rsid w:val="00BB65C7"/>
    <w:rsid w:val="00BC28D5"/>
    <w:rsid w:val="00BC4B24"/>
    <w:rsid w:val="00BD00D8"/>
    <w:rsid w:val="00BD2B7F"/>
    <w:rsid w:val="00BD36A8"/>
    <w:rsid w:val="00BD460D"/>
    <w:rsid w:val="00BE0981"/>
    <w:rsid w:val="00BE71B1"/>
    <w:rsid w:val="00BF19DB"/>
    <w:rsid w:val="00BF1D5A"/>
    <w:rsid w:val="00BF30D8"/>
    <w:rsid w:val="00C06E69"/>
    <w:rsid w:val="00C26114"/>
    <w:rsid w:val="00C27D4B"/>
    <w:rsid w:val="00C31C28"/>
    <w:rsid w:val="00C326DD"/>
    <w:rsid w:val="00C345F0"/>
    <w:rsid w:val="00C61E64"/>
    <w:rsid w:val="00C64406"/>
    <w:rsid w:val="00C72058"/>
    <w:rsid w:val="00C765B5"/>
    <w:rsid w:val="00C8410E"/>
    <w:rsid w:val="00C84736"/>
    <w:rsid w:val="00CB4DB6"/>
    <w:rsid w:val="00CB6C40"/>
    <w:rsid w:val="00CC00CF"/>
    <w:rsid w:val="00CC0E19"/>
    <w:rsid w:val="00CC42FB"/>
    <w:rsid w:val="00CD6E90"/>
    <w:rsid w:val="00CD7483"/>
    <w:rsid w:val="00CD7CF9"/>
    <w:rsid w:val="00CE2504"/>
    <w:rsid w:val="00CE4698"/>
    <w:rsid w:val="00D02B9E"/>
    <w:rsid w:val="00D154FD"/>
    <w:rsid w:val="00D15A7E"/>
    <w:rsid w:val="00D215EB"/>
    <w:rsid w:val="00D24861"/>
    <w:rsid w:val="00D55AB3"/>
    <w:rsid w:val="00D56EFB"/>
    <w:rsid w:val="00D63E13"/>
    <w:rsid w:val="00D64BDF"/>
    <w:rsid w:val="00D7310E"/>
    <w:rsid w:val="00D82CB2"/>
    <w:rsid w:val="00D847CD"/>
    <w:rsid w:val="00D86770"/>
    <w:rsid w:val="00D96F03"/>
    <w:rsid w:val="00D9764E"/>
    <w:rsid w:val="00DC3138"/>
    <w:rsid w:val="00DC6AEC"/>
    <w:rsid w:val="00DC6E54"/>
    <w:rsid w:val="00DD5AED"/>
    <w:rsid w:val="00DE3E85"/>
    <w:rsid w:val="00DF60A4"/>
    <w:rsid w:val="00E01578"/>
    <w:rsid w:val="00E075B8"/>
    <w:rsid w:val="00E173A2"/>
    <w:rsid w:val="00E26917"/>
    <w:rsid w:val="00E3258C"/>
    <w:rsid w:val="00E3411F"/>
    <w:rsid w:val="00E37571"/>
    <w:rsid w:val="00E41E1D"/>
    <w:rsid w:val="00E46BC0"/>
    <w:rsid w:val="00E475D9"/>
    <w:rsid w:val="00E570BB"/>
    <w:rsid w:val="00E650F0"/>
    <w:rsid w:val="00E65E42"/>
    <w:rsid w:val="00E66367"/>
    <w:rsid w:val="00E708F9"/>
    <w:rsid w:val="00E73804"/>
    <w:rsid w:val="00E74743"/>
    <w:rsid w:val="00E82A68"/>
    <w:rsid w:val="00E8730B"/>
    <w:rsid w:val="00E90352"/>
    <w:rsid w:val="00E90CE4"/>
    <w:rsid w:val="00E918AD"/>
    <w:rsid w:val="00E9257F"/>
    <w:rsid w:val="00E941B9"/>
    <w:rsid w:val="00EA4C8F"/>
    <w:rsid w:val="00EA78A5"/>
    <w:rsid w:val="00EC1A83"/>
    <w:rsid w:val="00EC70C6"/>
    <w:rsid w:val="00ED12EE"/>
    <w:rsid w:val="00EE4612"/>
    <w:rsid w:val="00F069D9"/>
    <w:rsid w:val="00F14C8C"/>
    <w:rsid w:val="00F17289"/>
    <w:rsid w:val="00F207CE"/>
    <w:rsid w:val="00F21768"/>
    <w:rsid w:val="00F4520F"/>
    <w:rsid w:val="00F53A60"/>
    <w:rsid w:val="00F55691"/>
    <w:rsid w:val="00F55DB5"/>
    <w:rsid w:val="00F6131B"/>
    <w:rsid w:val="00F71C0E"/>
    <w:rsid w:val="00FA02C5"/>
    <w:rsid w:val="00FA1DC7"/>
    <w:rsid w:val="00FA6C59"/>
    <w:rsid w:val="00FB53F6"/>
    <w:rsid w:val="00FC68FD"/>
    <w:rsid w:val="00FC7123"/>
    <w:rsid w:val="00FE1813"/>
    <w:rsid w:val="00FE242F"/>
    <w:rsid w:val="00FE5DB9"/>
    <w:rsid w:val="00FF1E91"/>
    <w:rsid w:val="00FF3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86095"/>
  <w15:chartTrackingRefBased/>
  <w15:docId w15:val="{E1B98FFE-E7A3-466F-838C-2149AABB4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28B"/>
  </w:style>
  <w:style w:type="paragraph" w:styleId="Heading1">
    <w:name w:val="heading 1"/>
    <w:basedOn w:val="Normal"/>
    <w:next w:val="Normal"/>
    <w:link w:val="Heading1Char"/>
    <w:uiPriority w:val="9"/>
    <w:qFormat/>
    <w:rsid w:val="00FE18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1E91"/>
    <w:pPr>
      <w:ind w:left="720"/>
      <w:contextualSpacing/>
    </w:pPr>
  </w:style>
  <w:style w:type="character" w:styleId="CommentReference">
    <w:name w:val="annotation reference"/>
    <w:basedOn w:val="DefaultParagraphFont"/>
    <w:uiPriority w:val="99"/>
    <w:semiHidden/>
    <w:unhideWhenUsed/>
    <w:rsid w:val="00B34196"/>
    <w:rPr>
      <w:sz w:val="16"/>
      <w:szCs w:val="16"/>
    </w:rPr>
  </w:style>
  <w:style w:type="paragraph" w:styleId="CommentText">
    <w:name w:val="annotation text"/>
    <w:basedOn w:val="Normal"/>
    <w:link w:val="CommentTextChar"/>
    <w:uiPriority w:val="99"/>
    <w:semiHidden/>
    <w:unhideWhenUsed/>
    <w:rsid w:val="00B34196"/>
    <w:rPr>
      <w:sz w:val="20"/>
      <w:szCs w:val="20"/>
    </w:rPr>
  </w:style>
  <w:style w:type="character" w:customStyle="1" w:styleId="CommentTextChar">
    <w:name w:val="Comment Text Char"/>
    <w:basedOn w:val="DefaultParagraphFont"/>
    <w:link w:val="CommentText"/>
    <w:uiPriority w:val="99"/>
    <w:semiHidden/>
    <w:rsid w:val="00B34196"/>
    <w:rPr>
      <w:sz w:val="20"/>
      <w:szCs w:val="20"/>
    </w:rPr>
  </w:style>
  <w:style w:type="paragraph" w:styleId="CommentSubject">
    <w:name w:val="annotation subject"/>
    <w:basedOn w:val="CommentText"/>
    <w:next w:val="CommentText"/>
    <w:link w:val="CommentSubjectChar"/>
    <w:uiPriority w:val="99"/>
    <w:semiHidden/>
    <w:unhideWhenUsed/>
    <w:rsid w:val="00B34196"/>
    <w:rPr>
      <w:b/>
      <w:bCs/>
    </w:rPr>
  </w:style>
  <w:style w:type="character" w:customStyle="1" w:styleId="CommentSubjectChar">
    <w:name w:val="Comment Subject Char"/>
    <w:basedOn w:val="CommentTextChar"/>
    <w:link w:val="CommentSubject"/>
    <w:uiPriority w:val="99"/>
    <w:semiHidden/>
    <w:rsid w:val="00B34196"/>
    <w:rPr>
      <w:b/>
      <w:bCs/>
      <w:sz w:val="20"/>
      <w:szCs w:val="20"/>
    </w:rPr>
  </w:style>
  <w:style w:type="paragraph" w:styleId="BalloonText">
    <w:name w:val="Balloon Text"/>
    <w:basedOn w:val="Normal"/>
    <w:link w:val="BalloonTextChar"/>
    <w:uiPriority w:val="99"/>
    <w:semiHidden/>
    <w:unhideWhenUsed/>
    <w:rsid w:val="00B341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196"/>
    <w:rPr>
      <w:rFonts w:ascii="Segoe UI" w:hAnsi="Segoe UI" w:cs="Segoe UI"/>
      <w:sz w:val="18"/>
      <w:szCs w:val="18"/>
    </w:rPr>
  </w:style>
  <w:style w:type="table" w:styleId="TableGrid">
    <w:name w:val="Table Grid"/>
    <w:basedOn w:val="TableNormal"/>
    <w:uiPriority w:val="39"/>
    <w:rsid w:val="005700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7000F"/>
    <w:rPr>
      <w:color w:val="808080"/>
    </w:rPr>
  </w:style>
  <w:style w:type="paragraph" w:styleId="Bibliography">
    <w:name w:val="Bibliography"/>
    <w:basedOn w:val="Normal"/>
    <w:next w:val="Normal"/>
    <w:uiPriority w:val="37"/>
    <w:unhideWhenUsed/>
    <w:rsid w:val="00A75D60"/>
    <w:pPr>
      <w:tabs>
        <w:tab w:val="left" w:pos="504"/>
      </w:tabs>
      <w:ind w:left="504" w:hanging="504"/>
    </w:pPr>
  </w:style>
  <w:style w:type="paragraph" w:styleId="NormalWeb">
    <w:name w:val="Normal (Web)"/>
    <w:basedOn w:val="Normal"/>
    <w:uiPriority w:val="99"/>
    <w:unhideWhenUsed/>
    <w:rsid w:val="00223EB0"/>
    <w:pPr>
      <w:spacing w:before="100" w:beforeAutospacing="1" w:after="100" w:afterAutospacing="1"/>
    </w:pPr>
    <w:rPr>
      <w:rFonts w:ascii="Times New Roman" w:eastAsia="Times New Roman" w:hAnsi="Times New Roman" w:cs="Times New Roman"/>
      <w:sz w:val="24"/>
      <w:szCs w:val="24"/>
    </w:rPr>
  </w:style>
  <w:style w:type="table" w:styleId="PlainTable2">
    <w:name w:val="Plain Table 2"/>
    <w:basedOn w:val="TableNormal"/>
    <w:uiPriority w:val="42"/>
    <w:rsid w:val="00CD6E9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gliatab41">
    <w:name w:val="Griglia tab. 41"/>
    <w:basedOn w:val="TableNormal"/>
    <w:uiPriority w:val="49"/>
    <w:rsid w:val="00A23F27"/>
    <w:rPr>
      <w:lang w:val="it-IT"/>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B85394"/>
    <w:pPr>
      <w:tabs>
        <w:tab w:val="center" w:pos="4680"/>
        <w:tab w:val="right" w:pos="9360"/>
      </w:tabs>
    </w:pPr>
  </w:style>
  <w:style w:type="character" w:customStyle="1" w:styleId="HeaderChar">
    <w:name w:val="Header Char"/>
    <w:basedOn w:val="DefaultParagraphFont"/>
    <w:link w:val="Header"/>
    <w:uiPriority w:val="99"/>
    <w:rsid w:val="00B85394"/>
  </w:style>
  <w:style w:type="paragraph" w:styleId="Footer">
    <w:name w:val="footer"/>
    <w:basedOn w:val="Normal"/>
    <w:link w:val="FooterChar"/>
    <w:uiPriority w:val="99"/>
    <w:unhideWhenUsed/>
    <w:rsid w:val="00B85394"/>
    <w:pPr>
      <w:tabs>
        <w:tab w:val="center" w:pos="4680"/>
        <w:tab w:val="right" w:pos="9360"/>
      </w:tabs>
    </w:pPr>
  </w:style>
  <w:style w:type="character" w:customStyle="1" w:styleId="FooterChar">
    <w:name w:val="Footer Char"/>
    <w:basedOn w:val="DefaultParagraphFont"/>
    <w:link w:val="Footer"/>
    <w:uiPriority w:val="99"/>
    <w:rsid w:val="00B85394"/>
  </w:style>
  <w:style w:type="paragraph" w:styleId="NoSpacing">
    <w:name w:val="No Spacing"/>
    <w:link w:val="NoSpacingChar"/>
    <w:uiPriority w:val="1"/>
    <w:qFormat/>
    <w:rsid w:val="00FE1813"/>
    <w:rPr>
      <w:rFonts w:eastAsiaTheme="minorEastAsia"/>
    </w:rPr>
  </w:style>
  <w:style w:type="character" w:customStyle="1" w:styleId="NoSpacingChar">
    <w:name w:val="No Spacing Char"/>
    <w:basedOn w:val="DefaultParagraphFont"/>
    <w:link w:val="NoSpacing"/>
    <w:uiPriority w:val="1"/>
    <w:rsid w:val="00FE1813"/>
    <w:rPr>
      <w:rFonts w:eastAsiaTheme="minorEastAsia"/>
    </w:rPr>
  </w:style>
  <w:style w:type="character" w:customStyle="1" w:styleId="Heading1Char">
    <w:name w:val="Heading 1 Char"/>
    <w:basedOn w:val="DefaultParagraphFont"/>
    <w:link w:val="Heading1"/>
    <w:uiPriority w:val="9"/>
    <w:rsid w:val="00FE1813"/>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E1813"/>
    <w:pPr>
      <w:outlineLvl w:val="9"/>
    </w:pPr>
  </w:style>
  <w:style w:type="paragraph" w:styleId="TOC2">
    <w:name w:val="toc 2"/>
    <w:basedOn w:val="Normal"/>
    <w:next w:val="Normal"/>
    <w:autoRedefine/>
    <w:uiPriority w:val="39"/>
    <w:unhideWhenUsed/>
    <w:rsid w:val="00FE1813"/>
    <w:pPr>
      <w:spacing w:after="100"/>
      <w:ind w:left="220"/>
    </w:pPr>
    <w:rPr>
      <w:rFonts w:eastAsiaTheme="minorEastAsia" w:cs="Times New Roman"/>
    </w:rPr>
  </w:style>
  <w:style w:type="paragraph" w:styleId="TOC1">
    <w:name w:val="toc 1"/>
    <w:basedOn w:val="Normal"/>
    <w:next w:val="Normal"/>
    <w:autoRedefine/>
    <w:uiPriority w:val="39"/>
    <w:unhideWhenUsed/>
    <w:rsid w:val="00FE1813"/>
    <w:pPr>
      <w:spacing w:after="100"/>
    </w:pPr>
    <w:rPr>
      <w:rFonts w:eastAsiaTheme="minorEastAsia" w:cs="Times New Roman"/>
    </w:rPr>
  </w:style>
  <w:style w:type="paragraph" w:styleId="TOC3">
    <w:name w:val="toc 3"/>
    <w:basedOn w:val="Normal"/>
    <w:next w:val="Normal"/>
    <w:autoRedefine/>
    <w:uiPriority w:val="39"/>
    <w:unhideWhenUsed/>
    <w:rsid w:val="00FE1813"/>
    <w:pPr>
      <w:spacing w:after="100"/>
      <w:ind w:left="440"/>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1018387">
      <w:bodyDiv w:val="1"/>
      <w:marLeft w:val="0"/>
      <w:marRight w:val="0"/>
      <w:marTop w:val="0"/>
      <w:marBottom w:val="0"/>
      <w:divBdr>
        <w:top w:val="none" w:sz="0" w:space="0" w:color="auto"/>
        <w:left w:val="none" w:sz="0" w:space="0" w:color="auto"/>
        <w:bottom w:val="none" w:sz="0" w:space="0" w:color="auto"/>
        <w:right w:val="none" w:sz="0" w:space="0" w:color="auto"/>
      </w:divBdr>
    </w:div>
    <w:div w:id="188240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jp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jp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jp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jpg"/><Relationship Id="rId45" Type="http://schemas.openxmlformats.org/officeDocument/2006/relationships/image" Target="media/image37.png"/><Relationship Id="rId53"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10" Type="http://schemas.openxmlformats.org/officeDocument/2006/relationships/image" Target="media/image2.jp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jpg"/><Relationship Id="rId52" Type="http://schemas.openxmlformats.org/officeDocument/2006/relationships/image" Target="media/image44.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jpg"/><Relationship Id="rId48" Type="http://schemas.openxmlformats.org/officeDocument/2006/relationships/image" Target="media/image40.PNG"/><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PublishDate>
  <Abstract/>
  <CompanyAddress>Advisor: Dr. Thomas Zawodzinski</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54DB21-59A9-44BF-9A11-9CD042C7F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45205</Words>
  <Characters>257670</Characters>
  <Application>Microsoft Office Word</Application>
  <DocSecurity>0</DocSecurity>
  <Lines>2147</Lines>
  <Paragraphs>604</Paragraphs>
  <ScaleCrop>false</ScaleCrop>
  <HeadingPairs>
    <vt:vector size="2" baseType="variant">
      <vt:variant>
        <vt:lpstr>Title</vt:lpstr>
      </vt:variant>
      <vt:variant>
        <vt:i4>1</vt:i4>
      </vt:variant>
    </vt:vector>
  </HeadingPairs>
  <TitlesOfParts>
    <vt:vector size="1" baseType="lpstr">
      <vt:lpstr>Factors Influencing Kinetics of Electrode Processes in Vanadium Redox Flow Batteries</vt:lpstr>
    </vt:vector>
  </TitlesOfParts>
  <Company>Emma Hollmann</Company>
  <LinksUpToDate>false</LinksUpToDate>
  <CharactersWithSpaces>302271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Factors Influencing Kinetics of Electrode Processes in Vanadium Redox Flow Batteries</dc:title>
  <dc:subject>Undergraduate Thesis</dc:subject>
  <dc:creator>Emma Hollmann</dc:creator>
  <cp:keywords/>
  <dc:description/>
  <cp:lastModifiedBy>Emma Hollmann</cp:lastModifiedBy>
  <cp:revision>2</cp:revision>
  <dcterms:created xsi:type="dcterms:W3CDTF">2015-04-21T14:55:00Z</dcterms:created>
  <dcterms:modified xsi:type="dcterms:W3CDTF">2015-04-21T14:55:00Z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zotero-version="4.0.26.2"&gt;&lt;session id="PpCO1Vzv"/&gt;&lt;style id="http://www.zotero.org/styles/american-chemical-society" hasBibliography="1" bibliographyStyleHasBeenSet="1"/&gt;&lt;prefs&gt;&lt;pref name="fieldType" value="Field"/&gt;&lt;pref name="store</vt:lpwstr>
  </property>
  <property fmtid="{D5CDD505-2E9C-101B-9397-08002B2CF9AE}" pid="3" name="ZOTERO_PREF_2">
    <vt:lpwstr>References" value="true"/&gt;&lt;pref name="automaticJournalAbbreviations" value="false"/&gt;&lt;pref name="noteType" value="0"/&gt;&lt;/prefs&gt;&lt;/data&gt;</vt:lpwstr>
  </property>
</Properties>
</file>