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7322BA" w14:textId="6380698E" w:rsidR="000F3058" w:rsidRPr="00171F6A" w:rsidRDefault="00FD1E7B" w:rsidP="00324644">
      <w:pPr>
        <w:jc w:val="center"/>
        <w:rPr>
          <w:b/>
          <w:lang w:val="en-CA"/>
        </w:rPr>
      </w:pPr>
      <w:r>
        <w:rPr>
          <w:b/>
          <w:lang w:val="en-CA"/>
        </w:rPr>
        <w:t>LEVERAGING SENSITIVITY ANALYSIS TO INFORM SEPARATE EFFECTS TESTS</w:t>
      </w:r>
      <w:r w:rsidR="00324644">
        <w:rPr>
          <w:b/>
          <w:lang w:val="en-CA"/>
        </w:rPr>
        <w:t xml:space="preserve"> </w:t>
      </w:r>
      <w:r w:rsidR="000F3058">
        <w:rPr>
          <w:b/>
          <w:lang w:val="en-CA"/>
        </w:rPr>
        <w:t xml:space="preserve">FOR NUCLEAR </w:t>
      </w:r>
      <w:r w:rsidR="00B02F76">
        <w:rPr>
          <w:b/>
          <w:lang w:val="en-CA"/>
        </w:rPr>
        <w:t>REACTOR SAFETY</w:t>
      </w:r>
      <w:r w:rsidR="000F3058">
        <w:rPr>
          <w:b/>
          <w:lang w:val="en-CA"/>
        </w:rPr>
        <w:t xml:space="preserve"> APPLICATIONS</w:t>
      </w:r>
    </w:p>
    <w:p w14:paraId="021CC5A0" w14:textId="77777777" w:rsidR="00236E6D" w:rsidRPr="009D2AA9" w:rsidRDefault="00236E6D" w:rsidP="00324644">
      <w:pPr>
        <w:jc w:val="center"/>
        <w:rPr>
          <w:rFonts w:cs="Times New Roman"/>
        </w:rPr>
      </w:pPr>
    </w:p>
    <w:p w14:paraId="24D64DF7" w14:textId="77777777" w:rsidR="00236E6D" w:rsidRPr="009D2AA9" w:rsidRDefault="00236E6D" w:rsidP="00324644">
      <w:pPr>
        <w:jc w:val="center"/>
        <w:rPr>
          <w:rFonts w:cs="Times New Roman"/>
        </w:rPr>
      </w:pPr>
    </w:p>
    <w:p w14:paraId="4C79B11B" w14:textId="77777777" w:rsidR="00236E6D" w:rsidRPr="009D2AA9" w:rsidRDefault="00236E6D" w:rsidP="00324644">
      <w:pPr>
        <w:jc w:val="center"/>
        <w:rPr>
          <w:rFonts w:cs="Times New Roman"/>
        </w:rPr>
      </w:pPr>
    </w:p>
    <w:p w14:paraId="738C4860" w14:textId="77777777" w:rsidR="00236E6D" w:rsidRPr="009D2AA9" w:rsidRDefault="00236E6D" w:rsidP="00324644">
      <w:pPr>
        <w:jc w:val="center"/>
        <w:rPr>
          <w:rFonts w:cs="Times New Roman"/>
        </w:rPr>
      </w:pPr>
    </w:p>
    <w:p w14:paraId="32E50032" w14:textId="77777777" w:rsidR="00236E6D" w:rsidRPr="009D2AA9" w:rsidRDefault="00236E6D" w:rsidP="00324644">
      <w:pPr>
        <w:rPr>
          <w:rFonts w:cs="Times New Roman"/>
        </w:rPr>
      </w:pPr>
    </w:p>
    <w:p w14:paraId="1645419A" w14:textId="46C161F7" w:rsidR="00236E6D" w:rsidRPr="00171F6A" w:rsidRDefault="009C755C" w:rsidP="00324644">
      <w:pPr>
        <w:jc w:val="center"/>
      </w:pPr>
      <w:r w:rsidRPr="00171F6A">
        <w:t xml:space="preserve">A </w:t>
      </w:r>
      <w:r w:rsidR="00FD1E7B">
        <w:t>Dissertation</w:t>
      </w:r>
      <w:r w:rsidRPr="00171F6A">
        <w:t xml:space="preserve"> Presented for</w:t>
      </w:r>
      <w:r w:rsidR="008865B6" w:rsidRPr="00171F6A">
        <w:t xml:space="preserve"> the</w:t>
      </w:r>
    </w:p>
    <w:p w14:paraId="79F276B3" w14:textId="2791AC1C" w:rsidR="009C755C" w:rsidRPr="00171F6A" w:rsidRDefault="00FD1E7B" w:rsidP="00324644">
      <w:pPr>
        <w:jc w:val="center"/>
      </w:pPr>
      <w:r>
        <w:t>Doctor of Philosophy</w:t>
      </w:r>
    </w:p>
    <w:p w14:paraId="65C0B559" w14:textId="77777777" w:rsidR="009C755C" w:rsidRPr="00171F6A" w:rsidRDefault="009C755C" w:rsidP="00324644">
      <w:pPr>
        <w:jc w:val="center"/>
      </w:pPr>
      <w:r w:rsidRPr="00171F6A">
        <w:t>Degree</w:t>
      </w:r>
    </w:p>
    <w:p w14:paraId="2CFA0F25" w14:textId="77777777" w:rsidR="009C755C" w:rsidRPr="00171F6A" w:rsidRDefault="009C755C" w:rsidP="00324644">
      <w:pPr>
        <w:jc w:val="center"/>
      </w:pPr>
      <w:r w:rsidRPr="00171F6A">
        <w:t>The University of Tennessee, Knoxville</w:t>
      </w:r>
    </w:p>
    <w:p w14:paraId="1023C2EE" w14:textId="77777777" w:rsidR="00236E6D" w:rsidRPr="009D2AA9" w:rsidRDefault="00236E6D" w:rsidP="00324644">
      <w:pPr>
        <w:jc w:val="center"/>
        <w:rPr>
          <w:rFonts w:cs="Times New Roman"/>
        </w:rPr>
      </w:pPr>
    </w:p>
    <w:p w14:paraId="46F9D8B0" w14:textId="77777777" w:rsidR="00236E6D" w:rsidRPr="009D2AA9" w:rsidRDefault="00236E6D" w:rsidP="00324644">
      <w:pPr>
        <w:jc w:val="center"/>
        <w:rPr>
          <w:rFonts w:cs="Times New Roman"/>
        </w:rPr>
      </w:pPr>
    </w:p>
    <w:p w14:paraId="79FAA290" w14:textId="77777777" w:rsidR="00236E6D" w:rsidRPr="009D2AA9" w:rsidRDefault="00236E6D">
      <w:pPr>
        <w:jc w:val="center"/>
        <w:rPr>
          <w:rFonts w:cs="Times New Roman"/>
        </w:rPr>
      </w:pPr>
    </w:p>
    <w:p w14:paraId="1F3B6B38" w14:textId="77777777" w:rsidR="00236E6D" w:rsidRPr="009D2AA9" w:rsidRDefault="00236E6D">
      <w:pPr>
        <w:jc w:val="center"/>
        <w:rPr>
          <w:rFonts w:cs="Times New Roman"/>
        </w:rPr>
      </w:pPr>
    </w:p>
    <w:p w14:paraId="04A22527" w14:textId="77777777" w:rsidR="00236E6D" w:rsidRPr="009D2AA9" w:rsidRDefault="00236E6D" w:rsidP="009341D6">
      <w:pPr>
        <w:rPr>
          <w:rFonts w:cs="Times New Roman"/>
        </w:rPr>
      </w:pPr>
    </w:p>
    <w:p w14:paraId="5B77F06E" w14:textId="77777777" w:rsidR="00236E6D" w:rsidRPr="009D2AA9" w:rsidRDefault="00236E6D">
      <w:pPr>
        <w:jc w:val="center"/>
        <w:rPr>
          <w:rFonts w:cs="Times New Roman"/>
        </w:rPr>
      </w:pPr>
    </w:p>
    <w:p w14:paraId="4D231512" w14:textId="77777777" w:rsidR="00236E6D" w:rsidRDefault="00236E6D" w:rsidP="000F3058">
      <w:pPr>
        <w:rPr>
          <w:rFonts w:cs="Times New Roman"/>
        </w:rPr>
      </w:pPr>
    </w:p>
    <w:p w14:paraId="31EA1D5C" w14:textId="77777777" w:rsidR="00F22A75" w:rsidRDefault="00F22A75" w:rsidP="000F3058">
      <w:pPr>
        <w:rPr>
          <w:rFonts w:cs="Times New Roman"/>
        </w:rPr>
      </w:pPr>
    </w:p>
    <w:p w14:paraId="0F41C547" w14:textId="77777777" w:rsidR="00F22A75" w:rsidRPr="009D2AA9" w:rsidRDefault="00F22A75" w:rsidP="000F3058">
      <w:pPr>
        <w:rPr>
          <w:rFonts w:cs="Times New Roman"/>
        </w:rPr>
      </w:pPr>
    </w:p>
    <w:p w14:paraId="55EC3CD0" w14:textId="691E87FB" w:rsidR="00236E6D" w:rsidRPr="00171F6A" w:rsidRDefault="00D84188">
      <w:pPr>
        <w:jc w:val="center"/>
      </w:pPr>
      <w:r w:rsidRPr="00171F6A">
        <w:t>Nicholas Akira Meehan</w:t>
      </w:r>
    </w:p>
    <w:p w14:paraId="21997044" w14:textId="1C05B39A" w:rsidR="00236E6D" w:rsidRDefault="00084C94" w:rsidP="00324644">
      <w:pPr>
        <w:jc w:val="center"/>
      </w:pPr>
      <w:r>
        <w:t>August</w:t>
      </w:r>
      <w:r w:rsidR="009C755C" w:rsidRPr="00171F6A">
        <w:t xml:space="preserve"> </w:t>
      </w:r>
      <w:r w:rsidR="009D2AA9" w:rsidRPr="00171F6A">
        <w:t>202</w:t>
      </w:r>
      <w:r>
        <w:t>5</w:t>
      </w:r>
    </w:p>
    <w:p w14:paraId="36C554DD" w14:textId="77777777" w:rsidR="00F22A75" w:rsidRPr="00324644" w:rsidRDefault="00F22A75" w:rsidP="00F22A75"/>
    <w:p w14:paraId="1674AFE8" w14:textId="07033501" w:rsidR="00236E6D" w:rsidRPr="00171F6A" w:rsidRDefault="003D07F7" w:rsidP="00D91C27">
      <w:pPr>
        <w:jc w:val="center"/>
      </w:pPr>
      <w:r w:rsidRPr="00171F6A">
        <w:lastRenderedPageBreak/>
        <w:t>Copyright © 20</w:t>
      </w:r>
      <w:r w:rsidR="009D2AA9" w:rsidRPr="00171F6A">
        <w:t>2</w:t>
      </w:r>
      <w:r w:rsidR="00220ED1">
        <w:t>5</w:t>
      </w:r>
      <w:r w:rsidR="00236E6D" w:rsidRPr="00171F6A">
        <w:t xml:space="preserve"> by </w:t>
      </w:r>
      <w:r w:rsidR="00D84188" w:rsidRPr="00171F6A">
        <w:t>Nicholas Akira Meehan</w:t>
      </w:r>
    </w:p>
    <w:p w14:paraId="1B008BA8" w14:textId="4538444D" w:rsidR="009D2AA9" w:rsidRPr="000F3058" w:rsidRDefault="00236E6D" w:rsidP="009341D6">
      <w:pPr>
        <w:jc w:val="center"/>
      </w:pPr>
      <w:r w:rsidRPr="00171F6A">
        <w:t>All rights reserved.</w:t>
      </w:r>
      <w:r w:rsidR="00EE6573">
        <w:br w:type="page"/>
      </w:r>
    </w:p>
    <w:p w14:paraId="347FED04" w14:textId="7694F4C0" w:rsidR="00CD73A9" w:rsidRPr="00EE6573" w:rsidRDefault="00CD73A9" w:rsidP="00EE6573">
      <w:pPr>
        <w:jc w:val="center"/>
        <w:rPr>
          <w:b/>
        </w:rPr>
      </w:pPr>
      <w:r w:rsidRPr="00171F6A">
        <w:rPr>
          <w:b/>
        </w:rPr>
        <w:lastRenderedPageBreak/>
        <w:t>ACKNOWLEDGEMENTS</w:t>
      </w:r>
    </w:p>
    <w:p w14:paraId="7D3B6DAC" w14:textId="2A10D831" w:rsidR="000A624F" w:rsidRDefault="000A624F" w:rsidP="000A624F">
      <w:r>
        <w:t>I</w:t>
      </w:r>
      <w:r w:rsidR="0075276C">
        <w:t xml:space="preserve"> would like to thank Dr. Nicholas R. Brown for providing </w:t>
      </w:r>
      <w:r>
        <w:t>me</w:t>
      </w:r>
      <w:r w:rsidR="0075276C">
        <w:t xml:space="preserve"> with this incredible opportunity and for guidance</w:t>
      </w:r>
      <w:r w:rsidR="00EC1A62">
        <w:t xml:space="preserve"> and encouragement</w:t>
      </w:r>
      <w:r w:rsidR="0075276C">
        <w:t xml:space="preserve"> which helped </w:t>
      </w:r>
      <w:r>
        <w:t>me</w:t>
      </w:r>
      <w:r w:rsidR="0075276C">
        <w:t xml:space="preserve"> to succeed throughout graduate school</w:t>
      </w:r>
      <w:r w:rsidR="001E6EE7">
        <w:t>.</w:t>
      </w:r>
      <w:r w:rsidR="00F264AE">
        <w:t xml:space="preserve"> </w:t>
      </w:r>
      <w:r w:rsidR="00686822">
        <w:t>I would also like to thank Dr. Ivan Maldonado for his support and guidance throughout my many projects.</w:t>
      </w:r>
    </w:p>
    <w:p w14:paraId="279BAC79" w14:textId="0DA5B1F4" w:rsidR="000A624F" w:rsidRDefault="000A624F" w:rsidP="000A624F">
      <w:r>
        <w:t xml:space="preserve">I would like to thank </w:t>
      </w:r>
      <w:r w:rsidRPr="000A624F">
        <w:rPr>
          <w:rFonts w:hint="eastAsia"/>
        </w:rPr>
        <w:t xml:space="preserve">Dr. Trevor Howard and the OSU team for </w:t>
      </w:r>
      <w:r w:rsidR="00AB7955">
        <w:t xml:space="preserve">their </w:t>
      </w:r>
      <w:r w:rsidRPr="000A624F">
        <w:rPr>
          <w:rFonts w:hint="eastAsia"/>
        </w:rPr>
        <w:t>insight in modeling TRTL</w:t>
      </w:r>
      <w:r>
        <w:t xml:space="preserve"> and </w:t>
      </w:r>
      <w:r w:rsidRPr="000A624F">
        <w:rPr>
          <w:rFonts w:hint="eastAsia"/>
        </w:rPr>
        <w:t>Dr. Charles Folsom for guidance in modeling TREAT</w:t>
      </w:r>
      <w:r>
        <w:t xml:space="preserve"> and for his technical insight in critical heat flux</w:t>
      </w:r>
      <w:r w:rsidRPr="000A624F">
        <w:rPr>
          <w:rFonts w:hint="eastAsia"/>
        </w:rPr>
        <w:t>.</w:t>
      </w:r>
    </w:p>
    <w:p w14:paraId="18766140" w14:textId="04649AFE" w:rsidR="000A624F" w:rsidRDefault="000A624F" w:rsidP="001E6EE7">
      <w:r>
        <w:t>I extend my thanks to all of the</w:t>
      </w:r>
      <w:r w:rsidRPr="000A624F">
        <w:rPr>
          <w:rFonts w:hint="eastAsia"/>
        </w:rPr>
        <w:t xml:space="preserve"> Irradiation Engineering Group for being welcoming and letting me run ANSYS non-stop for weeks</w:t>
      </w:r>
      <w:r>
        <w:t xml:space="preserve">. </w:t>
      </w:r>
      <w:r w:rsidR="00686822">
        <w:t>T</w:t>
      </w:r>
      <w:r>
        <w:t>hank</w:t>
      </w:r>
      <w:r w:rsidR="00686822">
        <w:t xml:space="preserve"> you to</w:t>
      </w:r>
      <w:r>
        <w:t xml:space="preserve"> </w:t>
      </w:r>
      <w:r w:rsidRPr="000A624F">
        <w:rPr>
          <w:rFonts w:hint="eastAsia"/>
        </w:rPr>
        <w:t>Dr. Jacob Gorton for</w:t>
      </w:r>
      <w:r>
        <w:t xml:space="preserve"> his</w:t>
      </w:r>
      <w:r w:rsidRPr="000A624F">
        <w:rPr>
          <w:rFonts w:hint="eastAsia"/>
        </w:rPr>
        <w:t xml:space="preserve"> </w:t>
      </w:r>
      <w:r w:rsidR="00AB7955">
        <w:t xml:space="preserve">extensive </w:t>
      </w:r>
      <w:r w:rsidRPr="000A624F">
        <w:rPr>
          <w:rFonts w:hint="eastAsia"/>
        </w:rPr>
        <w:t>mentorship</w:t>
      </w:r>
      <w:r>
        <w:t xml:space="preserve"> throughout the MiniFuel project</w:t>
      </w:r>
      <w:r w:rsidRPr="000A624F">
        <w:rPr>
          <w:rFonts w:hint="eastAsia"/>
        </w:rPr>
        <w:t xml:space="preserve"> and </w:t>
      </w:r>
      <w:r>
        <w:t xml:space="preserve">for </w:t>
      </w:r>
      <w:r w:rsidRPr="000A624F">
        <w:rPr>
          <w:rFonts w:hint="eastAsia"/>
        </w:rPr>
        <w:t xml:space="preserve">guidance in modeling the MiniFuel </w:t>
      </w:r>
      <w:r w:rsidR="00AB7955">
        <w:t>s</w:t>
      </w:r>
      <w:r w:rsidRPr="000A624F">
        <w:rPr>
          <w:rFonts w:hint="eastAsia"/>
        </w:rPr>
        <w:t>ubcapsules</w:t>
      </w:r>
      <w:r>
        <w:t xml:space="preserve">. </w:t>
      </w:r>
      <w:r w:rsidR="00686822">
        <w:t>I would also like to thank</w:t>
      </w:r>
      <w:r>
        <w:t xml:space="preserve"> </w:t>
      </w:r>
      <w:r w:rsidRPr="000A624F">
        <w:rPr>
          <w:rFonts w:hint="eastAsia"/>
        </w:rPr>
        <w:t>Dr. Nathan Capps for insight in modeling fuel performance in BISON.</w:t>
      </w:r>
    </w:p>
    <w:p w14:paraId="5455440C" w14:textId="1450D64E" w:rsidR="001E6EE7" w:rsidRPr="000A624F" w:rsidRDefault="00686822" w:rsidP="000A624F">
      <w:pPr>
        <w:rPr>
          <w:rFonts w:cs="Times New Roman"/>
        </w:rPr>
      </w:pPr>
      <w:r>
        <w:t>T</w:t>
      </w:r>
      <w:r w:rsidR="000F3058">
        <w:t xml:space="preserve">hank </w:t>
      </w:r>
      <w:r>
        <w:t xml:space="preserve">you to all </w:t>
      </w:r>
      <w:r w:rsidR="000A624F">
        <w:t>my</w:t>
      </w:r>
      <w:r w:rsidR="000F3058">
        <w:t xml:space="preserve"> friends who helped </w:t>
      </w:r>
      <w:r w:rsidR="000A624F">
        <w:t>me</w:t>
      </w:r>
      <w:r w:rsidR="000F3058">
        <w:t xml:space="preserve"> through the ups and downs of life and for the great memories </w:t>
      </w:r>
      <w:r w:rsidR="000A624F">
        <w:t>we</w:t>
      </w:r>
      <w:r w:rsidR="000F3058">
        <w:t xml:space="preserve"> shared together. Finally, </w:t>
      </w:r>
      <w:r w:rsidR="000A624F">
        <w:t>I</w:t>
      </w:r>
      <w:r w:rsidR="00F264AE">
        <w:t xml:space="preserve"> would like to thank</w:t>
      </w:r>
      <w:r w:rsidR="000A624F">
        <w:t xml:space="preserve"> my</w:t>
      </w:r>
      <w:r w:rsidR="00F264AE">
        <w:t xml:space="preserve"> family for their unwavering support in</w:t>
      </w:r>
      <w:r w:rsidR="000A624F">
        <w:t xml:space="preserve"> my</w:t>
      </w:r>
      <w:r w:rsidR="00F264AE">
        <w:t xml:space="preserve"> ambitions.</w:t>
      </w:r>
    </w:p>
    <w:p w14:paraId="6B432D3E" w14:textId="495D14C1" w:rsidR="00236E6D" w:rsidRPr="008A5D6D" w:rsidRDefault="00CD73A9" w:rsidP="00F22A75">
      <w:pPr>
        <w:jc w:val="center"/>
        <w:rPr>
          <w:sz w:val="28"/>
          <w:szCs w:val="28"/>
        </w:rPr>
      </w:pPr>
      <w:r w:rsidRPr="009D2AA9">
        <w:rPr>
          <w:rFonts w:cs="Times New Roman"/>
        </w:rPr>
        <w:br w:type="page"/>
      </w:r>
      <w:r w:rsidR="00236E6D" w:rsidRPr="005D4970">
        <w:rPr>
          <w:b/>
          <w:bCs/>
        </w:rPr>
        <w:lastRenderedPageBreak/>
        <w:t>ABSTRACT</w:t>
      </w:r>
    </w:p>
    <w:p w14:paraId="25EEF813" w14:textId="6B35FF1B" w:rsidR="00D52B33" w:rsidRDefault="002F7A37" w:rsidP="00483134">
      <w:r>
        <w:t xml:space="preserve">Future commercial nuclear power is seeking enhanced performance through technologies that operate outside the current regulatory space. Accident tolerant fuels (ATFs) are a proposed method for enhancing safety in nuclear systems without sacrificing cost or performance. </w:t>
      </w:r>
      <w:r w:rsidR="0007186C">
        <w:t>P</w:t>
      </w:r>
      <w:r>
        <w:t>rior to licensing a new fuel form for commercial use, fuel qualification must be performed. Traditionally</w:t>
      </w:r>
      <w:r w:rsidR="002B5F1F">
        <w:t>,</w:t>
      </w:r>
      <w:r>
        <w:t xml:space="preserve"> </w:t>
      </w:r>
      <w:r w:rsidR="002B5F1F">
        <w:t>fuel qualification</w:t>
      </w:r>
      <w:r>
        <w:t xml:space="preserve"> is time-consuming and costly, taking upwards of 20 years to perform and relying primarily on integral effects tests. A novel solution to accelerating the fuel qualification process is supplementing integral effects testing by leveraging an iterative process between separate effects tests and modeling and simulation to establish a database of fuel performance. Separate effects tests are cost-effective experiments which isolate specific fuel performance behaviors to provide fundamental data for developing theory and predictive models. Predictive models can then be used to inform the design of experiments to address regions of high uncertainty through the use of sensitivity analysis. The goal of my work is to identify high-impact, high-uncertainty parameters within predictive nuclear models to inform separate effects experimental design. This approach will be applied to two individual case studies.</w:t>
      </w:r>
    </w:p>
    <w:p w14:paraId="7D2504B1" w14:textId="1188A8DF" w:rsidR="00D52B33" w:rsidRDefault="00D45630" w:rsidP="00483134">
      <w:r>
        <w:t xml:space="preserve">The first </w:t>
      </w:r>
      <w:r w:rsidR="00D52B33">
        <w:t>study performs a knowledge gap analysis of transient critical heat flux</w:t>
      </w:r>
      <w:r w:rsidR="0053472A">
        <w:t xml:space="preserve"> and </w:t>
      </w:r>
      <w:r w:rsidR="008959C4">
        <w:t xml:space="preserve">transient </w:t>
      </w:r>
      <w:r w:rsidR="0053472A">
        <w:t xml:space="preserve">boiling heat transfer </w:t>
      </w:r>
      <w:r w:rsidR="00D52B33">
        <w:t>modeling within the RELAP5-3D code</w:t>
      </w:r>
      <w:r w:rsidR="008959C4">
        <w:t xml:space="preserve">. </w:t>
      </w:r>
      <w:r w:rsidR="009E4F54">
        <w:t>I</w:t>
      </w:r>
      <w:r w:rsidR="00D52B33">
        <w:t xml:space="preserve"> </w:t>
      </w:r>
      <w:r w:rsidR="0053472A">
        <w:t>inspect discrepancies between experiments and code predictions</w:t>
      </w:r>
      <w:r w:rsidR="009A41FF">
        <w:t xml:space="preserve"> due to rapid transient heating effects</w:t>
      </w:r>
      <w:r w:rsidR="00862692">
        <w:t xml:space="preserve"> by performing experimental comparison and highlight areas of highest modeling uncertainty using sensitivity analysis</w:t>
      </w:r>
      <w:r w:rsidR="0053472A">
        <w:t>.</w:t>
      </w:r>
      <w:r w:rsidR="00F57A90">
        <w:t xml:space="preserve"> To address this region of high-uncertainty, I</w:t>
      </w:r>
      <w:r w:rsidR="00D52B33">
        <w:t xml:space="preserve"> </w:t>
      </w:r>
      <w:r w:rsidR="009A41FF">
        <w:lastRenderedPageBreak/>
        <w:t>propose</w:t>
      </w:r>
      <w:r w:rsidR="00F57A90">
        <w:t>d</w:t>
      </w:r>
      <w:r w:rsidR="00D52B33">
        <w:t xml:space="preserve"> an experimental test matrix</w:t>
      </w:r>
      <w:r w:rsidR="00F57A90">
        <w:t xml:space="preserve"> </w:t>
      </w:r>
      <w:r w:rsidR="00D52B33">
        <w:t>t</w:t>
      </w:r>
      <w:r w:rsidR="00ED2D3C">
        <w:t>hat can</w:t>
      </w:r>
      <w:r w:rsidR="00D52B33">
        <w:t xml:space="preserve"> </w:t>
      </w:r>
      <w:r w:rsidR="009E4F54">
        <w:t>provide insight for</w:t>
      </w:r>
      <w:r w:rsidR="00D52B33">
        <w:t xml:space="preserve"> </w:t>
      </w:r>
      <w:r w:rsidR="00F45DB8">
        <w:t xml:space="preserve">future models </w:t>
      </w:r>
      <w:r w:rsidR="009E4F54">
        <w:t>of</w:t>
      </w:r>
      <w:r w:rsidR="00D52B33">
        <w:t xml:space="preserve"> transient boiling heat transfer and transient critical heat flux</w:t>
      </w:r>
      <w:r w:rsidR="009A41FF">
        <w:t xml:space="preserve"> within this operational regime</w:t>
      </w:r>
      <w:r w:rsidR="00D52B33">
        <w:t>.</w:t>
      </w:r>
    </w:p>
    <w:p w14:paraId="6586F983" w14:textId="482CA013" w:rsidR="00D52B33" w:rsidRDefault="00D52B33" w:rsidP="00483134">
      <w:r>
        <w:t>The second study inspects modeling nuclear fuel</w:t>
      </w:r>
      <w:r w:rsidR="001B1C52">
        <w:t xml:space="preserve"> irradiation tests</w:t>
      </w:r>
      <w:r>
        <w:t xml:space="preserve"> in collaboration wit</w:t>
      </w:r>
      <w:r w:rsidR="00751A39">
        <w:t>h</w:t>
      </w:r>
      <w:r>
        <w:t xml:space="preserve"> Oak Ridge National Laboratory (ORNL). </w:t>
      </w:r>
      <w:r w:rsidR="005D1743">
        <w:t>I</w:t>
      </w:r>
      <w:r>
        <w:t xml:space="preserve"> </w:t>
      </w:r>
      <w:r w:rsidR="00F57A90">
        <w:t xml:space="preserve">perform an in-depth analysis of </w:t>
      </w:r>
      <w:r w:rsidR="00E62F8F">
        <w:t>an</w:t>
      </w:r>
      <w:r w:rsidR="00F57A90">
        <w:t xml:space="preserve"> irradiation subcapsule design to reduce model variance in fuel temperature predictions. This analysis revealed three important design parameters</w:t>
      </w:r>
      <w:r w:rsidR="00210BB6">
        <w:t xml:space="preserve"> which</w:t>
      </w:r>
      <w:r w:rsidR="00F57A90">
        <w:t xml:space="preserve"> can be controlled: initial gas pressure, contact pressure, and surface roughness. Using the results of the predictive model, I have developed a set of design recommendations </w:t>
      </w:r>
      <w:r w:rsidR="00924432">
        <w:t xml:space="preserve">which </w:t>
      </w:r>
      <w:r w:rsidR="00891A06">
        <w:t>can</w:t>
      </w:r>
      <w:r w:rsidR="00F57A90">
        <w:t xml:space="preserve"> reduce fuel temperature variance in future separate effects experiments.</w:t>
      </w:r>
    </w:p>
    <w:p w14:paraId="23ACBD0C" w14:textId="77777777" w:rsidR="003F7FED" w:rsidRPr="009D2AA9" w:rsidRDefault="009C755C" w:rsidP="00FE4DDF">
      <w:pPr>
        <w:numPr>
          <w:ilvl w:val="12"/>
          <w:numId w:val="0"/>
        </w:numPr>
        <w:rPr>
          <w:rFonts w:cs="Times New Roman"/>
        </w:rPr>
      </w:pPr>
      <w:r w:rsidRPr="009D2AA9">
        <w:rPr>
          <w:rFonts w:cs="Times New Roman"/>
          <w:b/>
          <w:bCs/>
        </w:rPr>
        <w:br w:type="page"/>
      </w:r>
    </w:p>
    <w:sdt>
      <w:sdtPr>
        <w:rPr>
          <w:rFonts w:cs="Arial"/>
          <w:b w:val="0"/>
          <w:caps w:val="0"/>
        </w:rPr>
        <w:id w:val="607165129"/>
        <w:docPartObj>
          <w:docPartGallery w:val="Table of Contents"/>
          <w:docPartUnique/>
        </w:docPartObj>
      </w:sdtPr>
      <w:sdtEndPr>
        <w:rPr>
          <w:bCs/>
          <w:noProof/>
        </w:rPr>
      </w:sdtEndPr>
      <w:sdtContent>
        <w:p w14:paraId="24B37D10" w14:textId="12F21D49" w:rsidR="00D83B30" w:rsidRPr="00F22A75" w:rsidRDefault="00E91931" w:rsidP="00F22A75">
          <w:pPr>
            <w:pStyle w:val="TOCHeading"/>
            <w:spacing w:before="0" w:line="480" w:lineRule="auto"/>
          </w:pPr>
          <w:r w:rsidRPr="00F22A75">
            <w:t>Table of Contents</w:t>
          </w:r>
        </w:p>
        <w:p w14:paraId="7B956D80" w14:textId="672B0064" w:rsidR="00BF7E93" w:rsidRPr="00F22A75" w:rsidRDefault="00E91931" w:rsidP="00F22A75">
          <w:pPr>
            <w:pStyle w:val="TOC1"/>
            <w:spacing w:line="480" w:lineRule="auto"/>
            <w:rPr>
              <w:rFonts w:eastAsiaTheme="minorEastAsia" w:cs="Times New Roman"/>
              <w:noProof/>
            </w:rPr>
          </w:pPr>
          <w:r w:rsidRPr="00F22A75">
            <w:rPr>
              <w:rFonts w:cs="Times New Roman"/>
            </w:rPr>
            <w:fldChar w:fldCharType="begin"/>
          </w:r>
          <w:r w:rsidRPr="00F22A75">
            <w:rPr>
              <w:rFonts w:cs="Times New Roman"/>
            </w:rPr>
            <w:instrText xml:space="preserve"> TOC \o "1-3" \h \z \u </w:instrText>
          </w:r>
          <w:r w:rsidRPr="00F22A75">
            <w:rPr>
              <w:rFonts w:cs="Times New Roman"/>
            </w:rPr>
            <w:fldChar w:fldCharType="separate"/>
          </w:r>
          <w:hyperlink w:anchor="_Toc202957439" w:history="1">
            <w:r w:rsidR="00BF7E93" w:rsidRPr="00F22A75">
              <w:rPr>
                <w:rStyle w:val="Hyperlink"/>
                <w:rFonts w:ascii="Times New Roman" w:hAnsi="Times New Roman" w:cs="Times New Roman"/>
                <w:noProof/>
              </w:rPr>
              <w:t>Chapter 1: Introduction</w:t>
            </w:r>
            <w:r w:rsidR="00BF7E93" w:rsidRPr="00F22A75">
              <w:rPr>
                <w:rFonts w:cs="Times New Roman"/>
                <w:noProof/>
                <w:webHidden/>
              </w:rPr>
              <w:tab/>
            </w:r>
            <w:r w:rsidR="00BF7E93" w:rsidRPr="00F22A75">
              <w:rPr>
                <w:rFonts w:cs="Times New Roman"/>
                <w:noProof/>
                <w:webHidden/>
              </w:rPr>
              <w:fldChar w:fldCharType="begin"/>
            </w:r>
            <w:r w:rsidR="00BF7E93" w:rsidRPr="00F22A75">
              <w:rPr>
                <w:rFonts w:cs="Times New Roman"/>
                <w:noProof/>
                <w:webHidden/>
              </w:rPr>
              <w:instrText xml:space="preserve"> PAGEREF _Toc202957439 \h </w:instrText>
            </w:r>
            <w:r w:rsidR="00BF7E93" w:rsidRPr="00F22A75">
              <w:rPr>
                <w:rFonts w:cs="Times New Roman"/>
                <w:noProof/>
                <w:webHidden/>
              </w:rPr>
            </w:r>
            <w:r w:rsidR="00BF7E93" w:rsidRPr="00F22A75">
              <w:rPr>
                <w:rFonts w:cs="Times New Roman"/>
                <w:noProof/>
                <w:webHidden/>
              </w:rPr>
              <w:fldChar w:fldCharType="separate"/>
            </w:r>
            <w:r w:rsidR="00897306">
              <w:rPr>
                <w:rFonts w:cs="Times New Roman"/>
                <w:noProof/>
                <w:webHidden/>
              </w:rPr>
              <w:t>1</w:t>
            </w:r>
            <w:r w:rsidR="00BF7E93" w:rsidRPr="00F22A75">
              <w:rPr>
                <w:rFonts w:cs="Times New Roman"/>
                <w:noProof/>
                <w:webHidden/>
              </w:rPr>
              <w:fldChar w:fldCharType="end"/>
            </w:r>
          </w:hyperlink>
        </w:p>
        <w:p w14:paraId="2E96CA7A" w14:textId="4A7F236F" w:rsidR="00BF7E93" w:rsidRPr="00F22A75" w:rsidRDefault="00BF7E93" w:rsidP="00F22A75">
          <w:pPr>
            <w:pStyle w:val="TOC1"/>
            <w:spacing w:line="480" w:lineRule="auto"/>
            <w:rPr>
              <w:rFonts w:eastAsiaTheme="minorEastAsia" w:cs="Times New Roman"/>
              <w:noProof/>
            </w:rPr>
          </w:pPr>
          <w:hyperlink w:anchor="_Toc202957440" w:history="1">
            <w:r w:rsidRPr="00F22A75">
              <w:rPr>
                <w:rStyle w:val="Hyperlink"/>
                <w:rFonts w:ascii="Times New Roman" w:hAnsi="Times New Roman" w:cs="Times New Roman"/>
                <w:noProof/>
              </w:rPr>
              <w:t>Chapter 2: Literature Review</w:t>
            </w:r>
            <w:r w:rsidRPr="00F22A75">
              <w:rPr>
                <w:rFonts w:cs="Times New Roman"/>
                <w:noProof/>
                <w:webHidden/>
              </w:rPr>
              <w:tab/>
            </w:r>
            <w:r w:rsidRPr="00F22A75">
              <w:rPr>
                <w:rFonts w:cs="Times New Roman"/>
                <w:noProof/>
                <w:webHidden/>
              </w:rPr>
              <w:fldChar w:fldCharType="begin"/>
            </w:r>
            <w:r w:rsidRPr="00F22A75">
              <w:rPr>
                <w:rFonts w:cs="Times New Roman"/>
                <w:noProof/>
                <w:webHidden/>
              </w:rPr>
              <w:instrText xml:space="preserve"> PAGEREF _Toc202957440 \h </w:instrText>
            </w:r>
            <w:r w:rsidRPr="00F22A75">
              <w:rPr>
                <w:rFonts w:cs="Times New Roman"/>
                <w:noProof/>
                <w:webHidden/>
              </w:rPr>
            </w:r>
            <w:r w:rsidRPr="00F22A75">
              <w:rPr>
                <w:rFonts w:cs="Times New Roman"/>
                <w:noProof/>
                <w:webHidden/>
              </w:rPr>
              <w:fldChar w:fldCharType="separate"/>
            </w:r>
            <w:r w:rsidR="00897306">
              <w:rPr>
                <w:rFonts w:cs="Times New Roman"/>
                <w:noProof/>
                <w:webHidden/>
              </w:rPr>
              <w:t>6</w:t>
            </w:r>
            <w:r w:rsidRPr="00F22A75">
              <w:rPr>
                <w:rFonts w:cs="Times New Roman"/>
                <w:noProof/>
                <w:webHidden/>
              </w:rPr>
              <w:fldChar w:fldCharType="end"/>
            </w:r>
          </w:hyperlink>
        </w:p>
        <w:p w14:paraId="69E27146" w14:textId="73B25122" w:rsidR="00BF7E93" w:rsidRPr="00F22A75" w:rsidRDefault="00BF7E93" w:rsidP="00F22A75">
          <w:pPr>
            <w:pStyle w:val="TOC3"/>
            <w:tabs>
              <w:tab w:val="right" w:leader="dot" w:pos="8630"/>
            </w:tabs>
            <w:spacing w:line="480" w:lineRule="auto"/>
            <w:rPr>
              <w:rFonts w:eastAsiaTheme="minorEastAsia" w:cs="Times New Roman"/>
              <w:noProof/>
            </w:rPr>
          </w:pPr>
          <w:hyperlink w:anchor="_Toc202957441" w:history="1">
            <w:r w:rsidRPr="00F22A75">
              <w:rPr>
                <w:rStyle w:val="Hyperlink"/>
                <w:rFonts w:ascii="Times New Roman" w:hAnsi="Times New Roman" w:cs="Times New Roman"/>
                <w:noProof/>
              </w:rPr>
              <w:t>Fuel qualification</w:t>
            </w:r>
            <w:r w:rsidRPr="00F22A75">
              <w:rPr>
                <w:rFonts w:cs="Times New Roman"/>
                <w:noProof/>
                <w:webHidden/>
              </w:rPr>
              <w:tab/>
            </w:r>
            <w:r w:rsidRPr="00F22A75">
              <w:rPr>
                <w:rFonts w:cs="Times New Roman"/>
                <w:noProof/>
                <w:webHidden/>
              </w:rPr>
              <w:fldChar w:fldCharType="begin"/>
            </w:r>
            <w:r w:rsidRPr="00F22A75">
              <w:rPr>
                <w:rFonts w:cs="Times New Roman"/>
                <w:noProof/>
                <w:webHidden/>
              </w:rPr>
              <w:instrText xml:space="preserve"> PAGEREF _Toc202957441 \h </w:instrText>
            </w:r>
            <w:r w:rsidRPr="00F22A75">
              <w:rPr>
                <w:rFonts w:cs="Times New Roman"/>
                <w:noProof/>
                <w:webHidden/>
              </w:rPr>
            </w:r>
            <w:r w:rsidRPr="00F22A75">
              <w:rPr>
                <w:rFonts w:cs="Times New Roman"/>
                <w:noProof/>
                <w:webHidden/>
              </w:rPr>
              <w:fldChar w:fldCharType="separate"/>
            </w:r>
            <w:r w:rsidR="00897306">
              <w:rPr>
                <w:rFonts w:cs="Times New Roman"/>
                <w:noProof/>
                <w:webHidden/>
              </w:rPr>
              <w:t>6</w:t>
            </w:r>
            <w:r w:rsidRPr="00F22A75">
              <w:rPr>
                <w:rFonts w:cs="Times New Roman"/>
                <w:noProof/>
                <w:webHidden/>
              </w:rPr>
              <w:fldChar w:fldCharType="end"/>
            </w:r>
          </w:hyperlink>
        </w:p>
        <w:p w14:paraId="2F208B28" w14:textId="3DD36371" w:rsidR="00BF7E93" w:rsidRPr="00F22A75" w:rsidRDefault="00BF7E93" w:rsidP="00F22A75">
          <w:pPr>
            <w:pStyle w:val="TOC3"/>
            <w:tabs>
              <w:tab w:val="right" w:leader="dot" w:pos="8630"/>
            </w:tabs>
            <w:spacing w:line="480" w:lineRule="auto"/>
            <w:rPr>
              <w:rFonts w:eastAsiaTheme="minorEastAsia" w:cs="Times New Roman"/>
              <w:noProof/>
            </w:rPr>
          </w:pPr>
          <w:hyperlink w:anchor="_Toc202957442" w:history="1">
            <w:r w:rsidRPr="00F22A75">
              <w:rPr>
                <w:rStyle w:val="Hyperlink"/>
                <w:rFonts w:ascii="Times New Roman" w:hAnsi="Times New Roman" w:cs="Times New Roman"/>
                <w:noProof/>
              </w:rPr>
              <w:t>Separate Effects vs Integral Effects Experiments</w:t>
            </w:r>
            <w:r w:rsidRPr="00F22A75">
              <w:rPr>
                <w:rFonts w:cs="Times New Roman"/>
                <w:noProof/>
                <w:webHidden/>
              </w:rPr>
              <w:tab/>
            </w:r>
            <w:r w:rsidRPr="00F22A75">
              <w:rPr>
                <w:rFonts w:cs="Times New Roman"/>
                <w:noProof/>
                <w:webHidden/>
              </w:rPr>
              <w:fldChar w:fldCharType="begin"/>
            </w:r>
            <w:r w:rsidRPr="00F22A75">
              <w:rPr>
                <w:rFonts w:cs="Times New Roman"/>
                <w:noProof/>
                <w:webHidden/>
              </w:rPr>
              <w:instrText xml:space="preserve"> PAGEREF _Toc202957442 \h </w:instrText>
            </w:r>
            <w:r w:rsidRPr="00F22A75">
              <w:rPr>
                <w:rFonts w:cs="Times New Roman"/>
                <w:noProof/>
                <w:webHidden/>
              </w:rPr>
            </w:r>
            <w:r w:rsidRPr="00F22A75">
              <w:rPr>
                <w:rFonts w:cs="Times New Roman"/>
                <w:noProof/>
                <w:webHidden/>
              </w:rPr>
              <w:fldChar w:fldCharType="separate"/>
            </w:r>
            <w:r w:rsidR="00897306">
              <w:rPr>
                <w:rFonts w:cs="Times New Roman"/>
                <w:noProof/>
                <w:webHidden/>
              </w:rPr>
              <w:t>8</w:t>
            </w:r>
            <w:r w:rsidRPr="00F22A75">
              <w:rPr>
                <w:rFonts w:cs="Times New Roman"/>
                <w:noProof/>
                <w:webHidden/>
              </w:rPr>
              <w:fldChar w:fldCharType="end"/>
            </w:r>
          </w:hyperlink>
        </w:p>
        <w:p w14:paraId="0E87599F" w14:textId="44BDEB75" w:rsidR="00BF7E93" w:rsidRPr="00F22A75" w:rsidRDefault="00BF7E93" w:rsidP="00F22A75">
          <w:pPr>
            <w:pStyle w:val="TOC3"/>
            <w:tabs>
              <w:tab w:val="right" w:leader="dot" w:pos="8630"/>
            </w:tabs>
            <w:spacing w:line="480" w:lineRule="auto"/>
            <w:rPr>
              <w:rFonts w:eastAsiaTheme="minorEastAsia" w:cs="Times New Roman"/>
              <w:noProof/>
            </w:rPr>
          </w:pPr>
          <w:hyperlink w:anchor="_Toc202957443" w:history="1">
            <w:r w:rsidRPr="00F22A75">
              <w:rPr>
                <w:rStyle w:val="Hyperlink"/>
                <w:rFonts w:ascii="Times New Roman" w:hAnsi="Times New Roman" w:cs="Times New Roman"/>
                <w:noProof/>
              </w:rPr>
              <w:t>Framework for Accelerated Qualification of Nuclear Fuels</w:t>
            </w:r>
            <w:r w:rsidRPr="00F22A75">
              <w:rPr>
                <w:rFonts w:cs="Times New Roman"/>
                <w:noProof/>
                <w:webHidden/>
              </w:rPr>
              <w:tab/>
            </w:r>
            <w:r w:rsidRPr="00F22A75">
              <w:rPr>
                <w:rFonts w:cs="Times New Roman"/>
                <w:noProof/>
                <w:webHidden/>
              </w:rPr>
              <w:fldChar w:fldCharType="begin"/>
            </w:r>
            <w:r w:rsidRPr="00F22A75">
              <w:rPr>
                <w:rFonts w:cs="Times New Roman"/>
                <w:noProof/>
                <w:webHidden/>
              </w:rPr>
              <w:instrText xml:space="preserve"> PAGEREF _Toc202957443 \h </w:instrText>
            </w:r>
            <w:r w:rsidRPr="00F22A75">
              <w:rPr>
                <w:rFonts w:cs="Times New Roman"/>
                <w:noProof/>
                <w:webHidden/>
              </w:rPr>
            </w:r>
            <w:r w:rsidRPr="00F22A75">
              <w:rPr>
                <w:rFonts w:cs="Times New Roman"/>
                <w:noProof/>
                <w:webHidden/>
              </w:rPr>
              <w:fldChar w:fldCharType="separate"/>
            </w:r>
            <w:r w:rsidR="00897306">
              <w:rPr>
                <w:rFonts w:cs="Times New Roman"/>
                <w:noProof/>
                <w:webHidden/>
              </w:rPr>
              <w:t>9</w:t>
            </w:r>
            <w:r w:rsidRPr="00F22A75">
              <w:rPr>
                <w:rFonts w:cs="Times New Roman"/>
                <w:noProof/>
                <w:webHidden/>
              </w:rPr>
              <w:fldChar w:fldCharType="end"/>
            </w:r>
          </w:hyperlink>
        </w:p>
        <w:p w14:paraId="7985E54D" w14:textId="65151D28" w:rsidR="00BF7E93" w:rsidRPr="00F22A75" w:rsidRDefault="00BF7E93" w:rsidP="00F22A75">
          <w:pPr>
            <w:pStyle w:val="TOC3"/>
            <w:tabs>
              <w:tab w:val="right" w:leader="dot" w:pos="8630"/>
            </w:tabs>
            <w:spacing w:line="480" w:lineRule="auto"/>
            <w:rPr>
              <w:rFonts w:eastAsiaTheme="minorEastAsia" w:cs="Times New Roman"/>
              <w:noProof/>
            </w:rPr>
          </w:pPr>
          <w:hyperlink w:anchor="_Toc202957444" w:history="1">
            <w:r w:rsidRPr="00F22A75">
              <w:rPr>
                <w:rStyle w:val="Hyperlink"/>
                <w:rFonts w:ascii="Times New Roman" w:hAnsi="Times New Roman" w:cs="Times New Roman"/>
                <w:noProof/>
              </w:rPr>
              <w:t>Sensitivity and Uncertainty Analysis</w:t>
            </w:r>
            <w:r w:rsidRPr="00F22A75">
              <w:rPr>
                <w:rFonts w:cs="Times New Roman"/>
                <w:noProof/>
                <w:webHidden/>
              </w:rPr>
              <w:tab/>
            </w:r>
            <w:r w:rsidRPr="00F22A75">
              <w:rPr>
                <w:rFonts w:cs="Times New Roman"/>
                <w:noProof/>
                <w:webHidden/>
              </w:rPr>
              <w:fldChar w:fldCharType="begin"/>
            </w:r>
            <w:r w:rsidRPr="00F22A75">
              <w:rPr>
                <w:rFonts w:cs="Times New Roman"/>
                <w:noProof/>
                <w:webHidden/>
              </w:rPr>
              <w:instrText xml:space="preserve"> PAGEREF _Toc202957444 \h </w:instrText>
            </w:r>
            <w:r w:rsidRPr="00F22A75">
              <w:rPr>
                <w:rFonts w:cs="Times New Roman"/>
                <w:noProof/>
                <w:webHidden/>
              </w:rPr>
            </w:r>
            <w:r w:rsidRPr="00F22A75">
              <w:rPr>
                <w:rFonts w:cs="Times New Roman"/>
                <w:noProof/>
                <w:webHidden/>
              </w:rPr>
              <w:fldChar w:fldCharType="separate"/>
            </w:r>
            <w:r w:rsidR="00897306">
              <w:rPr>
                <w:rFonts w:cs="Times New Roman"/>
                <w:noProof/>
                <w:webHidden/>
              </w:rPr>
              <w:t>11</w:t>
            </w:r>
            <w:r w:rsidRPr="00F22A75">
              <w:rPr>
                <w:rFonts w:cs="Times New Roman"/>
                <w:noProof/>
                <w:webHidden/>
              </w:rPr>
              <w:fldChar w:fldCharType="end"/>
            </w:r>
          </w:hyperlink>
        </w:p>
        <w:p w14:paraId="20BAB230" w14:textId="2282830C" w:rsidR="00BF7E93" w:rsidRPr="00F22A75" w:rsidRDefault="00BF7E93" w:rsidP="00F22A75">
          <w:pPr>
            <w:pStyle w:val="TOC3"/>
            <w:tabs>
              <w:tab w:val="right" w:leader="dot" w:pos="8630"/>
            </w:tabs>
            <w:spacing w:line="480" w:lineRule="auto"/>
            <w:rPr>
              <w:rFonts w:eastAsiaTheme="minorEastAsia" w:cs="Times New Roman"/>
              <w:noProof/>
            </w:rPr>
          </w:pPr>
          <w:hyperlink w:anchor="_Toc202957445" w:history="1">
            <w:r w:rsidRPr="00F22A75">
              <w:rPr>
                <w:rStyle w:val="Hyperlink"/>
                <w:rFonts w:ascii="Times New Roman" w:hAnsi="Times New Roman" w:cs="Times New Roman"/>
                <w:noProof/>
              </w:rPr>
              <w:t>Morris Sensitivity Analysis</w:t>
            </w:r>
            <w:r w:rsidRPr="00F22A75">
              <w:rPr>
                <w:rFonts w:cs="Times New Roman"/>
                <w:noProof/>
                <w:webHidden/>
              </w:rPr>
              <w:tab/>
            </w:r>
            <w:r w:rsidRPr="00F22A75">
              <w:rPr>
                <w:rFonts w:cs="Times New Roman"/>
                <w:noProof/>
                <w:webHidden/>
              </w:rPr>
              <w:fldChar w:fldCharType="begin"/>
            </w:r>
            <w:r w:rsidRPr="00F22A75">
              <w:rPr>
                <w:rFonts w:cs="Times New Roman"/>
                <w:noProof/>
                <w:webHidden/>
              </w:rPr>
              <w:instrText xml:space="preserve"> PAGEREF _Toc202957445 \h </w:instrText>
            </w:r>
            <w:r w:rsidRPr="00F22A75">
              <w:rPr>
                <w:rFonts w:cs="Times New Roman"/>
                <w:noProof/>
                <w:webHidden/>
              </w:rPr>
            </w:r>
            <w:r w:rsidRPr="00F22A75">
              <w:rPr>
                <w:rFonts w:cs="Times New Roman"/>
                <w:noProof/>
                <w:webHidden/>
              </w:rPr>
              <w:fldChar w:fldCharType="separate"/>
            </w:r>
            <w:r w:rsidR="00897306">
              <w:rPr>
                <w:rFonts w:cs="Times New Roman"/>
                <w:noProof/>
                <w:webHidden/>
              </w:rPr>
              <w:t>13</w:t>
            </w:r>
            <w:r w:rsidRPr="00F22A75">
              <w:rPr>
                <w:rFonts w:cs="Times New Roman"/>
                <w:noProof/>
                <w:webHidden/>
              </w:rPr>
              <w:fldChar w:fldCharType="end"/>
            </w:r>
          </w:hyperlink>
        </w:p>
        <w:p w14:paraId="35528E9D" w14:textId="396C4DAC" w:rsidR="00BF7E93" w:rsidRPr="00F22A75" w:rsidRDefault="00BF7E93" w:rsidP="00F22A75">
          <w:pPr>
            <w:pStyle w:val="TOC3"/>
            <w:tabs>
              <w:tab w:val="right" w:leader="dot" w:pos="8630"/>
            </w:tabs>
            <w:spacing w:line="480" w:lineRule="auto"/>
            <w:rPr>
              <w:rFonts w:eastAsiaTheme="minorEastAsia" w:cs="Times New Roman"/>
              <w:noProof/>
            </w:rPr>
          </w:pPr>
          <w:hyperlink w:anchor="_Toc202957446" w:history="1">
            <w:r w:rsidRPr="00F22A75">
              <w:rPr>
                <w:rStyle w:val="Hyperlink"/>
                <w:rFonts w:ascii="Times New Roman" w:hAnsi="Times New Roman" w:cs="Times New Roman"/>
                <w:noProof/>
              </w:rPr>
              <w:t>Pearson Sensitivity Analysis</w:t>
            </w:r>
            <w:r w:rsidRPr="00F22A75">
              <w:rPr>
                <w:rFonts w:cs="Times New Roman"/>
                <w:noProof/>
                <w:webHidden/>
              </w:rPr>
              <w:tab/>
            </w:r>
            <w:r w:rsidRPr="00F22A75">
              <w:rPr>
                <w:rFonts w:cs="Times New Roman"/>
                <w:noProof/>
                <w:webHidden/>
              </w:rPr>
              <w:fldChar w:fldCharType="begin"/>
            </w:r>
            <w:r w:rsidRPr="00F22A75">
              <w:rPr>
                <w:rFonts w:cs="Times New Roman"/>
                <w:noProof/>
                <w:webHidden/>
              </w:rPr>
              <w:instrText xml:space="preserve"> PAGEREF _Toc202957446 \h </w:instrText>
            </w:r>
            <w:r w:rsidRPr="00F22A75">
              <w:rPr>
                <w:rFonts w:cs="Times New Roman"/>
                <w:noProof/>
                <w:webHidden/>
              </w:rPr>
            </w:r>
            <w:r w:rsidRPr="00F22A75">
              <w:rPr>
                <w:rFonts w:cs="Times New Roman"/>
                <w:noProof/>
                <w:webHidden/>
              </w:rPr>
              <w:fldChar w:fldCharType="separate"/>
            </w:r>
            <w:r w:rsidR="00897306">
              <w:rPr>
                <w:rFonts w:cs="Times New Roman"/>
                <w:noProof/>
                <w:webHidden/>
              </w:rPr>
              <w:t>16</w:t>
            </w:r>
            <w:r w:rsidRPr="00F22A75">
              <w:rPr>
                <w:rFonts w:cs="Times New Roman"/>
                <w:noProof/>
                <w:webHidden/>
              </w:rPr>
              <w:fldChar w:fldCharType="end"/>
            </w:r>
          </w:hyperlink>
        </w:p>
        <w:p w14:paraId="3B35F933" w14:textId="20503AAA" w:rsidR="00BF7E93" w:rsidRPr="00F22A75" w:rsidRDefault="00BF7E93" w:rsidP="00F22A75">
          <w:pPr>
            <w:pStyle w:val="TOC3"/>
            <w:tabs>
              <w:tab w:val="right" w:leader="dot" w:pos="8630"/>
            </w:tabs>
            <w:spacing w:line="480" w:lineRule="auto"/>
            <w:rPr>
              <w:rFonts w:eastAsiaTheme="minorEastAsia" w:cs="Times New Roman"/>
              <w:noProof/>
            </w:rPr>
          </w:pPr>
          <w:hyperlink w:anchor="_Toc202957447" w:history="1">
            <w:r w:rsidRPr="00F22A75">
              <w:rPr>
                <w:rStyle w:val="Hyperlink"/>
                <w:rFonts w:ascii="Times New Roman" w:hAnsi="Times New Roman" w:cs="Times New Roman"/>
                <w:noProof/>
              </w:rPr>
              <w:t>Sobol Sensitivity Analysis</w:t>
            </w:r>
            <w:r w:rsidRPr="00F22A75">
              <w:rPr>
                <w:rFonts w:cs="Times New Roman"/>
                <w:noProof/>
                <w:webHidden/>
              </w:rPr>
              <w:tab/>
            </w:r>
            <w:r w:rsidRPr="00F22A75">
              <w:rPr>
                <w:rFonts w:cs="Times New Roman"/>
                <w:noProof/>
                <w:webHidden/>
              </w:rPr>
              <w:fldChar w:fldCharType="begin"/>
            </w:r>
            <w:r w:rsidRPr="00F22A75">
              <w:rPr>
                <w:rFonts w:cs="Times New Roman"/>
                <w:noProof/>
                <w:webHidden/>
              </w:rPr>
              <w:instrText xml:space="preserve"> PAGEREF _Toc202957447 \h </w:instrText>
            </w:r>
            <w:r w:rsidRPr="00F22A75">
              <w:rPr>
                <w:rFonts w:cs="Times New Roman"/>
                <w:noProof/>
                <w:webHidden/>
              </w:rPr>
            </w:r>
            <w:r w:rsidRPr="00F22A75">
              <w:rPr>
                <w:rFonts w:cs="Times New Roman"/>
                <w:noProof/>
                <w:webHidden/>
              </w:rPr>
              <w:fldChar w:fldCharType="separate"/>
            </w:r>
            <w:r w:rsidR="00897306">
              <w:rPr>
                <w:rFonts w:cs="Times New Roman"/>
                <w:noProof/>
                <w:webHidden/>
              </w:rPr>
              <w:t>17</w:t>
            </w:r>
            <w:r w:rsidRPr="00F22A75">
              <w:rPr>
                <w:rFonts w:cs="Times New Roman"/>
                <w:noProof/>
                <w:webHidden/>
              </w:rPr>
              <w:fldChar w:fldCharType="end"/>
            </w:r>
          </w:hyperlink>
        </w:p>
        <w:p w14:paraId="20A5DD0A" w14:textId="60624948" w:rsidR="00BF7E93" w:rsidRPr="00F22A75" w:rsidRDefault="00BF7E93" w:rsidP="00F22A75">
          <w:pPr>
            <w:pStyle w:val="TOC3"/>
            <w:tabs>
              <w:tab w:val="right" w:leader="dot" w:pos="8630"/>
            </w:tabs>
            <w:spacing w:line="480" w:lineRule="auto"/>
            <w:rPr>
              <w:rFonts w:eastAsiaTheme="minorEastAsia" w:cs="Times New Roman"/>
              <w:noProof/>
            </w:rPr>
          </w:pPr>
          <w:hyperlink w:anchor="_Toc202957448" w:history="1">
            <w:r w:rsidRPr="00F22A75">
              <w:rPr>
                <w:rStyle w:val="Hyperlink"/>
                <w:rFonts w:ascii="Times New Roman" w:hAnsi="Times New Roman" w:cs="Times New Roman"/>
                <w:noProof/>
              </w:rPr>
              <w:t>Considerations for Sensitivity Analysis</w:t>
            </w:r>
            <w:r w:rsidRPr="00F22A75">
              <w:rPr>
                <w:rFonts w:cs="Times New Roman"/>
                <w:noProof/>
                <w:webHidden/>
              </w:rPr>
              <w:tab/>
            </w:r>
            <w:r w:rsidRPr="00F22A75">
              <w:rPr>
                <w:rFonts w:cs="Times New Roman"/>
                <w:noProof/>
                <w:webHidden/>
              </w:rPr>
              <w:fldChar w:fldCharType="begin"/>
            </w:r>
            <w:r w:rsidRPr="00F22A75">
              <w:rPr>
                <w:rFonts w:cs="Times New Roman"/>
                <w:noProof/>
                <w:webHidden/>
              </w:rPr>
              <w:instrText xml:space="preserve"> PAGEREF _Toc202957448 \h </w:instrText>
            </w:r>
            <w:r w:rsidRPr="00F22A75">
              <w:rPr>
                <w:rFonts w:cs="Times New Roman"/>
                <w:noProof/>
                <w:webHidden/>
              </w:rPr>
            </w:r>
            <w:r w:rsidRPr="00F22A75">
              <w:rPr>
                <w:rFonts w:cs="Times New Roman"/>
                <w:noProof/>
                <w:webHidden/>
              </w:rPr>
              <w:fldChar w:fldCharType="separate"/>
            </w:r>
            <w:r w:rsidR="00897306">
              <w:rPr>
                <w:rFonts w:cs="Times New Roman"/>
                <w:noProof/>
                <w:webHidden/>
              </w:rPr>
              <w:t>19</w:t>
            </w:r>
            <w:r w:rsidRPr="00F22A75">
              <w:rPr>
                <w:rFonts w:cs="Times New Roman"/>
                <w:noProof/>
                <w:webHidden/>
              </w:rPr>
              <w:fldChar w:fldCharType="end"/>
            </w:r>
          </w:hyperlink>
        </w:p>
        <w:p w14:paraId="161D955D" w14:textId="22096C6B" w:rsidR="00BF7E93" w:rsidRPr="00F22A75" w:rsidRDefault="00BF7E93" w:rsidP="00F22A75">
          <w:pPr>
            <w:pStyle w:val="TOC1"/>
            <w:spacing w:line="480" w:lineRule="auto"/>
            <w:rPr>
              <w:rFonts w:eastAsiaTheme="minorEastAsia" w:cs="Times New Roman"/>
              <w:noProof/>
            </w:rPr>
          </w:pPr>
          <w:hyperlink w:anchor="_Toc202957449" w:history="1">
            <w:r w:rsidRPr="00F22A75">
              <w:rPr>
                <w:rStyle w:val="Hyperlink"/>
                <w:rFonts w:ascii="Times New Roman" w:hAnsi="Times New Roman" w:cs="Times New Roman"/>
                <w:noProof/>
              </w:rPr>
              <w:t>Chapter 3: Case Study 1</w:t>
            </w:r>
            <w:r w:rsidRPr="00F22A75">
              <w:rPr>
                <w:rFonts w:cs="Times New Roman"/>
                <w:noProof/>
                <w:webHidden/>
              </w:rPr>
              <w:tab/>
            </w:r>
            <w:r w:rsidRPr="00F22A75">
              <w:rPr>
                <w:rFonts w:cs="Times New Roman"/>
                <w:noProof/>
                <w:webHidden/>
              </w:rPr>
              <w:fldChar w:fldCharType="begin"/>
            </w:r>
            <w:r w:rsidRPr="00F22A75">
              <w:rPr>
                <w:rFonts w:cs="Times New Roman"/>
                <w:noProof/>
                <w:webHidden/>
              </w:rPr>
              <w:instrText xml:space="preserve"> PAGEREF _Toc202957449 \h </w:instrText>
            </w:r>
            <w:r w:rsidRPr="00F22A75">
              <w:rPr>
                <w:rFonts w:cs="Times New Roman"/>
                <w:noProof/>
                <w:webHidden/>
              </w:rPr>
            </w:r>
            <w:r w:rsidRPr="00F22A75">
              <w:rPr>
                <w:rFonts w:cs="Times New Roman"/>
                <w:noProof/>
                <w:webHidden/>
              </w:rPr>
              <w:fldChar w:fldCharType="separate"/>
            </w:r>
            <w:r w:rsidR="00897306">
              <w:rPr>
                <w:rFonts w:cs="Times New Roman"/>
                <w:noProof/>
                <w:webHidden/>
              </w:rPr>
              <w:t>21</w:t>
            </w:r>
            <w:r w:rsidRPr="00F22A75">
              <w:rPr>
                <w:rFonts w:cs="Times New Roman"/>
                <w:noProof/>
                <w:webHidden/>
              </w:rPr>
              <w:fldChar w:fldCharType="end"/>
            </w:r>
          </w:hyperlink>
        </w:p>
        <w:p w14:paraId="07F7C444" w14:textId="4A4ADCA4" w:rsidR="00BF7E93" w:rsidRPr="00F22A75" w:rsidRDefault="00BF7E93" w:rsidP="00F22A75">
          <w:pPr>
            <w:pStyle w:val="TOC2"/>
            <w:tabs>
              <w:tab w:val="right" w:leader="dot" w:pos="8630"/>
            </w:tabs>
            <w:spacing w:line="480" w:lineRule="auto"/>
            <w:rPr>
              <w:rFonts w:eastAsiaTheme="minorEastAsia" w:cs="Times New Roman"/>
              <w:noProof/>
            </w:rPr>
          </w:pPr>
          <w:hyperlink w:anchor="_Toc202957450" w:history="1">
            <w:r w:rsidRPr="00F22A75">
              <w:rPr>
                <w:rStyle w:val="Hyperlink"/>
                <w:rFonts w:ascii="Times New Roman" w:hAnsi="Times New Roman" w:cs="Times New Roman"/>
                <w:noProof/>
              </w:rPr>
              <w:t>Critical Heat Flux</w:t>
            </w:r>
            <w:r w:rsidRPr="00F22A75">
              <w:rPr>
                <w:rFonts w:cs="Times New Roman"/>
                <w:noProof/>
                <w:webHidden/>
              </w:rPr>
              <w:tab/>
            </w:r>
            <w:r w:rsidRPr="00F22A75">
              <w:rPr>
                <w:rFonts w:cs="Times New Roman"/>
                <w:noProof/>
                <w:webHidden/>
              </w:rPr>
              <w:fldChar w:fldCharType="begin"/>
            </w:r>
            <w:r w:rsidRPr="00F22A75">
              <w:rPr>
                <w:rFonts w:cs="Times New Roman"/>
                <w:noProof/>
                <w:webHidden/>
              </w:rPr>
              <w:instrText xml:space="preserve"> PAGEREF _Toc202957450 \h </w:instrText>
            </w:r>
            <w:r w:rsidRPr="00F22A75">
              <w:rPr>
                <w:rFonts w:cs="Times New Roman"/>
                <w:noProof/>
                <w:webHidden/>
              </w:rPr>
            </w:r>
            <w:r w:rsidRPr="00F22A75">
              <w:rPr>
                <w:rFonts w:cs="Times New Roman"/>
                <w:noProof/>
                <w:webHidden/>
              </w:rPr>
              <w:fldChar w:fldCharType="separate"/>
            </w:r>
            <w:r w:rsidR="00897306">
              <w:rPr>
                <w:rFonts w:cs="Times New Roman"/>
                <w:noProof/>
                <w:webHidden/>
              </w:rPr>
              <w:t>21</w:t>
            </w:r>
            <w:r w:rsidRPr="00F22A75">
              <w:rPr>
                <w:rFonts w:cs="Times New Roman"/>
                <w:noProof/>
                <w:webHidden/>
              </w:rPr>
              <w:fldChar w:fldCharType="end"/>
            </w:r>
          </w:hyperlink>
        </w:p>
        <w:p w14:paraId="47311003" w14:textId="7753316F" w:rsidR="00BF7E93" w:rsidRPr="00F22A75" w:rsidRDefault="00BF7E93" w:rsidP="00F22A75">
          <w:pPr>
            <w:pStyle w:val="TOC3"/>
            <w:tabs>
              <w:tab w:val="right" w:leader="dot" w:pos="8630"/>
            </w:tabs>
            <w:spacing w:line="480" w:lineRule="auto"/>
            <w:rPr>
              <w:rFonts w:eastAsiaTheme="minorEastAsia" w:cs="Times New Roman"/>
              <w:noProof/>
            </w:rPr>
          </w:pPr>
          <w:hyperlink w:anchor="_Toc202957451" w:history="1">
            <w:r w:rsidRPr="00F22A75">
              <w:rPr>
                <w:rStyle w:val="Hyperlink"/>
                <w:rFonts w:ascii="Times New Roman" w:hAnsi="Times New Roman" w:cs="Times New Roman"/>
                <w:noProof/>
              </w:rPr>
              <w:t>Factors that Influence CHF</w:t>
            </w:r>
            <w:r w:rsidRPr="00F22A75">
              <w:rPr>
                <w:rFonts w:cs="Times New Roman"/>
                <w:noProof/>
                <w:webHidden/>
              </w:rPr>
              <w:tab/>
            </w:r>
            <w:r w:rsidRPr="00F22A75">
              <w:rPr>
                <w:rFonts w:cs="Times New Roman"/>
                <w:noProof/>
                <w:webHidden/>
              </w:rPr>
              <w:fldChar w:fldCharType="begin"/>
            </w:r>
            <w:r w:rsidRPr="00F22A75">
              <w:rPr>
                <w:rFonts w:cs="Times New Roman"/>
                <w:noProof/>
                <w:webHidden/>
              </w:rPr>
              <w:instrText xml:space="preserve"> PAGEREF _Toc202957451 \h </w:instrText>
            </w:r>
            <w:r w:rsidRPr="00F22A75">
              <w:rPr>
                <w:rFonts w:cs="Times New Roman"/>
                <w:noProof/>
                <w:webHidden/>
              </w:rPr>
            </w:r>
            <w:r w:rsidRPr="00F22A75">
              <w:rPr>
                <w:rFonts w:cs="Times New Roman"/>
                <w:noProof/>
                <w:webHidden/>
              </w:rPr>
              <w:fldChar w:fldCharType="separate"/>
            </w:r>
            <w:r w:rsidR="00897306">
              <w:rPr>
                <w:rFonts w:cs="Times New Roman"/>
                <w:noProof/>
                <w:webHidden/>
              </w:rPr>
              <w:t>22</w:t>
            </w:r>
            <w:r w:rsidRPr="00F22A75">
              <w:rPr>
                <w:rFonts w:cs="Times New Roman"/>
                <w:noProof/>
                <w:webHidden/>
              </w:rPr>
              <w:fldChar w:fldCharType="end"/>
            </w:r>
          </w:hyperlink>
        </w:p>
        <w:p w14:paraId="40401C7B" w14:textId="30362AB0" w:rsidR="00BF7E93" w:rsidRPr="00F22A75" w:rsidRDefault="00BF7E93" w:rsidP="00F22A75">
          <w:pPr>
            <w:pStyle w:val="TOC3"/>
            <w:tabs>
              <w:tab w:val="right" w:leader="dot" w:pos="8630"/>
            </w:tabs>
            <w:spacing w:line="480" w:lineRule="auto"/>
            <w:rPr>
              <w:rFonts w:eastAsiaTheme="minorEastAsia" w:cs="Times New Roman"/>
              <w:noProof/>
            </w:rPr>
          </w:pPr>
          <w:hyperlink w:anchor="_Toc202957452" w:history="1">
            <w:r w:rsidRPr="00F22A75">
              <w:rPr>
                <w:rStyle w:val="Hyperlink"/>
                <w:rFonts w:ascii="Times New Roman" w:hAnsi="Times New Roman" w:cs="Times New Roman"/>
                <w:noProof/>
              </w:rPr>
              <w:t>Modeling CHF</w:t>
            </w:r>
            <w:r w:rsidRPr="00F22A75">
              <w:rPr>
                <w:rFonts w:cs="Times New Roman"/>
                <w:noProof/>
                <w:webHidden/>
              </w:rPr>
              <w:tab/>
            </w:r>
            <w:r w:rsidRPr="00F22A75">
              <w:rPr>
                <w:rFonts w:cs="Times New Roman"/>
                <w:noProof/>
                <w:webHidden/>
              </w:rPr>
              <w:fldChar w:fldCharType="begin"/>
            </w:r>
            <w:r w:rsidRPr="00F22A75">
              <w:rPr>
                <w:rFonts w:cs="Times New Roman"/>
                <w:noProof/>
                <w:webHidden/>
              </w:rPr>
              <w:instrText xml:space="preserve"> PAGEREF _Toc202957452 \h </w:instrText>
            </w:r>
            <w:r w:rsidRPr="00F22A75">
              <w:rPr>
                <w:rFonts w:cs="Times New Roman"/>
                <w:noProof/>
                <w:webHidden/>
              </w:rPr>
            </w:r>
            <w:r w:rsidRPr="00F22A75">
              <w:rPr>
                <w:rFonts w:cs="Times New Roman"/>
                <w:noProof/>
                <w:webHidden/>
              </w:rPr>
              <w:fldChar w:fldCharType="separate"/>
            </w:r>
            <w:r w:rsidR="00897306">
              <w:rPr>
                <w:rFonts w:cs="Times New Roman"/>
                <w:noProof/>
                <w:webHidden/>
              </w:rPr>
              <w:t>26</w:t>
            </w:r>
            <w:r w:rsidRPr="00F22A75">
              <w:rPr>
                <w:rFonts w:cs="Times New Roman"/>
                <w:noProof/>
                <w:webHidden/>
              </w:rPr>
              <w:fldChar w:fldCharType="end"/>
            </w:r>
          </w:hyperlink>
        </w:p>
        <w:p w14:paraId="769168E8" w14:textId="71F8A916" w:rsidR="00BF7E93" w:rsidRPr="00F22A75" w:rsidRDefault="00BF7E93" w:rsidP="00F22A75">
          <w:pPr>
            <w:pStyle w:val="TOC2"/>
            <w:tabs>
              <w:tab w:val="right" w:leader="dot" w:pos="8630"/>
            </w:tabs>
            <w:spacing w:line="480" w:lineRule="auto"/>
            <w:rPr>
              <w:rFonts w:eastAsiaTheme="minorEastAsia" w:cs="Times New Roman"/>
              <w:noProof/>
            </w:rPr>
          </w:pPr>
          <w:hyperlink w:anchor="_Toc202957453" w:history="1">
            <w:r w:rsidRPr="00F22A75">
              <w:rPr>
                <w:rStyle w:val="Hyperlink"/>
                <w:rFonts w:ascii="Times New Roman" w:hAnsi="Times New Roman" w:cs="Times New Roman"/>
                <w:noProof/>
              </w:rPr>
              <w:t>Project Overview</w:t>
            </w:r>
            <w:r w:rsidRPr="00F22A75">
              <w:rPr>
                <w:rFonts w:cs="Times New Roman"/>
                <w:noProof/>
                <w:webHidden/>
              </w:rPr>
              <w:tab/>
            </w:r>
            <w:r w:rsidRPr="00F22A75">
              <w:rPr>
                <w:rFonts w:cs="Times New Roman"/>
                <w:noProof/>
                <w:webHidden/>
              </w:rPr>
              <w:fldChar w:fldCharType="begin"/>
            </w:r>
            <w:r w:rsidRPr="00F22A75">
              <w:rPr>
                <w:rFonts w:cs="Times New Roman"/>
                <w:noProof/>
                <w:webHidden/>
              </w:rPr>
              <w:instrText xml:space="preserve"> PAGEREF _Toc202957453 \h </w:instrText>
            </w:r>
            <w:r w:rsidRPr="00F22A75">
              <w:rPr>
                <w:rFonts w:cs="Times New Roman"/>
                <w:noProof/>
                <w:webHidden/>
              </w:rPr>
            </w:r>
            <w:r w:rsidRPr="00F22A75">
              <w:rPr>
                <w:rFonts w:cs="Times New Roman"/>
                <w:noProof/>
                <w:webHidden/>
              </w:rPr>
              <w:fldChar w:fldCharType="separate"/>
            </w:r>
            <w:r w:rsidR="00897306">
              <w:rPr>
                <w:rFonts w:cs="Times New Roman"/>
                <w:noProof/>
                <w:webHidden/>
              </w:rPr>
              <w:t>26</w:t>
            </w:r>
            <w:r w:rsidRPr="00F22A75">
              <w:rPr>
                <w:rFonts w:cs="Times New Roman"/>
                <w:noProof/>
                <w:webHidden/>
              </w:rPr>
              <w:fldChar w:fldCharType="end"/>
            </w:r>
          </w:hyperlink>
        </w:p>
        <w:p w14:paraId="43727E66" w14:textId="68CD6F7F" w:rsidR="00BF7E93" w:rsidRPr="00F22A75" w:rsidRDefault="00BF7E93" w:rsidP="00F22A75">
          <w:pPr>
            <w:pStyle w:val="TOC2"/>
            <w:tabs>
              <w:tab w:val="right" w:leader="dot" w:pos="8630"/>
            </w:tabs>
            <w:spacing w:line="480" w:lineRule="auto"/>
            <w:rPr>
              <w:rFonts w:eastAsiaTheme="minorEastAsia" w:cs="Times New Roman"/>
              <w:noProof/>
            </w:rPr>
          </w:pPr>
          <w:hyperlink w:anchor="_Toc202957454" w:history="1">
            <w:r w:rsidRPr="00F22A75">
              <w:rPr>
                <w:rStyle w:val="Hyperlink"/>
                <w:rFonts w:ascii="Times New Roman" w:hAnsi="Times New Roman" w:cs="Times New Roman"/>
                <w:noProof/>
              </w:rPr>
              <w:t>The TRTL Facility (OSU)</w:t>
            </w:r>
            <w:r w:rsidRPr="00F22A75">
              <w:rPr>
                <w:rFonts w:cs="Times New Roman"/>
                <w:noProof/>
                <w:webHidden/>
              </w:rPr>
              <w:tab/>
            </w:r>
            <w:r w:rsidRPr="00F22A75">
              <w:rPr>
                <w:rFonts w:cs="Times New Roman"/>
                <w:noProof/>
                <w:webHidden/>
              </w:rPr>
              <w:fldChar w:fldCharType="begin"/>
            </w:r>
            <w:r w:rsidRPr="00F22A75">
              <w:rPr>
                <w:rFonts w:cs="Times New Roman"/>
                <w:noProof/>
                <w:webHidden/>
              </w:rPr>
              <w:instrText xml:space="preserve"> PAGEREF _Toc202957454 \h </w:instrText>
            </w:r>
            <w:r w:rsidRPr="00F22A75">
              <w:rPr>
                <w:rFonts w:cs="Times New Roman"/>
                <w:noProof/>
                <w:webHidden/>
              </w:rPr>
            </w:r>
            <w:r w:rsidRPr="00F22A75">
              <w:rPr>
                <w:rFonts w:cs="Times New Roman"/>
                <w:noProof/>
                <w:webHidden/>
              </w:rPr>
              <w:fldChar w:fldCharType="separate"/>
            </w:r>
            <w:r w:rsidR="00897306">
              <w:rPr>
                <w:rFonts w:cs="Times New Roman"/>
                <w:noProof/>
                <w:webHidden/>
              </w:rPr>
              <w:t>27</w:t>
            </w:r>
            <w:r w:rsidRPr="00F22A75">
              <w:rPr>
                <w:rFonts w:cs="Times New Roman"/>
                <w:noProof/>
                <w:webHidden/>
              </w:rPr>
              <w:fldChar w:fldCharType="end"/>
            </w:r>
          </w:hyperlink>
        </w:p>
        <w:p w14:paraId="1A67DB1C" w14:textId="71149473" w:rsidR="00BF7E93" w:rsidRPr="00F22A75" w:rsidRDefault="00BF7E93" w:rsidP="00F22A75">
          <w:pPr>
            <w:pStyle w:val="TOC3"/>
            <w:tabs>
              <w:tab w:val="right" w:leader="dot" w:pos="8630"/>
            </w:tabs>
            <w:spacing w:line="480" w:lineRule="auto"/>
            <w:rPr>
              <w:rFonts w:eastAsiaTheme="minorEastAsia" w:cs="Times New Roman"/>
              <w:noProof/>
            </w:rPr>
          </w:pPr>
          <w:hyperlink w:anchor="_Toc202957455" w:history="1">
            <w:r w:rsidRPr="00F22A75">
              <w:rPr>
                <w:rStyle w:val="Hyperlink"/>
                <w:rFonts w:ascii="Times New Roman" w:hAnsi="Times New Roman" w:cs="Times New Roman"/>
                <w:noProof/>
              </w:rPr>
              <w:t>Background and Capabilities</w:t>
            </w:r>
            <w:r w:rsidRPr="00F22A75">
              <w:rPr>
                <w:rFonts w:cs="Times New Roman"/>
                <w:noProof/>
                <w:webHidden/>
              </w:rPr>
              <w:tab/>
            </w:r>
            <w:r w:rsidRPr="00F22A75">
              <w:rPr>
                <w:rFonts w:cs="Times New Roman"/>
                <w:noProof/>
                <w:webHidden/>
              </w:rPr>
              <w:fldChar w:fldCharType="begin"/>
            </w:r>
            <w:r w:rsidRPr="00F22A75">
              <w:rPr>
                <w:rFonts w:cs="Times New Roman"/>
                <w:noProof/>
                <w:webHidden/>
              </w:rPr>
              <w:instrText xml:space="preserve"> PAGEREF _Toc202957455 \h </w:instrText>
            </w:r>
            <w:r w:rsidRPr="00F22A75">
              <w:rPr>
                <w:rFonts w:cs="Times New Roman"/>
                <w:noProof/>
                <w:webHidden/>
              </w:rPr>
            </w:r>
            <w:r w:rsidRPr="00F22A75">
              <w:rPr>
                <w:rFonts w:cs="Times New Roman"/>
                <w:noProof/>
                <w:webHidden/>
              </w:rPr>
              <w:fldChar w:fldCharType="separate"/>
            </w:r>
            <w:r w:rsidR="00897306">
              <w:rPr>
                <w:rFonts w:cs="Times New Roman"/>
                <w:noProof/>
                <w:webHidden/>
              </w:rPr>
              <w:t>27</w:t>
            </w:r>
            <w:r w:rsidRPr="00F22A75">
              <w:rPr>
                <w:rFonts w:cs="Times New Roman"/>
                <w:noProof/>
                <w:webHidden/>
              </w:rPr>
              <w:fldChar w:fldCharType="end"/>
            </w:r>
          </w:hyperlink>
        </w:p>
        <w:p w14:paraId="1D4D82A9" w14:textId="4169E0D0" w:rsidR="00BF7E93" w:rsidRPr="00F22A75" w:rsidRDefault="00BF7E93" w:rsidP="00F22A75">
          <w:pPr>
            <w:pStyle w:val="TOC3"/>
            <w:tabs>
              <w:tab w:val="right" w:leader="dot" w:pos="8630"/>
            </w:tabs>
            <w:spacing w:line="480" w:lineRule="auto"/>
            <w:rPr>
              <w:rFonts w:eastAsiaTheme="minorEastAsia" w:cs="Times New Roman"/>
              <w:noProof/>
            </w:rPr>
          </w:pPr>
          <w:hyperlink w:anchor="_Toc202957456" w:history="1">
            <w:r w:rsidRPr="00F22A75">
              <w:rPr>
                <w:rStyle w:val="Hyperlink"/>
                <w:rFonts w:ascii="Times New Roman" w:hAnsi="Times New Roman" w:cs="Times New Roman"/>
                <w:noProof/>
              </w:rPr>
              <w:t>Model Development and Verification</w:t>
            </w:r>
            <w:r w:rsidRPr="00F22A75">
              <w:rPr>
                <w:rFonts w:cs="Times New Roman"/>
                <w:noProof/>
                <w:webHidden/>
              </w:rPr>
              <w:tab/>
            </w:r>
            <w:r w:rsidRPr="00F22A75">
              <w:rPr>
                <w:rFonts w:cs="Times New Roman"/>
                <w:noProof/>
                <w:webHidden/>
              </w:rPr>
              <w:fldChar w:fldCharType="begin"/>
            </w:r>
            <w:r w:rsidRPr="00F22A75">
              <w:rPr>
                <w:rFonts w:cs="Times New Roman"/>
                <w:noProof/>
                <w:webHidden/>
              </w:rPr>
              <w:instrText xml:space="preserve"> PAGEREF _Toc202957456 \h </w:instrText>
            </w:r>
            <w:r w:rsidRPr="00F22A75">
              <w:rPr>
                <w:rFonts w:cs="Times New Roman"/>
                <w:noProof/>
                <w:webHidden/>
              </w:rPr>
            </w:r>
            <w:r w:rsidRPr="00F22A75">
              <w:rPr>
                <w:rFonts w:cs="Times New Roman"/>
                <w:noProof/>
                <w:webHidden/>
              </w:rPr>
              <w:fldChar w:fldCharType="separate"/>
            </w:r>
            <w:r w:rsidR="00897306">
              <w:rPr>
                <w:rFonts w:cs="Times New Roman"/>
                <w:noProof/>
                <w:webHidden/>
              </w:rPr>
              <w:t>31</w:t>
            </w:r>
            <w:r w:rsidRPr="00F22A75">
              <w:rPr>
                <w:rFonts w:cs="Times New Roman"/>
                <w:noProof/>
                <w:webHidden/>
              </w:rPr>
              <w:fldChar w:fldCharType="end"/>
            </w:r>
          </w:hyperlink>
        </w:p>
        <w:p w14:paraId="419A5DCB" w14:textId="4548E1B1" w:rsidR="00BF7E93" w:rsidRPr="00F22A75" w:rsidRDefault="00BF7E93" w:rsidP="00F22A75">
          <w:pPr>
            <w:pStyle w:val="TOC3"/>
            <w:tabs>
              <w:tab w:val="right" w:leader="dot" w:pos="8630"/>
            </w:tabs>
            <w:spacing w:line="480" w:lineRule="auto"/>
            <w:rPr>
              <w:rFonts w:eastAsiaTheme="minorEastAsia" w:cs="Times New Roman"/>
              <w:noProof/>
            </w:rPr>
          </w:pPr>
          <w:hyperlink w:anchor="_Toc202957457" w:history="1">
            <w:r w:rsidRPr="00F22A75">
              <w:rPr>
                <w:rStyle w:val="Hyperlink"/>
                <w:rFonts w:ascii="Times New Roman" w:hAnsi="Times New Roman" w:cs="Times New Roman"/>
                <w:noProof/>
              </w:rPr>
              <w:t>Sensitivity Analysis</w:t>
            </w:r>
            <w:r w:rsidRPr="00F22A75">
              <w:rPr>
                <w:rFonts w:cs="Times New Roman"/>
                <w:noProof/>
                <w:webHidden/>
              </w:rPr>
              <w:tab/>
            </w:r>
            <w:r w:rsidRPr="00F22A75">
              <w:rPr>
                <w:rFonts w:cs="Times New Roman"/>
                <w:noProof/>
                <w:webHidden/>
              </w:rPr>
              <w:fldChar w:fldCharType="begin"/>
            </w:r>
            <w:r w:rsidRPr="00F22A75">
              <w:rPr>
                <w:rFonts w:cs="Times New Roman"/>
                <w:noProof/>
                <w:webHidden/>
              </w:rPr>
              <w:instrText xml:space="preserve"> PAGEREF _Toc202957457 \h </w:instrText>
            </w:r>
            <w:r w:rsidRPr="00F22A75">
              <w:rPr>
                <w:rFonts w:cs="Times New Roman"/>
                <w:noProof/>
                <w:webHidden/>
              </w:rPr>
            </w:r>
            <w:r w:rsidRPr="00F22A75">
              <w:rPr>
                <w:rFonts w:cs="Times New Roman"/>
                <w:noProof/>
                <w:webHidden/>
              </w:rPr>
              <w:fldChar w:fldCharType="separate"/>
            </w:r>
            <w:r w:rsidR="00897306">
              <w:rPr>
                <w:rFonts w:cs="Times New Roman"/>
                <w:noProof/>
                <w:webHidden/>
              </w:rPr>
              <w:t>43</w:t>
            </w:r>
            <w:r w:rsidRPr="00F22A75">
              <w:rPr>
                <w:rFonts w:cs="Times New Roman"/>
                <w:noProof/>
                <w:webHidden/>
              </w:rPr>
              <w:fldChar w:fldCharType="end"/>
            </w:r>
          </w:hyperlink>
        </w:p>
        <w:p w14:paraId="5A0D0AC3" w14:textId="6EE5238D" w:rsidR="00BF7E93" w:rsidRPr="00F22A75" w:rsidRDefault="00BF7E93" w:rsidP="00F22A75">
          <w:pPr>
            <w:pStyle w:val="TOC2"/>
            <w:tabs>
              <w:tab w:val="right" w:leader="dot" w:pos="8630"/>
            </w:tabs>
            <w:spacing w:line="480" w:lineRule="auto"/>
            <w:rPr>
              <w:rFonts w:eastAsiaTheme="minorEastAsia" w:cs="Times New Roman"/>
              <w:noProof/>
            </w:rPr>
          </w:pPr>
          <w:hyperlink w:anchor="_Toc202957458" w:history="1">
            <w:r w:rsidRPr="00F22A75">
              <w:rPr>
                <w:rStyle w:val="Hyperlink"/>
                <w:rFonts w:ascii="Times New Roman" w:hAnsi="Times New Roman" w:cs="Times New Roman"/>
                <w:noProof/>
              </w:rPr>
              <w:t>The TREAT Facility (INL)</w:t>
            </w:r>
            <w:r w:rsidRPr="00F22A75">
              <w:rPr>
                <w:rFonts w:cs="Times New Roman"/>
                <w:noProof/>
                <w:webHidden/>
              </w:rPr>
              <w:tab/>
            </w:r>
            <w:r w:rsidRPr="00F22A75">
              <w:rPr>
                <w:rFonts w:cs="Times New Roman"/>
                <w:noProof/>
                <w:webHidden/>
              </w:rPr>
              <w:fldChar w:fldCharType="begin"/>
            </w:r>
            <w:r w:rsidRPr="00F22A75">
              <w:rPr>
                <w:rFonts w:cs="Times New Roman"/>
                <w:noProof/>
                <w:webHidden/>
              </w:rPr>
              <w:instrText xml:space="preserve"> PAGEREF _Toc202957458 \h </w:instrText>
            </w:r>
            <w:r w:rsidRPr="00F22A75">
              <w:rPr>
                <w:rFonts w:cs="Times New Roman"/>
                <w:noProof/>
                <w:webHidden/>
              </w:rPr>
            </w:r>
            <w:r w:rsidRPr="00F22A75">
              <w:rPr>
                <w:rFonts w:cs="Times New Roman"/>
                <w:noProof/>
                <w:webHidden/>
              </w:rPr>
              <w:fldChar w:fldCharType="separate"/>
            </w:r>
            <w:r w:rsidR="00897306">
              <w:rPr>
                <w:rFonts w:cs="Times New Roman"/>
                <w:noProof/>
                <w:webHidden/>
              </w:rPr>
              <w:t>56</w:t>
            </w:r>
            <w:r w:rsidRPr="00F22A75">
              <w:rPr>
                <w:rFonts w:cs="Times New Roman"/>
                <w:noProof/>
                <w:webHidden/>
              </w:rPr>
              <w:fldChar w:fldCharType="end"/>
            </w:r>
          </w:hyperlink>
        </w:p>
        <w:p w14:paraId="4162C8C3" w14:textId="1DBCE421" w:rsidR="00BF7E93" w:rsidRPr="00F22A75" w:rsidRDefault="00BF7E93" w:rsidP="00F22A75">
          <w:pPr>
            <w:pStyle w:val="TOC3"/>
            <w:tabs>
              <w:tab w:val="right" w:leader="dot" w:pos="8630"/>
            </w:tabs>
            <w:spacing w:line="480" w:lineRule="auto"/>
            <w:rPr>
              <w:rFonts w:eastAsiaTheme="minorEastAsia" w:cs="Times New Roman"/>
              <w:noProof/>
            </w:rPr>
          </w:pPr>
          <w:hyperlink w:anchor="_Toc202957459" w:history="1">
            <w:r w:rsidRPr="00F22A75">
              <w:rPr>
                <w:rStyle w:val="Hyperlink"/>
                <w:rFonts w:ascii="Times New Roman" w:hAnsi="Times New Roman" w:cs="Times New Roman"/>
                <w:noProof/>
              </w:rPr>
              <w:t>Background and Capabilities</w:t>
            </w:r>
            <w:r w:rsidRPr="00F22A75">
              <w:rPr>
                <w:rFonts w:cs="Times New Roman"/>
                <w:noProof/>
                <w:webHidden/>
              </w:rPr>
              <w:tab/>
            </w:r>
            <w:r w:rsidRPr="00F22A75">
              <w:rPr>
                <w:rFonts w:cs="Times New Roman"/>
                <w:noProof/>
                <w:webHidden/>
              </w:rPr>
              <w:fldChar w:fldCharType="begin"/>
            </w:r>
            <w:r w:rsidRPr="00F22A75">
              <w:rPr>
                <w:rFonts w:cs="Times New Roman"/>
                <w:noProof/>
                <w:webHidden/>
              </w:rPr>
              <w:instrText xml:space="preserve"> PAGEREF _Toc202957459 \h </w:instrText>
            </w:r>
            <w:r w:rsidRPr="00F22A75">
              <w:rPr>
                <w:rFonts w:cs="Times New Roman"/>
                <w:noProof/>
                <w:webHidden/>
              </w:rPr>
            </w:r>
            <w:r w:rsidRPr="00F22A75">
              <w:rPr>
                <w:rFonts w:cs="Times New Roman"/>
                <w:noProof/>
                <w:webHidden/>
              </w:rPr>
              <w:fldChar w:fldCharType="separate"/>
            </w:r>
            <w:r w:rsidR="00897306">
              <w:rPr>
                <w:rFonts w:cs="Times New Roman"/>
                <w:noProof/>
                <w:webHidden/>
              </w:rPr>
              <w:t>56</w:t>
            </w:r>
            <w:r w:rsidRPr="00F22A75">
              <w:rPr>
                <w:rFonts w:cs="Times New Roman"/>
                <w:noProof/>
                <w:webHidden/>
              </w:rPr>
              <w:fldChar w:fldCharType="end"/>
            </w:r>
          </w:hyperlink>
        </w:p>
        <w:p w14:paraId="05BCA63A" w14:textId="16F93E36" w:rsidR="00BF7E93" w:rsidRPr="00F22A75" w:rsidRDefault="00BF7E93" w:rsidP="00F22A75">
          <w:pPr>
            <w:pStyle w:val="TOC3"/>
            <w:tabs>
              <w:tab w:val="right" w:leader="dot" w:pos="8630"/>
            </w:tabs>
            <w:spacing w:line="480" w:lineRule="auto"/>
            <w:rPr>
              <w:rFonts w:eastAsiaTheme="minorEastAsia" w:cs="Times New Roman"/>
              <w:noProof/>
            </w:rPr>
          </w:pPr>
          <w:hyperlink w:anchor="_Toc202957460" w:history="1">
            <w:r w:rsidRPr="00F22A75">
              <w:rPr>
                <w:rStyle w:val="Hyperlink"/>
                <w:rFonts w:ascii="Times New Roman" w:hAnsi="Times New Roman" w:cs="Times New Roman"/>
                <w:noProof/>
              </w:rPr>
              <w:t>The SERTTA Capsule</w:t>
            </w:r>
            <w:r w:rsidRPr="00F22A75">
              <w:rPr>
                <w:rFonts w:cs="Times New Roman"/>
                <w:noProof/>
                <w:webHidden/>
              </w:rPr>
              <w:tab/>
            </w:r>
            <w:r w:rsidRPr="00F22A75">
              <w:rPr>
                <w:rFonts w:cs="Times New Roman"/>
                <w:noProof/>
                <w:webHidden/>
              </w:rPr>
              <w:fldChar w:fldCharType="begin"/>
            </w:r>
            <w:r w:rsidRPr="00F22A75">
              <w:rPr>
                <w:rFonts w:cs="Times New Roman"/>
                <w:noProof/>
                <w:webHidden/>
              </w:rPr>
              <w:instrText xml:space="preserve"> PAGEREF _Toc202957460 \h </w:instrText>
            </w:r>
            <w:r w:rsidRPr="00F22A75">
              <w:rPr>
                <w:rFonts w:cs="Times New Roman"/>
                <w:noProof/>
                <w:webHidden/>
              </w:rPr>
            </w:r>
            <w:r w:rsidRPr="00F22A75">
              <w:rPr>
                <w:rFonts w:cs="Times New Roman"/>
                <w:noProof/>
                <w:webHidden/>
              </w:rPr>
              <w:fldChar w:fldCharType="separate"/>
            </w:r>
            <w:r w:rsidR="00897306">
              <w:rPr>
                <w:rFonts w:cs="Times New Roman"/>
                <w:noProof/>
                <w:webHidden/>
              </w:rPr>
              <w:t>58</w:t>
            </w:r>
            <w:r w:rsidRPr="00F22A75">
              <w:rPr>
                <w:rFonts w:cs="Times New Roman"/>
                <w:noProof/>
                <w:webHidden/>
              </w:rPr>
              <w:fldChar w:fldCharType="end"/>
            </w:r>
          </w:hyperlink>
        </w:p>
        <w:p w14:paraId="3141BA31" w14:textId="37BF4E15" w:rsidR="00BF7E93" w:rsidRPr="00F22A75" w:rsidRDefault="00BF7E93" w:rsidP="00F22A75">
          <w:pPr>
            <w:pStyle w:val="TOC3"/>
            <w:tabs>
              <w:tab w:val="right" w:leader="dot" w:pos="8630"/>
            </w:tabs>
            <w:spacing w:line="480" w:lineRule="auto"/>
            <w:rPr>
              <w:rFonts w:eastAsiaTheme="minorEastAsia" w:cs="Times New Roman"/>
              <w:noProof/>
            </w:rPr>
          </w:pPr>
          <w:hyperlink w:anchor="_Toc202957461" w:history="1">
            <w:r w:rsidRPr="00F22A75">
              <w:rPr>
                <w:rStyle w:val="Hyperlink"/>
                <w:rFonts w:ascii="Times New Roman" w:hAnsi="Times New Roman" w:cs="Times New Roman"/>
                <w:noProof/>
              </w:rPr>
              <w:t>Model Specification</w:t>
            </w:r>
            <w:r w:rsidRPr="00F22A75">
              <w:rPr>
                <w:rFonts w:cs="Times New Roman"/>
                <w:noProof/>
                <w:webHidden/>
              </w:rPr>
              <w:tab/>
            </w:r>
            <w:r w:rsidRPr="00F22A75">
              <w:rPr>
                <w:rFonts w:cs="Times New Roman"/>
                <w:noProof/>
                <w:webHidden/>
              </w:rPr>
              <w:fldChar w:fldCharType="begin"/>
            </w:r>
            <w:r w:rsidRPr="00F22A75">
              <w:rPr>
                <w:rFonts w:cs="Times New Roman"/>
                <w:noProof/>
                <w:webHidden/>
              </w:rPr>
              <w:instrText xml:space="preserve"> PAGEREF _Toc202957461 \h </w:instrText>
            </w:r>
            <w:r w:rsidRPr="00F22A75">
              <w:rPr>
                <w:rFonts w:cs="Times New Roman"/>
                <w:noProof/>
                <w:webHidden/>
              </w:rPr>
            </w:r>
            <w:r w:rsidRPr="00F22A75">
              <w:rPr>
                <w:rFonts w:cs="Times New Roman"/>
                <w:noProof/>
                <w:webHidden/>
              </w:rPr>
              <w:fldChar w:fldCharType="separate"/>
            </w:r>
            <w:r w:rsidR="00897306">
              <w:rPr>
                <w:rFonts w:cs="Times New Roman"/>
                <w:noProof/>
                <w:webHidden/>
              </w:rPr>
              <w:t>61</w:t>
            </w:r>
            <w:r w:rsidRPr="00F22A75">
              <w:rPr>
                <w:rFonts w:cs="Times New Roman"/>
                <w:noProof/>
                <w:webHidden/>
              </w:rPr>
              <w:fldChar w:fldCharType="end"/>
            </w:r>
          </w:hyperlink>
        </w:p>
        <w:p w14:paraId="4190A957" w14:textId="3215AD6F" w:rsidR="00BF7E93" w:rsidRPr="00F22A75" w:rsidRDefault="00BF7E93" w:rsidP="00F22A75">
          <w:pPr>
            <w:pStyle w:val="TOC3"/>
            <w:tabs>
              <w:tab w:val="right" w:leader="dot" w:pos="8630"/>
            </w:tabs>
            <w:spacing w:line="480" w:lineRule="auto"/>
            <w:rPr>
              <w:rFonts w:eastAsiaTheme="minorEastAsia" w:cs="Times New Roman"/>
              <w:noProof/>
            </w:rPr>
          </w:pPr>
          <w:hyperlink w:anchor="_Toc202957462" w:history="1">
            <w:r w:rsidRPr="00F22A75">
              <w:rPr>
                <w:rStyle w:val="Hyperlink"/>
                <w:rFonts w:ascii="Times New Roman" w:hAnsi="Times New Roman" w:cs="Times New Roman"/>
                <w:noProof/>
              </w:rPr>
              <w:t>Sensitivity Analysis</w:t>
            </w:r>
            <w:r w:rsidRPr="00F22A75">
              <w:rPr>
                <w:rFonts w:cs="Times New Roman"/>
                <w:noProof/>
                <w:webHidden/>
              </w:rPr>
              <w:tab/>
            </w:r>
            <w:r w:rsidRPr="00F22A75">
              <w:rPr>
                <w:rFonts w:cs="Times New Roman"/>
                <w:noProof/>
                <w:webHidden/>
              </w:rPr>
              <w:fldChar w:fldCharType="begin"/>
            </w:r>
            <w:r w:rsidRPr="00F22A75">
              <w:rPr>
                <w:rFonts w:cs="Times New Roman"/>
                <w:noProof/>
                <w:webHidden/>
              </w:rPr>
              <w:instrText xml:space="preserve"> PAGEREF _Toc202957462 \h </w:instrText>
            </w:r>
            <w:r w:rsidRPr="00F22A75">
              <w:rPr>
                <w:rFonts w:cs="Times New Roman"/>
                <w:noProof/>
                <w:webHidden/>
              </w:rPr>
            </w:r>
            <w:r w:rsidRPr="00F22A75">
              <w:rPr>
                <w:rFonts w:cs="Times New Roman"/>
                <w:noProof/>
                <w:webHidden/>
              </w:rPr>
              <w:fldChar w:fldCharType="separate"/>
            </w:r>
            <w:r w:rsidR="00897306">
              <w:rPr>
                <w:rFonts w:cs="Times New Roman"/>
                <w:noProof/>
                <w:webHidden/>
              </w:rPr>
              <w:t>61</w:t>
            </w:r>
            <w:r w:rsidRPr="00F22A75">
              <w:rPr>
                <w:rFonts w:cs="Times New Roman"/>
                <w:noProof/>
                <w:webHidden/>
              </w:rPr>
              <w:fldChar w:fldCharType="end"/>
            </w:r>
          </w:hyperlink>
        </w:p>
        <w:p w14:paraId="65BD49A4" w14:textId="6F2BD5C9" w:rsidR="00BF7E93" w:rsidRPr="00F22A75" w:rsidRDefault="00BF7E93" w:rsidP="00F22A75">
          <w:pPr>
            <w:pStyle w:val="TOC3"/>
            <w:tabs>
              <w:tab w:val="right" w:leader="dot" w:pos="8630"/>
            </w:tabs>
            <w:spacing w:line="480" w:lineRule="auto"/>
            <w:rPr>
              <w:rFonts w:eastAsiaTheme="minorEastAsia" w:cs="Times New Roman"/>
              <w:noProof/>
            </w:rPr>
          </w:pPr>
          <w:hyperlink w:anchor="_Toc202957463" w:history="1">
            <w:r w:rsidRPr="00F22A75">
              <w:rPr>
                <w:rStyle w:val="Hyperlink"/>
                <w:rFonts w:ascii="Times New Roman" w:hAnsi="Times New Roman" w:cs="Times New Roman"/>
                <w:noProof/>
              </w:rPr>
              <w:t>Experimental Comparison</w:t>
            </w:r>
            <w:r w:rsidRPr="00F22A75">
              <w:rPr>
                <w:rFonts w:cs="Times New Roman"/>
                <w:noProof/>
                <w:webHidden/>
              </w:rPr>
              <w:tab/>
            </w:r>
            <w:r w:rsidRPr="00F22A75">
              <w:rPr>
                <w:rFonts w:cs="Times New Roman"/>
                <w:noProof/>
                <w:webHidden/>
              </w:rPr>
              <w:fldChar w:fldCharType="begin"/>
            </w:r>
            <w:r w:rsidRPr="00F22A75">
              <w:rPr>
                <w:rFonts w:cs="Times New Roman"/>
                <w:noProof/>
                <w:webHidden/>
              </w:rPr>
              <w:instrText xml:space="preserve"> PAGEREF _Toc202957463 \h </w:instrText>
            </w:r>
            <w:r w:rsidRPr="00F22A75">
              <w:rPr>
                <w:rFonts w:cs="Times New Roman"/>
                <w:noProof/>
                <w:webHidden/>
              </w:rPr>
            </w:r>
            <w:r w:rsidRPr="00F22A75">
              <w:rPr>
                <w:rFonts w:cs="Times New Roman"/>
                <w:noProof/>
                <w:webHidden/>
              </w:rPr>
              <w:fldChar w:fldCharType="separate"/>
            </w:r>
            <w:r w:rsidR="00897306">
              <w:rPr>
                <w:rFonts w:cs="Times New Roman"/>
                <w:noProof/>
                <w:webHidden/>
              </w:rPr>
              <w:t>68</w:t>
            </w:r>
            <w:r w:rsidRPr="00F22A75">
              <w:rPr>
                <w:rFonts w:cs="Times New Roman"/>
                <w:noProof/>
                <w:webHidden/>
              </w:rPr>
              <w:fldChar w:fldCharType="end"/>
            </w:r>
          </w:hyperlink>
        </w:p>
        <w:p w14:paraId="29BF0D05" w14:textId="1B0209B0" w:rsidR="00BF7E93" w:rsidRPr="00F22A75" w:rsidRDefault="00BF7E93" w:rsidP="00F22A75">
          <w:pPr>
            <w:pStyle w:val="TOC2"/>
            <w:tabs>
              <w:tab w:val="right" w:leader="dot" w:pos="8630"/>
            </w:tabs>
            <w:spacing w:line="480" w:lineRule="auto"/>
            <w:rPr>
              <w:rFonts w:eastAsiaTheme="minorEastAsia" w:cs="Times New Roman"/>
              <w:noProof/>
            </w:rPr>
          </w:pPr>
          <w:hyperlink w:anchor="_Toc202957464" w:history="1">
            <w:r w:rsidRPr="00F22A75">
              <w:rPr>
                <w:rStyle w:val="Hyperlink"/>
                <w:rFonts w:ascii="Times New Roman" w:hAnsi="Times New Roman" w:cs="Times New Roman"/>
                <w:noProof/>
              </w:rPr>
              <w:t>Pool Boiling Test Chamber (UNM)</w:t>
            </w:r>
            <w:r w:rsidRPr="00F22A75">
              <w:rPr>
                <w:rFonts w:cs="Times New Roman"/>
                <w:noProof/>
                <w:webHidden/>
              </w:rPr>
              <w:tab/>
            </w:r>
            <w:r w:rsidRPr="00F22A75">
              <w:rPr>
                <w:rFonts w:cs="Times New Roman"/>
                <w:noProof/>
                <w:webHidden/>
              </w:rPr>
              <w:fldChar w:fldCharType="begin"/>
            </w:r>
            <w:r w:rsidRPr="00F22A75">
              <w:rPr>
                <w:rFonts w:cs="Times New Roman"/>
                <w:noProof/>
                <w:webHidden/>
              </w:rPr>
              <w:instrText xml:space="preserve"> PAGEREF _Toc202957464 \h </w:instrText>
            </w:r>
            <w:r w:rsidRPr="00F22A75">
              <w:rPr>
                <w:rFonts w:cs="Times New Roman"/>
                <w:noProof/>
                <w:webHidden/>
              </w:rPr>
            </w:r>
            <w:r w:rsidRPr="00F22A75">
              <w:rPr>
                <w:rFonts w:cs="Times New Roman"/>
                <w:noProof/>
                <w:webHidden/>
              </w:rPr>
              <w:fldChar w:fldCharType="separate"/>
            </w:r>
            <w:r w:rsidR="00897306">
              <w:rPr>
                <w:rFonts w:cs="Times New Roman"/>
                <w:noProof/>
                <w:webHidden/>
              </w:rPr>
              <w:t>71</w:t>
            </w:r>
            <w:r w:rsidRPr="00F22A75">
              <w:rPr>
                <w:rFonts w:cs="Times New Roman"/>
                <w:noProof/>
                <w:webHidden/>
              </w:rPr>
              <w:fldChar w:fldCharType="end"/>
            </w:r>
          </w:hyperlink>
        </w:p>
        <w:p w14:paraId="216336A2" w14:textId="5488ED5B" w:rsidR="00BF7E93" w:rsidRPr="00F22A75" w:rsidRDefault="00BF7E93" w:rsidP="00F22A75">
          <w:pPr>
            <w:pStyle w:val="TOC3"/>
            <w:tabs>
              <w:tab w:val="right" w:leader="dot" w:pos="8630"/>
            </w:tabs>
            <w:spacing w:line="480" w:lineRule="auto"/>
            <w:rPr>
              <w:rFonts w:eastAsiaTheme="minorEastAsia" w:cs="Times New Roman"/>
              <w:noProof/>
            </w:rPr>
          </w:pPr>
          <w:hyperlink w:anchor="_Toc202957465" w:history="1">
            <w:r w:rsidRPr="00F22A75">
              <w:rPr>
                <w:rStyle w:val="Hyperlink"/>
                <w:rFonts w:ascii="Times New Roman" w:hAnsi="Times New Roman" w:cs="Times New Roman"/>
                <w:noProof/>
              </w:rPr>
              <w:t>Background and Capabilities</w:t>
            </w:r>
            <w:r w:rsidRPr="00F22A75">
              <w:rPr>
                <w:rFonts w:cs="Times New Roman"/>
                <w:noProof/>
                <w:webHidden/>
              </w:rPr>
              <w:tab/>
            </w:r>
            <w:r w:rsidRPr="00F22A75">
              <w:rPr>
                <w:rFonts w:cs="Times New Roman"/>
                <w:noProof/>
                <w:webHidden/>
              </w:rPr>
              <w:fldChar w:fldCharType="begin"/>
            </w:r>
            <w:r w:rsidRPr="00F22A75">
              <w:rPr>
                <w:rFonts w:cs="Times New Roman"/>
                <w:noProof/>
                <w:webHidden/>
              </w:rPr>
              <w:instrText xml:space="preserve"> PAGEREF _Toc202957465 \h </w:instrText>
            </w:r>
            <w:r w:rsidRPr="00F22A75">
              <w:rPr>
                <w:rFonts w:cs="Times New Roman"/>
                <w:noProof/>
                <w:webHidden/>
              </w:rPr>
            </w:r>
            <w:r w:rsidRPr="00F22A75">
              <w:rPr>
                <w:rFonts w:cs="Times New Roman"/>
                <w:noProof/>
                <w:webHidden/>
              </w:rPr>
              <w:fldChar w:fldCharType="separate"/>
            </w:r>
            <w:r w:rsidR="00897306">
              <w:rPr>
                <w:rFonts w:cs="Times New Roman"/>
                <w:noProof/>
                <w:webHidden/>
              </w:rPr>
              <w:t>71</w:t>
            </w:r>
            <w:r w:rsidRPr="00F22A75">
              <w:rPr>
                <w:rFonts w:cs="Times New Roman"/>
                <w:noProof/>
                <w:webHidden/>
              </w:rPr>
              <w:fldChar w:fldCharType="end"/>
            </w:r>
          </w:hyperlink>
        </w:p>
        <w:p w14:paraId="7633B911" w14:textId="24CBC275" w:rsidR="00BF7E93" w:rsidRPr="00F22A75" w:rsidRDefault="00BF7E93" w:rsidP="00F22A75">
          <w:pPr>
            <w:pStyle w:val="TOC3"/>
            <w:tabs>
              <w:tab w:val="right" w:leader="dot" w:pos="8630"/>
            </w:tabs>
            <w:spacing w:line="480" w:lineRule="auto"/>
            <w:rPr>
              <w:rFonts w:eastAsiaTheme="minorEastAsia" w:cs="Times New Roman"/>
              <w:noProof/>
            </w:rPr>
          </w:pPr>
          <w:hyperlink w:anchor="_Toc202957466" w:history="1">
            <w:r w:rsidRPr="00F22A75">
              <w:rPr>
                <w:rStyle w:val="Hyperlink"/>
                <w:rFonts w:ascii="Times New Roman" w:hAnsi="Times New Roman" w:cs="Times New Roman"/>
                <w:noProof/>
              </w:rPr>
              <w:t>Model Development and Verification</w:t>
            </w:r>
            <w:r w:rsidRPr="00F22A75">
              <w:rPr>
                <w:rFonts w:cs="Times New Roman"/>
                <w:noProof/>
                <w:webHidden/>
              </w:rPr>
              <w:tab/>
            </w:r>
            <w:r w:rsidRPr="00F22A75">
              <w:rPr>
                <w:rFonts w:cs="Times New Roman"/>
                <w:noProof/>
                <w:webHidden/>
              </w:rPr>
              <w:fldChar w:fldCharType="begin"/>
            </w:r>
            <w:r w:rsidRPr="00F22A75">
              <w:rPr>
                <w:rFonts w:cs="Times New Roman"/>
                <w:noProof/>
                <w:webHidden/>
              </w:rPr>
              <w:instrText xml:space="preserve"> PAGEREF _Toc202957466 \h </w:instrText>
            </w:r>
            <w:r w:rsidRPr="00F22A75">
              <w:rPr>
                <w:rFonts w:cs="Times New Roman"/>
                <w:noProof/>
                <w:webHidden/>
              </w:rPr>
            </w:r>
            <w:r w:rsidRPr="00F22A75">
              <w:rPr>
                <w:rFonts w:cs="Times New Roman"/>
                <w:noProof/>
                <w:webHidden/>
              </w:rPr>
              <w:fldChar w:fldCharType="separate"/>
            </w:r>
            <w:r w:rsidR="00897306">
              <w:rPr>
                <w:rFonts w:cs="Times New Roman"/>
                <w:noProof/>
                <w:webHidden/>
              </w:rPr>
              <w:t>72</w:t>
            </w:r>
            <w:r w:rsidRPr="00F22A75">
              <w:rPr>
                <w:rFonts w:cs="Times New Roman"/>
                <w:noProof/>
                <w:webHidden/>
              </w:rPr>
              <w:fldChar w:fldCharType="end"/>
            </w:r>
          </w:hyperlink>
        </w:p>
        <w:p w14:paraId="394FC7AC" w14:textId="703A3F95" w:rsidR="00BF7E93" w:rsidRPr="00F22A75" w:rsidRDefault="00BF7E93" w:rsidP="00F22A75">
          <w:pPr>
            <w:pStyle w:val="TOC3"/>
            <w:tabs>
              <w:tab w:val="right" w:leader="dot" w:pos="8630"/>
            </w:tabs>
            <w:spacing w:line="480" w:lineRule="auto"/>
            <w:rPr>
              <w:rFonts w:eastAsiaTheme="minorEastAsia" w:cs="Times New Roman"/>
              <w:noProof/>
            </w:rPr>
          </w:pPr>
          <w:hyperlink w:anchor="_Toc202957467" w:history="1">
            <w:r w:rsidRPr="00F22A75">
              <w:rPr>
                <w:rStyle w:val="Hyperlink"/>
                <w:rFonts w:ascii="Times New Roman" w:hAnsi="Times New Roman" w:cs="Times New Roman"/>
                <w:noProof/>
              </w:rPr>
              <w:t>Experimental Comparison</w:t>
            </w:r>
            <w:r w:rsidRPr="00F22A75">
              <w:rPr>
                <w:rFonts w:cs="Times New Roman"/>
                <w:noProof/>
                <w:webHidden/>
              </w:rPr>
              <w:tab/>
            </w:r>
            <w:r w:rsidRPr="00F22A75">
              <w:rPr>
                <w:rFonts w:cs="Times New Roman"/>
                <w:noProof/>
                <w:webHidden/>
              </w:rPr>
              <w:fldChar w:fldCharType="begin"/>
            </w:r>
            <w:r w:rsidRPr="00F22A75">
              <w:rPr>
                <w:rFonts w:cs="Times New Roman"/>
                <w:noProof/>
                <w:webHidden/>
              </w:rPr>
              <w:instrText xml:space="preserve"> PAGEREF _Toc202957467 \h </w:instrText>
            </w:r>
            <w:r w:rsidRPr="00F22A75">
              <w:rPr>
                <w:rFonts w:cs="Times New Roman"/>
                <w:noProof/>
                <w:webHidden/>
              </w:rPr>
            </w:r>
            <w:r w:rsidRPr="00F22A75">
              <w:rPr>
                <w:rFonts w:cs="Times New Roman"/>
                <w:noProof/>
                <w:webHidden/>
              </w:rPr>
              <w:fldChar w:fldCharType="separate"/>
            </w:r>
            <w:r w:rsidR="00897306">
              <w:rPr>
                <w:rFonts w:cs="Times New Roman"/>
                <w:noProof/>
                <w:webHidden/>
              </w:rPr>
              <w:t>76</w:t>
            </w:r>
            <w:r w:rsidRPr="00F22A75">
              <w:rPr>
                <w:rFonts w:cs="Times New Roman"/>
                <w:noProof/>
                <w:webHidden/>
              </w:rPr>
              <w:fldChar w:fldCharType="end"/>
            </w:r>
          </w:hyperlink>
        </w:p>
        <w:p w14:paraId="44ABED1F" w14:textId="14F26636" w:rsidR="00BF7E93" w:rsidRPr="00F22A75" w:rsidRDefault="00BF7E93" w:rsidP="00F22A75">
          <w:pPr>
            <w:pStyle w:val="TOC2"/>
            <w:tabs>
              <w:tab w:val="right" w:leader="dot" w:pos="8630"/>
            </w:tabs>
            <w:spacing w:line="480" w:lineRule="auto"/>
            <w:rPr>
              <w:rFonts w:eastAsiaTheme="minorEastAsia" w:cs="Times New Roman"/>
              <w:noProof/>
            </w:rPr>
          </w:pPr>
          <w:hyperlink w:anchor="_Toc202957468" w:history="1">
            <w:r w:rsidRPr="00F22A75">
              <w:rPr>
                <w:rStyle w:val="Hyperlink"/>
                <w:rFonts w:ascii="Times New Roman" w:hAnsi="Times New Roman" w:cs="Times New Roman"/>
                <w:noProof/>
              </w:rPr>
              <w:t>Conclusions and Future Work</w:t>
            </w:r>
            <w:r w:rsidRPr="00F22A75">
              <w:rPr>
                <w:rFonts w:cs="Times New Roman"/>
                <w:noProof/>
                <w:webHidden/>
              </w:rPr>
              <w:tab/>
            </w:r>
            <w:r w:rsidRPr="00F22A75">
              <w:rPr>
                <w:rFonts w:cs="Times New Roman"/>
                <w:noProof/>
                <w:webHidden/>
              </w:rPr>
              <w:fldChar w:fldCharType="begin"/>
            </w:r>
            <w:r w:rsidRPr="00F22A75">
              <w:rPr>
                <w:rFonts w:cs="Times New Roman"/>
                <w:noProof/>
                <w:webHidden/>
              </w:rPr>
              <w:instrText xml:space="preserve"> PAGEREF _Toc202957468 \h </w:instrText>
            </w:r>
            <w:r w:rsidRPr="00F22A75">
              <w:rPr>
                <w:rFonts w:cs="Times New Roman"/>
                <w:noProof/>
                <w:webHidden/>
              </w:rPr>
            </w:r>
            <w:r w:rsidRPr="00F22A75">
              <w:rPr>
                <w:rFonts w:cs="Times New Roman"/>
                <w:noProof/>
                <w:webHidden/>
              </w:rPr>
              <w:fldChar w:fldCharType="separate"/>
            </w:r>
            <w:r w:rsidR="00897306">
              <w:rPr>
                <w:rFonts w:cs="Times New Roman"/>
                <w:noProof/>
                <w:webHidden/>
              </w:rPr>
              <w:t>79</w:t>
            </w:r>
            <w:r w:rsidRPr="00F22A75">
              <w:rPr>
                <w:rFonts w:cs="Times New Roman"/>
                <w:noProof/>
                <w:webHidden/>
              </w:rPr>
              <w:fldChar w:fldCharType="end"/>
            </w:r>
          </w:hyperlink>
        </w:p>
        <w:p w14:paraId="12B49DB9" w14:textId="3B7434FF" w:rsidR="00BF7E93" w:rsidRPr="00F22A75" w:rsidRDefault="00BF7E93" w:rsidP="00F22A75">
          <w:pPr>
            <w:pStyle w:val="TOC3"/>
            <w:tabs>
              <w:tab w:val="right" w:leader="dot" w:pos="8630"/>
            </w:tabs>
            <w:spacing w:line="480" w:lineRule="auto"/>
            <w:rPr>
              <w:rFonts w:eastAsiaTheme="minorEastAsia" w:cs="Times New Roman"/>
              <w:noProof/>
            </w:rPr>
          </w:pPr>
          <w:hyperlink w:anchor="_Toc202957469" w:history="1">
            <w:r w:rsidRPr="00F22A75">
              <w:rPr>
                <w:rStyle w:val="Hyperlink"/>
                <w:rFonts w:ascii="Times New Roman" w:hAnsi="Times New Roman" w:cs="Times New Roman"/>
                <w:noProof/>
              </w:rPr>
              <w:t>Conclusions</w:t>
            </w:r>
            <w:r w:rsidRPr="00F22A75">
              <w:rPr>
                <w:rFonts w:cs="Times New Roman"/>
                <w:noProof/>
                <w:webHidden/>
              </w:rPr>
              <w:tab/>
            </w:r>
            <w:r w:rsidRPr="00F22A75">
              <w:rPr>
                <w:rFonts w:cs="Times New Roman"/>
                <w:noProof/>
                <w:webHidden/>
              </w:rPr>
              <w:fldChar w:fldCharType="begin"/>
            </w:r>
            <w:r w:rsidRPr="00F22A75">
              <w:rPr>
                <w:rFonts w:cs="Times New Roman"/>
                <w:noProof/>
                <w:webHidden/>
              </w:rPr>
              <w:instrText xml:space="preserve"> PAGEREF _Toc202957469 \h </w:instrText>
            </w:r>
            <w:r w:rsidRPr="00F22A75">
              <w:rPr>
                <w:rFonts w:cs="Times New Roman"/>
                <w:noProof/>
                <w:webHidden/>
              </w:rPr>
            </w:r>
            <w:r w:rsidRPr="00F22A75">
              <w:rPr>
                <w:rFonts w:cs="Times New Roman"/>
                <w:noProof/>
                <w:webHidden/>
              </w:rPr>
              <w:fldChar w:fldCharType="separate"/>
            </w:r>
            <w:r w:rsidR="00897306">
              <w:rPr>
                <w:rFonts w:cs="Times New Roman"/>
                <w:noProof/>
                <w:webHidden/>
              </w:rPr>
              <w:t>79</w:t>
            </w:r>
            <w:r w:rsidRPr="00F22A75">
              <w:rPr>
                <w:rFonts w:cs="Times New Roman"/>
                <w:noProof/>
                <w:webHidden/>
              </w:rPr>
              <w:fldChar w:fldCharType="end"/>
            </w:r>
          </w:hyperlink>
        </w:p>
        <w:p w14:paraId="3613856B" w14:textId="02C664DD" w:rsidR="00BF7E93" w:rsidRPr="00F22A75" w:rsidRDefault="00BF7E93" w:rsidP="00F22A75">
          <w:pPr>
            <w:pStyle w:val="TOC3"/>
            <w:tabs>
              <w:tab w:val="right" w:leader="dot" w:pos="8630"/>
            </w:tabs>
            <w:spacing w:line="480" w:lineRule="auto"/>
            <w:rPr>
              <w:rFonts w:eastAsiaTheme="minorEastAsia" w:cs="Times New Roman"/>
              <w:noProof/>
            </w:rPr>
          </w:pPr>
          <w:hyperlink w:anchor="_Toc202957470" w:history="1">
            <w:r w:rsidRPr="00F22A75">
              <w:rPr>
                <w:rStyle w:val="Hyperlink"/>
                <w:rFonts w:ascii="Times New Roman" w:hAnsi="Times New Roman" w:cs="Times New Roman"/>
                <w:noProof/>
              </w:rPr>
              <w:t>Proposed Test Matrix</w:t>
            </w:r>
            <w:r w:rsidRPr="00F22A75">
              <w:rPr>
                <w:rFonts w:cs="Times New Roman"/>
                <w:noProof/>
                <w:webHidden/>
              </w:rPr>
              <w:tab/>
            </w:r>
            <w:r w:rsidRPr="00F22A75">
              <w:rPr>
                <w:rFonts w:cs="Times New Roman"/>
                <w:noProof/>
                <w:webHidden/>
              </w:rPr>
              <w:fldChar w:fldCharType="begin"/>
            </w:r>
            <w:r w:rsidRPr="00F22A75">
              <w:rPr>
                <w:rFonts w:cs="Times New Roman"/>
                <w:noProof/>
                <w:webHidden/>
              </w:rPr>
              <w:instrText xml:space="preserve"> PAGEREF _Toc202957470 \h </w:instrText>
            </w:r>
            <w:r w:rsidRPr="00F22A75">
              <w:rPr>
                <w:rFonts w:cs="Times New Roman"/>
                <w:noProof/>
                <w:webHidden/>
              </w:rPr>
            </w:r>
            <w:r w:rsidRPr="00F22A75">
              <w:rPr>
                <w:rFonts w:cs="Times New Roman"/>
                <w:noProof/>
                <w:webHidden/>
              </w:rPr>
              <w:fldChar w:fldCharType="separate"/>
            </w:r>
            <w:r w:rsidR="00897306">
              <w:rPr>
                <w:rFonts w:cs="Times New Roman"/>
                <w:noProof/>
                <w:webHidden/>
              </w:rPr>
              <w:t>81</w:t>
            </w:r>
            <w:r w:rsidRPr="00F22A75">
              <w:rPr>
                <w:rFonts w:cs="Times New Roman"/>
                <w:noProof/>
                <w:webHidden/>
              </w:rPr>
              <w:fldChar w:fldCharType="end"/>
            </w:r>
          </w:hyperlink>
        </w:p>
        <w:p w14:paraId="25F23117" w14:textId="0042049E" w:rsidR="00BF7E93" w:rsidRPr="00F22A75" w:rsidRDefault="00BF7E93" w:rsidP="00F22A75">
          <w:pPr>
            <w:pStyle w:val="TOC3"/>
            <w:tabs>
              <w:tab w:val="right" w:leader="dot" w:pos="8630"/>
            </w:tabs>
            <w:spacing w:line="480" w:lineRule="auto"/>
            <w:rPr>
              <w:rFonts w:eastAsiaTheme="minorEastAsia" w:cs="Times New Roman"/>
              <w:noProof/>
            </w:rPr>
          </w:pPr>
          <w:hyperlink w:anchor="_Toc202957471" w:history="1">
            <w:r w:rsidRPr="00F22A75">
              <w:rPr>
                <w:rStyle w:val="Hyperlink"/>
                <w:rFonts w:ascii="Times New Roman" w:hAnsi="Times New Roman" w:cs="Times New Roman"/>
                <w:noProof/>
              </w:rPr>
              <w:t>Proposed Future Work</w:t>
            </w:r>
            <w:r w:rsidRPr="00F22A75">
              <w:rPr>
                <w:rFonts w:cs="Times New Roman"/>
                <w:noProof/>
                <w:webHidden/>
              </w:rPr>
              <w:tab/>
            </w:r>
            <w:r w:rsidRPr="00F22A75">
              <w:rPr>
                <w:rFonts w:cs="Times New Roman"/>
                <w:noProof/>
                <w:webHidden/>
              </w:rPr>
              <w:fldChar w:fldCharType="begin"/>
            </w:r>
            <w:r w:rsidRPr="00F22A75">
              <w:rPr>
                <w:rFonts w:cs="Times New Roman"/>
                <w:noProof/>
                <w:webHidden/>
              </w:rPr>
              <w:instrText xml:space="preserve"> PAGEREF _Toc202957471 \h </w:instrText>
            </w:r>
            <w:r w:rsidRPr="00F22A75">
              <w:rPr>
                <w:rFonts w:cs="Times New Roman"/>
                <w:noProof/>
                <w:webHidden/>
              </w:rPr>
            </w:r>
            <w:r w:rsidRPr="00F22A75">
              <w:rPr>
                <w:rFonts w:cs="Times New Roman"/>
                <w:noProof/>
                <w:webHidden/>
              </w:rPr>
              <w:fldChar w:fldCharType="separate"/>
            </w:r>
            <w:r w:rsidR="00897306">
              <w:rPr>
                <w:rFonts w:cs="Times New Roman"/>
                <w:noProof/>
                <w:webHidden/>
              </w:rPr>
              <w:t>84</w:t>
            </w:r>
            <w:r w:rsidRPr="00F22A75">
              <w:rPr>
                <w:rFonts w:cs="Times New Roman"/>
                <w:noProof/>
                <w:webHidden/>
              </w:rPr>
              <w:fldChar w:fldCharType="end"/>
            </w:r>
          </w:hyperlink>
        </w:p>
        <w:p w14:paraId="57520350" w14:textId="5FF93A68" w:rsidR="00BF7E93" w:rsidRPr="00F22A75" w:rsidRDefault="00BF7E93" w:rsidP="00F22A75">
          <w:pPr>
            <w:pStyle w:val="TOC1"/>
            <w:spacing w:line="480" w:lineRule="auto"/>
            <w:rPr>
              <w:rFonts w:eastAsiaTheme="minorEastAsia" w:cs="Times New Roman"/>
              <w:noProof/>
            </w:rPr>
          </w:pPr>
          <w:hyperlink w:anchor="_Toc202957472" w:history="1">
            <w:r w:rsidRPr="00F22A75">
              <w:rPr>
                <w:rStyle w:val="Hyperlink"/>
                <w:rFonts w:ascii="Times New Roman" w:hAnsi="Times New Roman" w:cs="Times New Roman"/>
                <w:noProof/>
              </w:rPr>
              <w:t>Chapter 4: Case Study 2</w:t>
            </w:r>
            <w:r w:rsidRPr="00F22A75">
              <w:rPr>
                <w:rFonts w:cs="Times New Roman"/>
                <w:noProof/>
                <w:webHidden/>
              </w:rPr>
              <w:tab/>
            </w:r>
            <w:r w:rsidRPr="00F22A75">
              <w:rPr>
                <w:rFonts w:cs="Times New Roman"/>
                <w:noProof/>
                <w:webHidden/>
              </w:rPr>
              <w:fldChar w:fldCharType="begin"/>
            </w:r>
            <w:r w:rsidRPr="00F22A75">
              <w:rPr>
                <w:rFonts w:cs="Times New Roman"/>
                <w:noProof/>
                <w:webHidden/>
              </w:rPr>
              <w:instrText xml:space="preserve"> PAGEREF _Toc202957472 \h </w:instrText>
            </w:r>
            <w:r w:rsidRPr="00F22A75">
              <w:rPr>
                <w:rFonts w:cs="Times New Roman"/>
                <w:noProof/>
                <w:webHidden/>
              </w:rPr>
            </w:r>
            <w:r w:rsidRPr="00F22A75">
              <w:rPr>
                <w:rFonts w:cs="Times New Roman"/>
                <w:noProof/>
                <w:webHidden/>
              </w:rPr>
              <w:fldChar w:fldCharType="separate"/>
            </w:r>
            <w:r w:rsidR="00897306">
              <w:rPr>
                <w:rFonts w:cs="Times New Roman"/>
                <w:noProof/>
                <w:webHidden/>
              </w:rPr>
              <w:t>87</w:t>
            </w:r>
            <w:r w:rsidRPr="00F22A75">
              <w:rPr>
                <w:rFonts w:cs="Times New Roman"/>
                <w:noProof/>
                <w:webHidden/>
              </w:rPr>
              <w:fldChar w:fldCharType="end"/>
            </w:r>
          </w:hyperlink>
        </w:p>
        <w:p w14:paraId="00560A9A" w14:textId="129F2DF5" w:rsidR="00BF7E93" w:rsidRPr="00F22A75" w:rsidRDefault="00BF7E93" w:rsidP="00F22A75">
          <w:pPr>
            <w:pStyle w:val="TOC2"/>
            <w:tabs>
              <w:tab w:val="right" w:leader="dot" w:pos="8630"/>
            </w:tabs>
            <w:spacing w:line="480" w:lineRule="auto"/>
            <w:rPr>
              <w:rFonts w:eastAsiaTheme="minorEastAsia" w:cs="Times New Roman"/>
              <w:noProof/>
            </w:rPr>
          </w:pPr>
          <w:hyperlink w:anchor="_Toc202957473" w:history="1">
            <w:r w:rsidRPr="00F22A75">
              <w:rPr>
                <w:rStyle w:val="Hyperlink"/>
                <w:rFonts w:ascii="Times New Roman" w:hAnsi="Times New Roman" w:cs="Times New Roman"/>
                <w:noProof/>
              </w:rPr>
              <w:t>Separate Effects Fuel Performance Testing</w:t>
            </w:r>
            <w:r w:rsidRPr="00F22A75">
              <w:rPr>
                <w:rFonts w:cs="Times New Roman"/>
                <w:noProof/>
                <w:webHidden/>
              </w:rPr>
              <w:tab/>
            </w:r>
            <w:r w:rsidRPr="00F22A75">
              <w:rPr>
                <w:rFonts w:cs="Times New Roman"/>
                <w:noProof/>
                <w:webHidden/>
              </w:rPr>
              <w:fldChar w:fldCharType="begin"/>
            </w:r>
            <w:r w:rsidRPr="00F22A75">
              <w:rPr>
                <w:rFonts w:cs="Times New Roman"/>
                <w:noProof/>
                <w:webHidden/>
              </w:rPr>
              <w:instrText xml:space="preserve"> PAGEREF _Toc202957473 \h </w:instrText>
            </w:r>
            <w:r w:rsidRPr="00F22A75">
              <w:rPr>
                <w:rFonts w:cs="Times New Roman"/>
                <w:noProof/>
                <w:webHidden/>
              </w:rPr>
            </w:r>
            <w:r w:rsidRPr="00F22A75">
              <w:rPr>
                <w:rFonts w:cs="Times New Roman"/>
                <w:noProof/>
                <w:webHidden/>
              </w:rPr>
              <w:fldChar w:fldCharType="separate"/>
            </w:r>
            <w:r w:rsidR="00897306">
              <w:rPr>
                <w:rFonts w:cs="Times New Roman"/>
                <w:noProof/>
                <w:webHidden/>
              </w:rPr>
              <w:t>87</w:t>
            </w:r>
            <w:r w:rsidRPr="00F22A75">
              <w:rPr>
                <w:rFonts w:cs="Times New Roman"/>
                <w:noProof/>
                <w:webHidden/>
              </w:rPr>
              <w:fldChar w:fldCharType="end"/>
            </w:r>
          </w:hyperlink>
        </w:p>
        <w:p w14:paraId="7FE1770E" w14:textId="5267AB87" w:rsidR="00BF7E93" w:rsidRPr="00F22A75" w:rsidRDefault="00BF7E93" w:rsidP="00F22A75">
          <w:pPr>
            <w:pStyle w:val="TOC3"/>
            <w:tabs>
              <w:tab w:val="right" w:leader="dot" w:pos="8630"/>
            </w:tabs>
            <w:spacing w:line="480" w:lineRule="auto"/>
            <w:rPr>
              <w:rFonts w:eastAsiaTheme="minorEastAsia" w:cs="Times New Roman"/>
              <w:noProof/>
            </w:rPr>
          </w:pPr>
          <w:hyperlink w:anchor="_Toc202957474" w:history="1">
            <w:r w:rsidRPr="00F22A75">
              <w:rPr>
                <w:rStyle w:val="Hyperlink"/>
                <w:rFonts w:ascii="Times New Roman" w:hAnsi="Times New Roman" w:cs="Times New Roman"/>
                <w:noProof/>
              </w:rPr>
              <w:t>Halden Irradiation Tests</w:t>
            </w:r>
            <w:r w:rsidRPr="00F22A75">
              <w:rPr>
                <w:rFonts w:cs="Times New Roman"/>
                <w:noProof/>
                <w:webHidden/>
              </w:rPr>
              <w:tab/>
            </w:r>
            <w:r w:rsidRPr="00F22A75">
              <w:rPr>
                <w:rFonts w:cs="Times New Roman"/>
                <w:noProof/>
                <w:webHidden/>
              </w:rPr>
              <w:fldChar w:fldCharType="begin"/>
            </w:r>
            <w:r w:rsidRPr="00F22A75">
              <w:rPr>
                <w:rFonts w:cs="Times New Roman"/>
                <w:noProof/>
                <w:webHidden/>
              </w:rPr>
              <w:instrText xml:space="preserve"> PAGEREF _Toc202957474 \h </w:instrText>
            </w:r>
            <w:r w:rsidRPr="00F22A75">
              <w:rPr>
                <w:rFonts w:cs="Times New Roman"/>
                <w:noProof/>
                <w:webHidden/>
              </w:rPr>
            </w:r>
            <w:r w:rsidRPr="00F22A75">
              <w:rPr>
                <w:rFonts w:cs="Times New Roman"/>
                <w:noProof/>
                <w:webHidden/>
              </w:rPr>
              <w:fldChar w:fldCharType="separate"/>
            </w:r>
            <w:r w:rsidR="00897306">
              <w:rPr>
                <w:rFonts w:cs="Times New Roman"/>
                <w:noProof/>
                <w:webHidden/>
              </w:rPr>
              <w:t>87</w:t>
            </w:r>
            <w:r w:rsidRPr="00F22A75">
              <w:rPr>
                <w:rFonts w:cs="Times New Roman"/>
                <w:noProof/>
                <w:webHidden/>
              </w:rPr>
              <w:fldChar w:fldCharType="end"/>
            </w:r>
          </w:hyperlink>
        </w:p>
        <w:p w14:paraId="07A14E60" w14:textId="240F82E3" w:rsidR="00BF7E93" w:rsidRPr="00F22A75" w:rsidRDefault="00BF7E93" w:rsidP="00F22A75">
          <w:pPr>
            <w:pStyle w:val="TOC3"/>
            <w:tabs>
              <w:tab w:val="right" w:leader="dot" w:pos="8630"/>
            </w:tabs>
            <w:spacing w:line="480" w:lineRule="auto"/>
            <w:rPr>
              <w:rFonts w:eastAsiaTheme="minorEastAsia" w:cs="Times New Roman"/>
              <w:noProof/>
            </w:rPr>
          </w:pPr>
          <w:hyperlink w:anchor="_Toc202957475" w:history="1">
            <w:r w:rsidRPr="00F22A75">
              <w:rPr>
                <w:rStyle w:val="Hyperlink"/>
                <w:rFonts w:ascii="Times New Roman" w:hAnsi="Times New Roman" w:cs="Times New Roman"/>
                <w:noProof/>
              </w:rPr>
              <w:t>MiniFuel Irradiation Tests</w:t>
            </w:r>
            <w:r w:rsidRPr="00F22A75">
              <w:rPr>
                <w:rFonts w:cs="Times New Roman"/>
                <w:noProof/>
                <w:webHidden/>
              </w:rPr>
              <w:tab/>
            </w:r>
            <w:r w:rsidRPr="00F22A75">
              <w:rPr>
                <w:rFonts w:cs="Times New Roman"/>
                <w:noProof/>
                <w:webHidden/>
              </w:rPr>
              <w:fldChar w:fldCharType="begin"/>
            </w:r>
            <w:r w:rsidRPr="00F22A75">
              <w:rPr>
                <w:rFonts w:cs="Times New Roman"/>
                <w:noProof/>
                <w:webHidden/>
              </w:rPr>
              <w:instrText xml:space="preserve"> PAGEREF _Toc202957475 \h </w:instrText>
            </w:r>
            <w:r w:rsidRPr="00F22A75">
              <w:rPr>
                <w:rFonts w:cs="Times New Roman"/>
                <w:noProof/>
                <w:webHidden/>
              </w:rPr>
            </w:r>
            <w:r w:rsidRPr="00F22A75">
              <w:rPr>
                <w:rFonts w:cs="Times New Roman"/>
                <w:noProof/>
                <w:webHidden/>
              </w:rPr>
              <w:fldChar w:fldCharType="separate"/>
            </w:r>
            <w:r w:rsidR="00897306">
              <w:rPr>
                <w:rFonts w:cs="Times New Roman"/>
                <w:noProof/>
                <w:webHidden/>
              </w:rPr>
              <w:t>89</w:t>
            </w:r>
            <w:r w:rsidRPr="00F22A75">
              <w:rPr>
                <w:rFonts w:cs="Times New Roman"/>
                <w:noProof/>
                <w:webHidden/>
              </w:rPr>
              <w:fldChar w:fldCharType="end"/>
            </w:r>
          </w:hyperlink>
        </w:p>
        <w:p w14:paraId="52486528" w14:textId="66937669" w:rsidR="00BF7E93" w:rsidRPr="00F22A75" w:rsidRDefault="00BF7E93" w:rsidP="00F22A75">
          <w:pPr>
            <w:pStyle w:val="TOC3"/>
            <w:tabs>
              <w:tab w:val="right" w:leader="dot" w:pos="8630"/>
            </w:tabs>
            <w:spacing w:line="480" w:lineRule="auto"/>
            <w:rPr>
              <w:rFonts w:eastAsiaTheme="minorEastAsia" w:cs="Times New Roman"/>
              <w:noProof/>
            </w:rPr>
          </w:pPr>
          <w:hyperlink w:anchor="_Toc202957476" w:history="1">
            <w:r w:rsidRPr="00F22A75">
              <w:rPr>
                <w:rStyle w:val="Hyperlink"/>
                <w:rFonts w:ascii="Times New Roman" w:hAnsi="Times New Roman" w:cs="Times New Roman"/>
                <w:noProof/>
              </w:rPr>
              <w:t>Past MiniFuel Experimental Campaigns</w:t>
            </w:r>
            <w:r w:rsidRPr="00F22A75">
              <w:rPr>
                <w:rFonts w:cs="Times New Roman"/>
                <w:noProof/>
                <w:webHidden/>
              </w:rPr>
              <w:tab/>
            </w:r>
            <w:r w:rsidRPr="00F22A75">
              <w:rPr>
                <w:rFonts w:cs="Times New Roman"/>
                <w:noProof/>
                <w:webHidden/>
              </w:rPr>
              <w:fldChar w:fldCharType="begin"/>
            </w:r>
            <w:r w:rsidRPr="00F22A75">
              <w:rPr>
                <w:rFonts w:cs="Times New Roman"/>
                <w:noProof/>
                <w:webHidden/>
              </w:rPr>
              <w:instrText xml:space="preserve"> PAGEREF _Toc202957476 \h </w:instrText>
            </w:r>
            <w:r w:rsidRPr="00F22A75">
              <w:rPr>
                <w:rFonts w:cs="Times New Roman"/>
                <w:noProof/>
                <w:webHidden/>
              </w:rPr>
            </w:r>
            <w:r w:rsidRPr="00F22A75">
              <w:rPr>
                <w:rFonts w:cs="Times New Roman"/>
                <w:noProof/>
                <w:webHidden/>
              </w:rPr>
              <w:fldChar w:fldCharType="separate"/>
            </w:r>
            <w:r w:rsidR="00897306">
              <w:rPr>
                <w:rFonts w:cs="Times New Roman"/>
                <w:noProof/>
                <w:webHidden/>
              </w:rPr>
              <w:t>94</w:t>
            </w:r>
            <w:r w:rsidRPr="00F22A75">
              <w:rPr>
                <w:rFonts w:cs="Times New Roman"/>
                <w:noProof/>
                <w:webHidden/>
              </w:rPr>
              <w:fldChar w:fldCharType="end"/>
            </w:r>
          </w:hyperlink>
        </w:p>
        <w:p w14:paraId="3E5D96C8" w14:textId="4DC2DCD2" w:rsidR="00BF7E93" w:rsidRPr="00F22A75" w:rsidRDefault="00BF7E93" w:rsidP="00F22A75">
          <w:pPr>
            <w:pStyle w:val="TOC2"/>
            <w:tabs>
              <w:tab w:val="right" w:leader="dot" w:pos="8630"/>
            </w:tabs>
            <w:spacing w:line="480" w:lineRule="auto"/>
            <w:rPr>
              <w:rFonts w:eastAsiaTheme="minorEastAsia" w:cs="Times New Roman"/>
              <w:noProof/>
            </w:rPr>
          </w:pPr>
          <w:hyperlink w:anchor="_Toc202957477" w:history="1">
            <w:r w:rsidRPr="00F22A75">
              <w:rPr>
                <w:rStyle w:val="Hyperlink"/>
                <w:rFonts w:ascii="Times New Roman" w:hAnsi="Times New Roman" w:cs="Times New Roman"/>
                <w:noProof/>
              </w:rPr>
              <w:t>Project Overview</w:t>
            </w:r>
            <w:r w:rsidRPr="00F22A75">
              <w:rPr>
                <w:rFonts w:cs="Times New Roman"/>
                <w:noProof/>
                <w:webHidden/>
              </w:rPr>
              <w:tab/>
            </w:r>
            <w:r w:rsidRPr="00F22A75">
              <w:rPr>
                <w:rFonts w:cs="Times New Roman"/>
                <w:noProof/>
                <w:webHidden/>
              </w:rPr>
              <w:fldChar w:fldCharType="begin"/>
            </w:r>
            <w:r w:rsidRPr="00F22A75">
              <w:rPr>
                <w:rFonts w:cs="Times New Roman"/>
                <w:noProof/>
                <w:webHidden/>
              </w:rPr>
              <w:instrText xml:space="preserve"> PAGEREF _Toc202957477 \h </w:instrText>
            </w:r>
            <w:r w:rsidRPr="00F22A75">
              <w:rPr>
                <w:rFonts w:cs="Times New Roman"/>
                <w:noProof/>
                <w:webHidden/>
              </w:rPr>
            </w:r>
            <w:r w:rsidRPr="00F22A75">
              <w:rPr>
                <w:rFonts w:cs="Times New Roman"/>
                <w:noProof/>
                <w:webHidden/>
              </w:rPr>
              <w:fldChar w:fldCharType="separate"/>
            </w:r>
            <w:r w:rsidR="00897306">
              <w:rPr>
                <w:rFonts w:cs="Times New Roman"/>
                <w:noProof/>
                <w:webHidden/>
              </w:rPr>
              <w:t>97</w:t>
            </w:r>
            <w:r w:rsidRPr="00F22A75">
              <w:rPr>
                <w:rFonts w:cs="Times New Roman"/>
                <w:noProof/>
                <w:webHidden/>
              </w:rPr>
              <w:fldChar w:fldCharType="end"/>
            </w:r>
          </w:hyperlink>
        </w:p>
        <w:p w14:paraId="276E5C09" w14:textId="7782AEF6" w:rsidR="00BF7E93" w:rsidRPr="00F22A75" w:rsidRDefault="00BF7E93" w:rsidP="00F22A75">
          <w:pPr>
            <w:pStyle w:val="TOC2"/>
            <w:tabs>
              <w:tab w:val="right" w:leader="dot" w:pos="8630"/>
            </w:tabs>
            <w:spacing w:line="480" w:lineRule="auto"/>
            <w:rPr>
              <w:rFonts w:eastAsiaTheme="minorEastAsia" w:cs="Times New Roman"/>
              <w:noProof/>
            </w:rPr>
          </w:pPr>
          <w:hyperlink w:anchor="_Toc202957478" w:history="1">
            <w:r w:rsidRPr="00F22A75">
              <w:rPr>
                <w:rStyle w:val="Hyperlink"/>
                <w:rFonts w:ascii="Times New Roman" w:hAnsi="Times New Roman" w:cs="Times New Roman"/>
                <w:noProof/>
              </w:rPr>
              <w:t>Full Subcapsule Analysis</w:t>
            </w:r>
            <w:r w:rsidRPr="00F22A75">
              <w:rPr>
                <w:rFonts w:cs="Times New Roman"/>
                <w:noProof/>
                <w:webHidden/>
              </w:rPr>
              <w:tab/>
            </w:r>
            <w:r w:rsidRPr="00F22A75">
              <w:rPr>
                <w:rFonts w:cs="Times New Roman"/>
                <w:noProof/>
                <w:webHidden/>
              </w:rPr>
              <w:fldChar w:fldCharType="begin"/>
            </w:r>
            <w:r w:rsidRPr="00F22A75">
              <w:rPr>
                <w:rFonts w:cs="Times New Roman"/>
                <w:noProof/>
                <w:webHidden/>
              </w:rPr>
              <w:instrText xml:space="preserve"> PAGEREF _Toc202957478 \h </w:instrText>
            </w:r>
            <w:r w:rsidRPr="00F22A75">
              <w:rPr>
                <w:rFonts w:cs="Times New Roman"/>
                <w:noProof/>
                <w:webHidden/>
              </w:rPr>
            </w:r>
            <w:r w:rsidRPr="00F22A75">
              <w:rPr>
                <w:rFonts w:cs="Times New Roman"/>
                <w:noProof/>
                <w:webHidden/>
              </w:rPr>
              <w:fldChar w:fldCharType="separate"/>
            </w:r>
            <w:r w:rsidR="00897306">
              <w:rPr>
                <w:rFonts w:cs="Times New Roman"/>
                <w:noProof/>
                <w:webHidden/>
              </w:rPr>
              <w:t>98</w:t>
            </w:r>
            <w:r w:rsidRPr="00F22A75">
              <w:rPr>
                <w:rFonts w:cs="Times New Roman"/>
                <w:noProof/>
                <w:webHidden/>
              </w:rPr>
              <w:fldChar w:fldCharType="end"/>
            </w:r>
          </w:hyperlink>
        </w:p>
        <w:p w14:paraId="4FCD95E4" w14:textId="12CC5EE2" w:rsidR="00BF7E93" w:rsidRPr="00F22A75" w:rsidRDefault="00BF7E93" w:rsidP="00F22A75">
          <w:pPr>
            <w:pStyle w:val="TOC3"/>
            <w:tabs>
              <w:tab w:val="right" w:leader="dot" w:pos="8630"/>
            </w:tabs>
            <w:spacing w:line="480" w:lineRule="auto"/>
            <w:rPr>
              <w:rFonts w:eastAsiaTheme="minorEastAsia" w:cs="Times New Roman"/>
              <w:noProof/>
            </w:rPr>
          </w:pPr>
          <w:hyperlink w:anchor="_Toc202957479" w:history="1">
            <w:r w:rsidRPr="00F22A75">
              <w:rPr>
                <w:rStyle w:val="Hyperlink"/>
                <w:rFonts w:ascii="Times New Roman" w:hAnsi="Times New Roman" w:cs="Times New Roman"/>
                <w:noProof/>
              </w:rPr>
              <w:t>Model Framework</w:t>
            </w:r>
            <w:r w:rsidRPr="00F22A75">
              <w:rPr>
                <w:rFonts w:cs="Times New Roman"/>
                <w:noProof/>
                <w:webHidden/>
              </w:rPr>
              <w:tab/>
            </w:r>
            <w:r w:rsidRPr="00F22A75">
              <w:rPr>
                <w:rFonts w:cs="Times New Roman"/>
                <w:noProof/>
                <w:webHidden/>
              </w:rPr>
              <w:fldChar w:fldCharType="begin"/>
            </w:r>
            <w:r w:rsidRPr="00F22A75">
              <w:rPr>
                <w:rFonts w:cs="Times New Roman"/>
                <w:noProof/>
                <w:webHidden/>
              </w:rPr>
              <w:instrText xml:space="preserve"> PAGEREF _Toc202957479 \h </w:instrText>
            </w:r>
            <w:r w:rsidRPr="00F22A75">
              <w:rPr>
                <w:rFonts w:cs="Times New Roman"/>
                <w:noProof/>
                <w:webHidden/>
              </w:rPr>
            </w:r>
            <w:r w:rsidRPr="00F22A75">
              <w:rPr>
                <w:rFonts w:cs="Times New Roman"/>
                <w:noProof/>
                <w:webHidden/>
              </w:rPr>
              <w:fldChar w:fldCharType="separate"/>
            </w:r>
            <w:r w:rsidR="00897306">
              <w:rPr>
                <w:rFonts w:cs="Times New Roman"/>
                <w:noProof/>
                <w:webHidden/>
              </w:rPr>
              <w:t>98</w:t>
            </w:r>
            <w:r w:rsidRPr="00F22A75">
              <w:rPr>
                <w:rFonts w:cs="Times New Roman"/>
                <w:noProof/>
                <w:webHidden/>
              </w:rPr>
              <w:fldChar w:fldCharType="end"/>
            </w:r>
          </w:hyperlink>
        </w:p>
        <w:p w14:paraId="1CFC36C1" w14:textId="2188CAAC" w:rsidR="00BF7E93" w:rsidRPr="00F22A75" w:rsidRDefault="00BF7E93" w:rsidP="00F22A75">
          <w:pPr>
            <w:pStyle w:val="TOC3"/>
            <w:tabs>
              <w:tab w:val="right" w:leader="dot" w:pos="8630"/>
            </w:tabs>
            <w:spacing w:line="480" w:lineRule="auto"/>
            <w:rPr>
              <w:rFonts w:eastAsiaTheme="minorEastAsia" w:cs="Times New Roman"/>
              <w:noProof/>
            </w:rPr>
          </w:pPr>
          <w:hyperlink w:anchor="_Toc202957480" w:history="1">
            <w:r w:rsidRPr="00F22A75">
              <w:rPr>
                <w:rStyle w:val="Hyperlink"/>
                <w:rFonts w:ascii="Times New Roman" w:hAnsi="Times New Roman" w:cs="Times New Roman"/>
                <w:noProof/>
              </w:rPr>
              <w:t>Morris Parameter Screening Methods</w:t>
            </w:r>
            <w:r w:rsidRPr="00F22A75">
              <w:rPr>
                <w:rFonts w:cs="Times New Roman"/>
                <w:noProof/>
                <w:webHidden/>
              </w:rPr>
              <w:tab/>
            </w:r>
            <w:r w:rsidRPr="00F22A75">
              <w:rPr>
                <w:rFonts w:cs="Times New Roman"/>
                <w:noProof/>
                <w:webHidden/>
              </w:rPr>
              <w:fldChar w:fldCharType="begin"/>
            </w:r>
            <w:r w:rsidRPr="00F22A75">
              <w:rPr>
                <w:rFonts w:cs="Times New Roman"/>
                <w:noProof/>
                <w:webHidden/>
              </w:rPr>
              <w:instrText xml:space="preserve"> PAGEREF _Toc202957480 \h </w:instrText>
            </w:r>
            <w:r w:rsidRPr="00F22A75">
              <w:rPr>
                <w:rFonts w:cs="Times New Roman"/>
                <w:noProof/>
                <w:webHidden/>
              </w:rPr>
            </w:r>
            <w:r w:rsidRPr="00F22A75">
              <w:rPr>
                <w:rFonts w:cs="Times New Roman"/>
                <w:noProof/>
                <w:webHidden/>
              </w:rPr>
              <w:fldChar w:fldCharType="separate"/>
            </w:r>
            <w:r w:rsidR="00897306">
              <w:rPr>
                <w:rFonts w:cs="Times New Roman"/>
                <w:noProof/>
                <w:webHidden/>
              </w:rPr>
              <w:t>100</w:t>
            </w:r>
            <w:r w:rsidRPr="00F22A75">
              <w:rPr>
                <w:rFonts w:cs="Times New Roman"/>
                <w:noProof/>
                <w:webHidden/>
              </w:rPr>
              <w:fldChar w:fldCharType="end"/>
            </w:r>
          </w:hyperlink>
        </w:p>
        <w:p w14:paraId="12CD454F" w14:textId="10CA64DD" w:rsidR="00BF7E93" w:rsidRPr="00F22A75" w:rsidRDefault="00BF7E93" w:rsidP="00F22A75">
          <w:pPr>
            <w:pStyle w:val="TOC3"/>
            <w:tabs>
              <w:tab w:val="right" w:leader="dot" w:pos="8630"/>
            </w:tabs>
            <w:spacing w:line="480" w:lineRule="auto"/>
            <w:rPr>
              <w:rFonts w:eastAsiaTheme="minorEastAsia" w:cs="Times New Roman"/>
              <w:noProof/>
            </w:rPr>
          </w:pPr>
          <w:hyperlink w:anchor="_Toc202957481" w:history="1">
            <w:r w:rsidRPr="00F22A75">
              <w:rPr>
                <w:rStyle w:val="Hyperlink"/>
                <w:rFonts w:ascii="Times New Roman" w:hAnsi="Times New Roman" w:cs="Times New Roman"/>
                <w:noProof/>
              </w:rPr>
              <w:t>Sobol Sensitivity Analysis Methods</w:t>
            </w:r>
            <w:r w:rsidRPr="00F22A75">
              <w:rPr>
                <w:rFonts w:cs="Times New Roman"/>
                <w:noProof/>
                <w:webHidden/>
              </w:rPr>
              <w:tab/>
            </w:r>
            <w:r w:rsidRPr="00F22A75">
              <w:rPr>
                <w:rFonts w:cs="Times New Roman"/>
                <w:noProof/>
                <w:webHidden/>
              </w:rPr>
              <w:fldChar w:fldCharType="begin"/>
            </w:r>
            <w:r w:rsidRPr="00F22A75">
              <w:rPr>
                <w:rFonts w:cs="Times New Roman"/>
                <w:noProof/>
                <w:webHidden/>
              </w:rPr>
              <w:instrText xml:space="preserve"> PAGEREF _Toc202957481 \h </w:instrText>
            </w:r>
            <w:r w:rsidRPr="00F22A75">
              <w:rPr>
                <w:rFonts w:cs="Times New Roman"/>
                <w:noProof/>
                <w:webHidden/>
              </w:rPr>
            </w:r>
            <w:r w:rsidRPr="00F22A75">
              <w:rPr>
                <w:rFonts w:cs="Times New Roman"/>
                <w:noProof/>
                <w:webHidden/>
              </w:rPr>
              <w:fldChar w:fldCharType="separate"/>
            </w:r>
            <w:r w:rsidR="00897306">
              <w:rPr>
                <w:rFonts w:cs="Times New Roman"/>
                <w:noProof/>
                <w:webHidden/>
              </w:rPr>
              <w:t>105</w:t>
            </w:r>
            <w:r w:rsidRPr="00F22A75">
              <w:rPr>
                <w:rFonts w:cs="Times New Roman"/>
                <w:noProof/>
                <w:webHidden/>
              </w:rPr>
              <w:fldChar w:fldCharType="end"/>
            </w:r>
          </w:hyperlink>
        </w:p>
        <w:p w14:paraId="67E8AE34" w14:textId="182ECB9F" w:rsidR="00BF7E93" w:rsidRPr="00F22A75" w:rsidRDefault="00BF7E93" w:rsidP="00F22A75">
          <w:pPr>
            <w:pStyle w:val="TOC3"/>
            <w:tabs>
              <w:tab w:val="right" w:leader="dot" w:pos="8630"/>
            </w:tabs>
            <w:spacing w:line="480" w:lineRule="auto"/>
            <w:rPr>
              <w:rFonts w:eastAsiaTheme="minorEastAsia" w:cs="Times New Roman"/>
              <w:noProof/>
            </w:rPr>
          </w:pPr>
          <w:hyperlink w:anchor="_Toc202957482" w:history="1">
            <w:r w:rsidRPr="00F22A75">
              <w:rPr>
                <w:rStyle w:val="Hyperlink"/>
                <w:rFonts w:ascii="Times New Roman" w:hAnsi="Times New Roman" w:cs="Times New Roman"/>
                <w:noProof/>
              </w:rPr>
              <w:t>Model Verification and Validation</w:t>
            </w:r>
            <w:r w:rsidRPr="00F22A75">
              <w:rPr>
                <w:rFonts w:cs="Times New Roman"/>
                <w:noProof/>
                <w:webHidden/>
              </w:rPr>
              <w:tab/>
            </w:r>
            <w:r w:rsidRPr="00F22A75">
              <w:rPr>
                <w:rFonts w:cs="Times New Roman"/>
                <w:noProof/>
                <w:webHidden/>
              </w:rPr>
              <w:fldChar w:fldCharType="begin"/>
            </w:r>
            <w:r w:rsidRPr="00F22A75">
              <w:rPr>
                <w:rFonts w:cs="Times New Roman"/>
                <w:noProof/>
                <w:webHidden/>
              </w:rPr>
              <w:instrText xml:space="preserve"> PAGEREF _Toc202957482 \h </w:instrText>
            </w:r>
            <w:r w:rsidRPr="00F22A75">
              <w:rPr>
                <w:rFonts w:cs="Times New Roman"/>
                <w:noProof/>
                <w:webHidden/>
              </w:rPr>
            </w:r>
            <w:r w:rsidRPr="00F22A75">
              <w:rPr>
                <w:rFonts w:cs="Times New Roman"/>
                <w:noProof/>
                <w:webHidden/>
              </w:rPr>
              <w:fldChar w:fldCharType="separate"/>
            </w:r>
            <w:r w:rsidR="00897306">
              <w:rPr>
                <w:rFonts w:cs="Times New Roman"/>
                <w:noProof/>
                <w:webHidden/>
              </w:rPr>
              <w:t>108</w:t>
            </w:r>
            <w:r w:rsidRPr="00F22A75">
              <w:rPr>
                <w:rFonts w:cs="Times New Roman"/>
                <w:noProof/>
                <w:webHidden/>
              </w:rPr>
              <w:fldChar w:fldCharType="end"/>
            </w:r>
          </w:hyperlink>
        </w:p>
        <w:p w14:paraId="646FFE2B" w14:textId="02482F67" w:rsidR="00BF7E93" w:rsidRPr="00F22A75" w:rsidRDefault="00BF7E93" w:rsidP="00F22A75">
          <w:pPr>
            <w:pStyle w:val="TOC3"/>
            <w:tabs>
              <w:tab w:val="right" w:leader="dot" w:pos="8630"/>
            </w:tabs>
            <w:spacing w:line="480" w:lineRule="auto"/>
            <w:rPr>
              <w:rFonts w:eastAsiaTheme="minorEastAsia" w:cs="Times New Roman"/>
              <w:noProof/>
            </w:rPr>
          </w:pPr>
          <w:hyperlink w:anchor="_Toc202957483" w:history="1">
            <w:r w:rsidRPr="00F22A75">
              <w:rPr>
                <w:rStyle w:val="Hyperlink"/>
                <w:rFonts w:ascii="Times New Roman" w:hAnsi="Times New Roman" w:cs="Times New Roman"/>
                <w:noProof/>
              </w:rPr>
              <w:t>Morris Parameter Screening Results</w:t>
            </w:r>
            <w:r w:rsidRPr="00F22A75">
              <w:rPr>
                <w:rFonts w:cs="Times New Roman"/>
                <w:noProof/>
                <w:webHidden/>
              </w:rPr>
              <w:tab/>
            </w:r>
            <w:r w:rsidRPr="00F22A75">
              <w:rPr>
                <w:rFonts w:cs="Times New Roman"/>
                <w:noProof/>
                <w:webHidden/>
              </w:rPr>
              <w:fldChar w:fldCharType="begin"/>
            </w:r>
            <w:r w:rsidRPr="00F22A75">
              <w:rPr>
                <w:rFonts w:cs="Times New Roman"/>
                <w:noProof/>
                <w:webHidden/>
              </w:rPr>
              <w:instrText xml:space="preserve"> PAGEREF _Toc202957483 \h </w:instrText>
            </w:r>
            <w:r w:rsidRPr="00F22A75">
              <w:rPr>
                <w:rFonts w:cs="Times New Roman"/>
                <w:noProof/>
                <w:webHidden/>
              </w:rPr>
            </w:r>
            <w:r w:rsidRPr="00F22A75">
              <w:rPr>
                <w:rFonts w:cs="Times New Roman"/>
                <w:noProof/>
                <w:webHidden/>
              </w:rPr>
              <w:fldChar w:fldCharType="separate"/>
            </w:r>
            <w:r w:rsidR="00897306">
              <w:rPr>
                <w:rFonts w:cs="Times New Roman"/>
                <w:noProof/>
                <w:webHidden/>
              </w:rPr>
              <w:t>111</w:t>
            </w:r>
            <w:r w:rsidRPr="00F22A75">
              <w:rPr>
                <w:rFonts w:cs="Times New Roman"/>
                <w:noProof/>
                <w:webHidden/>
              </w:rPr>
              <w:fldChar w:fldCharType="end"/>
            </w:r>
          </w:hyperlink>
        </w:p>
        <w:p w14:paraId="3776AC6F" w14:textId="05CBD6CB" w:rsidR="00BF7E93" w:rsidRPr="00F22A75" w:rsidRDefault="00BF7E93" w:rsidP="00F22A75">
          <w:pPr>
            <w:pStyle w:val="TOC3"/>
            <w:tabs>
              <w:tab w:val="right" w:leader="dot" w:pos="8630"/>
            </w:tabs>
            <w:spacing w:line="480" w:lineRule="auto"/>
            <w:rPr>
              <w:rFonts w:eastAsiaTheme="minorEastAsia" w:cs="Times New Roman"/>
              <w:noProof/>
            </w:rPr>
          </w:pPr>
          <w:hyperlink w:anchor="_Toc202957484" w:history="1">
            <w:r w:rsidRPr="00F22A75">
              <w:rPr>
                <w:rStyle w:val="Hyperlink"/>
                <w:rFonts w:ascii="Times New Roman" w:hAnsi="Times New Roman" w:cs="Times New Roman"/>
                <w:noProof/>
              </w:rPr>
              <w:t>Sobol Sensitivity Analysis Results</w:t>
            </w:r>
            <w:r w:rsidRPr="00F22A75">
              <w:rPr>
                <w:rFonts w:cs="Times New Roman"/>
                <w:noProof/>
                <w:webHidden/>
              </w:rPr>
              <w:tab/>
            </w:r>
            <w:r w:rsidRPr="00F22A75">
              <w:rPr>
                <w:rFonts w:cs="Times New Roman"/>
                <w:noProof/>
                <w:webHidden/>
              </w:rPr>
              <w:fldChar w:fldCharType="begin"/>
            </w:r>
            <w:r w:rsidRPr="00F22A75">
              <w:rPr>
                <w:rFonts w:cs="Times New Roman"/>
                <w:noProof/>
                <w:webHidden/>
              </w:rPr>
              <w:instrText xml:space="preserve"> PAGEREF _Toc202957484 \h </w:instrText>
            </w:r>
            <w:r w:rsidRPr="00F22A75">
              <w:rPr>
                <w:rFonts w:cs="Times New Roman"/>
                <w:noProof/>
                <w:webHidden/>
              </w:rPr>
            </w:r>
            <w:r w:rsidRPr="00F22A75">
              <w:rPr>
                <w:rFonts w:cs="Times New Roman"/>
                <w:noProof/>
                <w:webHidden/>
              </w:rPr>
              <w:fldChar w:fldCharType="separate"/>
            </w:r>
            <w:r w:rsidR="00897306">
              <w:rPr>
                <w:rFonts w:cs="Times New Roman"/>
                <w:noProof/>
                <w:webHidden/>
              </w:rPr>
              <w:t>111</w:t>
            </w:r>
            <w:r w:rsidRPr="00F22A75">
              <w:rPr>
                <w:rFonts w:cs="Times New Roman"/>
                <w:noProof/>
                <w:webHidden/>
              </w:rPr>
              <w:fldChar w:fldCharType="end"/>
            </w:r>
          </w:hyperlink>
        </w:p>
        <w:p w14:paraId="5EC1FEFB" w14:textId="0FEDAF1E" w:rsidR="00BF7E93" w:rsidRPr="00F22A75" w:rsidRDefault="00BF7E93" w:rsidP="00F22A75">
          <w:pPr>
            <w:pStyle w:val="TOC3"/>
            <w:tabs>
              <w:tab w:val="right" w:leader="dot" w:pos="8630"/>
            </w:tabs>
            <w:spacing w:line="480" w:lineRule="auto"/>
            <w:rPr>
              <w:rFonts w:eastAsiaTheme="minorEastAsia" w:cs="Times New Roman"/>
              <w:noProof/>
            </w:rPr>
          </w:pPr>
          <w:hyperlink w:anchor="_Toc202957485" w:history="1">
            <w:r w:rsidRPr="00F22A75">
              <w:rPr>
                <w:rStyle w:val="Hyperlink"/>
                <w:rFonts w:ascii="Times New Roman" w:hAnsi="Times New Roman" w:cs="Times New Roman"/>
                <w:noProof/>
              </w:rPr>
              <w:t>ANSYS Model Uncertainty</w:t>
            </w:r>
            <w:r w:rsidRPr="00F22A75">
              <w:rPr>
                <w:rFonts w:cs="Times New Roman"/>
                <w:noProof/>
                <w:webHidden/>
              </w:rPr>
              <w:tab/>
            </w:r>
            <w:r w:rsidRPr="00F22A75">
              <w:rPr>
                <w:rFonts w:cs="Times New Roman"/>
                <w:noProof/>
                <w:webHidden/>
              </w:rPr>
              <w:fldChar w:fldCharType="begin"/>
            </w:r>
            <w:r w:rsidRPr="00F22A75">
              <w:rPr>
                <w:rFonts w:cs="Times New Roman"/>
                <w:noProof/>
                <w:webHidden/>
              </w:rPr>
              <w:instrText xml:space="preserve"> PAGEREF _Toc202957485 \h </w:instrText>
            </w:r>
            <w:r w:rsidRPr="00F22A75">
              <w:rPr>
                <w:rFonts w:cs="Times New Roman"/>
                <w:noProof/>
                <w:webHidden/>
              </w:rPr>
            </w:r>
            <w:r w:rsidRPr="00F22A75">
              <w:rPr>
                <w:rFonts w:cs="Times New Roman"/>
                <w:noProof/>
                <w:webHidden/>
              </w:rPr>
              <w:fldChar w:fldCharType="separate"/>
            </w:r>
            <w:r w:rsidR="00897306">
              <w:rPr>
                <w:rFonts w:cs="Times New Roman"/>
                <w:noProof/>
                <w:webHidden/>
              </w:rPr>
              <w:t>126</w:t>
            </w:r>
            <w:r w:rsidRPr="00F22A75">
              <w:rPr>
                <w:rFonts w:cs="Times New Roman"/>
                <w:noProof/>
                <w:webHidden/>
              </w:rPr>
              <w:fldChar w:fldCharType="end"/>
            </w:r>
          </w:hyperlink>
        </w:p>
        <w:p w14:paraId="535FC929" w14:textId="38A4EC60" w:rsidR="00BF7E93" w:rsidRPr="00F22A75" w:rsidRDefault="00BF7E93" w:rsidP="00F22A75">
          <w:pPr>
            <w:pStyle w:val="TOC3"/>
            <w:tabs>
              <w:tab w:val="right" w:leader="dot" w:pos="8630"/>
            </w:tabs>
            <w:spacing w:line="480" w:lineRule="auto"/>
            <w:rPr>
              <w:rFonts w:eastAsiaTheme="minorEastAsia" w:cs="Times New Roman"/>
              <w:noProof/>
            </w:rPr>
          </w:pPr>
          <w:hyperlink w:anchor="_Toc202957486" w:history="1">
            <w:r w:rsidRPr="00F22A75">
              <w:rPr>
                <w:rStyle w:val="Hyperlink"/>
                <w:rFonts w:ascii="Times New Roman" w:hAnsi="Times New Roman" w:cs="Times New Roman"/>
                <w:noProof/>
              </w:rPr>
              <w:t>Influence of Gap Conductance</w:t>
            </w:r>
            <w:r w:rsidRPr="00F22A75">
              <w:rPr>
                <w:rFonts w:cs="Times New Roman"/>
                <w:noProof/>
                <w:webHidden/>
              </w:rPr>
              <w:tab/>
            </w:r>
            <w:r w:rsidRPr="00F22A75">
              <w:rPr>
                <w:rFonts w:cs="Times New Roman"/>
                <w:noProof/>
                <w:webHidden/>
              </w:rPr>
              <w:fldChar w:fldCharType="begin"/>
            </w:r>
            <w:r w:rsidRPr="00F22A75">
              <w:rPr>
                <w:rFonts w:cs="Times New Roman"/>
                <w:noProof/>
                <w:webHidden/>
              </w:rPr>
              <w:instrText xml:space="preserve"> PAGEREF _Toc202957486 \h </w:instrText>
            </w:r>
            <w:r w:rsidRPr="00F22A75">
              <w:rPr>
                <w:rFonts w:cs="Times New Roman"/>
                <w:noProof/>
                <w:webHidden/>
              </w:rPr>
            </w:r>
            <w:r w:rsidRPr="00F22A75">
              <w:rPr>
                <w:rFonts w:cs="Times New Roman"/>
                <w:noProof/>
                <w:webHidden/>
              </w:rPr>
              <w:fldChar w:fldCharType="separate"/>
            </w:r>
            <w:r w:rsidR="00897306">
              <w:rPr>
                <w:rFonts w:cs="Times New Roman"/>
                <w:noProof/>
                <w:webHidden/>
              </w:rPr>
              <w:t>127</w:t>
            </w:r>
            <w:r w:rsidRPr="00F22A75">
              <w:rPr>
                <w:rFonts w:cs="Times New Roman"/>
                <w:noProof/>
                <w:webHidden/>
              </w:rPr>
              <w:fldChar w:fldCharType="end"/>
            </w:r>
          </w:hyperlink>
        </w:p>
        <w:p w14:paraId="1CB50BE7" w14:textId="6ABA3B3F" w:rsidR="00BF7E93" w:rsidRPr="00F22A75" w:rsidRDefault="00BF7E93" w:rsidP="00F22A75">
          <w:pPr>
            <w:pStyle w:val="TOC3"/>
            <w:tabs>
              <w:tab w:val="right" w:leader="dot" w:pos="8630"/>
            </w:tabs>
            <w:spacing w:line="480" w:lineRule="auto"/>
            <w:rPr>
              <w:rFonts w:eastAsiaTheme="minorEastAsia" w:cs="Times New Roman"/>
              <w:noProof/>
            </w:rPr>
          </w:pPr>
          <w:hyperlink w:anchor="_Toc202957487" w:history="1">
            <w:r w:rsidRPr="00F22A75">
              <w:rPr>
                <w:rStyle w:val="Hyperlink"/>
                <w:rFonts w:ascii="Times New Roman" w:hAnsi="Times New Roman" w:cs="Times New Roman"/>
                <w:noProof/>
              </w:rPr>
              <w:t>Influence of Fuel Height</w:t>
            </w:r>
            <w:r w:rsidRPr="00F22A75">
              <w:rPr>
                <w:rFonts w:cs="Times New Roman"/>
                <w:noProof/>
                <w:webHidden/>
              </w:rPr>
              <w:tab/>
            </w:r>
            <w:r w:rsidRPr="00F22A75">
              <w:rPr>
                <w:rFonts w:cs="Times New Roman"/>
                <w:noProof/>
                <w:webHidden/>
              </w:rPr>
              <w:fldChar w:fldCharType="begin"/>
            </w:r>
            <w:r w:rsidRPr="00F22A75">
              <w:rPr>
                <w:rFonts w:cs="Times New Roman"/>
                <w:noProof/>
                <w:webHidden/>
              </w:rPr>
              <w:instrText xml:space="preserve"> PAGEREF _Toc202957487 \h </w:instrText>
            </w:r>
            <w:r w:rsidRPr="00F22A75">
              <w:rPr>
                <w:rFonts w:cs="Times New Roman"/>
                <w:noProof/>
                <w:webHidden/>
              </w:rPr>
            </w:r>
            <w:r w:rsidRPr="00F22A75">
              <w:rPr>
                <w:rFonts w:cs="Times New Roman"/>
                <w:noProof/>
                <w:webHidden/>
              </w:rPr>
              <w:fldChar w:fldCharType="separate"/>
            </w:r>
            <w:r w:rsidR="00897306">
              <w:rPr>
                <w:rFonts w:cs="Times New Roman"/>
                <w:noProof/>
                <w:webHidden/>
              </w:rPr>
              <w:t>128</w:t>
            </w:r>
            <w:r w:rsidRPr="00F22A75">
              <w:rPr>
                <w:rFonts w:cs="Times New Roman"/>
                <w:noProof/>
                <w:webHidden/>
              </w:rPr>
              <w:fldChar w:fldCharType="end"/>
            </w:r>
          </w:hyperlink>
        </w:p>
        <w:p w14:paraId="689666DF" w14:textId="4ED6A01F" w:rsidR="00BF7E93" w:rsidRPr="00F22A75" w:rsidRDefault="00BF7E93" w:rsidP="00F22A75">
          <w:pPr>
            <w:pStyle w:val="TOC3"/>
            <w:tabs>
              <w:tab w:val="right" w:leader="dot" w:pos="8630"/>
            </w:tabs>
            <w:spacing w:line="480" w:lineRule="auto"/>
            <w:rPr>
              <w:rFonts w:eastAsiaTheme="minorEastAsia" w:cs="Times New Roman"/>
              <w:noProof/>
            </w:rPr>
          </w:pPr>
          <w:hyperlink w:anchor="_Toc202957488" w:history="1">
            <w:r w:rsidRPr="00F22A75">
              <w:rPr>
                <w:rStyle w:val="Hyperlink"/>
                <w:rFonts w:ascii="Times New Roman" w:hAnsi="Times New Roman" w:cs="Times New Roman"/>
                <w:noProof/>
              </w:rPr>
              <w:t>Influence of HGR Uncertainty</w:t>
            </w:r>
            <w:r w:rsidRPr="00F22A75">
              <w:rPr>
                <w:rFonts w:cs="Times New Roman"/>
                <w:noProof/>
                <w:webHidden/>
              </w:rPr>
              <w:tab/>
            </w:r>
            <w:r w:rsidRPr="00F22A75">
              <w:rPr>
                <w:rFonts w:cs="Times New Roman"/>
                <w:noProof/>
                <w:webHidden/>
              </w:rPr>
              <w:fldChar w:fldCharType="begin"/>
            </w:r>
            <w:r w:rsidRPr="00F22A75">
              <w:rPr>
                <w:rFonts w:cs="Times New Roman"/>
                <w:noProof/>
                <w:webHidden/>
              </w:rPr>
              <w:instrText xml:space="preserve"> PAGEREF _Toc202957488 \h </w:instrText>
            </w:r>
            <w:r w:rsidRPr="00F22A75">
              <w:rPr>
                <w:rFonts w:cs="Times New Roman"/>
                <w:noProof/>
                <w:webHidden/>
              </w:rPr>
            </w:r>
            <w:r w:rsidRPr="00F22A75">
              <w:rPr>
                <w:rFonts w:cs="Times New Roman"/>
                <w:noProof/>
                <w:webHidden/>
              </w:rPr>
              <w:fldChar w:fldCharType="separate"/>
            </w:r>
            <w:r w:rsidR="00897306">
              <w:rPr>
                <w:rFonts w:cs="Times New Roman"/>
                <w:noProof/>
                <w:webHidden/>
              </w:rPr>
              <w:t>129</w:t>
            </w:r>
            <w:r w:rsidRPr="00F22A75">
              <w:rPr>
                <w:rFonts w:cs="Times New Roman"/>
                <w:noProof/>
                <w:webHidden/>
              </w:rPr>
              <w:fldChar w:fldCharType="end"/>
            </w:r>
          </w:hyperlink>
        </w:p>
        <w:p w14:paraId="6CF55D90" w14:textId="44915F0E" w:rsidR="00BF7E93" w:rsidRPr="00F22A75" w:rsidRDefault="00BF7E93" w:rsidP="00F22A75">
          <w:pPr>
            <w:pStyle w:val="TOC3"/>
            <w:tabs>
              <w:tab w:val="right" w:leader="dot" w:pos="8630"/>
            </w:tabs>
            <w:spacing w:line="480" w:lineRule="auto"/>
            <w:rPr>
              <w:rFonts w:eastAsiaTheme="minorEastAsia" w:cs="Times New Roman"/>
              <w:noProof/>
            </w:rPr>
          </w:pPr>
          <w:hyperlink w:anchor="_Toc202957489" w:history="1">
            <w:r w:rsidRPr="00F22A75">
              <w:rPr>
                <w:rStyle w:val="Hyperlink"/>
                <w:rFonts w:ascii="Times New Roman" w:hAnsi="Times New Roman" w:cs="Times New Roman"/>
                <w:noProof/>
              </w:rPr>
              <w:t>Influence of Thermal Contact Conductance</w:t>
            </w:r>
            <w:r w:rsidRPr="00F22A75">
              <w:rPr>
                <w:rFonts w:cs="Times New Roman"/>
                <w:noProof/>
                <w:webHidden/>
              </w:rPr>
              <w:tab/>
            </w:r>
            <w:r w:rsidRPr="00F22A75">
              <w:rPr>
                <w:rFonts w:cs="Times New Roman"/>
                <w:noProof/>
                <w:webHidden/>
              </w:rPr>
              <w:fldChar w:fldCharType="begin"/>
            </w:r>
            <w:r w:rsidRPr="00F22A75">
              <w:rPr>
                <w:rFonts w:cs="Times New Roman"/>
                <w:noProof/>
                <w:webHidden/>
              </w:rPr>
              <w:instrText xml:space="preserve"> PAGEREF _Toc202957489 \h </w:instrText>
            </w:r>
            <w:r w:rsidRPr="00F22A75">
              <w:rPr>
                <w:rFonts w:cs="Times New Roman"/>
                <w:noProof/>
                <w:webHidden/>
              </w:rPr>
            </w:r>
            <w:r w:rsidRPr="00F22A75">
              <w:rPr>
                <w:rFonts w:cs="Times New Roman"/>
                <w:noProof/>
                <w:webHidden/>
              </w:rPr>
              <w:fldChar w:fldCharType="separate"/>
            </w:r>
            <w:r w:rsidR="00897306">
              <w:rPr>
                <w:rFonts w:cs="Times New Roman"/>
                <w:noProof/>
                <w:webHidden/>
              </w:rPr>
              <w:t>129</w:t>
            </w:r>
            <w:r w:rsidRPr="00F22A75">
              <w:rPr>
                <w:rFonts w:cs="Times New Roman"/>
                <w:noProof/>
                <w:webHidden/>
              </w:rPr>
              <w:fldChar w:fldCharType="end"/>
            </w:r>
          </w:hyperlink>
        </w:p>
        <w:p w14:paraId="1C135460" w14:textId="3EA35264" w:rsidR="00BF7E93" w:rsidRPr="00F22A75" w:rsidRDefault="00BF7E93" w:rsidP="00F22A75">
          <w:pPr>
            <w:pStyle w:val="TOC3"/>
            <w:tabs>
              <w:tab w:val="right" w:leader="dot" w:pos="8630"/>
            </w:tabs>
            <w:spacing w:line="480" w:lineRule="auto"/>
            <w:rPr>
              <w:rFonts w:eastAsiaTheme="minorEastAsia" w:cs="Times New Roman"/>
              <w:noProof/>
            </w:rPr>
          </w:pPr>
          <w:hyperlink w:anchor="_Toc202957490" w:history="1">
            <w:r w:rsidRPr="00F22A75">
              <w:rPr>
                <w:rStyle w:val="Hyperlink"/>
                <w:rFonts w:ascii="Times New Roman" w:hAnsi="Times New Roman" w:cs="Times New Roman"/>
                <w:noProof/>
              </w:rPr>
              <w:t>Influence of ANSYS Model TCC Calculations</w:t>
            </w:r>
            <w:r w:rsidRPr="00F22A75">
              <w:rPr>
                <w:rFonts w:cs="Times New Roman"/>
                <w:noProof/>
                <w:webHidden/>
              </w:rPr>
              <w:tab/>
            </w:r>
            <w:r w:rsidRPr="00F22A75">
              <w:rPr>
                <w:rFonts w:cs="Times New Roman"/>
                <w:noProof/>
                <w:webHidden/>
              </w:rPr>
              <w:fldChar w:fldCharType="begin"/>
            </w:r>
            <w:r w:rsidRPr="00F22A75">
              <w:rPr>
                <w:rFonts w:cs="Times New Roman"/>
                <w:noProof/>
                <w:webHidden/>
              </w:rPr>
              <w:instrText xml:space="preserve"> PAGEREF _Toc202957490 \h </w:instrText>
            </w:r>
            <w:r w:rsidRPr="00F22A75">
              <w:rPr>
                <w:rFonts w:cs="Times New Roman"/>
                <w:noProof/>
                <w:webHidden/>
              </w:rPr>
            </w:r>
            <w:r w:rsidRPr="00F22A75">
              <w:rPr>
                <w:rFonts w:cs="Times New Roman"/>
                <w:noProof/>
                <w:webHidden/>
              </w:rPr>
              <w:fldChar w:fldCharType="separate"/>
            </w:r>
            <w:r w:rsidR="00897306">
              <w:rPr>
                <w:rFonts w:cs="Times New Roman"/>
                <w:noProof/>
                <w:webHidden/>
              </w:rPr>
              <w:t>118</w:t>
            </w:r>
            <w:r w:rsidRPr="00F22A75">
              <w:rPr>
                <w:rFonts w:cs="Times New Roman"/>
                <w:noProof/>
                <w:webHidden/>
              </w:rPr>
              <w:fldChar w:fldCharType="end"/>
            </w:r>
          </w:hyperlink>
        </w:p>
        <w:p w14:paraId="2C98B27B" w14:textId="2E10F39D" w:rsidR="00BF7E93" w:rsidRPr="00F22A75" w:rsidRDefault="00BF7E93" w:rsidP="00F22A75">
          <w:pPr>
            <w:pStyle w:val="TOC3"/>
            <w:tabs>
              <w:tab w:val="right" w:leader="dot" w:pos="8630"/>
            </w:tabs>
            <w:spacing w:line="480" w:lineRule="auto"/>
            <w:rPr>
              <w:rFonts w:eastAsiaTheme="minorEastAsia" w:cs="Times New Roman"/>
              <w:noProof/>
            </w:rPr>
          </w:pPr>
          <w:hyperlink w:anchor="_Toc202957491" w:history="1">
            <w:r w:rsidRPr="00F22A75">
              <w:rPr>
                <w:rStyle w:val="Hyperlink"/>
                <w:rFonts w:ascii="Times New Roman" w:hAnsi="Times New Roman" w:cs="Times New Roman"/>
                <w:noProof/>
              </w:rPr>
              <w:t>Conclusions from Full Subcapsule Analysis</w:t>
            </w:r>
            <w:r w:rsidRPr="00F22A75">
              <w:rPr>
                <w:rFonts w:cs="Times New Roman"/>
                <w:noProof/>
                <w:webHidden/>
              </w:rPr>
              <w:tab/>
            </w:r>
            <w:r w:rsidRPr="00F22A75">
              <w:rPr>
                <w:rFonts w:cs="Times New Roman"/>
                <w:noProof/>
                <w:webHidden/>
              </w:rPr>
              <w:fldChar w:fldCharType="begin"/>
            </w:r>
            <w:r w:rsidRPr="00F22A75">
              <w:rPr>
                <w:rFonts w:cs="Times New Roman"/>
                <w:noProof/>
                <w:webHidden/>
              </w:rPr>
              <w:instrText xml:space="preserve"> PAGEREF _Toc202957491 \h </w:instrText>
            </w:r>
            <w:r w:rsidRPr="00F22A75">
              <w:rPr>
                <w:rFonts w:cs="Times New Roman"/>
                <w:noProof/>
                <w:webHidden/>
              </w:rPr>
            </w:r>
            <w:r w:rsidRPr="00F22A75">
              <w:rPr>
                <w:rFonts w:cs="Times New Roman"/>
                <w:noProof/>
                <w:webHidden/>
              </w:rPr>
              <w:fldChar w:fldCharType="separate"/>
            </w:r>
            <w:r w:rsidR="00897306">
              <w:rPr>
                <w:rFonts w:cs="Times New Roman"/>
                <w:noProof/>
                <w:webHidden/>
              </w:rPr>
              <w:t>119</w:t>
            </w:r>
            <w:r w:rsidRPr="00F22A75">
              <w:rPr>
                <w:rFonts w:cs="Times New Roman"/>
                <w:noProof/>
                <w:webHidden/>
              </w:rPr>
              <w:fldChar w:fldCharType="end"/>
            </w:r>
          </w:hyperlink>
        </w:p>
        <w:p w14:paraId="7903D6B9" w14:textId="03EDD586" w:rsidR="00BF7E93" w:rsidRPr="00F22A75" w:rsidRDefault="00BF7E93" w:rsidP="00F22A75">
          <w:pPr>
            <w:pStyle w:val="TOC2"/>
            <w:tabs>
              <w:tab w:val="right" w:leader="dot" w:pos="8630"/>
            </w:tabs>
            <w:spacing w:line="480" w:lineRule="auto"/>
            <w:rPr>
              <w:rFonts w:eastAsiaTheme="minorEastAsia" w:cs="Times New Roman"/>
              <w:noProof/>
            </w:rPr>
          </w:pPr>
          <w:hyperlink w:anchor="_Toc202957492" w:history="1">
            <w:r w:rsidRPr="00F22A75">
              <w:rPr>
                <w:rStyle w:val="Hyperlink"/>
                <w:rFonts w:ascii="Times New Roman" w:hAnsi="Times New Roman" w:cs="Times New Roman"/>
                <w:noProof/>
              </w:rPr>
              <w:t>In Depth TCC Model Analysis</w:t>
            </w:r>
            <w:r w:rsidRPr="00F22A75">
              <w:rPr>
                <w:rFonts w:cs="Times New Roman"/>
                <w:noProof/>
                <w:webHidden/>
              </w:rPr>
              <w:tab/>
            </w:r>
            <w:r w:rsidRPr="00F22A75">
              <w:rPr>
                <w:rFonts w:cs="Times New Roman"/>
                <w:noProof/>
                <w:webHidden/>
              </w:rPr>
              <w:fldChar w:fldCharType="begin"/>
            </w:r>
            <w:r w:rsidRPr="00F22A75">
              <w:rPr>
                <w:rFonts w:cs="Times New Roman"/>
                <w:noProof/>
                <w:webHidden/>
              </w:rPr>
              <w:instrText xml:space="preserve"> PAGEREF _Toc202957492 \h </w:instrText>
            </w:r>
            <w:r w:rsidRPr="00F22A75">
              <w:rPr>
                <w:rFonts w:cs="Times New Roman"/>
                <w:noProof/>
                <w:webHidden/>
              </w:rPr>
            </w:r>
            <w:r w:rsidRPr="00F22A75">
              <w:rPr>
                <w:rFonts w:cs="Times New Roman"/>
                <w:noProof/>
                <w:webHidden/>
              </w:rPr>
              <w:fldChar w:fldCharType="separate"/>
            </w:r>
            <w:r w:rsidR="00897306">
              <w:rPr>
                <w:rFonts w:cs="Times New Roman"/>
                <w:noProof/>
                <w:webHidden/>
              </w:rPr>
              <w:t>121</w:t>
            </w:r>
            <w:r w:rsidRPr="00F22A75">
              <w:rPr>
                <w:rFonts w:cs="Times New Roman"/>
                <w:noProof/>
                <w:webHidden/>
              </w:rPr>
              <w:fldChar w:fldCharType="end"/>
            </w:r>
          </w:hyperlink>
        </w:p>
        <w:p w14:paraId="23516055" w14:textId="5D1E0A27" w:rsidR="00BF7E93" w:rsidRPr="00F22A75" w:rsidRDefault="00BF7E93" w:rsidP="00F22A75">
          <w:pPr>
            <w:pStyle w:val="TOC3"/>
            <w:tabs>
              <w:tab w:val="right" w:leader="dot" w:pos="8630"/>
            </w:tabs>
            <w:spacing w:line="480" w:lineRule="auto"/>
            <w:rPr>
              <w:rFonts w:eastAsiaTheme="minorEastAsia" w:cs="Times New Roman"/>
              <w:noProof/>
            </w:rPr>
          </w:pPr>
          <w:hyperlink w:anchor="_Toc202957493" w:history="1">
            <w:r w:rsidRPr="00F22A75">
              <w:rPr>
                <w:rStyle w:val="Hyperlink"/>
                <w:rFonts w:ascii="Times New Roman" w:hAnsi="Times New Roman" w:cs="Times New Roman"/>
                <w:noProof/>
              </w:rPr>
              <w:t>Python Model Framework</w:t>
            </w:r>
            <w:r w:rsidRPr="00F22A75">
              <w:rPr>
                <w:rFonts w:cs="Times New Roman"/>
                <w:noProof/>
                <w:webHidden/>
              </w:rPr>
              <w:tab/>
            </w:r>
            <w:r w:rsidRPr="00F22A75">
              <w:rPr>
                <w:rFonts w:cs="Times New Roman"/>
                <w:noProof/>
                <w:webHidden/>
              </w:rPr>
              <w:fldChar w:fldCharType="begin"/>
            </w:r>
            <w:r w:rsidRPr="00F22A75">
              <w:rPr>
                <w:rFonts w:cs="Times New Roman"/>
                <w:noProof/>
                <w:webHidden/>
              </w:rPr>
              <w:instrText xml:space="preserve"> PAGEREF _Toc202957493 \h </w:instrText>
            </w:r>
            <w:r w:rsidRPr="00F22A75">
              <w:rPr>
                <w:rFonts w:cs="Times New Roman"/>
                <w:noProof/>
                <w:webHidden/>
              </w:rPr>
            </w:r>
            <w:r w:rsidRPr="00F22A75">
              <w:rPr>
                <w:rFonts w:cs="Times New Roman"/>
                <w:noProof/>
                <w:webHidden/>
              </w:rPr>
              <w:fldChar w:fldCharType="separate"/>
            </w:r>
            <w:r w:rsidR="00897306">
              <w:rPr>
                <w:rFonts w:cs="Times New Roman"/>
                <w:noProof/>
                <w:webHidden/>
              </w:rPr>
              <w:t>123</w:t>
            </w:r>
            <w:r w:rsidRPr="00F22A75">
              <w:rPr>
                <w:rFonts w:cs="Times New Roman"/>
                <w:noProof/>
                <w:webHidden/>
              </w:rPr>
              <w:fldChar w:fldCharType="end"/>
            </w:r>
          </w:hyperlink>
        </w:p>
        <w:p w14:paraId="03E970BA" w14:textId="3741DF9B" w:rsidR="00BF7E93" w:rsidRPr="00F22A75" w:rsidRDefault="00BF7E93" w:rsidP="00F22A75">
          <w:pPr>
            <w:pStyle w:val="TOC3"/>
            <w:tabs>
              <w:tab w:val="right" w:leader="dot" w:pos="8630"/>
            </w:tabs>
            <w:spacing w:line="480" w:lineRule="auto"/>
            <w:rPr>
              <w:rFonts w:eastAsiaTheme="minorEastAsia" w:cs="Times New Roman"/>
              <w:noProof/>
            </w:rPr>
          </w:pPr>
          <w:hyperlink w:anchor="_Toc202957494" w:history="1">
            <w:r w:rsidRPr="00F22A75">
              <w:rPr>
                <w:rStyle w:val="Hyperlink"/>
                <w:rFonts w:ascii="Times New Roman" w:hAnsi="Times New Roman" w:cs="Times New Roman"/>
                <w:noProof/>
              </w:rPr>
              <w:t>Python-BISON Model Framework</w:t>
            </w:r>
            <w:r w:rsidRPr="00F22A75">
              <w:rPr>
                <w:rFonts w:cs="Times New Roman"/>
                <w:noProof/>
                <w:webHidden/>
              </w:rPr>
              <w:tab/>
            </w:r>
            <w:r w:rsidRPr="00F22A75">
              <w:rPr>
                <w:rFonts w:cs="Times New Roman"/>
                <w:noProof/>
                <w:webHidden/>
              </w:rPr>
              <w:fldChar w:fldCharType="begin"/>
            </w:r>
            <w:r w:rsidRPr="00F22A75">
              <w:rPr>
                <w:rFonts w:cs="Times New Roman"/>
                <w:noProof/>
                <w:webHidden/>
              </w:rPr>
              <w:instrText xml:space="preserve"> PAGEREF _Toc202957494 \h </w:instrText>
            </w:r>
            <w:r w:rsidRPr="00F22A75">
              <w:rPr>
                <w:rFonts w:cs="Times New Roman"/>
                <w:noProof/>
                <w:webHidden/>
              </w:rPr>
            </w:r>
            <w:r w:rsidRPr="00F22A75">
              <w:rPr>
                <w:rFonts w:cs="Times New Roman"/>
                <w:noProof/>
                <w:webHidden/>
              </w:rPr>
              <w:fldChar w:fldCharType="separate"/>
            </w:r>
            <w:r w:rsidR="00897306">
              <w:rPr>
                <w:rFonts w:cs="Times New Roman"/>
                <w:noProof/>
                <w:webHidden/>
              </w:rPr>
              <w:t>128</w:t>
            </w:r>
            <w:r w:rsidRPr="00F22A75">
              <w:rPr>
                <w:rFonts w:cs="Times New Roman"/>
                <w:noProof/>
                <w:webHidden/>
              </w:rPr>
              <w:fldChar w:fldCharType="end"/>
            </w:r>
          </w:hyperlink>
        </w:p>
        <w:p w14:paraId="2D964CDD" w14:textId="1CCEBA97" w:rsidR="00BF7E93" w:rsidRPr="00F22A75" w:rsidRDefault="00BF7E93" w:rsidP="00F22A75">
          <w:pPr>
            <w:pStyle w:val="TOC3"/>
            <w:tabs>
              <w:tab w:val="right" w:leader="dot" w:pos="8630"/>
            </w:tabs>
            <w:spacing w:line="480" w:lineRule="auto"/>
            <w:rPr>
              <w:rFonts w:eastAsiaTheme="minorEastAsia" w:cs="Times New Roman"/>
              <w:noProof/>
            </w:rPr>
          </w:pPr>
          <w:hyperlink w:anchor="_Toc202957495" w:history="1">
            <w:r w:rsidRPr="00F22A75">
              <w:rPr>
                <w:rStyle w:val="Hyperlink"/>
                <w:rFonts w:ascii="Times New Roman" w:hAnsi="Times New Roman" w:cs="Times New Roman"/>
                <w:noProof/>
              </w:rPr>
              <w:t>Standalone Python Model Results</w:t>
            </w:r>
            <w:r w:rsidRPr="00F22A75">
              <w:rPr>
                <w:rFonts w:cs="Times New Roman"/>
                <w:noProof/>
                <w:webHidden/>
              </w:rPr>
              <w:tab/>
            </w:r>
            <w:r w:rsidRPr="00F22A75">
              <w:rPr>
                <w:rFonts w:cs="Times New Roman"/>
                <w:noProof/>
                <w:webHidden/>
              </w:rPr>
              <w:fldChar w:fldCharType="begin"/>
            </w:r>
            <w:r w:rsidRPr="00F22A75">
              <w:rPr>
                <w:rFonts w:cs="Times New Roman"/>
                <w:noProof/>
                <w:webHidden/>
              </w:rPr>
              <w:instrText xml:space="preserve"> PAGEREF _Toc202957495 \h </w:instrText>
            </w:r>
            <w:r w:rsidRPr="00F22A75">
              <w:rPr>
                <w:rFonts w:cs="Times New Roman"/>
                <w:noProof/>
                <w:webHidden/>
              </w:rPr>
            </w:r>
            <w:r w:rsidRPr="00F22A75">
              <w:rPr>
                <w:rFonts w:cs="Times New Roman"/>
                <w:noProof/>
                <w:webHidden/>
              </w:rPr>
              <w:fldChar w:fldCharType="separate"/>
            </w:r>
            <w:r w:rsidR="00897306">
              <w:rPr>
                <w:rFonts w:cs="Times New Roman"/>
                <w:noProof/>
                <w:webHidden/>
              </w:rPr>
              <w:t>131</w:t>
            </w:r>
            <w:r w:rsidRPr="00F22A75">
              <w:rPr>
                <w:rFonts w:cs="Times New Roman"/>
                <w:noProof/>
                <w:webHidden/>
              </w:rPr>
              <w:fldChar w:fldCharType="end"/>
            </w:r>
          </w:hyperlink>
        </w:p>
        <w:p w14:paraId="7A0F8416" w14:textId="0479BD2E" w:rsidR="00BF7E93" w:rsidRPr="00F22A75" w:rsidRDefault="00BF7E93" w:rsidP="00F22A75">
          <w:pPr>
            <w:pStyle w:val="TOC3"/>
            <w:tabs>
              <w:tab w:val="right" w:leader="dot" w:pos="8630"/>
            </w:tabs>
            <w:spacing w:line="480" w:lineRule="auto"/>
            <w:rPr>
              <w:rFonts w:eastAsiaTheme="minorEastAsia" w:cs="Times New Roman"/>
              <w:noProof/>
            </w:rPr>
          </w:pPr>
          <w:hyperlink w:anchor="_Toc202957496" w:history="1">
            <w:r w:rsidRPr="00F22A75">
              <w:rPr>
                <w:rStyle w:val="Hyperlink"/>
                <w:rFonts w:ascii="Times New Roman" w:hAnsi="Times New Roman" w:cs="Times New Roman"/>
                <w:noProof/>
              </w:rPr>
              <w:t>Coupled Python/BISON Model Results</w:t>
            </w:r>
            <w:r w:rsidRPr="00F22A75">
              <w:rPr>
                <w:rFonts w:cs="Times New Roman"/>
                <w:noProof/>
                <w:webHidden/>
              </w:rPr>
              <w:tab/>
            </w:r>
            <w:r w:rsidRPr="00F22A75">
              <w:rPr>
                <w:rFonts w:cs="Times New Roman"/>
                <w:noProof/>
                <w:webHidden/>
              </w:rPr>
              <w:fldChar w:fldCharType="begin"/>
            </w:r>
            <w:r w:rsidRPr="00F22A75">
              <w:rPr>
                <w:rFonts w:cs="Times New Roman"/>
                <w:noProof/>
                <w:webHidden/>
              </w:rPr>
              <w:instrText xml:space="preserve"> PAGEREF _Toc202957496 \h </w:instrText>
            </w:r>
            <w:r w:rsidRPr="00F22A75">
              <w:rPr>
                <w:rFonts w:cs="Times New Roman"/>
                <w:noProof/>
                <w:webHidden/>
              </w:rPr>
            </w:r>
            <w:r w:rsidRPr="00F22A75">
              <w:rPr>
                <w:rFonts w:cs="Times New Roman"/>
                <w:noProof/>
                <w:webHidden/>
              </w:rPr>
              <w:fldChar w:fldCharType="separate"/>
            </w:r>
            <w:r w:rsidR="00897306">
              <w:rPr>
                <w:rFonts w:cs="Times New Roman"/>
                <w:noProof/>
                <w:webHidden/>
              </w:rPr>
              <w:t>133</w:t>
            </w:r>
            <w:r w:rsidRPr="00F22A75">
              <w:rPr>
                <w:rFonts w:cs="Times New Roman"/>
                <w:noProof/>
                <w:webHidden/>
              </w:rPr>
              <w:fldChar w:fldCharType="end"/>
            </w:r>
          </w:hyperlink>
        </w:p>
        <w:p w14:paraId="404B3CF9" w14:textId="2B7909B0" w:rsidR="00BF7E93" w:rsidRPr="00F22A75" w:rsidRDefault="00BF7E93" w:rsidP="00F22A75">
          <w:pPr>
            <w:pStyle w:val="TOC3"/>
            <w:tabs>
              <w:tab w:val="right" w:leader="dot" w:pos="8630"/>
            </w:tabs>
            <w:spacing w:line="480" w:lineRule="auto"/>
            <w:rPr>
              <w:rFonts w:eastAsiaTheme="minorEastAsia" w:cs="Times New Roman"/>
              <w:noProof/>
            </w:rPr>
          </w:pPr>
          <w:hyperlink w:anchor="_Toc202957497" w:history="1">
            <w:r w:rsidRPr="00F22A75">
              <w:rPr>
                <w:rStyle w:val="Hyperlink"/>
                <w:rFonts w:ascii="Times New Roman" w:hAnsi="Times New Roman" w:cs="Times New Roman"/>
                <w:noProof/>
              </w:rPr>
              <w:t>Sobol Sensitivity Analysis Results</w:t>
            </w:r>
            <w:r w:rsidRPr="00F22A75">
              <w:rPr>
                <w:rFonts w:cs="Times New Roman"/>
                <w:noProof/>
                <w:webHidden/>
              </w:rPr>
              <w:tab/>
            </w:r>
            <w:r w:rsidRPr="00F22A75">
              <w:rPr>
                <w:rFonts w:cs="Times New Roman"/>
                <w:noProof/>
                <w:webHidden/>
              </w:rPr>
              <w:fldChar w:fldCharType="begin"/>
            </w:r>
            <w:r w:rsidRPr="00F22A75">
              <w:rPr>
                <w:rFonts w:cs="Times New Roman"/>
                <w:noProof/>
                <w:webHidden/>
              </w:rPr>
              <w:instrText xml:space="preserve"> PAGEREF _Toc202957497 \h </w:instrText>
            </w:r>
            <w:r w:rsidRPr="00F22A75">
              <w:rPr>
                <w:rFonts w:cs="Times New Roman"/>
                <w:noProof/>
                <w:webHidden/>
              </w:rPr>
            </w:r>
            <w:r w:rsidRPr="00F22A75">
              <w:rPr>
                <w:rFonts w:cs="Times New Roman"/>
                <w:noProof/>
                <w:webHidden/>
              </w:rPr>
              <w:fldChar w:fldCharType="separate"/>
            </w:r>
            <w:r w:rsidR="00897306">
              <w:rPr>
                <w:rFonts w:cs="Times New Roman"/>
                <w:noProof/>
                <w:webHidden/>
              </w:rPr>
              <w:t>133</w:t>
            </w:r>
            <w:r w:rsidRPr="00F22A75">
              <w:rPr>
                <w:rFonts w:cs="Times New Roman"/>
                <w:noProof/>
                <w:webHidden/>
              </w:rPr>
              <w:fldChar w:fldCharType="end"/>
            </w:r>
          </w:hyperlink>
        </w:p>
        <w:p w14:paraId="216EF566" w14:textId="31AA1532" w:rsidR="00BF7E93" w:rsidRPr="00F22A75" w:rsidRDefault="00BF7E93" w:rsidP="00F22A75">
          <w:pPr>
            <w:pStyle w:val="TOC3"/>
            <w:tabs>
              <w:tab w:val="right" w:leader="dot" w:pos="8630"/>
            </w:tabs>
            <w:spacing w:line="480" w:lineRule="auto"/>
            <w:rPr>
              <w:rFonts w:eastAsiaTheme="minorEastAsia" w:cs="Times New Roman"/>
              <w:noProof/>
            </w:rPr>
          </w:pPr>
          <w:hyperlink w:anchor="_Toc202957498" w:history="1">
            <w:r w:rsidRPr="00F22A75">
              <w:rPr>
                <w:rStyle w:val="Hyperlink"/>
                <w:rFonts w:ascii="Times New Roman" w:hAnsi="Times New Roman" w:cs="Times New Roman"/>
                <w:noProof/>
              </w:rPr>
              <w:t>Performance Envelopes</w:t>
            </w:r>
            <w:r w:rsidRPr="00F22A75">
              <w:rPr>
                <w:rFonts w:cs="Times New Roman"/>
                <w:noProof/>
                <w:webHidden/>
              </w:rPr>
              <w:tab/>
            </w:r>
            <w:r w:rsidRPr="00F22A75">
              <w:rPr>
                <w:rFonts w:cs="Times New Roman"/>
                <w:noProof/>
                <w:webHidden/>
              </w:rPr>
              <w:fldChar w:fldCharType="begin"/>
            </w:r>
            <w:r w:rsidRPr="00F22A75">
              <w:rPr>
                <w:rFonts w:cs="Times New Roman"/>
                <w:noProof/>
                <w:webHidden/>
              </w:rPr>
              <w:instrText xml:space="preserve"> PAGEREF _Toc202957498 \h </w:instrText>
            </w:r>
            <w:r w:rsidRPr="00F22A75">
              <w:rPr>
                <w:rFonts w:cs="Times New Roman"/>
                <w:noProof/>
                <w:webHidden/>
              </w:rPr>
            </w:r>
            <w:r w:rsidRPr="00F22A75">
              <w:rPr>
                <w:rFonts w:cs="Times New Roman"/>
                <w:noProof/>
                <w:webHidden/>
              </w:rPr>
              <w:fldChar w:fldCharType="separate"/>
            </w:r>
            <w:r w:rsidR="00897306">
              <w:rPr>
                <w:rFonts w:cs="Times New Roman"/>
                <w:noProof/>
                <w:webHidden/>
              </w:rPr>
              <w:t>135</w:t>
            </w:r>
            <w:r w:rsidRPr="00F22A75">
              <w:rPr>
                <w:rFonts w:cs="Times New Roman"/>
                <w:noProof/>
                <w:webHidden/>
              </w:rPr>
              <w:fldChar w:fldCharType="end"/>
            </w:r>
          </w:hyperlink>
        </w:p>
        <w:p w14:paraId="38C914D5" w14:textId="0CCE0B7B" w:rsidR="00BF7E93" w:rsidRPr="00F22A75" w:rsidRDefault="00BF7E93" w:rsidP="00F22A75">
          <w:pPr>
            <w:pStyle w:val="TOC3"/>
            <w:tabs>
              <w:tab w:val="right" w:leader="dot" w:pos="8630"/>
            </w:tabs>
            <w:spacing w:line="480" w:lineRule="auto"/>
            <w:rPr>
              <w:rFonts w:eastAsiaTheme="minorEastAsia" w:cs="Times New Roman"/>
              <w:noProof/>
            </w:rPr>
          </w:pPr>
          <w:hyperlink w:anchor="_Toc202957499" w:history="1">
            <w:r w:rsidRPr="00F22A75">
              <w:rPr>
                <w:rStyle w:val="Hyperlink"/>
                <w:rFonts w:ascii="Times New Roman" w:hAnsi="Times New Roman" w:cs="Times New Roman"/>
                <w:noProof/>
              </w:rPr>
              <w:t>Influence of Controllable Variables</w:t>
            </w:r>
            <w:r w:rsidRPr="00F22A75">
              <w:rPr>
                <w:rFonts w:cs="Times New Roman"/>
                <w:noProof/>
                <w:webHidden/>
              </w:rPr>
              <w:tab/>
            </w:r>
            <w:r w:rsidRPr="00F22A75">
              <w:rPr>
                <w:rFonts w:cs="Times New Roman"/>
                <w:noProof/>
                <w:webHidden/>
              </w:rPr>
              <w:fldChar w:fldCharType="begin"/>
            </w:r>
            <w:r w:rsidRPr="00F22A75">
              <w:rPr>
                <w:rFonts w:cs="Times New Roman"/>
                <w:noProof/>
                <w:webHidden/>
              </w:rPr>
              <w:instrText xml:space="preserve"> PAGEREF _Toc202957499 \h </w:instrText>
            </w:r>
            <w:r w:rsidRPr="00F22A75">
              <w:rPr>
                <w:rFonts w:cs="Times New Roman"/>
                <w:noProof/>
                <w:webHidden/>
              </w:rPr>
            </w:r>
            <w:r w:rsidRPr="00F22A75">
              <w:rPr>
                <w:rFonts w:cs="Times New Roman"/>
                <w:noProof/>
                <w:webHidden/>
              </w:rPr>
              <w:fldChar w:fldCharType="separate"/>
            </w:r>
            <w:r w:rsidR="00897306">
              <w:rPr>
                <w:rFonts w:cs="Times New Roman"/>
                <w:noProof/>
                <w:webHidden/>
              </w:rPr>
              <w:t>135</w:t>
            </w:r>
            <w:r w:rsidRPr="00F22A75">
              <w:rPr>
                <w:rFonts w:cs="Times New Roman"/>
                <w:noProof/>
                <w:webHidden/>
              </w:rPr>
              <w:fldChar w:fldCharType="end"/>
            </w:r>
          </w:hyperlink>
        </w:p>
        <w:p w14:paraId="153113DC" w14:textId="121192B6" w:rsidR="00BF7E93" w:rsidRPr="00F22A75" w:rsidRDefault="00BF7E93" w:rsidP="00F22A75">
          <w:pPr>
            <w:pStyle w:val="TOC3"/>
            <w:tabs>
              <w:tab w:val="right" w:leader="dot" w:pos="8630"/>
            </w:tabs>
            <w:spacing w:line="480" w:lineRule="auto"/>
            <w:rPr>
              <w:rFonts w:eastAsiaTheme="minorEastAsia" w:cs="Times New Roman"/>
              <w:noProof/>
            </w:rPr>
          </w:pPr>
          <w:hyperlink w:anchor="_Toc202957500" w:history="1">
            <w:r w:rsidRPr="00F22A75">
              <w:rPr>
                <w:rStyle w:val="Hyperlink"/>
                <w:rFonts w:ascii="Times New Roman" w:hAnsi="Times New Roman" w:cs="Times New Roman"/>
                <w:noProof/>
              </w:rPr>
              <w:t>Influence of Temperature Jump Distance</w:t>
            </w:r>
            <w:r w:rsidRPr="00F22A75">
              <w:rPr>
                <w:rFonts w:cs="Times New Roman"/>
                <w:noProof/>
                <w:webHidden/>
              </w:rPr>
              <w:tab/>
            </w:r>
            <w:r w:rsidRPr="00F22A75">
              <w:rPr>
                <w:rFonts w:cs="Times New Roman"/>
                <w:noProof/>
                <w:webHidden/>
              </w:rPr>
              <w:fldChar w:fldCharType="begin"/>
            </w:r>
            <w:r w:rsidRPr="00F22A75">
              <w:rPr>
                <w:rFonts w:cs="Times New Roman"/>
                <w:noProof/>
                <w:webHidden/>
              </w:rPr>
              <w:instrText xml:space="preserve"> PAGEREF _Toc202957500 \h </w:instrText>
            </w:r>
            <w:r w:rsidRPr="00F22A75">
              <w:rPr>
                <w:rFonts w:cs="Times New Roman"/>
                <w:noProof/>
                <w:webHidden/>
              </w:rPr>
            </w:r>
            <w:r w:rsidRPr="00F22A75">
              <w:rPr>
                <w:rFonts w:cs="Times New Roman"/>
                <w:noProof/>
                <w:webHidden/>
              </w:rPr>
              <w:fldChar w:fldCharType="separate"/>
            </w:r>
            <w:r w:rsidR="00897306">
              <w:rPr>
                <w:rFonts w:cs="Times New Roman"/>
                <w:noProof/>
                <w:webHidden/>
              </w:rPr>
              <w:t>146</w:t>
            </w:r>
            <w:r w:rsidRPr="00F22A75">
              <w:rPr>
                <w:rFonts w:cs="Times New Roman"/>
                <w:noProof/>
                <w:webHidden/>
              </w:rPr>
              <w:fldChar w:fldCharType="end"/>
            </w:r>
          </w:hyperlink>
        </w:p>
        <w:p w14:paraId="16D3A8A7" w14:textId="64AC9283" w:rsidR="00BF7E93" w:rsidRPr="00F22A75" w:rsidRDefault="00BF7E93" w:rsidP="00F22A75">
          <w:pPr>
            <w:pStyle w:val="TOC3"/>
            <w:tabs>
              <w:tab w:val="right" w:leader="dot" w:pos="8630"/>
            </w:tabs>
            <w:spacing w:line="480" w:lineRule="auto"/>
            <w:rPr>
              <w:rFonts w:eastAsiaTheme="minorEastAsia" w:cs="Times New Roman"/>
              <w:noProof/>
            </w:rPr>
          </w:pPr>
          <w:hyperlink w:anchor="_Toc202957501" w:history="1">
            <w:r w:rsidRPr="00F22A75">
              <w:rPr>
                <w:rStyle w:val="Hyperlink"/>
                <w:rFonts w:ascii="Times New Roman" w:hAnsi="Times New Roman" w:cs="Times New Roman"/>
                <w:noProof/>
              </w:rPr>
              <w:t>Capsule Design Recommendations</w:t>
            </w:r>
            <w:r w:rsidRPr="00F22A75">
              <w:rPr>
                <w:rFonts w:cs="Times New Roman"/>
                <w:noProof/>
                <w:webHidden/>
              </w:rPr>
              <w:tab/>
            </w:r>
            <w:r w:rsidRPr="00F22A75">
              <w:rPr>
                <w:rFonts w:cs="Times New Roman"/>
                <w:noProof/>
                <w:webHidden/>
              </w:rPr>
              <w:fldChar w:fldCharType="begin"/>
            </w:r>
            <w:r w:rsidRPr="00F22A75">
              <w:rPr>
                <w:rFonts w:cs="Times New Roman"/>
                <w:noProof/>
                <w:webHidden/>
              </w:rPr>
              <w:instrText xml:space="preserve"> PAGEREF _Toc202957501 \h </w:instrText>
            </w:r>
            <w:r w:rsidRPr="00F22A75">
              <w:rPr>
                <w:rFonts w:cs="Times New Roman"/>
                <w:noProof/>
                <w:webHidden/>
              </w:rPr>
            </w:r>
            <w:r w:rsidRPr="00F22A75">
              <w:rPr>
                <w:rFonts w:cs="Times New Roman"/>
                <w:noProof/>
                <w:webHidden/>
              </w:rPr>
              <w:fldChar w:fldCharType="separate"/>
            </w:r>
            <w:r w:rsidR="00897306">
              <w:rPr>
                <w:rFonts w:cs="Times New Roman"/>
                <w:noProof/>
                <w:webHidden/>
              </w:rPr>
              <w:t>151</w:t>
            </w:r>
            <w:r w:rsidRPr="00F22A75">
              <w:rPr>
                <w:rFonts w:cs="Times New Roman"/>
                <w:noProof/>
                <w:webHidden/>
              </w:rPr>
              <w:fldChar w:fldCharType="end"/>
            </w:r>
          </w:hyperlink>
        </w:p>
        <w:p w14:paraId="50F9DE51" w14:textId="25D038FB" w:rsidR="00BF7E93" w:rsidRPr="00F22A75" w:rsidRDefault="00BF7E93" w:rsidP="00F22A75">
          <w:pPr>
            <w:pStyle w:val="TOC3"/>
            <w:tabs>
              <w:tab w:val="right" w:leader="dot" w:pos="8630"/>
            </w:tabs>
            <w:spacing w:line="480" w:lineRule="auto"/>
            <w:rPr>
              <w:rFonts w:eastAsiaTheme="minorEastAsia" w:cs="Times New Roman"/>
              <w:noProof/>
            </w:rPr>
          </w:pPr>
          <w:hyperlink w:anchor="_Toc202957502" w:history="1">
            <w:r w:rsidRPr="00F22A75">
              <w:rPr>
                <w:rStyle w:val="Hyperlink"/>
                <w:rFonts w:ascii="Times New Roman" w:hAnsi="Times New Roman" w:cs="Times New Roman"/>
                <w:noProof/>
              </w:rPr>
              <w:t>Applying Recommendations to ANSYS</w:t>
            </w:r>
            <w:r w:rsidRPr="00F22A75">
              <w:rPr>
                <w:rFonts w:cs="Times New Roman"/>
                <w:noProof/>
                <w:webHidden/>
              </w:rPr>
              <w:tab/>
            </w:r>
            <w:r w:rsidRPr="00F22A75">
              <w:rPr>
                <w:rFonts w:cs="Times New Roman"/>
                <w:noProof/>
                <w:webHidden/>
              </w:rPr>
              <w:fldChar w:fldCharType="begin"/>
            </w:r>
            <w:r w:rsidRPr="00F22A75">
              <w:rPr>
                <w:rFonts w:cs="Times New Roman"/>
                <w:noProof/>
                <w:webHidden/>
              </w:rPr>
              <w:instrText xml:space="preserve"> PAGEREF _Toc202957502 \h </w:instrText>
            </w:r>
            <w:r w:rsidRPr="00F22A75">
              <w:rPr>
                <w:rFonts w:cs="Times New Roman"/>
                <w:noProof/>
                <w:webHidden/>
              </w:rPr>
            </w:r>
            <w:r w:rsidRPr="00F22A75">
              <w:rPr>
                <w:rFonts w:cs="Times New Roman"/>
                <w:noProof/>
                <w:webHidden/>
              </w:rPr>
              <w:fldChar w:fldCharType="separate"/>
            </w:r>
            <w:r w:rsidR="00897306">
              <w:rPr>
                <w:rFonts w:cs="Times New Roman"/>
                <w:noProof/>
                <w:webHidden/>
              </w:rPr>
              <w:t>153</w:t>
            </w:r>
            <w:r w:rsidRPr="00F22A75">
              <w:rPr>
                <w:rFonts w:cs="Times New Roman"/>
                <w:noProof/>
                <w:webHidden/>
              </w:rPr>
              <w:fldChar w:fldCharType="end"/>
            </w:r>
          </w:hyperlink>
        </w:p>
        <w:p w14:paraId="1CD2A67D" w14:textId="56157F95" w:rsidR="00BF7E93" w:rsidRPr="00F22A75" w:rsidRDefault="00BF7E93" w:rsidP="00F22A75">
          <w:pPr>
            <w:pStyle w:val="TOC3"/>
            <w:tabs>
              <w:tab w:val="right" w:leader="dot" w:pos="8630"/>
            </w:tabs>
            <w:spacing w:line="480" w:lineRule="auto"/>
            <w:rPr>
              <w:rFonts w:eastAsiaTheme="minorEastAsia" w:cs="Times New Roman"/>
              <w:noProof/>
            </w:rPr>
          </w:pPr>
          <w:hyperlink w:anchor="_Toc202957503" w:history="1">
            <w:r w:rsidRPr="00F22A75">
              <w:rPr>
                <w:rStyle w:val="Hyperlink"/>
                <w:rFonts w:ascii="Times New Roman" w:hAnsi="Times New Roman" w:cs="Times New Roman"/>
                <w:noProof/>
              </w:rPr>
              <w:t>Additional Considerations and Future Work</w:t>
            </w:r>
            <w:r w:rsidRPr="00F22A75">
              <w:rPr>
                <w:rFonts w:cs="Times New Roman"/>
                <w:noProof/>
                <w:webHidden/>
              </w:rPr>
              <w:tab/>
            </w:r>
            <w:r w:rsidRPr="00F22A75">
              <w:rPr>
                <w:rFonts w:cs="Times New Roman"/>
                <w:noProof/>
                <w:webHidden/>
              </w:rPr>
              <w:fldChar w:fldCharType="begin"/>
            </w:r>
            <w:r w:rsidRPr="00F22A75">
              <w:rPr>
                <w:rFonts w:cs="Times New Roman"/>
                <w:noProof/>
                <w:webHidden/>
              </w:rPr>
              <w:instrText xml:space="preserve"> PAGEREF _Toc202957503 \h </w:instrText>
            </w:r>
            <w:r w:rsidRPr="00F22A75">
              <w:rPr>
                <w:rFonts w:cs="Times New Roman"/>
                <w:noProof/>
                <w:webHidden/>
              </w:rPr>
            </w:r>
            <w:r w:rsidRPr="00F22A75">
              <w:rPr>
                <w:rFonts w:cs="Times New Roman"/>
                <w:noProof/>
                <w:webHidden/>
              </w:rPr>
              <w:fldChar w:fldCharType="separate"/>
            </w:r>
            <w:r w:rsidR="00897306">
              <w:rPr>
                <w:rFonts w:cs="Times New Roman"/>
                <w:noProof/>
                <w:webHidden/>
              </w:rPr>
              <w:t>156</w:t>
            </w:r>
            <w:r w:rsidRPr="00F22A75">
              <w:rPr>
                <w:rFonts w:cs="Times New Roman"/>
                <w:noProof/>
                <w:webHidden/>
              </w:rPr>
              <w:fldChar w:fldCharType="end"/>
            </w:r>
          </w:hyperlink>
        </w:p>
        <w:p w14:paraId="5849D3D0" w14:textId="7930A4BC" w:rsidR="00BF7E93" w:rsidRPr="00F22A75" w:rsidRDefault="00BF7E93" w:rsidP="00F22A75">
          <w:pPr>
            <w:pStyle w:val="TOC3"/>
            <w:tabs>
              <w:tab w:val="right" w:leader="dot" w:pos="8630"/>
            </w:tabs>
            <w:spacing w:line="480" w:lineRule="auto"/>
            <w:rPr>
              <w:rFonts w:eastAsiaTheme="minorEastAsia" w:cs="Times New Roman"/>
              <w:noProof/>
            </w:rPr>
          </w:pPr>
          <w:hyperlink w:anchor="_Toc202957504" w:history="1">
            <w:r w:rsidRPr="00F22A75">
              <w:rPr>
                <w:rStyle w:val="Hyperlink"/>
                <w:rFonts w:ascii="Times New Roman" w:hAnsi="Times New Roman" w:cs="Times New Roman"/>
                <w:noProof/>
              </w:rPr>
              <w:t>Conclusions of In-Depth TCC Model Analysis</w:t>
            </w:r>
            <w:r w:rsidRPr="00F22A75">
              <w:rPr>
                <w:rFonts w:cs="Times New Roman"/>
                <w:noProof/>
                <w:webHidden/>
              </w:rPr>
              <w:tab/>
            </w:r>
            <w:r w:rsidRPr="00F22A75">
              <w:rPr>
                <w:rFonts w:cs="Times New Roman"/>
                <w:noProof/>
                <w:webHidden/>
              </w:rPr>
              <w:fldChar w:fldCharType="begin"/>
            </w:r>
            <w:r w:rsidRPr="00F22A75">
              <w:rPr>
                <w:rFonts w:cs="Times New Roman"/>
                <w:noProof/>
                <w:webHidden/>
              </w:rPr>
              <w:instrText xml:space="preserve"> PAGEREF _Toc202957504 \h </w:instrText>
            </w:r>
            <w:r w:rsidRPr="00F22A75">
              <w:rPr>
                <w:rFonts w:cs="Times New Roman"/>
                <w:noProof/>
                <w:webHidden/>
              </w:rPr>
            </w:r>
            <w:r w:rsidRPr="00F22A75">
              <w:rPr>
                <w:rFonts w:cs="Times New Roman"/>
                <w:noProof/>
                <w:webHidden/>
              </w:rPr>
              <w:fldChar w:fldCharType="separate"/>
            </w:r>
            <w:r w:rsidR="00897306">
              <w:rPr>
                <w:rFonts w:cs="Times New Roman"/>
                <w:noProof/>
                <w:webHidden/>
              </w:rPr>
              <w:t>158</w:t>
            </w:r>
            <w:r w:rsidRPr="00F22A75">
              <w:rPr>
                <w:rFonts w:cs="Times New Roman"/>
                <w:noProof/>
                <w:webHidden/>
              </w:rPr>
              <w:fldChar w:fldCharType="end"/>
            </w:r>
          </w:hyperlink>
        </w:p>
        <w:p w14:paraId="234FBA91" w14:textId="395CA950" w:rsidR="00BF7E93" w:rsidRPr="00F22A75" w:rsidRDefault="00BF7E93" w:rsidP="00F22A75">
          <w:pPr>
            <w:pStyle w:val="TOC1"/>
            <w:spacing w:line="480" w:lineRule="auto"/>
            <w:rPr>
              <w:rFonts w:eastAsiaTheme="minorEastAsia" w:cs="Times New Roman"/>
              <w:noProof/>
            </w:rPr>
          </w:pPr>
          <w:hyperlink w:anchor="_Toc202957505" w:history="1">
            <w:r w:rsidRPr="00F22A75">
              <w:rPr>
                <w:rStyle w:val="Hyperlink"/>
                <w:rFonts w:ascii="Times New Roman" w:hAnsi="Times New Roman" w:cs="Times New Roman"/>
                <w:noProof/>
              </w:rPr>
              <w:t>Chapter 5: Conclusions</w:t>
            </w:r>
            <w:r w:rsidRPr="00F22A75">
              <w:rPr>
                <w:rFonts w:cs="Times New Roman"/>
                <w:noProof/>
                <w:webHidden/>
              </w:rPr>
              <w:tab/>
            </w:r>
            <w:r w:rsidRPr="00F22A75">
              <w:rPr>
                <w:rFonts w:cs="Times New Roman"/>
                <w:noProof/>
                <w:webHidden/>
              </w:rPr>
              <w:fldChar w:fldCharType="begin"/>
            </w:r>
            <w:r w:rsidRPr="00F22A75">
              <w:rPr>
                <w:rFonts w:cs="Times New Roman"/>
                <w:noProof/>
                <w:webHidden/>
              </w:rPr>
              <w:instrText xml:space="preserve"> PAGEREF _Toc202957505 \h </w:instrText>
            </w:r>
            <w:r w:rsidRPr="00F22A75">
              <w:rPr>
                <w:rFonts w:cs="Times New Roman"/>
                <w:noProof/>
                <w:webHidden/>
              </w:rPr>
            </w:r>
            <w:r w:rsidRPr="00F22A75">
              <w:rPr>
                <w:rFonts w:cs="Times New Roman"/>
                <w:noProof/>
                <w:webHidden/>
              </w:rPr>
              <w:fldChar w:fldCharType="separate"/>
            </w:r>
            <w:r w:rsidR="00897306">
              <w:rPr>
                <w:rFonts w:cs="Times New Roman"/>
                <w:noProof/>
                <w:webHidden/>
              </w:rPr>
              <w:t>160</w:t>
            </w:r>
            <w:r w:rsidRPr="00F22A75">
              <w:rPr>
                <w:rFonts w:cs="Times New Roman"/>
                <w:noProof/>
                <w:webHidden/>
              </w:rPr>
              <w:fldChar w:fldCharType="end"/>
            </w:r>
          </w:hyperlink>
        </w:p>
        <w:p w14:paraId="44B504A6" w14:textId="0BCD68D0" w:rsidR="00BF7E93" w:rsidRPr="00F22A75" w:rsidRDefault="00BF7E93" w:rsidP="00F22A75">
          <w:pPr>
            <w:pStyle w:val="TOC2"/>
            <w:tabs>
              <w:tab w:val="right" w:leader="dot" w:pos="8630"/>
            </w:tabs>
            <w:spacing w:line="480" w:lineRule="auto"/>
            <w:rPr>
              <w:rFonts w:eastAsiaTheme="minorEastAsia" w:cs="Times New Roman"/>
              <w:noProof/>
            </w:rPr>
          </w:pPr>
          <w:hyperlink w:anchor="_Toc202957506" w:history="1">
            <w:r w:rsidRPr="00F22A75">
              <w:rPr>
                <w:rStyle w:val="Hyperlink"/>
                <w:rFonts w:ascii="Times New Roman" w:hAnsi="Times New Roman" w:cs="Times New Roman"/>
                <w:noProof/>
              </w:rPr>
              <w:t>Answers to Key Questions</w:t>
            </w:r>
            <w:r w:rsidRPr="00F22A75">
              <w:rPr>
                <w:rFonts w:cs="Times New Roman"/>
                <w:noProof/>
                <w:webHidden/>
              </w:rPr>
              <w:tab/>
            </w:r>
            <w:r w:rsidRPr="00F22A75">
              <w:rPr>
                <w:rFonts w:cs="Times New Roman"/>
                <w:noProof/>
                <w:webHidden/>
              </w:rPr>
              <w:fldChar w:fldCharType="begin"/>
            </w:r>
            <w:r w:rsidRPr="00F22A75">
              <w:rPr>
                <w:rFonts w:cs="Times New Roman"/>
                <w:noProof/>
                <w:webHidden/>
              </w:rPr>
              <w:instrText xml:space="preserve"> PAGEREF _Toc202957506 \h </w:instrText>
            </w:r>
            <w:r w:rsidRPr="00F22A75">
              <w:rPr>
                <w:rFonts w:cs="Times New Roman"/>
                <w:noProof/>
                <w:webHidden/>
              </w:rPr>
            </w:r>
            <w:r w:rsidRPr="00F22A75">
              <w:rPr>
                <w:rFonts w:cs="Times New Roman"/>
                <w:noProof/>
                <w:webHidden/>
              </w:rPr>
              <w:fldChar w:fldCharType="separate"/>
            </w:r>
            <w:r w:rsidR="00897306">
              <w:rPr>
                <w:rFonts w:cs="Times New Roman"/>
                <w:noProof/>
                <w:webHidden/>
              </w:rPr>
              <w:t>160</w:t>
            </w:r>
            <w:r w:rsidRPr="00F22A75">
              <w:rPr>
                <w:rFonts w:cs="Times New Roman"/>
                <w:noProof/>
                <w:webHidden/>
              </w:rPr>
              <w:fldChar w:fldCharType="end"/>
            </w:r>
          </w:hyperlink>
        </w:p>
        <w:p w14:paraId="6F802214" w14:textId="71ED12E3" w:rsidR="00BF7E93" w:rsidRPr="00F22A75" w:rsidRDefault="00BF7E93" w:rsidP="00F22A75">
          <w:pPr>
            <w:pStyle w:val="TOC3"/>
            <w:tabs>
              <w:tab w:val="right" w:leader="dot" w:pos="8630"/>
            </w:tabs>
            <w:spacing w:line="480" w:lineRule="auto"/>
            <w:rPr>
              <w:rFonts w:eastAsiaTheme="minorEastAsia" w:cs="Times New Roman"/>
              <w:noProof/>
            </w:rPr>
          </w:pPr>
          <w:hyperlink w:anchor="_Toc202957507" w:history="1">
            <w:r w:rsidRPr="00F22A75">
              <w:rPr>
                <w:rStyle w:val="Hyperlink"/>
                <w:rFonts w:ascii="Times New Roman" w:hAnsi="Times New Roman" w:cs="Times New Roman"/>
                <w:noProof/>
              </w:rPr>
              <w:t>Key Questions for Case Study 1</w:t>
            </w:r>
            <w:r w:rsidRPr="00F22A75">
              <w:rPr>
                <w:rFonts w:cs="Times New Roman"/>
                <w:noProof/>
                <w:webHidden/>
              </w:rPr>
              <w:tab/>
            </w:r>
            <w:r w:rsidRPr="00F22A75">
              <w:rPr>
                <w:rFonts w:cs="Times New Roman"/>
                <w:noProof/>
                <w:webHidden/>
              </w:rPr>
              <w:fldChar w:fldCharType="begin"/>
            </w:r>
            <w:r w:rsidRPr="00F22A75">
              <w:rPr>
                <w:rFonts w:cs="Times New Roman"/>
                <w:noProof/>
                <w:webHidden/>
              </w:rPr>
              <w:instrText xml:space="preserve"> PAGEREF _Toc202957507 \h </w:instrText>
            </w:r>
            <w:r w:rsidRPr="00F22A75">
              <w:rPr>
                <w:rFonts w:cs="Times New Roman"/>
                <w:noProof/>
                <w:webHidden/>
              </w:rPr>
            </w:r>
            <w:r w:rsidRPr="00F22A75">
              <w:rPr>
                <w:rFonts w:cs="Times New Roman"/>
                <w:noProof/>
                <w:webHidden/>
              </w:rPr>
              <w:fldChar w:fldCharType="separate"/>
            </w:r>
            <w:r w:rsidR="00897306">
              <w:rPr>
                <w:rFonts w:cs="Times New Roman"/>
                <w:noProof/>
                <w:webHidden/>
              </w:rPr>
              <w:t>160</w:t>
            </w:r>
            <w:r w:rsidRPr="00F22A75">
              <w:rPr>
                <w:rFonts w:cs="Times New Roman"/>
                <w:noProof/>
                <w:webHidden/>
              </w:rPr>
              <w:fldChar w:fldCharType="end"/>
            </w:r>
          </w:hyperlink>
        </w:p>
        <w:p w14:paraId="21A847F0" w14:textId="0E066AFE" w:rsidR="00BF7E93" w:rsidRPr="00F22A75" w:rsidRDefault="00BF7E93" w:rsidP="00F22A75">
          <w:pPr>
            <w:pStyle w:val="TOC3"/>
            <w:tabs>
              <w:tab w:val="right" w:leader="dot" w:pos="8630"/>
            </w:tabs>
            <w:spacing w:line="480" w:lineRule="auto"/>
            <w:rPr>
              <w:rFonts w:eastAsiaTheme="minorEastAsia" w:cs="Times New Roman"/>
              <w:noProof/>
            </w:rPr>
          </w:pPr>
          <w:hyperlink w:anchor="_Toc202957508" w:history="1">
            <w:r w:rsidRPr="00F22A75">
              <w:rPr>
                <w:rStyle w:val="Hyperlink"/>
                <w:rFonts w:ascii="Times New Roman" w:hAnsi="Times New Roman" w:cs="Times New Roman"/>
                <w:noProof/>
              </w:rPr>
              <w:t>Key Questions for Case Study 2</w:t>
            </w:r>
            <w:r w:rsidRPr="00F22A75">
              <w:rPr>
                <w:rFonts w:cs="Times New Roman"/>
                <w:noProof/>
                <w:webHidden/>
              </w:rPr>
              <w:tab/>
            </w:r>
            <w:r w:rsidRPr="00F22A75">
              <w:rPr>
                <w:rFonts w:cs="Times New Roman"/>
                <w:noProof/>
                <w:webHidden/>
              </w:rPr>
              <w:fldChar w:fldCharType="begin"/>
            </w:r>
            <w:r w:rsidRPr="00F22A75">
              <w:rPr>
                <w:rFonts w:cs="Times New Roman"/>
                <w:noProof/>
                <w:webHidden/>
              </w:rPr>
              <w:instrText xml:space="preserve"> PAGEREF _Toc202957508 \h </w:instrText>
            </w:r>
            <w:r w:rsidRPr="00F22A75">
              <w:rPr>
                <w:rFonts w:cs="Times New Roman"/>
                <w:noProof/>
                <w:webHidden/>
              </w:rPr>
            </w:r>
            <w:r w:rsidRPr="00F22A75">
              <w:rPr>
                <w:rFonts w:cs="Times New Roman"/>
                <w:noProof/>
                <w:webHidden/>
              </w:rPr>
              <w:fldChar w:fldCharType="separate"/>
            </w:r>
            <w:r w:rsidR="00897306">
              <w:rPr>
                <w:rFonts w:cs="Times New Roman"/>
                <w:noProof/>
                <w:webHidden/>
              </w:rPr>
              <w:t>162</w:t>
            </w:r>
            <w:r w:rsidRPr="00F22A75">
              <w:rPr>
                <w:rFonts w:cs="Times New Roman"/>
                <w:noProof/>
                <w:webHidden/>
              </w:rPr>
              <w:fldChar w:fldCharType="end"/>
            </w:r>
          </w:hyperlink>
        </w:p>
        <w:p w14:paraId="4FDC809A" w14:textId="01F42620" w:rsidR="00BF7E93" w:rsidRPr="00F22A75" w:rsidRDefault="00BF7E93" w:rsidP="00F22A75">
          <w:pPr>
            <w:pStyle w:val="TOC2"/>
            <w:tabs>
              <w:tab w:val="right" w:leader="dot" w:pos="8630"/>
            </w:tabs>
            <w:spacing w:line="480" w:lineRule="auto"/>
            <w:rPr>
              <w:rFonts w:eastAsiaTheme="minorEastAsia" w:cs="Times New Roman"/>
              <w:noProof/>
            </w:rPr>
          </w:pPr>
          <w:hyperlink w:anchor="_Toc202957509" w:history="1">
            <w:r w:rsidRPr="00F22A75">
              <w:rPr>
                <w:rStyle w:val="Hyperlink"/>
                <w:rFonts w:ascii="Times New Roman" w:hAnsi="Times New Roman" w:cs="Times New Roman"/>
                <w:noProof/>
              </w:rPr>
              <w:t>Unique Contributions</w:t>
            </w:r>
            <w:r w:rsidRPr="00F22A75">
              <w:rPr>
                <w:rFonts w:cs="Times New Roman"/>
                <w:noProof/>
                <w:webHidden/>
              </w:rPr>
              <w:tab/>
            </w:r>
            <w:r w:rsidRPr="00F22A75">
              <w:rPr>
                <w:rFonts w:cs="Times New Roman"/>
                <w:noProof/>
                <w:webHidden/>
              </w:rPr>
              <w:fldChar w:fldCharType="begin"/>
            </w:r>
            <w:r w:rsidRPr="00F22A75">
              <w:rPr>
                <w:rFonts w:cs="Times New Roman"/>
                <w:noProof/>
                <w:webHidden/>
              </w:rPr>
              <w:instrText xml:space="preserve"> PAGEREF _Toc202957509 \h </w:instrText>
            </w:r>
            <w:r w:rsidRPr="00F22A75">
              <w:rPr>
                <w:rFonts w:cs="Times New Roman"/>
                <w:noProof/>
                <w:webHidden/>
              </w:rPr>
            </w:r>
            <w:r w:rsidRPr="00F22A75">
              <w:rPr>
                <w:rFonts w:cs="Times New Roman"/>
                <w:noProof/>
                <w:webHidden/>
              </w:rPr>
              <w:fldChar w:fldCharType="separate"/>
            </w:r>
            <w:r w:rsidR="00897306">
              <w:rPr>
                <w:rFonts w:cs="Times New Roman"/>
                <w:noProof/>
                <w:webHidden/>
              </w:rPr>
              <w:t>165</w:t>
            </w:r>
            <w:r w:rsidRPr="00F22A75">
              <w:rPr>
                <w:rFonts w:cs="Times New Roman"/>
                <w:noProof/>
                <w:webHidden/>
              </w:rPr>
              <w:fldChar w:fldCharType="end"/>
            </w:r>
          </w:hyperlink>
        </w:p>
        <w:p w14:paraId="593E798C" w14:textId="3EC1304D" w:rsidR="00BF7E93" w:rsidRPr="00F22A75" w:rsidRDefault="00BF7E93" w:rsidP="00F22A75">
          <w:pPr>
            <w:pStyle w:val="TOC2"/>
            <w:tabs>
              <w:tab w:val="right" w:leader="dot" w:pos="8630"/>
            </w:tabs>
            <w:spacing w:line="480" w:lineRule="auto"/>
            <w:rPr>
              <w:rFonts w:eastAsiaTheme="minorEastAsia" w:cs="Times New Roman"/>
              <w:noProof/>
            </w:rPr>
          </w:pPr>
          <w:hyperlink w:anchor="_Toc202957510" w:history="1">
            <w:r w:rsidRPr="00F22A75">
              <w:rPr>
                <w:rStyle w:val="Hyperlink"/>
                <w:rFonts w:ascii="Times New Roman" w:hAnsi="Times New Roman" w:cs="Times New Roman"/>
                <w:noProof/>
              </w:rPr>
              <w:t>Suggested Future Work</w:t>
            </w:r>
            <w:r w:rsidRPr="00F22A75">
              <w:rPr>
                <w:rFonts w:cs="Times New Roman"/>
                <w:noProof/>
                <w:webHidden/>
              </w:rPr>
              <w:tab/>
            </w:r>
            <w:r w:rsidRPr="00F22A75">
              <w:rPr>
                <w:rFonts w:cs="Times New Roman"/>
                <w:noProof/>
                <w:webHidden/>
              </w:rPr>
              <w:fldChar w:fldCharType="begin"/>
            </w:r>
            <w:r w:rsidRPr="00F22A75">
              <w:rPr>
                <w:rFonts w:cs="Times New Roman"/>
                <w:noProof/>
                <w:webHidden/>
              </w:rPr>
              <w:instrText xml:space="preserve"> PAGEREF _Toc202957510 \h </w:instrText>
            </w:r>
            <w:r w:rsidRPr="00F22A75">
              <w:rPr>
                <w:rFonts w:cs="Times New Roman"/>
                <w:noProof/>
                <w:webHidden/>
              </w:rPr>
            </w:r>
            <w:r w:rsidRPr="00F22A75">
              <w:rPr>
                <w:rFonts w:cs="Times New Roman"/>
                <w:noProof/>
                <w:webHidden/>
              </w:rPr>
              <w:fldChar w:fldCharType="separate"/>
            </w:r>
            <w:r w:rsidR="00897306">
              <w:rPr>
                <w:rFonts w:cs="Times New Roman"/>
                <w:noProof/>
                <w:webHidden/>
              </w:rPr>
              <w:t>166</w:t>
            </w:r>
            <w:r w:rsidRPr="00F22A75">
              <w:rPr>
                <w:rFonts w:cs="Times New Roman"/>
                <w:noProof/>
                <w:webHidden/>
              </w:rPr>
              <w:fldChar w:fldCharType="end"/>
            </w:r>
          </w:hyperlink>
        </w:p>
        <w:p w14:paraId="4CC9D563" w14:textId="4AA225E3" w:rsidR="00BF7E93" w:rsidRPr="00F22A75" w:rsidRDefault="00BF7E93" w:rsidP="00F22A75">
          <w:pPr>
            <w:pStyle w:val="TOC1"/>
            <w:spacing w:line="480" w:lineRule="auto"/>
            <w:rPr>
              <w:rFonts w:eastAsiaTheme="minorEastAsia" w:cs="Times New Roman"/>
              <w:noProof/>
            </w:rPr>
          </w:pPr>
          <w:hyperlink w:anchor="_Toc202957511" w:history="1">
            <w:r w:rsidRPr="00F22A75">
              <w:rPr>
                <w:rStyle w:val="Hyperlink"/>
                <w:rFonts w:ascii="Times New Roman" w:hAnsi="Times New Roman" w:cs="Times New Roman"/>
                <w:noProof/>
              </w:rPr>
              <w:t>List of References</w:t>
            </w:r>
            <w:r w:rsidRPr="00F22A75">
              <w:rPr>
                <w:rFonts w:cs="Times New Roman"/>
                <w:noProof/>
                <w:webHidden/>
              </w:rPr>
              <w:tab/>
            </w:r>
            <w:r w:rsidRPr="00F22A75">
              <w:rPr>
                <w:rFonts w:cs="Times New Roman"/>
                <w:noProof/>
                <w:webHidden/>
              </w:rPr>
              <w:fldChar w:fldCharType="begin"/>
            </w:r>
            <w:r w:rsidRPr="00F22A75">
              <w:rPr>
                <w:rFonts w:cs="Times New Roman"/>
                <w:noProof/>
                <w:webHidden/>
              </w:rPr>
              <w:instrText xml:space="preserve"> PAGEREF _Toc202957511 \h </w:instrText>
            </w:r>
            <w:r w:rsidRPr="00F22A75">
              <w:rPr>
                <w:rFonts w:cs="Times New Roman"/>
                <w:noProof/>
                <w:webHidden/>
              </w:rPr>
            </w:r>
            <w:r w:rsidRPr="00F22A75">
              <w:rPr>
                <w:rFonts w:cs="Times New Roman"/>
                <w:noProof/>
                <w:webHidden/>
              </w:rPr>
              <w:fldChar w:fldCharType="separate"/>
            </w:r>
            <w:r w:rsidR="00897306">
              <w:rPr>
                <w:rFonts w:cs="Times New Roman"/>
                <w:noProof/>
                <w:webHidden/>
              </w:rPr>
              <w:t>168</w:t>
            </w:r>
            <w:r w:rsidRPr="00F22A75">
              <w:rPr>
                <w:rFonts w:cs="Times New Roman"/>
                <w:noProof/>
                <w:webHidden/>
              </w:rPr>
              <w:fldChar w:fldCharType="end"/>
            </w:r>
          </w:hyperlink>
        </w:p>
        <w:p w14:paraId="760C1585" w14:textId="60979AFF" w:rsidR="00BF7E93" w:rsidRPr="00F22A75" w:rsidRDefault="00BF7E93" w:rsidP="00F22A75">
          <w:pPr>
            <w:pStyle w:val="TOC1"/>
            <w:spacing w:line="480" w:lineRule="auto"/>
            <w:rPr>
              <w:rFonts w:eastAsiaTheme="minorEastAsia" w:cs="Times New Roman"/>
              <w:noProof/>
            </w:rPr>
          </w:pPr>
          <w:hyperlink w:anchor="_Toc202957512" w:history="1">
            <w:r w:rsidRPr="00F22A75">
              <w:rPr>
                <w:rStyle w:val="Hyperlink"/>
                <w:rFonts w:ascii="Times New Roman" w:hAnsi="Times New Roman" w:cs="Times New Roman"/>
                <w:noProof/>
              </w:rPr>
              <w:t>Appendix</w:t>
            </w:r>
            <w:r w:rsidRPr="00F22A75">
              <w:rPr>
                <w:rFonts w:cs="Times New Roman"/>
                <w:noProof/>
                <w:webHidden/>
              </w:rPr>
              <w:tab/>
            </w:r>
            <w:r w:rsidRPr="00F22A75">
              <w:rPr>
                <w:rFonts w:cs="Times New Roman"/>
                <w:noProof/>
                <w:webHidden/>
              </w:rPr>
              <w:fldChar w:fldCharType="begin"/>
            </w:r>
            <w:r w:rsidRPr="00F22A75">
              <w:rPr>
                <w:rFonts w:cs="Times New Roman"/>
                <w:noProof/>
                <w:webHidden/>
              </w:rPr>
              <w:instrText xml:space="preserve"> PAGEREF _Toc202957512 \h </w:instrText>
            </w:r>
            <w:r w:rsidRPr="00F22A75">
              <w:rPr>
                <w:rFonts w:cs="Times New Roman"/>
                <w:noProof/>
                <w:webHidden/>
              </w:rPr>
            </w:r>
            <w:r w:rsidRPr="00F22A75">
              <w:rPr>
                <w:rFonts w:cs="Times New Roman"/>
                <w:noProof/>
                <w:webHidden/>
              </w:rPr>
              <w:fldChar w:fldCharType="separate"/>
            </w:r>
            <w:r w:rsidR="00897306">
              <w:rPr>
                <w:rFonts w:cs="Times New Roman"/>
                <w:noProof/>
                <w:webHidden/>
              </w:rPr>
              <w:t>197</w:t>
            </w:r>
            <w:r w:rsidRPr="00F22A75">
              <w:rPr>
                <w:rFonts w:cs="Times New Roman"/>
                <w:noProof/>
                <w:webHidden/>
              </w:rPr>
              <w:fldChar w:fldCharType="end"/>
            </w:r>
          </w:hyperlink>
        </w:p>
        <w:p w14:paraId="48A2985C" w14:textId="3B1BEF94" w:rsidR="00BF7E93" w:rsidRPr="00F22A75" w:rsidRDefault="00BF7E93" w:rsidP="00F22A75">
          <w:pPr>
            <w:pStyle w:val="TOC2"/>
            <w:tabs>
              <w:tab w:val="right" w:leader="dot" w:pos="8630"/>
            </w:tabs>
            <w:spacing w:line="480" w:lineRule="auto"/>
            <w:rPr>
              <w:rFonts w:eastAsiaTheme="minorEastAsia" w:cs="Times New Roman"/>
              <w:noProof/>
            </w:rPr>
          </w:pPr>
          <w:hyperlink w:anchor="_Toc202957513" w:history="1">
            <w:r w:rsidRPr="00F22A75">
              <w:rPr>
                <w:rStyle w:val="Hyperlink"/>
                <w:rFonts w:ascii="Times New Roman" w:hAnsi="Times New Roman" w:cs="Times New Roman"/>
                <w:noProof/>
              </w:rPr>
              <w:t>Full Subcapsule Analysis</w:t>
            </w:r>
            <w:r w:rsidRPr="00F22A75">
              <w:rPr>
                <w:rFonts w:cs="Times New Roman"/>
                <w:noProof/>
                <w:webHidden/>
              </w:rPr>
              <w:tab/>
            </w:r>
            <w:r w:rsidRPr="00F22A75">
              <w:rPr>
                <w:rFonts w:cs="Times New Roman"/>
                <w:noProof/>
                <w:webHidden/>
              </w:rPr>
              <w:fldChar w:fldCharType="begin"/>
            </w:r>
            <w:r w:rsidRPr="00F22A75">
              <w:rPr>
                <w:rFonts w:cs="Times New Roman"/>
                <w:noProof/>
                <w:webHidden/>
              </w:rPr>
              <w:instrText xml:space="preserve"> PAGEREF _Toc202957513 \h </w:instrText>
            </w:r>
            <w:r w:rsidRPr="00F22A75">
              <w:rPr>
                <w:rFonts w:cs="Times New Roman"/>
                <w:noProof/>
                <w:webHidden/>
              </w:rPr>
            </w:r>
            <w:r w:rsidRPr="00F22A75">
              <w:rPr>
                <w:rFonts w:cs="Times New Roman"/>
                <w:noProof/>
                <w:webHidden/>
              </w:rPr>
              <w:fldChar w:fldCharType="separate"/>
            </w:r>
            <w:r w:rsidR="00897306">
              <w:rPr>
                <w:rFonts w:cs="Times New Roman"/>
                <w:noProof/>
                <w:webHidden/>
              </w:rPr>
              <w:t>197</w:t>
            </w:r>
            <w:r w:rsidRPr="00F22A75">
              <w:rPr>
                <w:rFonts w:cs="Times New Roman"/>
                <w:noProof/>
                <w:webHidden/>
              </w:rPr>
              <w:fldChar w:fldCharType="end"/>
            </w:r>
          </w:hyperlink>
        </w:p>
        <w:p w14:paraId="20BBE3CE" w14:textId="7BF1D631" w:rsidR="00BF7E93" w:rsidRPr="00F22A75" w:rsidRDefault="00BF7E93" w:rsidP="00F22A75">
          <w:pPr>
            <w:pStyle w:val="TOC2"/>
            <w:tabs>
              <w:tab w:val="right" w:leader="dot" w:pos="8630"/>
            </w:tabs>
            <w:spacing w:line="480" w:lineRule="auto"/>
            <w:rPr>
              <w:rFonts w:eastAsiaTheme="minorEastAsia" w:cs="Times New Roman"/>
              <w:noProof/>
            </w:rPr>
          </w:pPr>
          <w:hyperlink w:anchor="_Toc202957514" w:history="1">
            <w:r w:rsidRPr="00F22A75">
              <w:rPr>
                <w:rStyle w:val="Hyperlink"/>
                <w:rFonts w:ascii="Times New Roman" w:hAnsi="Times New Roman" w:cs="Times New Roman"/>
                <w:noProof/>
              </w:rPr>
              <w:t>In-Depth Model Analysis</w:t>
            </w:r>
            <w:r w:rsidRPr="00F22A75">
              <w:rPr>
                <w:rFonts w:cs="Times New Roman"/>
                <w:noProof/>
                <w:webHidden/>
              </w:rPr>
              <w:tab/>
            </w:r>
            <w:r w:rsidRPr="00F22A75">
              <w:rPr>
                <w:rFonts w:cs="Times New Roman"/>
                <w:noProof/>
                <w:webHidden/>
              </w:rPr>
              <w:fldChar w:fldCharType="begin"/>
            </w:r>
            <w:r w:rsidRPr="00F22A75">
              <w:rPr>
                <w:rFonts w:cs="Times New Roman"/>
                <w:noProof/>
                <w:webHidden/>
              </w:rPr>
              <w:instrText xml:space="preserve"> PAGEREF _Toc202957514 \h </w:instrText>
            </w:r>
            <w:r w:rsidRPr="00F22A75">
              <w:rPr>
                <w:rFonts w:cs="Times New Roman"/>
                <w:noProof/>
                <w:webHidden/>
              </w:rPr>
            </w:r>
            <w:r w:rsidRPr="00F22A75">
              <w:rPr>
                <w:rFonts w:cs="Times New Roman"/>
                <w:noProof/>
                <w:webHidden/>
              </w:rPr>
              <w:fldChar w:fldCharType="separate"/>
            </w:r>
            <w:r w:rsidR="00897306">
              <w:rPr>
                <w:rFonts w:cs="Times New Roman"/>
                <w:noProof/>
                <w:webHidden/>
              </w:rPr>
              <w:t>200</w:t>
            </w:r>
            <w:r w:rsidRPr="00F22A75">
              <w:rPr>
                <w:rFonts w:cs="Times New Roman"/>
                <w:noProof/>
                <w:webHidden/>
              </w:rPr>
              <w:fldChar w:fldCharType="end"/>
            </w:r>
          </w:hyperlink>
        </w:p>
        <w:p w14:paraId="631F1C44" w14:textId="51F92C32" w:rsidR="00BF7E93" w:rsidRPr="00F22A75" w:rsidRDefault="00BF7E93" w:rsidP="00F22A75">
          <w:pPr>
            <w:pStyle w:val="TOC1"/>
            <w:spacing w:line="480" w:lineRule="auto"/>
            <w:rPr>
              <w:rFonts w:eastAsiaTheme="minorEastAsia" w:cs="Times New Roman"/>
              <w:noProof/>
            </w:rPr>
          </w:pPr>
          <w:hyperlink w:anchor="_Toc202957515" w:history="1">
            <w:r w:rsidRPr="00F22A75">
              <w:rPr>
                <w:rStyle w:val="Hyperlink"/>
                <w:rFonts w:ascii="Times New Roman" w:hAnsi="Times New Roman" w:cs="Times New Roman"/>
                <w:noProof/>
              </w:rPr>
              <w:t>Vita</w:t>
            </w:r>
            <w:r w:rsidRPr="00F22A75">
              <w:rPr>
                <w:rFonts w:cs="Times New Roman"/>
                <w:noProof/>
                <w:webHidden/>
              </w:rPr>
              <w:tab/>
            </w:r>
            <w:r w:rsidRPr="00F22A75">
              <w:rPr>
                <w:rFonts w:cs="Times New Roman"/>
                <w:noProof/>
                <w:webHidden/>
              </w:rPr>
              <w:fldChar w:fldCharType="begin"/>
            </w:r>
            <w:r w:rsidRPr="00F22A75">
              <w:rPr>
                <w:rFonts w:cs="Times New Roman"/>
                <w:noProof/>
                <w:webHidden/>
              </w:rPr>
              <w:instrText xml:space="preserve"> PAGEREF _Toc202957515 \h </w:instrText>
            </w:r>
            <w:r w:rsidRPr="00F22A75">
              <w:rPr>
                <w:rFonts w:cs="Times New Roman"/>
                <w:noProof/>
                <w:webHidden/>
              </w:rPr>
            </w:r>
            <w:r w:rsidRPr="00F22A75">
              <w:rPr>
                <w:rFonts w:cs="Times New Roman"/>
                <w:noProof/>
                <w:webHidden/>
              </w:rPr>
              <w:fldChar w:fldCharType="separate"/>
            </w:r>
            <w:r w:rsidR="00897306">
              <w:rPr>
                <w:rFonts w:cs="Times New Roman"/>
                <w:noProof/>
                <w:webHidden/>
              </w:rPr>
              <w:t>202</w:t>
            </w:r>
            <w:r w:rsidRPr="00F22A75">
              <w:rPr>
                <w:rFonts w:cs="Times New Roman"/>
                <w:noProof/>
                <w:webHidden/>
              </w:rPr>
              <w:fldChar w:fldCharType="end"/>
            </w:r>
          </w:hyperlink>
        </w:p>
        <w:p w14:paraId="75E53F5C" w14:textId="3B8C5304" w:rsidR="00E91931" w:rsidRPr="009D2AA9" w:rsidRDefault="00E91931" w:rsidP="00F22A75">
          <w:pPr>
            <w:rPr>
              <w:rFonts w:cs="Times New Roman"/>
            </w:rPr>
          </w:pPr>
          <w:r w:rsidRPr="00F22A75">
            <w:rPr>
              <w:rFonts w:cs="Times New Roman"/>
              <w:b/>
              <w:bCs/>
              <w:noProof/>
            </w:rPr>
            <w:fldChar w:fldCharType="end"/>
          </w:r>
        </w:p>
      </w:sdtContent>
    </w:sdt>
    <w:p w14:paraId="76BC9B63" w14:textId="77777777" w:rsidR="003F7FED" w:rsidRPr="009D2AA9" w:rsidRDefault="003F7FED">
      <w:pPr>
        <w:rPr>
          <w:rFonts w:cs="Times New Roman"/>
        </w:rPr>
      </w:pPr>
    </w:p>
    <w:p w14:paraId="3CA2259E" w14:textId="77777777" w:rsidR="003F7FED" w:rsidRPr="009D2AA9" w:rsidRDefault="003F7FED">
      <w:pPr>
        <w:rPr>
          <w:rFonts w:cs="Times New Roman"/>
          <w:b/>
          <w:bCs/>
        </w:rPr>
      </w:pPr>
      <w:r w:rsidRPr="009D2AA9">
        <w:rPr>
          <w:rFonts w:cs="Times New Roman"/>
          <w:b/>
          <w:bCs/>
        </w:rPr>
        <w:br w:type="page"/>
      </w:r>
    </w:p>
    <w:p w14:paraId="5AE2D88C" w14:textId="6D5A45F2" w:rsidR="00236E6D" w:rsidRPr="00F22A75" w:rsidRDefault="00236E6D" w:rsidP="00F22A75">
      <w:pPr>
        <w:numPr>
          <w:ilvl w:val="12"/>
          <w:numId w:val="0"/>
        </w:numPr>
        <w:jc w:val="center"/>
        <w:rPr>
          <w:rFonts w:cs="Times New Roman"/>
        </w:rPr>
      </w:pPr>
      <w:r w:rsidRPr="00F22A75">
        <w:rPr>
          <w:rFonts w:cs="Times New Roman"/>
          <w:b/>
          <w:bCs/>
        </w:rPr>
        <w:lastRenderedPageBreak/>
        <w:t>LIST OF TABLES</w:t>
      </w:r>
    </w:p>
    <w:p w14:paraId="6D10F3BA" w14:textId="518E84C3" w:rsidR="00BF7E93" w:rsidRPr="00F22A75" w:rsidRDefault="00665C7E" w:rsidP="00F22A75">
      <w:pPr>
        <w:pStyle w:val="TableofFigures"/>
        <w:tabs>
          <w:tab w:val="right" w:leader="dot" w:pos="8630"/>
        </w:tabs>
        <w:spacing w:line="480" w:lineRule="auto"/>
        <w:rPr>
          <w:rFonts w:eastAsiaTheme="minorEastAsia" w:cs="Times New Roman"/>
          <w:noProof/>
        </w:rPr>
      </w:pPr>
      <w:r w:rsidRPr="00F22A75">
        <w:rPr>
          <w:rFonts w:cs="Times New Roman"/>
        </w:rPr>
        <w:fldChar w:fldCharType="begin"/>
      </w:r>
      <w:r w:rsidR="00236E6D" w:rsidRPr="00F22A75">
        <w:rPr>
          <w:rFonts w:cs="Times New Roman"/>
        </w:rPr>
        <w:instrText xml:space="preserve"> TOC \h \z \c "Table" </w:instrText>
      </w:r>
      <w:r w:rsidRPr="00F22A75">
        <w:rPr>
          <w:rFonts w:cs="Times New Roman"/>
        </w:rPr>
        <w:fldChar w:fldCharType="separate"/>
      </w:r>
      <w:hyperlink w:anchor="_Toc202957516" w:history="1">
        <w:r w:rsidR="00BF7E93" w:rsidRPr="00F22A75">
          <w:rPr>
            <w:rStyle w:val="Hyperlink"/>
            <w:rFonts w:ascii="Times New Roman" w:hAnsi="Times New Roman" w:cs="Times New Roman"/>
            <w:noProof/>
          </w:rPr>
          <w:t>Table 3.1. TRTL Loop Design Parameters for Operation [19, 100].</w:t>
        </w:r>
        <w:r w:rsidR="00BF7E93" w:rsidRPr="00F22A75">
          <w:rPr>
            <w:rFonts w:cs="Times New Roman"/>
            <w:noProof/>
            <w:webHidden/>
          </w:rPr>
          <w:tab/>
        </w:r>
        <w:r w:rsidR="00BF7E93" w:rsidRPr="00F22A75">
          <w:rPr>
            <w:rFonts w:cs="Times New Roman"/>
            <w:noProof/>
            <w:webHidden/>
          </w:rPr>
          <w:fldChar w:fldCharType="begin"/>
        </w:r>
        <w:r w:rsidR="00BF7E93" w:rsidRPr="00F22A75">
          <w:rPr>
            <w:rFonts w:cs="Times New Roman"/>
            <w:noProof/>
            <w:webHidden/>
          </w:rPr>
          <w:instrText xml:space="preserve"> PAGEREF _Toc202957516 \h </w:instrText>
        </w:r>
        <w:r w:rsidR="00BF7E93" w:rsidRPr="00F22A75">
          <w:rPr>
            <w:rFonts w:cs="Times New Roman"/>
            <w:noProof/>
            <w:webHidden/>
          </w:rPr>
        </w:r>
        <w:r w:rsidR="00BF7E93" w:rsidRPr="00F22A75">
          <w:rPr>
            <w:rFonts w:cs="Times New Roman"/>
            <w:noProof/>
            <w:webHidden/>
          </w:rPr>
          <w:fldChar w:fldCharType="separate"/>
        </w:r>
        <w:r w:rsidR="00897306">
          <w:rPr>
            <w:rFonts w:cs="Times New Roman"/>
            <w:noProof/>
            <w:webHidden/>
          </w:rPr>
          <w:t>29</w:t>
        </w:r>
        <w:r w:rsidR="00BF7E93" w:rsidRPr="00F22A75">
          <w:rPr>
            <w:rFonts w:cs="Times New Roman"/>
            <w:noProof/>
            <w:webHidden/>
          </w:rPr>
          <w:fldChar w:fldCharType="end"/>
        </w:r>
      </w:hyperlink>
    </w:p>
    <w:p w14:paraId="3E6315FD" w14:textId="55668EA3" w:rsidR="00BF7E93" w:rsidRPr="00F22A75" w:rsidRDefault="00BF7E93" w:rsidP="00F22A75">
      <w:pPr>
        <w:pStyle w:val="TableofFigures"/>
        <w:tabs>
          <w:tab w:val="right" w:leader="dot" w:pos="8630"/>
        </w:tabs>
        <w:spacing w:line="480" w:lineRule="auto"/>
        <w:rPr>
          <w:rFonts w:eastAsiaTheme="minorEastAsia" w:cs="Times New Roman"/>
          <w:noProof/>
        </w:rPr>
      </w:pPr>
      <w:hyperlink w:anchor="_Toc202957517" w:history="1">
        <w:r w:rsidRPr="00F22A75">
          <w:rPr>
            <w:rStyle w:val="Hyperlink"/>
            <w:rFonts w:ascii="Times New Roman" w:hAnsi="Times New Roman" w:cs="Times New Roman"/>
            <w:noProof/>
          </w:rPr>
          <w:t>Table 3.2. TRTL Low Power Transient Test Matrix Parameters [102].</w:t>
        </w:r>
        <w:r w:rsidRPr="00F22A75">
          <w:rPr>
            <w:rFonts w:cs="Times New Roman"/>
            <w:noProof/>
            <w:webHidden/>
          </w:rPr>
          <w:tab/>
        </w:r>
        <w:r w:rsidRPr="00F22A75">
          <w:rPr>
            <w:rFonts w:cs="Times New Roman"/>
            <w:noProof/>
            <w:webHidden/>
          </w:rPr>
          <w:fldChar w:fldCharType="begin"/>
        </w:r>
        <w:r w:rsidRPr="00F22A75">
          <w:rPr>
            <w:rFonts w:cs="Times New Roman"/>
            <w:noProof/>
            <w:webHidden/>
          </w:rPr>
          <w:instrText xml:space="preserve"> PAGEREF _Toc202957517 \h </w:instrText>
        </w:r>
        <w:r w:rsidRPr="00F22A75">
          <w:rPr>
            <w:rFonts w:cs="Times New Roman"/>
            <w:noProof/>
            <w:webHidden/>
          </w:rPr>
        </w:r>
        <w:r w:rsidRPr="00F22A75">
          <w:rPr>
            <w:rFonts w:cs="Times New Roman"/>
            <w:noProof/>
            <w:webHidden/>
          </w:rPr>
          <w:fldChar w:fldCharType="separate"/>
        </w:r>
        <w:r w:rsidR="00897306">
          <w:rPr>
            <w:rFonts w:cs="Times New Roman"/>
            <w:noProof/>
            <w:webHidden/>
          </w:rPr>
          <w:t>33</w:t>
        </w:r>
        <w:r w:rsidRPr="00F22A75">
          <w:rPr>
            <w:rFonts w:cs="Times New Roman"/>
            <w:noProof/>
            <w:webHidden/>
          </w:rPr>
          <w:fldChar w:fldCharType="end"/>
        </w:r>
      </w:hyperlink>
    </w:p>
    <w:p w14:paraId="7A4F68A4" w14:textId="357C2FFD" w:rsidR="00BF7E93" w:rsidRPr="00F22A75" w:rsidRDefault="00BF7E93" w:rsidP="00F22A75">
      <w:pPr>
        <w:pStyle w:val="TableofFigures"/>
        <w:tabs>
          <w:tab w:val="right" w:leader="dot" w:pos="8630"/>
        </w:tabs>
        <w:spacing w:line="480" w:lineRule="auto"/>
        <w:rPr>
          <w:rFonts w:eastAsiaTheme="minorEastAsia" w:cs="Times New Roman"/>
          <w:noProof/>
        </w:rPr>
      </w:pPr>
      <w:hyperlink w:anchor="_Toc202957518" w:history="1">
        <w:r w:rsidRPr="00F22A75">
          <w:rPr>
            <w:rStyle w:val="Hyperlink"/>
            <w:rFonts w:ascii="Times New Roman" w:hAnsi="Times New Roman" w:cs="Times New Roman"/>
            <w:noProof/>
          </w:rPr>
          <w:t>Table 3.3. Proposed Experimental Test Matrix Details.</w:t>
        </w:r>
        <w:r w:rsidRPr="00F22A75">
          <w:rPr>
            <w:rFonts w:cs="Times New Roman"/>
            <w:noProof/>
            <w:webHidden/>
          </w:rPr>
          <w:tab/>
        </w:r>
        <w:r w:rsidRPr="00F22A75">
          <w:rPr>
            <w:rFonts w:cs="Times New Roman"/>
            <w:noProof/>
            <w:webHidden/>
          </w:rPr>
          <w:fldChar w:fldCharType="begin"/>
        </w:r>
        <w:r w:rsidRPr="00F22A75">
          <w:rPr>
            <w:rFonts w:cs="Times New Roman"/>
            <w:noProof/>
            <w:webHidden/>
          </w:rPr>
          <w:instrText xml:space="preserve"> PAGEREF _Toc202957518 \h </w:instrText>
        </w:r>
        <w:r w:rsidRPr="00F22A75">
          <w:rPr>
            <w:rFonts w:cs="Times New Roman"/>
            <w:noProof/>
            <w:webHidden/>
          </w:rPr>
        </w:r>
        <w:r w:rsidRPr="00F22A75">
          <w:rPr>
            <w:rFonts w:cs="Times New Roman"/>
            <w:noProof/>
            <w:webHidden/>
          </w:rPr>
          <w:fldChar w:fldCharType="separate"/>
        </w:r>
        <w:r w:rsidR="00897306">
          <w:rPr>
            <w:rFonts w:cs="Times New Roman"/>
            <w:noProof/>
            <w:webHidden/>
          </w:rPr>
          <w:t>43</w:t>
        </w:r>
        <w:r w:rsidRPr="00F22A75">
          <w:rPr>
            <w:rFonts w:cs="Times New Roman"/>
            <w:noProof/>
            <w:webHidden/>
          </w:rPr>
          <w:fldChar w:fldCharType="end"/>
        </w:r>
      </w:hyperlink>
    </w:p>
    <w:p w14:paraId="536E64B2" w14:textId="028316FA" w:rsidR="00BF7E93" w:rsidRPr="00F22A75" w:rsidRDefault="00BF7E93" w:rsidP="00F22A75">
      <w:pPr>
        <w:pStyle w:val="TableofFigures"/>
        <w:tabs>
          <w:tab w:val="right" w:leader="dot" w:pos="8630"/>
        </w:tabs>
        <w:spacing w:line="480" w:lineRule="auto"/>
        <w:rPr>
          <w:rFonts w:eastAsiaTheme="minorEastAsia" w:cs="Times New Roman"/>
          <w:noProof/>
        </w:rPr>
      </w:pPr>
      <w:hyperlink w:anchor="_Toc202957519" w:history="1">
        <w:r w:rsidRPr="00F22A75">
          <w:rPr>
            <w:rStyle w:val="Hyperlink"/>
            <w:rFonts w:ascii="Times New Roman" w:hAnsi="Times New Roman" w:cs="Times New Roman"/>
            <w:noProof/>
          </w:rPr>
          <w:t>Table 3.4. Proposed Experimental Test Matrix Details.</w:t>
        </w:r>
        <w:r w:rsidRPr="00F22A75">
          <w:rPr>
            <w:rFonts w:cs="Times New Roman"/>
            <w:noProof/>
            <w:webHidden/>
          </w:rPr>
          <w:tab/>
        </w:r>
        <w:r w:rsidRPr="00F22A75">
          <w:rPr>
            <w:rFonts w:cs="Times New Roman"/>
            <w:noProof/>
            <w:webHidden/>
          </w:rPr>
          <w:fldChar w:fldCharType="begin"/>
        </w:r>
        <w:r w:rsidRPr="00F22A75">
          <w:rPr>
            <w:rFonts w:cs="Times New Roman"/>
            <w:noProof/>
            <w:webHidden/>
          </w:rPr>
          <w:instrText xml:space="preserve"> PAGEREF _Toc202957519 \h </w:instrText>
        </w:r>
        <w:r w:rsidRPr="00F22A75">
          <w:rPr>
            <w:rFonts w:cs="Times New Roman"/>
            <w:noProof/>
            <w:webHidden/>
          </w:rPr>
        </w:r>
        <w:r w:rsidRPr="00F22A75">
          <w:rPr>
            <w:rFonts w:cs="Times New Roman"/>
            <w:noProof/>
            <w:webHidden/>
          </w:rPr>
          <w:fldChar w:fldCharType="separate"/>
        </w:r>
        <w:r w:rsidR="00897306">
          <w:rPr>
            <w:rFonts w:cs="Times New Roman"/>
            <w:noProof/>
            <w:webHidden/>
          </w:rPr>
          <w:t>51</w:t>
        </w:r>
        <w:r w:rsidRPr="00F22A75">
          <w:rPr>
            <w:rFonts w:cs="Times New Roman"/>
            <w:noProof/>
            <w:webHidden/>
          </w:rPr>
          <w:fldChar w:fldCharType="end"/>
        </w:r>
      </w:hyperlink>
    </w:p>
    <w:p w14:paraId="4D19EA16" w14:textId="29E66F77" w:rsidR="00BF7E93" w:rsidRPr="00F22A75" w:rsidRDefault="00BF7E93" w:rsidP="00F22A75">
      <w:pPr>
        <w:pStyle w:val="TableofFigures"/>
        <w:tabs>
          <w:tab w:val="right" w:leader="dot" w:pos="8630"/>
        </w:tabs>
        <w:spacing w:line="480" w:lineRule="auto"/>
        <w:rPr>
          <w:rFonts w:eastAsiaTheme="minorEastAsia" w:cs="Times New Roman"/>
          <w:noProof/>
        </w:rPr>
      </w:pPr>
      <w:hyperlink w:anchor="_Toc202957520" w:history="1">
        <w:r w:rsidRPr="00F22A75">
          <w:rPr>
            <w:rStyle w:val="Hyperlink"/>
            <w:rFonts w:ascii="Times New Roman" w:hAnsi="Times New Roman" w:cs="Times New Roman"/>
            <w:noProof/>
          </w:rPr>
          <w:t>Table 3.5. CHF-SERTTA Test Matrix for TREAT.</w:t>
        </w:r>
        <w:r w:rsidRPr="00F22A75">
          <w:rPr>
            <w:rFonts w:cs="Times New Roman"/>
            <w:noProof/>
            <w:webHidden/>
          </w:rPr>
          <w:tab/>
        </w:r>
        <w:r w:rsidRPr="00F22A75">
          <w:rPr>
            <w:rFonts w:cs="Times New Roman"/>
            <w:noProof/>
            <w:webHidden/>
          </w:rPr>
          <w:fldChar w:fldCharType="begin"/>
        </w:r>
        <w:r w:rsidRPr="00F22A75">
          <w:rPr>
            <w:rFonts w:cs="Times New Roman"/>
            <w:noProof/>
            <w:webHidden/>
          </w:rPr>
          <w:instrText xml:space="preserve"> PAGEREF _Toc202957520 \h </w:instrText>
        </w:r>
        <w:r w:rsidRPr="00F22A75">
          <w:rPr>
            <w:rFonts w:cs="Times New Roman"/>
            <w:noProof/>
            <w:webHidden/>
          </w:rPr>
        </w:r>
        <w:r w:rsidRPr="00F22A75">
          <w:rPr>
            <w:rFonts w:cs="Times New Roman"/>
            <w:noProof/>
            <w:webHidden/>
          </w:rPr>
          <w:fldChar w:fldCharType="separate"/>
        </w:r>
        <w:r w:rsidR="00897306">
          <w:rPr>
            <w:rFonts w:cs="Times New Roman"/>
            <w:noProof/>
            <w:webHidden/>
          </w:rPr>
          <w:t>59</w:t>
        </w:r>
        <w:r w:rsidRPr="00F22A75">
          <w:rPr>
            <w:rFonts w:cs="Times New Roman"/>
            <w:noProof/>
            <w:webHidden/>
          </w:rPr>
          <w:fldChar w:fldCharType="end"/>
        </w:r>
      </w:hyperlink>
    </w:p>
    <w:p w14:paraId="76363DA2" w14:textId="61FA800D" w:rsidR="00BF7E93" w:rsidRPr="00F22A75" w:rsidRDefault="00BF7E93" w:rsidP="00F22A75">
      <w:pPr>
        <w:pStyle w:val="TableofFigures"/>
        <w:tabs>
          <w:tab w:val="right" w:leader="dot" w:pos="8630"/>
        </w:tabs>
        <w:spacing w:line="480" w:lineRule="auto"/>
        <w:rPr>
          <w:rFonts w:eastAsiaTheme="minorEastAsia" w:cs="Times New Roman"/>
          <w:noProof/>
        </w:rPr>
      </w:pPr>
      <w:hyperlink w:anchor="_Toc202957521" w:history="1">
        <w:r w:rsidRPr="00F22A75">
          <w:rPr>
            <w:rStyle w:val="Hyperlink"/>
            <w:rFonts w:ascii="Times New Roman" w:hAnsi="Times New Roman" w:cs="Times New Roman"/>
            <w:noProof/>
          </w:rPr>
          <w:t>Table 3.6. New Proposed Experimental Test Matrix Power Pulse Details.</w:t>
        </w:r>
        <w:r w:rsidRPr="00F22A75">
          <w:rPr>
            <w:rFonts w:cs="Times New Roman"/>
            <w:noProof/>
            <w:webHidden/>
          </w:rPr>
          <w:tab/>
        </w:r>
        <w:r w:rsidRPr="00F22A75">
          <w:rPr>
            <w:rFonts w:cs="Times New Roman"/>
            <w:noProof/>
            <w:webHidden/>
          </w:rPr>
          <w:fldChar w:fldCharType="begin"/>
        </w:r>
        <w:r w:rsidRPr="00F22A75">
          <w:rPr>
            <w:rFonts w:cs="Times New Roman"/>
            <w:noProof/>
            <w:webHidden/>
          </w:rPr>
          <w:instrText xml:space="preserve"> PAGEREF _Toc202957521 \h </w:instrText>
        </w:r>
        <w:r w:rsidRPr="00F22A75">
          <w:rPr>
            <w:rFonts w:cs="Times New Roman"/>
            <w:noProof/>
            <w:webHidden/>
          </w:rPr>
        </w:r>
        <w:r w:rsidRPr="00F22A75">
          <w:rPr>
            <w:rFonts w:cs="Times New Roman"/>
            <w:noProof/>
            <w:webHidden/>
          </w:rPr>
          <w:fldChar w:fldCharType="separate"/>
        </w:r>
        <w:r w:rsidR="00897306">
          <w:rPr>
            <w:rFonts w:cs="Times New Roman"/>
            <w:noProof/>
            <w:webHidden/>
          </w:rPr>
          <w:t>84</w:t>
        </w:r>
        <w:r w:rsidRPr="00F22A75">
          <w:rPr>
            <w:rFonts w:cs="Times New Roman"/>
            <w:noProof/>
            <w:webHidden/>
          </w:rPr>
          <w:fldChar w:fldCharType="end"/>
        </w:r>
      </w:hyperlink>
    </w:p>
    <w:p w14:paraId="19E7626B" w14:textId="2A71F331" w:rsidR="00BF7E93" w:rsidRPr="00F22A75" w:rsidRDefault="00BF7E93" w:rsidP="00F22A75">
      <w:pPr>
        <w:pStyle w:val="TableofFigures"/>
        <w:tabs>
          <w:tab w:val="right" w:leader="dot" w:pos="8630"/>
        </w:tabs>
        <w:spacing w:line="480" w:lineRule="auto"/>
        <w:rPr>
          <w:rFonts w:eastAsiaTheme="minorEastAsia" w:cs="Times New Roman"/>
          <w:noProof/>
        </w:rPr>
      </w:pPr>
      <w:hyperlink w:anchor="_Toc202957522" w:history="1">
        <w:r w:rsidRPr="00F22A75">
          <w:rPr>
            <w:rStyle w:val="Hyperlink"/>
            <w:rFonts w:ascii="Times New Roman" w:hAnsi="Times New Roman" w:cs="Times New Roman"/>
            <w:noProof/>
          </w:rPr>
          <w:t>Table 4.1. Materials used for each component within MiniFuel designs [22, 138].</w:t>
        </w:r>
        <w:r w:rsidRPr="00F22A75">
          <w:rPr>
            <w:rFonts w:cs="Times New Roman"/>
            <w:noProof/>
            <w:webHidden/>
          </w:rPr>
          <w:tab/>
        </w:r>
        <w:r w:rsidRPr="00F22A75">
          <w:rPr>
            <w:rFonts w:cs="Times New Roman"/>
            <w:noProof/>
            <w:webHidden/>
          </w:rPr>
          <w:fldChar w:fldCharType="begin"/>
        </w:r>
        <w:r w:rsidRPr="00F22A75">
          <w:rPr>
            <w:rFonts w:cs="Times New Roman"/>
            <w:noProof/>
            <w:webHidden/>
          </w:rPr>
          <w:instrText xml:space="preserve"> PAGEREF _Toc202957522 \h </w:instrText>
        </w:r>
        <w:r w:rsidRPr="00F22A75">
          <w:rPr>
            <w:rFonts w:cs="Times New Roman"/>
            <w:noProof/>
            <w:webHidden/>
          </w:rPr>
        </w:r>
        <w:r w:rsidRPr="00F22A75">
          <w:rPr>
            <w:rFonts w:cs="Times New Roman"/>
            <w:noProof/>
            <w:webHidden/>
          </w:rPr>
          <w:fldChar w:fldCharType="separate"/>
        </w:r>
        <w:r w:rsidR="00897306">
          <w:rPr>
            <w:rFonts w:cs="Times New Roman"/>
            <w:noProof/>
            <w:webHidden/>
          </w:rPr>
          <w:t>92</w:t>
        </w:r>
        <w:r w:rsidRPr="00F22A75">
          <w:rPr>
            <w:rFonts w:cs="Times New Roman"/>
            <w:noProof/>
            <w:webHidden/>
          </w:rPr>
          <w:fldChar w:fldCharType="end"/>
        </w:r>
      </w:hyperlink>
    </w:p>
    <w:p w14:paraId="5CB7725E" w14:textId="037E15D0" w:rsidR="00BF7E93" w:rsidRPr="00F22A75" w:rsidRDefault="00BF7E93" w:rsidP="00F22A75">
      <w:pPr>
        <w:pStyle w:val="TableofFigures"/>
        <w:tabs>
          <w:tab w:val="right" w:leader="dot" w:pos="8630"/>
        </w:tabs>
        <w:spacing w:line="480" w:lineRule="auto"/>
        <w:rPr>
          <w:rFonts w:eastAsiaTheme="minorEastAsia" w:cs="Times New Roman"/>
          <w:noProof/>
        </w:rPr>
      </w:pPr>
      <w:hyperlink w:anchor="_Toc202957523" w:history="1">
        <w:r w:rsidRPr="00F22A75">
          <w:rPr>
            <w:rStyle w:val="Hyperlink"/>
            <w:rFonts w:ascii="Times New Roman" w:hAnsi="Times New Roman" w:cs="Times New Roman"/>
            <w:noProof/>
          </w:rPr>
          <w:t>Table 4.2. MF01/MF02 Irradiation Test Matrix [22, 137].</w:t>
        </w:r>
        <w:r w:rsidRPr="00F22A75">
          <w:rPr>
            <w:rFonts w:cs="Times New Roman"/>
            <w:noProof/>
            <w:webHidden/>
          </w:rPr>
          <w:tab/>
        </w:r>
        <w:r w:rsidRPr="00F22A75">
          <w:rPr>
            <w:rFonts w:cs="Times New Roman"/>
            <w:noProof/>
            <w:webHidden/>
          </w:rPr>
          <w:fldChar w:fldCharType="begin"/>
        </w:r>
        <w:r w:rsidRPr="00F22A75">
          <w:rPr>
            <w:rFonts w:cs="Times New Roman"/>
            <w:noProof/>
            <w:webHidden/>
          </w:rPr>
          <w:instrText xml:space="preserve"> PAGEREF _Toc202957523 \h </w:instrText>
        </w:r>
        <w:r w:rsidRPr="00F22A75">
          <w:rPr>
            <w:rFonts w:cs="Times New Roman"/>
            <w:noProof/>
            <w:webHidden/>
          </w:rPr>
        </w:r>
        <w:r w:rsidRPr="00F22A75">
          <w:rPr>
            <w:rFonts w:cs="Times New Roman"/>
            <w:noProof/>
            <w:webHidden/>
          </w:rPr>
          <w:fldChar w:fldCharType="separate"/>
        </w:r>
        <w:r w:rsidR="00897306">
          <w:rPr>
            <w:rFonts w:cs="Times New Roman"/>
            <w:noProof/>
            <w:webHidden/>
          </w:rPr>
          <w:t>95</w:t>
        </w:r>
        <w:r w:rsidRPr="00F22A75">
          <w:rPr>
            <w:rFonts w:cs="Times New Roman"/>
            <w:noProof/>
            <w:webHidden/>
          </w:rPr>
          <w:fldChar w:fldCharType="end"/>
        </w:r>
      </w:hyperlink>
    </w:p>
    <w:p w14:paraId="04AB75A4" w14:textId="5440275F" w:rsidR="00BF7E93" w:rsidRPr="00F22A75" w:rsidRDefault="00BF7E93" w:rsidP="00F22A75">
      <w:pPr>
        <w:pStyle w:val="TableofFigures"/>
        <w:tabs>
          <w:tab w:val="right" w:leader="dot" w:pos="8630"/>
        </w:tabs>
        <w:spacing w:line="480" w:lineRule="auto"/>
        <w:rPr>
          <w:rFonts w:eastAsiaTheme="minorEastAsia" w:cs="Times New Roman"/>
          <w:noProof/>
        </w:rPr>
      </w:pPr>
      <w:hyperlink w:anchor="_Toc202957524" w:history="1">
        <w:r w:rsidRPr="00F22A75">
          <w:rPr>
            <w:rStyle w:val="Hyperlink"/>
            <w:rFonts w:ascii="Times New Roman" w:hAnsi="Times New Roman" w:cs="Times New Roman"/>
            <w:noProof/>
          </w:rPr>
          <w:t>Table 4.3. Morris screening analysis parameter uncertainty distributions.</w:t>
        </w:r>
        <w:r w:rsidRPr="00F22A75">
          <w:rPr>
            <w:rFonts w:cs="Times New Roman"/>
            <w:noProof/>
            <w:webHidden/>
          </w:rPr>
          <w:tab/>
        </w:r>
        <w:r w:rsidRPr="00F22A75">
          <w:rPr>
            <w:rFonts w:cs="Times New Roman"/>
            <w:noProof/>
            <w:webHidden/>
          </w:rPr>
          <w:fldChar w:fldCharType="begin"/>
        </w:r>
        <w:r w:rsidRPr="00F22A75">
          <w:rPr>
            <w:rFonts w:cs="Times New Roman"/>
            <w:noProof/>
            <w:webHidden/>
          </w:rPr>
          <w:instrText xml:space="preserve"> PAGEREF _Toc202957524 \h </w:instrText>
        </w:r>
        <w:r w:rsidRPr="00F22A75">
          <w:rPr>
            <w:rFonts w:cs="Times New Roman"/>
            <w:noProof/>
            <w:webHidden/>
          </w:rPr>
        </w:r>
        <w:r w:rsidRPr="00F22A75">
          <w:rPr>
            <w:rFonts w:cs="Times New Roman"/>
            <w:noProof/>
            <w:webHidden/>
          </w:rPr>
          <w:fldChar w:fldCharType="separate"/>
        </w:r>
        <w:r w:rsidR="00897306">
          <w:rPr>
            <w:rFonts w:cs="Times New Roman"/>
            <w:noProof/>
            <w:webHidden/>
          </w:rPr>
          <w:t>101</w:t>
        </w:r>
        <w:r w:rsidRPr="00F22A75">
          <w:rPr>
            <w:rFonts w:cs="Times New Roman"/>
            <w:noProof/>
            <w:webHidden/>
          </w:rPr>
          <w:fldChar w:fldCharType="end"/>
        </w:r>
      </w:hyperlink>
    </w:p>
    <w:p w14:paraId="40CCC0DC" w14:textId="46114EB5" w:rsidR="00BF7E93" w:rsidRPr="00F22A75" w:rsidRDefault="00BF7E93" w:rsidP="00F22A75">
      <w:pPr>
        <w:pStyle w:val="TableofFigures"/>
        <w:tabs>
          <w:tab w:val="right" w:leader="dot" w:pos="8630"/>
        </w:tabs>
        <w:spacing w:line="480" w:lineRule="auto"/>
        <w:rPr>
          <w:rFonts w:eastAsiaTheme="minorEastAsia" w:cs="Times New Roman"/>
          <w:noProof/>
        </w:rPr>
      </w:pPr>
      <w:hyperlink w:anchor="_Toc202957525" w:history="1">
        <w:r w:rsidRPr="00F22A75">
          <w:rPr>
            <w:rStyle w:val="Hyperlink"/>
            <w:rFonts w:ascii="Times New Roman" w:hAnsi="Times New Roman" w:cs="Times New Roman"/>
            <w:noProof/>
          </w:rPr>
          <w:t>Table 4.4. MF01 time averaged fuel temperature prediction with model by Petrie et al. [22] and PIE data from Harp et al. [137]</w:t>
        </w:r>
        <w:r w:rsidRPr="00F22A75">
          <w:rPr>
            <w:rFonts w:cs="Times New Roman"/>
            <w:noProof/>
            <w:webHidden/>
          </w:rPr>
          <w:tab/>
        </w:r>
        <w:r w:rsidRPr="00F22A75">
          <w:rPr>
            <w:rFonts w:cs="Times New Roman"/>
            <w:noProof/>
            <w:webHidden/>
          </w:rPr>
          <w:fldChar w:fldCharType="begin"/>
        </w:r>
        <w:r w:rsidRPr="00F22A75">
          <w:rPr>
            <w:rFonts w:cs="Times New Roman"/>
            <w:noProof/>
            <w:webHidden/>
          </w:rPr>
          <w:instrText xml:space="preserve"> PAGEREF _Toc202957525 \h </w:instrText>
        </w:r>
        <w:r w:rsidRPr="00F22A75">
          <w:rPr>
            <w:rFonts w:cs="Times New Roman"/>
            <w:noProof/>
            <w:webHidden/>
          </w:rPr>
        </w:r>
        <w:r w:rsidRPr="00F22A75">
          <w:rPr>
            <w:rFonts w:cs="Times New Roman"/>
            <w:noProof/>
            <w:webHidden/>
          </w:rPr>
          <w:fldChar w:fldCharType="separate"/>
        </w:r>
        <w:r w:rsidR="00897306">
          <w:rPr>
            <w:rFonts w:cs="Times New Roman"/>
            <w:noProof/>
            <w:webHidden/>
          </w:rPr>
          <w:t>109</w:t>
        </w:r>
        <w:r w:rsidRPr="00F22A75">
          <w:rPr>
            <w:rFonts w:cs="Times New Roman"/>
            <w:noProof/>
            <w:webHidden/>
          </w:rPr>
          <w:fldChar w:fldCharType="end"/>
        </w:r>
      </w:hyperlink>
    </w:p>
    <w:p w14:paraId="0A0F9F2D" w14:textId="01E6A387" w:rsidR="00BF7E93" w:rsidRPr="00F22A75" w:rsidRDefault="00BF7E93" w:rsidP="00F22A75">
      <w:pPr>
        <w:pStyle w:val="TableofFigures"/>
        <w:tabs>
          <w:tab w:val="right" w:leader="dot" w:pos="8630"/>
        </w:tabs>
        <w:spacing w:line="480" w:lineRule="auto"/>
        <w:rPr>
          <w:rFonts w:eastAsiaTheme="minorEastAsia" w:cs="Times New Roman"/>
          <w:noProof/>
        </w:rPr>
      </w:pPr>
      <w:hyperlink w:anchor="_Toc202957526" w:history="1">
        <w:r w:rsidRPr="00F22A75">
          <w:rPr>
            <w:rStyle w:val="Hyperlink"/>
            <w:rFonts w:ascii="Times New Roman" w:hAnsi="Times New Roman" w:cs="Times New Roman"/>
            <w:noProof/>
          </w:rPr>
          <w:t>Table 4.5. RB01 model-to-model comparison of time-averaged fuel temperature prediction with model by Gorton et al.  [133].</w:t>
        </w:r>
        <w:r w:rsidRPr="00F22A75">
          <w:rPr>
            <w:rFonts w:cs="Times New Roman"/>
            <w:noProof/>
            <w:webHidden/>
          </w:rPr>
          <w:tab/>
        </w:r>
        <w:r w:rsidRPr="00F22A75">
          <w:rPr>
            <w:rFonts w:cs="Times New Roman"/>
            <w:noProof/>
            <w:webHidden/>
          </w:rPr>
          <w:fldChar w:fldCharType="begin"/>
        </w:r>
        <w:r w:rsidRPr="00F22A75">
          <w:rPr>
            <w:rFonts w:cs="Times New Roman"/>
            <w:noProof/>
            <w:webHidden/>
          </w:rPr>
          <w:instrText xml:space="preserve"> PAGEREF _Toc202957526 \h </w:instrText>
        </w:r>
        <w:r w:rsidRPr="00F22A75">
          <w:rPr>
            <w:rFonts w:cs="Times New Roman"/>
            <w:noProof/>
            <w:webHidden/>
          </w:rPr>
        </w:r>
        <w:r w:rsidRPr="00F22A75">
          <w:rPr>
            <w:rFonts w:cs="Times New Roman"/>
            <w:noProof/>
            <w:webHidden/>
          </w:rPr>
          <w:fldChar w:fldCharType="separate"/>
        </w:r>
        <w:r w:rsidR="00897306">
          <w:rPr>
            <w:rFonts w:cs="Times New Roman"/>
            <w:noProof/>
            <w:webHidden/>
          </w:rPr>
          <w:t>110</w:t>
        </w:r>
        <w:r w:rsidRPr="00F22A75">
          <w:rPr>
            <w:rFonts w:cs="Times New Roman"/>
            <w:noProof/>
            <w:webHidden/>
          </w:rPr>
          <w:fldChar w:fldCharType="end"/>
        </w:r>
      </w:hyperlink>
    </w:p>
    <w:p w14:paraId="145A405E" w14:textId="62382F51" w:rsidR="00BF7E93" w:rsidRPr="00F22A75" w:rsidRDefault="00BF7E93" w:rsidP="00F22A75">
      <w:pPr>
        <w:pStyle w:val="TableofFigures"/>
        <w:tabs>
          <w:tab w:val="right" w:leader="dot" w:pos="8630"/>
        </w:tabs>
        <w:spacing w:line="480" w:lineRule="auto"/>
        <w:rPr>
          <w:rFonts w:eastAsiaTheme="minorEastAsia" w:cs="Times New Roman"/>
          <w:noProof/>
        </w:rPr>
      </w:pPr>
      <w:hyperlink w:anchor="_Toc202957527" w:history="1">
        <w:r w:rsidRPr="00F22A75">
          <w:rPr>
            <w:rStyle w:val="Hyperlink"/>
            <w:rFonts w:ascii="Times New Roman" w:hAnsi="Times New Roman" w:cs="Times New Roman"/>
            <w:noProof/>
          </w:rPr>
          <w:t>Table 4.6. Sobol sensitivity parameters from the Morris parameter screening</w:t>
        </w:r>
        <w:r w:rsidRPr="00F22A75">
          <w:rPr>
            <w:rFonts w:cs="Times New Roman"/>
            <w:noProof/>
            <w:webHidden/>
          </w:rPr>
          <w:tab/>
        </w:r>
        <w:r w:rsidRPr="00F22A75">
          <w:rPr>
            <w:rFonts w:cs="Times New Roman"/>
            <w:noProof/>
            <w:webHidden/>
          </w:rPr>
          <w:fldChar w:fldCharType="begin"/>
        </w:r>
        <w:r w:rsidRPr="00F22A75">
          <w:rPr>
            <w:rFonts w:cs="Times New Roman"/>
            <w:noProof/>
            <w:webHidden/>
          </w:rPr>
          <w:instrText xml:space="preserve"> PAGEREF _Toc202957527 \h </w:instrText>
        </w:r>
        <w:r w:rsidRPr="00F22A75">
          <w:rPr>
            <w:rFonts w:cs="Times New Roman"/>
            <w:noProof/>
            <w:webHidden/>
          </w:rPr>
        </w:r>
        <w:r w:rsidRPr="00F22A75">
          <w:rPr>
            <w:rFonts w:cs="Times New Roman"/>
            <w:noProof/>
            <w:webHidden/>
          </w:rPr>
          <w:fldChar w:fldCharType="separate"/>
        </w:r>
        <w:r w:rsidR="00897306">
          <w:rPr>
            <w:rFonts w:cs="Times New Roman"/>
            <w:noProof/>
            <w:webHidden/>
          </w:rPr>
          <w:t>116</w:t>
        </w:r>
        <w:r w:rsidRPr="00F22A75">
          <w:rPr>
            <w:rFonts w:cs="Times New Roman"/>
            <w:noProof/>
            <w:webHidden/>
          </w:rPr>
          <w:fldChar w:fldCharType="end"/>
        </w:r>
      </w:hyperlink>
    </w:p>
    <w:p w14:paraId="65640068" w14:textId="32BFE815" w:rsidR="00BF7E93" w:rsidRPr="00F22A75" w:rsidRDefault="00BF7E93" w:rsidP="00F22A75">
      <w:pPr>
        <w:pStyle w:val="TableofFigures"/>
        <w:tabs>
          <w:tab w:val="right" w:leader="dot" w:pos="8630"/>
        </w:tabs>
        <w:spacing w:line="480" w:lineRule="auto"/>
        <w:rPr>
          <w:rFonts w:eastAsiaTheme="minorEastAsia" w:cs="Times New Roman"/>
          <w:noProof/>
        </w:rPr>
      </w:pPr>
      <w:hyperlink w:anchor="_Toc202957528" w:history="1">
        <w:r w:rsidRPr="00F22A75">
          <w:rPr>
            <w:rStyle w:val="Hyperlink"/>
            <w:rFonts w:ascii="Times New Roman" w:hAnsi="Times New Roman" w:cs="Times New Roman"/>
            <w:noProof/>
          </w:rPr>
          <w:t>Table 4.7. Statistics for the Sobol sensitivity analysis of ANSYS MiniFuel models</w:t>
        </w:r>
        <w:r w:rsidRPr="00F22A75">
          <w:rPr>
            <w:rFonts w:cs="Times New Roman"/>
            <w:noProof/>
            <w:webHidden/>
          </w:rPr>
          <w:tab/>
        </w:r>
        <w:r w:rsidRPr="00F22A75">
          <w:rPr>
            <w:rFonts w:cs="Times New Roman"/>
            <w:noProof/>
            <w:webHidden/>
          </w:rPr>
          <w:fldChar w:fldCharType="begin"/>
        </w:r>
        <w:r w:rsidRPr="00F22A75">
          <w:rPr>
            <w:rFonts w:cs="Times New Roman"/>
            <w:noProof/>
            <w:webHidden/>
          </w:rPr>
          <w:instrText xml:space="preserve"> PAGEREF _Toc202957528 \h </w:instrText>
        </w:r>
        <w:r w:rsidRPr="00F22A75">
          <w:rPr>
            <w:rFonts w:cs="Times New Roman"/>
            <w:noProof/>
            <w:webHidden/>
          </w:rPr>
        </w:r>
        <w:r w:rsidRPr="00F22A75">
          <w:rPr>
            <w:rFonts w:cs="Times New Roman"/>
            <w:noProof/>
            <w:webHidden/>
          </w:rPr>
          <w:fldChar w:fldCharType="separate"/>
        </w:r>
        <w:r w:rsidR="00897306">
          <w:rPr>
            <w:rFonts w:cs="Times New Roman"/>
            <w:noProof/>
            <w:webHidden/>
          </w:rPr>
          <w:t>125</w:t>
        </w:r>
        <w:r w:rsidRPr="00F22A75">
          <w:rPr>
            <w:rFonts w:cs="Times New Roman"/>
            <w:noProof/>
            <w:webHidden/>
          </w:rPr>
          <w:fldChar w:fldCharType="end"/>
        </w:r>
      </w:hyperlink>
    </w:p>
    <w:p w14:paraId="487080B4" w14:textId="7380A5C0" w:rsidR="00BF7E93" w:rsidRPr="00F22A75" w:rsidRDefault="00BF7E93" w:rsidP="00F22A75">
      <w:pPr>
        <w:pStyle w:val="TableofFigures"/>
        <w:tabs>
          <w:tab w:val="right" w:leader="dot" w:pos="8630"/>
        </w:tabs>
        <w:spacing w:line="480" w:lineRule="auto"/>
        <w:rPr>
          <w:rFonts w:eastAsiaTheme="minorEastAsia" w:cs="Times New Roman"/>
          <w:noProof/>
        </w:rPr>
      </w:pPr>
      <w:hyperlink w:anchor="_Toc202957529" w:history="1">
        <w:r w:rsidRPr="00F22A75">
          <w:rPr>
            <w:rStyle w:val="Hyperlink"/>
            <w:rFonts w:ascii="Times New Roman" w:hAnsi="Times New Roman" w:cs="Times New Roman"/>
            <w:noProof/>
          </w:rPr>
          <w:t>Table 4.8. Parameter uncertainty distributions for Sobol analysis.</w:t>
        </w:r>
        <w:r w:rsidRPr="00F22A75">
          <w:rPr>
            <w:rFonts w:cs="Times New Roman"/>
            <w:noProof/>
            <w:webHidden/>
          </w:rPr>
          <w:tab/>
        </w:r>
        <w:r w:rsidRPr="00F22A75">
          <w:rPr>
            <w:rFonts w:cs="Times New Roman"/>
            <w:noProof/>
            <w:webHidden/>
          </w:rPr>
          <w:fldChar w:fldCharType="begin"/>
        </w:r>
        <w:r w:rsidRPr="00F22A75">
          <w:rPr>
            <w:rFonts w:cs="Times New Roman"/>
            <w:noProof/>
            <w:webHidden/>
          </w:rPr>
          <w:instrText xml:space="preserve"> PAGEREF _Toc202957529 \h </w:instrText>
        </w:r>
        <w:r w:rsidRPr="00F22A75">
          <w:rPr>
            <w:rFonts w:cs="Times New Roman"/>
            <w:noProof/>
            <w:webHidden/>
          </w:rPr>
        </w:r>
        <w:r w:rsidRPr="00F22A75">
          <w:rPr>
            <w:rFonts w:cs="Times New Roman"/>
            <w:noProof/>
            <w:webHidden/>
          </w:rPr>
          <w:fldChar w:fldCharType="separate"/>
        </w:r>
        <w:r w:rsidR="00897306">
          <w:rPr>
            <w:rFonts w:cs="Times New Roman"/>
            <w:noProof/>
            <w:webHidden/>
          </w:rPr>
          <w:t>127</w:t>
        </w:r>
        <w:r w:rsidRPr="00F22A75">
          <w:rPr>
            <w:rFonts w:cs="Times New Roman"/>
            <w:noProof/>
            <w:webHidden/>
          </w:rPr>
          <w:fldChar w:fldCharType="end"/>
        </w:r>
      </w:hyperlink>
    </w:p>
    <w:p w14:paraId="1F065AF3" w14:textId="5D09058F" w:rsidR="00BF7E93" w:rsidRPr="00F22A75" w:rsidRDefault="00BF7E93" w:rsidP="00F22A75">
      <w:pPr>
        <w:pStyle w:val="TableofFigures"/>
        <w:tabs>
          <w:tab w:val="right" w:leader="dot" w:pos="8630"/>
        </w:tabs>
        <w:spacing w:line="480" w:lineRule="auto"/>
        <w:rPr>
          <w:rFonts w:eastAsiaTheme="minorEastAsia" w:cs="Times New Roman"/>
          <w:noProof/>
        </w:rPr>
      </w:pPr>
      <w:hyperlink w:anchor="_Toc202957530" w:history="1">
        <w:r w:rsidRPr="00F22A75">
          <w:rPr>
            <w:rStyle w:val="Hyperlink"/>
            <w:rFonts w:ascii="Times New Roman" w:hAnsi="Times New Roman" w:cs="Times New Roman"/>
            <w:noProof/>
          </w:rPr>
          <w:t>Table 1. Abbreviations</w:t>
        </w:r>
        <w:r w:rsidRPr="00F22A75">
          <w:rPr>
            <w:rFonts w:cs="Times New Roman"/>
            <w:noProof/>
            <w:webHidden/>
          </w:rPr>
          <w:tab/>
        </w:r>
        <w:r w:rsidRPr="00F22A75">
          <w:rPr>
            <w:rFonts w:cs="Times New Roman"/>
            <w:noProof/>
            <w:webHidden/>
          </w:rPr>
          <w:fldChar w:fldCharType="begin"/>
        </w:r>
        <w:r w:rsidRPr="00F22A75">
          <w:rPr>
            <w:rFonts w:cs="Times New Roman"/>
            <w:noProof/>
            <w:webHidden/>
          </w:rPr>
          <w:instrText xml:space="preserve"> PAGEREF _Toc202957530 \h </w:instrText>
        </w:r>
        <w:r w:rsidRPr="00F22A75">
          <w:rPr>
            <w:rFonts w:cs="Times New Roman"/>
            <w:noProof/>
            <w:webHidden/>
          </w:rPr>
        </w:r>
        <w:r w:rsidRPr="00F22A75">
          <w:rPr>
            <w:rFonts w:cs="Times New Roman"/>
            <w:noProof/>
            <w:webHidden/>
          </w:rPr>
          <w:fldChar w:fldCharType="separate"/>
        </w:r>
        <w:r w:rsidR="00897306">
          <w:rPr>
            <w:rFonts w:cs="Times New Roman"/>
            <w:noProof/>
            <w:webHidden/>
          </w:rPr>
          <w:t>197</w:t>
        </w:r>
        <w:r w:rsidRPr="00F22A75">
          <w:rPr>
            <w:rFonts w:cs="Times New Roman"/>
            <w:noProof/>
            <w:webHidden/>
          </w:rPr>
          <w:fldChar w:fldCharType="end"/>
        </w:r>
      </w:hyperlink>
    </w:p>
    <w:p w14:paraId="51DBE2C9" w14:textId="70CFD629" w:rsidR="00BF7E93" w:rsidRPr="00F22A75" w:rsidRDefault="00BF7E93" w:rsidP="00F22A75">
      <w:pPr>
        <w:pStyle w:val="TableofFigures"/>
        <w:tabs>
          <w:tab w:val="right" w:leader="dot" w:pos="8630"/>
        </w:tabs>
        <w:spacing w:line="480" w:lineRule="auto"/>
        <w:rPr>
          <w:rFonts w:eastAsiaTheme="minorEastAsia" w:cs="Times New Roman"/>
          <w:noProof/>
        </w:rPr>
      </w:pPr>
      <w:hyperlink w:anchor="_Toc202957531" w:history="1">
        <w:r w:rsidRPr="00F22A75">
          <w:rPr>
            <w:rStyle w:val="Hyperlink"/>
            <w:rFonts w:ascii="Times New Roman" w:hAnsi="Times New Roman" w:cs="Times New Roman"/>
            <w:noProof/>
          </w:rPr>
          <w:t>Table 2. Subcapsule geometry parameters for Morris analysis</w:t>
        </w:r>
        <w:r w:rsidRPr="00F22A75">
          <w:rPr>
            <w:rFonts w:cs="Times New Roman"/>
            <w:noProof/>
            <w:webHidden/>
          </w:rPr>
          <w:tab/>
        </w:r>
        <w:r w:rsidRPr="00F22A75">
          <w:rPr>
            <w:rFonts w:cs="Times New Roman"/>
            <w:noProof/>
            <w:webHidden/>
          </w:rPr>
          <w:fldChar w:fldCharType="begin"/>
        </w:r>
        <w:r w:rsidRPr="00F22A75">
          <w:rPr>
            <w:rFonts w:cs="Times New Roman"/>
            <w:noProof/>
            <w:webHidden/>
          </w:rPr>
          <w:instrText xml:space="preserve"> PAGEREF _Toc202957531 \h </w:instrText>
        </w:r>
        <w:r w:rsidRPr="00F22A75">
          <w:rPr>
            <w:rFonts w:cs="Times New Roman"/>
            <w:noProof/>
            <w:webHidden/>
          </w:rPr>
        </w:r>
        <w:r w:rsidRPr="00F22A75">
          <w:rPr>
            <w:rFonts w:cs="Times New Roman"/>
            <w:noProof/>
            <w:webHidden/>
          </w:rPr>
          <w:fldChar w:fldCharType="separate"/>
        </w:r>
        <w:r w:rsidR="00897306">
          <w:rPr>
            <w:rFonts w:cs="Times New Roman"/>
            <w:noProof/>
            <w:webHidden/>
          </w:rPr>
          <w:t>198</w:t>
        </w:r>
        <w:r w:rsidRPr="00F22A75">
          <w:rPr>
            <w:rFonts w:cs="Times New Roman"/>
            <w:noProof/>
            <w:webHidden/>
          </w:rPr>
          <w:fldChar w:fldCharType="end"/>
        </w:r>
      </w:hyperlink>
    </w:p>
    <w:p w14:paraId="7B980FEF" w14:textId="7AA02567" w:rsidR="00BF7E93" w:rsidRPr="00F22A75" w:rsidRDefault="00BF7E93" w:rsidP="00F22A75">
      <w:pPr>
        <w:pStyle w:val="TableofFigures"/>
        <w:tabs>
          <w:tab w:val="right" w:leader="dot" w:pos="8630"/>
        </w:tabs>
        <w:spacing w:line="480" w:lineRule="auto"/>
        <w:rPr>
          <w:rFonts w:eastAsiaTheme="minorEastAsia" w:cs="Times New Roman"/>
          <w:noProof/>
        </w:rPr>
      </w:pPr>
      <w:hyperlink w:anchor="_Toc202957532" w:history="1">
        <w:r w:rsidRPr="00F22A75">
          <w:rPr>
            <w:rStyle w:val="Hyperlink"/>
            <w:rFonts w:ascii="Times New Roman" w:hAnsi="Times New Roman" w:cs="Times New Roman"/>
            <w:noProof/>
          </w:rPr>
          <w:t>Table 3. Thermal Contact Conductance Parameter Abbreviations</w:t>
        </w:r>
        <w:r w:rsidRPr="00F22A75">
          <w:rPr>
            <w:rFonts w:cs="Times New Roman"/>
            <w:noProof/>
            <w:webHidden/>
          </w:rPr>
          <w:tab/>
        </w:r>
        <w:r w:rsidRPr="00F22A75">
          <w:rPr>
            <w:rFonts w:cs="Times New Roman"/>
            <w:noProof/>
            <w:webHidden/>
          </w:rPr>
          <w:fldChar w:fldCharType="begin"/>
        </w:r>
        <w:r w:rsidRPr="00F22A75">
          <w:rPr>
            <w:rFonts w:cs="Times New Roman"/>
            <w:noProof/>
            <w:webHidden/>
          </w:rPr>
          <w:instrText xml:space="preserve"> PAGEREF _Toc202957532 \h </w:instrText>
        </w:r>
        <w:r w:rsidRPr="00F22A75">
          <w:rPr>
            <w:rFonts w:cs="Times New Roman"/>
            <w:noProof/>
            <w:webHidden/>
          </w:rPr>
        </w:r>
        <w:r w:rsidRPr="00F22A75">
          <w:rPr>
            <w:rFonts w:cs="Times New Roman"/>
            <w:noProof/>
            <w:webHidden/>
          </w:rPr>
          <w:fldChar w:fldCharType="separate"/>
        </w:r>
        <w:r w:rsidR="00897306">
          <w:rPr>
            <w:rFonts w:cs="Times New Roman"/>
            <w:noProof/>
            <w:webHidden/>
          </w:rPr>
          <w:t>200</w:t>
        </w:r>
        <w:r w:rsidRPr="00F22A75">
          <w:rPr>
            <w:rFonts w:cs="Times New Roman"/>
            <w:noProof/>
            <w:webHidden/>
          </w:rPr>
          <w:fldChar w:fldCharType="end"/>
        </w:r>
      </w:hyperlink>
    </w:p>
    <w:p w14:paraId="13A838A4" w14:textId="614BB875" w:rsidR="00BF7E93" w:rsidRPr="00F22A75" w:rsidRDefault="00BF7E93" w:rsidP="00F22A75">
      <w:pPr>
        <w:pStyle w:val="TableofFigures"/>
        <w:tabs>
          <w:tab w:val="right" w:leader="dot" w:pos="8630"/>
        </w:tabs>
        <w:spacing w:line="480" w:lineRule="auto"/>
        <w:rPr>
          <w:rFonts w:eastAsiaTheme="minorEastAsia" w:cs="Times New Roman"/>
          <w:noProof/>
        </w:rPr>
      </w:pPr>
      <w:hyperlink w:anchor="_Toc202957533" w:history="1">
        <w:r w:rsidRPr="00F22A75">
          <w:rPr>
            <w:rStyle w:val="Hyperlink"/>
            <w:rFonts w:ascii="Times New Roman" w:hAnsi="Times New Roman" w:cs="Times New Roman"/>
            <w:noProof/>
          </w:rPr>
          <w:t>Table 4. Sensitivity Analysis Parameter Abbreviations</w:t>
        </w:r>
        <w:r w:rsidRPr="00F22A75">
          <w:rPr>
            <w:rFonts w:cs="Times New Roman"/>
            <w:noProof/>
            <w:webHidden/>
          </w:rPr>
          <w:tab/>
        </w:r>
        <w:r w:rsidRPr="00F22A75">
          <w:rPr>
            <w:rFonts w:cs="Times New Roman"/>
            <w:noProof/>
            <w:webHidden/>
          </w:rPr>
          <w:fldChar w:fldCharType="begin"/>
        </w:r>
        <w:r w:rsidRPr="00F22A75">
          <w:rPr>
            <w:rFonts w:cs="Times New Roman"/>
            <w:noProof/>
            <w:webHidden/>
          </w:rPr>
          <w:instrText xml:space="preserve"> PAGEREF _Toc202957533 \h </w:instrText>
        </w:r>
        <w:r w:rsidRPr="00F22A75">
          <w:rPr>
            <w:rFonts w:cs="Times New Roman"/>
            <w:noProof/>
            <w:webHidden/>
          </w:rPr>
        </w:r>
        <w:r w:rsidRPr="00F22A75">
          <w:rPr>
            <w:rFonts w:cs="Times New Roman"/>
            <w:noProof/>
            <w:webHidden/>
          </w:rPr>
          <w:fldChar w:fldCharType="separate"/>
        </w:r>
        <w:r w:rsidR="00897306">
          <w:rPr>
            <w:rFonts w:cs="Times New Roman"/>
            <w:noProof/>
            <w:webHidden/>
          </w:rPr>
          <w:t>201</w:t>
        </w:r>
        <w:r w:rsidRPr="00F22A75">
          <w:rPr>
            <w:rFonts w:cs="Times New Roman"/>
            <w:noProof/>
            <w:webHidden/>
          </w:rPr>
          <w:fldChar w:fldCharType="end"/>
        </w:r>
      </w:hyperlink>
    </w:p>
    <w:p w14:paraId="7B15397F" w14:textId="3791A5F3" w:rsidR="00236E6D" w:rsidRPr="00F22A75" w:rsidRDefault="00665C7E" w:rsidP="00F22A75">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cs="Times New Roman"/>
        </w:rPr>
      </w:pPr>
      <w:r w:rsidRPr="00F22A75">
        <w:rPr>
          <w:rFonts w:cs="Times New Roman"/>
        </w:rPr>
        <w:fldChar w:fldCharType="end"/>
      </w:r>
      <w:r w:rsidR="00236E6D" w:rsidRPr="009D2AA9">
        <w:rPr>
          <w:rFonts w:cs="Times New Roman"/>
        </w:rPr>
        <w:br w:type="page"/>
      </w:r>
      <w:r w:rsidR="00236E6D" w:rsidRPr="00171F6A">
        <w:rPr>
          <w:b/>
        </w:rPr>
        <w:lastRenderedPageBreak/>
        <w:t xml:space="preserve">LIST </w:t>
      </w:r>
      <w:r w:rsidR="00236E6D" w:rsidRPr="00F22A75">
        <w:rPr>
          <w:rFonts w:cs="Times New Roman"/>
          <w:b/>
        </w:rPr>
        <w:t>OF FIGURES</w:t>
      </w:r>
    </w:p>
    <w:p w14:paraId="33B4904F" w14:textId="6D40E316" w:rsidR="00BF7E93" w:rsidRPr="00F22A75" w:rsidRDefault="00665C7E" w:rsidP="00F22A75">
      <w:pPr>
        <w:pStyle w:val="TableofFigures"/>
        <w:tabs>
          <w:tab w:val="right" w:leader="dot" w:pos="8630"/>
        </w:tabs>
        <w:spacing w:line="480" w:lineRule="auto"/>
        <w:rPr>
          <w:rFonts w:eastAsiaTheme="minorEastAsia" w:cs="Times New Roman"/>
          <w:noProof/>
        </w:rPr>
      </w:pPr>
      <w:r w:rsidRPr="00F22A75">
        <w:rPr>
          <w:rFonts w:cs="Times New Roman"/>
        </w:rPr>
        <w:fldChar w:fldCharType="begin"/>
      </w:r>
      <w:r w:rsidR="00304BD0" w:rsidRPr="00F22A75">
        <w:rPr>
          <w:rFonts w:cs="Times New Roman"/>
        </w:rPr>
        <w:instrText xml:space="preserve"> TOC \h \z \c "Figure" </w:instrText>
      </w:r>
      <w:r w:rsidRPr="00F22A75">
        <w:rPr>
          <w:rFonts w:cs="Times New Roman"/>
        </w:rPr>
        <w:fldChar w:fldCharType="separate"/>
      </w:r>
      <w:hyperlink w:anchor="_Toc202957534" w:history="1">
        <w:r w:rsidR="00BF7E93" w:rsidRPr="00F22A75">
          <w:rPr>
            <w:rStyle w:val="Hyperlink"/>
            <w:rFonts w:ascii="Times New Roman" w:hAnsi="Times New Roman" w:cs="Times New Roman"/>
            <w:noProof/>
          </w:rPr>
          <w:t>Figure 2.1. Comparison Between Traditional Fuel Qualification [9] and Accelerated Fuel Qualification [10].</w:t>
        </w:r>
        <w:r w:rsidR="00BF7E93" w:rsidRPr="00F22A75">
          <w:rPr>
            <w:rFonts w:cs="Times New Roman"/>
            <w:noProof/>
            <w:webHidden/>
          </w:rPr>
          <w:tab/>
        </w:r>
        <w:r w:rsidR="00BF7E93" w:rsidRPr="00F22A75">
          <w:rPr>
            <w:rFonts w:cs="Times New Roman"/>
            <w:noProof/>
            <w:webHidden/>
          </w:rPr>
          <w:fldChar w:fldCharType="begin"/>
        </w:r>
        <w:r w:rsidR="00BF7E93" w:rsidRPr="00F22A75">
          <w:rPr>
            <w:rFonts w:cs="Times New Roman"/>
            <w:noProof/>
            <w:webHidden/>
          </w:rPr>
          <w:instrText xml:space="preserve"> PAGEREF _Toc202957534 \h </w:instrText>
        </w:r>
        <w:r w:rsidR="00BF7E93" w:rsidRPr="00F22A75">
          <w:rPr>
            <w:rFonts w:cs="Times New Roman"/>
            <w:noProof/>
            <w:webHidden/>
          </w:rPr>
        </w:r>
        <w:r w:rsidR="00BF7E93" w:rsidRPr="00F22A75">
          <w:rPr>
            <w:rFonts w:cs="Times New Roman"/>
            <w:noProof/>
            <w:webHidden/>
          </w:rPr>
          <w:fldChar w:fldCharType="separate"/>
        </w:r>
        <w:r w:rsidR="00897306">
          <w:rPr>
            <w:rFonts w:cs="Times New Roman"/>
            <w:noProof/>
            <w:webHidden/>
          </w:rPr>
          <w:t>10</w:t>
        </w:r>
        <w:r w:rsidR="00BF7E93" w:rsidRPr="00F22A75">
          <w:rPr>
            <w:rFonts w:cs="Times New Roman"/>
            <w:noProof/>
            <w:webHidden/>
          </w:rPr>
          <w:fldChar w:fldCharType="end"/>
        </w:r>
      </w:hyperlink>
    </w:p>
    <w:p w14:paraId="3110F0A8" w14:textId="30FF3317" w:rsidR="00BF7E93" w:rsidRPr="00F22A75" w:rsidRDefault="00BF7E93" w:rsidP="00F22A75">
      <w:pPr>
        <w:pStyle w:val="TableofFigures"/>
        <w:tabs>
          <w:tab w:val="right" w:leader="dot" w:pos="8630"/>
        </w:tabs>
        <w:spacing w:line="480" w:lineRule="auto"/>
        <w:rPr>
          <w:rFonts w:eastAsiaTheme="minorEastAsia" w:cs="Times New Roman"/>
          <w:noProof/>
        </w:rPr>
      </w:pPr>
      <w:hyperlink w:anchor="_Toc202957535" w:history="1">
        <w:r w:rsidRPr="00F22A75">
          <w:rPr>
            <w:rStyle w:val="Hyperlink"/>
            <w:rFonts w:ascii="Times New Roman" w:hAnsi="Times New Roman" w:cs="Times New Roman"/>
            <w:noProof/>
          </w:rPr>
          <w:t>Figure 2.2. General Approach to Iterative Improvement of Predictive Modeling Adapted from [11].</w:t>
        </w:r>
        <w:r w:rsidRPr="00F22A75">
          <w:rPr>
            <w:rFonts w:cs="Times New Roman"/>
            <w:noProof/>
            <w:webHidden/>
          </w:rPr>
          <w:tab/>
        </w:r>
        <w:r w:rsidRPr="00F22A75">
          <w:rPr>
            <w:rFonts w:cs="Times New Roman"/>
            <w:noProof/>
            <w:webHidden/>
          </w:rPr>
          <w:fldChar w:fldCharType="begin"/>
        </w:r>
        <w:r w:rsidRPr="00F22A75">
          <w:rPr>
            <w:rFonts w:cs="Times New Roman"/>
            <w:noProof/>
            <w:webHidden/>
          </w:rPr>
          <w:instrText xml:space="preserve"> PAGEREF _Toc202957535 \h </w:instrText>
        </w:r>
        <w:r w:rsidRPr="00F22A75">
          <w:rPr>
            <w:rFonts w:cs="Times New Roman"/>
            <w:noProof/>
            <w:webHidden/>
          </w:rPr>
        </w:r>
        <w:r w:rsidRPr="00F22A75">
          <w:rPr>
            <w:rFonts w:cs="Times New Roman"/>
            <w:noProof/>
            <w:webHidden/>
          </w:rPr>
          <w:fldChar w:fldCharType="separate"/>
        </w:r>
        <w:r w:rsidR="00897306">
          <w:rPr>
            <w:rFonts w:cs="Times New Roman"/>
            <w:noProof/>
            <w:webHidden/>
          </w:rPr>
          <w:t>12</w:t>
        </w:r>
        <w:r w:rsidRPr="00F22A75">
          <w:rPr>
            <w:rFonts w:cs="Times New Roman"/>
            <w:noProof/>
            <w:webHidden/>
          </w:rPr>
          <w:fldChar w:fldCharType="end"/>
        </w:r>
      </w:hyperlink>
    </w:p>
    <w:p w14:paraId="71ED3239" w14:textId="7518D67C" w:rsidR="00BF7E93" w:rsidRPr="00F22A75" w:rsidRDefault="00BF7E93" w:rsidP="00F22A75">
      <w:pPr>
        <w:pStyle w:val="TableofFigures"/>
        <w:tabs>
          <w:tab w:val="right" w:leader="dot" w:pos="8630"/>
        </w:tabs>
        <w:spacing w:line="480" w:lineRule="auto"/>
        <w:rPr>
          <w:rFonts w:eastAsiaTheme="minorEastAsia" w:cs="Times New Roman"/>
          <w:noProof/>
        </w:rPr>
      </w:pPr>
      <w:hyperlink w:anchor="_Toc202957536" w:history="1">
        <w:r w:rsidRPr="00F22A75">
          <w:rPr>
            <w:rStyle w:val="Hyperlink"/>
            <w:rFonts w:ascii="Times New Roman" w:hAnsi="Times New Roman" w:cs="Times New Roman"/>
            <w:noProof/>
          </w:rPr>
          <w:t>Figure 3.1. TRTL Primary Loop Schematic [100].</w:t>
        </w:r>
        <w:r w:rsidRPr="00F22A75">
          <w:rPr>
            <w:rFonts w:cs="Times New Roman"/>
            <w:noProof/>
            <w:webHidden/>
          </w:rPr>
          <w:tab/>
        </w:r>
        <w:r w:rsidRPr="00F22A75">
          <w:rPr>
            <w:rFonts w:cs="Times New Roman"/>
            <w:noProof/>
            <w:webHidden/>
          </w:rPr>
          <w:fldChar w:fldCharType="begin"/>
        </w:r>
        <w:r w:rsidRPr="00F22A75">
          <w:rPr>
            <w:rFonts w:cs="Times New Roman"/>
            <w:noProof/>
            <w:webHidden/>
          </w:rPr>
          <w:instrText xml:space="preserve"> PAGEREF _Toc202957536 \h </w:instrText>
        </w:r>
        <w:r w:rsidRPr="00F22A75">
          <w:rPr>
            <w:rFonts w:cs="Times New Roman"/>
            <w:noProof/>
            <w:webHidden/>
          </w:rPr>
        </w:r>
        <w:r w:rsidRPr="00F22A75">
          <w:rPr>
            <w:rFonts w:cs="Times New Roman"/>
            <w:noProof/>
            <w:webHidden/>
          </w:rPr>
          <w:fldChar w:fldCharType="separate"/>
        </w:r>
        <w:r w:rsidR="00897306">
          <w:rPr>
            <w:rFonts w:cs="Times New Roman"/>
            <w:noProof/>
            <w:webHidden/>
          </w:rPr>
          <w:t>28</w:t>
        </w:r>
        <w:r w:rsidRPr="00F22A75">
          <w:rPr>
            <w:rFonts w:cs="Times New Roman"/>
            <w:noProof/>
            <w:webHidden/>
          </w:rPr>
          <w:fldChar w:fldCharType="end"/>
        </w:r>
      </w:hyperlink>
    </w:p>
    <w:p w14:paraId="33ACA2B4" w14:textId="5363AAF0" w:rsidR="00BF7E93" w:rsidRPr="00F22A75" w:rsidRDefault="00BF7E93" w:rsidP="00F22A75">
      <w:pPr>
        <w:pStyle w:val="TableofFigures"/>
        <w:tabs>
          <w:tab w:val="right" w:leader="dot" w:pos="8630"/>
        </w:tabs>
        <w:spacing w:line="480" w:lineRule="auto"/>
        <w:rPr>
          <w:rFonts w:eastAsiaTheme="minorEastAsia" w:cs="Times New Roman"/>
          <w:noProof/>
        </w:rPr>
      </w:pPr>
      <w:hyperlink w:anchor="_Toc202957537" w:history="1">
        <w:r w:rsidRPr="00F22A75">
          <w:rPr>
            <w:rStyle w:val="Hyperlink"/>
            <w:rFonts w:ascii="Times New Roman" w:hAnsi="Times New Roman" w:cs="Times New Roman"/>
            <w:noProof/>
          </w:rPr>
          <w:t>Figure 3.2. TRTL Facility (Left) Within the OSU Advanced Thermal Hydraulics Research Laboratory (Right) Instrumentation Diagram of the Primary Loop [100].</w:t>
        </w:r>
        <w:r w:rsidRPr="00F22A75">
          <w:rPr>
            <w:rFonts w:cs="Times New Roman"/>
            <w:noProof/>
            <w:webHidden/>
          </w:rPr>
          <w:tab/>
        </w:r>
        <w:r w:rsidRPr="00F22A75">
          <w:rPr>
            <w:rFonts w:cs="Times New Roman"/>
            <w:noProof/>
            <w:webHidden/>
          </w:rPr>
          <w:fldChar w:fldCharType="begin"/>
        </w:r>
        <w:r w:rsidRPr="00F22A75">
          <w:rPr>
            <w:rFonts w:cs="Times New Roman"/>
            <w:noProof/>
            <w:webHidden/>
          </w:rPr>
          <w:instrText xml:space="preserve"> PAGEREF _Toc202957537 \h </w:instrText>
        </w:r>
        <w:r w:rsidRPr="00F22A75">
          <w:rPr>
            <w:rFonts w:cs="Times New Roman"/>
            <w:noProof/>
            <w:webHidden/>
          </w:rPr>
        </w:r>
        <w:r w:rsidRPr="00F22A75">
          <w:rPr>
            <w:rFonts w:cs="Times New Roman"/>
            <w:noProof/>
            <w:webHidden/>
          </w:rPr>
          <w:fldChar w:fldCharType="separate"/>
        </w:r>
        <w:r w:rsidR="00897306">
          <w:rPr>
            <w:rFonts w:cs="Times New Roman"/>
            <w:noProof/>
            <w:webHidden/>
          </w:rPr>
          <w:t>30</w:t>
        </w:r>
        <w:r w:rsidRPr="00F22A75">
          <w:rPr>
            <w:rFonts w:cs="Times New Roman"/>
            <w:noProof/>
            <w:webHidden/>
          </w:rPr>
          <w:fldChar w:fldCharType="end"/>
        </w:r>
      </w:hyperlink>
    </w:p>
    <w:p w14:paraId="00EA9FBF" w14:textId="45495600" w:rsidR="00BF7E93" w:rsidRPr="00F22A75" w:rsidRDefault="00BF7E93" w:rsidP="00F22A75">
      <w:pPr>
        <w:pStyle w:val="TableofFigures"/>
        <w:tabs>
          <w:tab w:val="right" w:leader="dot" w:pos="8630"/>
        </w:tabs>
        <w:spacing w:line="480" w:lineRule="auto"/>
        <w:rPr>
          <w:rFonts w:eastAsiaTheme="minorEastAsia" w:cs="Times New Roman"/>
          <w:noProof/>
        </w:rPr>
      </w:pPr>
      <w:hyperlink w:anchor="_Toc202957538" w:history="1">
        <w:r w:rsidRPr="00F22A75">
          <w:rPr>
            <w:rStyle w:val="Hyperlink"/>
            <w:rFonts w:ascii="Times New Roman" w:hAnsi="Times New Roman" w:cs="Times New Roman"/>
            <w:noProof/>
          </w:rPr>
          <w:t>Figure 3.3. Transient TRa Experimental Data with Corresponding Representative Power Pulse Overlaid.</w:t>
        </w:r>
        <w:r w:rsidRPr="00F22A75">
          <w:rPr>
            <w:rFonts w:cs="Times New Roman"/>
            <w:noProof/>
            <w:webHidden/>
          </w:rPr>
          <w:tab/>
        </w:r>
        <w:r w:rsidRPr="00F22A75">
          <w:rPr>
            <w:rFonts w:cs="Times New Roman"/>
            <w:noProof/>
            <w:webHidden/>
          </w:rPr>
          <w:fldChar w:fldCharType="begin"/>
        </w:r>
        <w:r w:rsidRPr="00F22A75">
          <w:rPr>
            <w:rFonts w:cs="Times New Roman"/>
            <w:noProof/>
            <w:webHidden/>
          </w:rPr>
          <w:instrText xml:space="preserve"> PAGEREF _Toc202957538 \h </w:instrText>
        </w:r>
        <w:r w:rsidRPr="00F22A75">
          <w:rPr>
            <w:rFonts w:cs="Times New Roman"/>
            <w:noProof/>
            <w:webHidden/>
          </w:rPr>
        </w:r>
        <w:r w:rsidRPr="00F22A75">
          <w:rPr>
            <w:rFonts w:cs="Times New Roman"/>
            <w:noProof/>
            <w:webHidden/>
          </w:rPr>
          <w:fldChar w:fldCharType="separate"/>
        </w:r>
        <w:r w:rsidR="00897306">
          <w:rPr>
            <w:rFonts w:cs="Times New Roman"/>
            <w:noProof/>
            <w:webHidden/>
          </w:rPr>
          <w:t>34</w:t>
        </w:r>
        <w:r w:rsidRPr="00F22A75">
          <w:rPr>
            <w:rFonts w:cs="Times New Roman"/>
            <w:noProof/>
            <w:webHidden/>
          </w:rPr>
          <w:fldChar w:fldCharType="end"/>
        </w:r>
      </w:hyperlink>
    </w:p>
    <w:p w14:paraId="43FF1962" w14:textId="45E191AD" w:rsidR="00BF7E93" w:rsidRPr="00F22A75" w:rsidRDefault="00BF7E93" w:rsidP="00F22A75">
      <w:pPr>
        <w:pStyle w:val="TableofFigures"/>
        <w:tabs>
          <w:tab w:val="right" w:leader="dot" w:pos="8630"/>
        </w:tabs>
        <w:spacing w:line="480" w:lineRule="auto"/>
        <w:rPr>
          <w:rFonts w:eastAsiaTheme="minorEastAsia" w:cs="Times New Roman"/>
          <w:noProof/>
        </w:rPr>
      </w:pPr>
      <w:hyperlink w:anchor="_Toc202957539" w:history="1">
        <w:r w:rsidRPr="00F22A75">
          <w:rPr>
            <w:rStyle w:val="Hyperlink"/>
            <w:rFonts w:ascii="Times New Roman" w:hAnsi="Times New Roman" w:cs="Times New Roman"/>
            <w:noProof/>
          </w:rPr>
          <w:t>Figure 3.4. Schematic of the TRTL Loop (Left) with a Corresponding RELAP5-3D Nodalization Diagram (Right).</w:t>
        </w:r>
        <w:r w:rsidRPr="00F22A75">
          <w:rPr>
            <w:rFonts w:cs="Times New Roman"/>
            <w:noProof/>
            <w:webHidden/>
          </w:rPr>
          <w:tab/>
        </w:r>
        <w:r w:rsidRPr="00F22A75">
          <w:rPr>
            <w:rFonts w:cs="Times New Roman"/>
            <w:noProof/>
            <w:webHidden/>
          </w:rPr>
          <w:fldChar w:fldCharType="begin"/>
        </w:r>
        <w:r w:rsidRPr="00F22A75">
          <w:rPr>
            <w:rFonts w:cs="Times New Roman"/>
            <w:noProof/>
            <w:webHidden/>
          </w:rPr>
          <w:instrText xml:space="preserve"> PAGEREF _Toc202957539 \h </w:instrText>
        </w:r>
        <w:r w:rsidRPr="00F22A75">
          <w:rPr>
            <w:rFonts w:cs="Times New Roman"/>
            <w:noProof/>
            <w:webHidden/>
          </w:rPr>
        </w:r>
        <w:r w:rsidRPr="00F22A75">
          <w:rPr>
            <w:rFonts w:cs="Times New Roman"/>
            <w:noProof/>
            <w:webHidden/>
          </w:rPr>
          <w:fldChar w:fldCharType="separate"/>
        </w:r>
        <w:r w:rsidR="00897306">
          <w:rPr>
            <w:rFonts w:cs="Times New Roman"/>
            <w:noProof/>
            <w:webHidden/>
          </w:rPr>
          <w:t>36</w:t>
        </w:r>
        <w:r w:rsidRPr="00F22A75">
          <w:rPr>
            <w:rFonts w:cs="Times New Roman"/>
            <w:noProof/>
            <w:webHidden/>
          </w:rPr>
          <w:fldChar w:fldCharType="end"/>
        </w:r>
      </w:hyperlink>
    </w:p>
    <w:p w14:paraId="2C7DAAE2" w14:textId="0EF72573" w:rsidR="00BF7E93" w:rsidRPr="00F22A75" w:rsidRDefault="00BF7E93" w:rsidP="00F22A75">
      <w:pPr>
        <w:pStyle w:val="TableofFigures"/>
        <w:tabs>
          <w:tab w:val="right" w:leader="dot" w:pos="8630"/>
        </w:tabs>
        <w:spacing w:line="480" w:lineRule="auto"/>
        <w:rPr>
          <w:rFonts w:eastAsiaTheme="minorEastAsia" w:cs="Times New Roman"/>
          <w:noProof/>
        </w:rPr>
      </w:pPr>
      <w:hyperlink w:anchor="_Toc202957540" w:history="1">
        <w:r w:rsidRPr="00F22A75">
          <w:rPr>
            <w:rStyle w:val="Hyperlink"/>
            <w:rFonts w:ascii="Times New Roman" w:hAnsi="Times New Roman" w:cs="Times New Roman"/>
            <w:noProof/>
          </w:rPr>
          <w:t>Figure 3.5. Comparison Between Experimental Data, RELAP5-3D Code Predictions, and TRACE Code Predictions for Case TRa.</w:t>
        </w:r>
        <w:r w:rsidRPr="00F22A75">
          <w:rPr>
            <w:rFonts w:cs="Times New Roman"/>
            <w:noProof/>
            <w:webHidden/>
          </w:rPr>
          <w:tab/>
        </w:r>
        <w:r w:rsidRPr="00F22A75">
          <w:rPr>
            <w:rFonts w:cs="Times New Roman"/>
            <w:noProof/>
            <w:webHidden/>
          </w:rPr>
          <w:fldChar w:fldCharType="begin"/>
        </w:r>
        <w:r w:rsidRPr="00F22A75">
          <w:rPr>
            <w:rFonts w:cs="Times New Roman"/>
            <w:noProof/>
            <w:webHidden/>
          </w:rPr>
          <w:instrText xml:space="preserve"> PAGEREF _Toc202957540 \h </w:instrText>
        </w:r>
        <w:r w:rsidRPr="00F22A75">
          <w:rPr>
            <w:rFonts w:cs="Times New Roman"/>
            <w:noProof/>
            <w:webHidden/>
          </w:rPr>
        </w:r>
        <w:r w:rsidRPr="00F22A75">
          <w:rPr>
            <w:rFonts w:cs="Times New Roman"/>
            <w:noProof/>
            <w:webHidden/>
          </w:rPr>
          <w:fldChar w:fldCharType="separate"/>
        </w:r>
        <w:r w:rsidR="00897306">
          <w:rPr>
            <w:rFonts w:cs="Times New Roman"/>
            <w:noProof/>
            <w:webHidden/>
          </w:rPr>
          <w:t>38</w:t>
        </w:r>
        <w:r w:rsidRPr="00F22A75">
          <w:rPr>
            <w:rFonts w:cs="Times New Roman"/>
            <w:noProof/>
            <w:webHidden/>
          </w:rPr>
          <w:fldChar w:fldCharType="end"/>
        </w:r>
      </w:hyperlink>
    </w:p>
    <w:p w14:paraId="6C115CB7" w14:textId="231671E3" w:rsidR="00BF7E93" w:rsidRPr="00F22A75" w:rsidRDefault="00BF7E93" w:rsidP="00F22A75">
      <w:pPr>
        <w:pStyle w:val="TableofFigures"/>
        <w:tabs>
          <w:tab w:val="right" w:leader="dot" w:pos="8630"/>
        </w:tabs>
        <w:spacing w:line="480" w:lineRule="auto"/>
        <w:rPr>
          <w:rFonts w:eastAsiaTheme="minorEastAsia" w:cs="Times New Roman"/>
          <w:noProof/>
        </w:rPr>
      </w:pPr>
      <w:hyperlink w:anchor="_Toc202957541" w:history="1">
        <w:r w:rsidRPr="00F22A75">
          <w:rPr>
            <w:rStyle w:val="Hyperlink"/>
            <w:rFonts w:ascii="Times New Roman" w:hAnsi="Times New Roman" w:cs="Times New Roman"/>
            <w:noProof/>
          </w:rPr>
          <w:t>Figure 3.6. Comparison Between Experimental Data, RELAP5-3D Code Predictions, and TRACE Code Predictions for Case TRb.</w:t>
        </w:r>
        <w:r w:rsidRPr="00F22A75">
          <w:rPr>
            <w:rFonts w:cs="Times New Roman"/>
            <w:noProof/>
            <w:webHidden/>
          </w:rPr>
          <w:tab/>
        </w:r>
        <w:r w:rsidRPr="00F22A75">
          <w:rPr>
            <w:rFonts w:cs="Times New Roman"/>
            <w:noProof/>
            <w:webHidden/>
          </w:rPr>
          <w:fldChar w:fldCharType="begin"/>
        </w:r>
        <w:r w:rsidRPr="00F22A75">
          <w:rPr>
            <w:rFonts w:cs="Times New Roman"/>
            <w:noProof/>
            <w:webHidden/>
          </w:rPr>
          <w:instrText xml:space="preserve"> PAGEREF _Toc202957541 \h </w:instrText>
        </w:r>
        <w:r w:rsidRPr="00F22A75">
          <w:rPr>
            <w:rFonts w:cs="Times New Roman"/>
            <w:noProof/>
            <w:webHidden/>
          </w:rPr>
        </w:r>
        <w:r w:rsidRPr="00F22A75">
          <w:rPr>
            <w:rFonts w:cs="Times New Roman"/>
            <w:noProof/>
            <w:webHidden/>
          </w:rPr>
          <w:fldChar w:fldCharType="separate"/>
        </w:r>
        <w:r w:rsidR="00897306">
          <w:rPr>
            <w:rFonts w:cs="Times New Roman"/>
            <w:noProof/>
            <w:webHidden/>
          </w:rPr>
          <w:t>39</w:t>
        </w:r>
        <w:r w:rsidRPr="00F22A75">
          <w:rPr>
            <w:rFonts w:cs="Times New Roman"/>
            <w:noProof/>
            <w:webHidden/>
          </w:rPr>
          <w:fldChar w:fldCharType="end"/>
        </w:r>
      </w:hyperlink>
    </w:p>
    <w:p w14:paraId="711ED6A8" w14:textId="73C781AC" w:rsidR="00BF7E93" w:rsidRPr="00F22A75" w:rsidRDefault="00BF7E93" w:rsidP="00F22A75">
      <w:pPr>
        <w:pStyle w:val="TableofFigures"/>
        <w:tabs>
          <w:tab w:val="right" w:leader="dot" w:pos="8630"/>
        </w:tabs>
        <w:spacing w:line="480" w:lineRule="auto"/>
        <w:rPr>
          <w:rFonts w:eastAsiaTheme="minorEastAsia" w:cs="Times New Roman"/>
          <w:noProof/>
        </w:rPr>
      </w:pPr>
      <w:hyperlink w:anchor="_Toc202957542" w:history="1">
        <w:r w:rsidRPr="00F22A75">
          <w:rPr>
            <w:rStyle w:val="Hyperlink"/>
            <w:rFonts w:ascii="Times New Roman" w:hAnsi="Times New Roman" w:cs="Times New Roman"/>
            <w:noProof/>
          </w:rPr>
          <w:t>Figure 3.7. Comparison Between RELAP5-3D Code Predictions, and TRACE Code Predictions for Case TR5.</w:t>
        </w:r>
        <w:r w:rsidRPr="00F22A75">
          <w:rPr>
            <w:rFonts w:cs="Times New Roman"/>
            <w:noProof/>
            <w:webHidden/>
          </w:rPr>
          <w:tab/>
        </w:r>
        <w:r w:rsidRPr="00F22A75">
          <w:rPr>
            <w:rFonts w:cs="Times New Roman"/>
            <w:noProof/>
            <w:webHidden/>
          </w:rPr>
          <w:fldChar w:fldCharType="begin"/>
        </w:r>
        <w:r w:rsidRPr="00F22A75">
          <w:rPr>
            <w:rFonts w:cs="Times New Roman"/>
            <w:noProof/>
            <w:webHidden/>
          </w:rPr>
          <w:instrText xml:space="preserve"> PAGEREF _Toc202957542 \h </w:instrText>
        </w:r>
        <w:r w:rsidRPr="00F22A75">
          <w:rPr>
            <w:rFonts w:cs="Times New Roman"/>
            <w:noProof/>
            <w:webHidden/>
          </w:rPr>
        </w:r>
        <w:r w:rsidRPr="00F22A75">
          <w:rPr>
            <w:rFonts w:cs="Times New Roman"/>
            <w:noProof/>
            <w:webHidden/>
          </w:rPr>
          <w:fldChar w:fldCharType="separate"/>
        </w:r>
        <w:r w:rsidR="00897306">
          <w:rPr>
            <w:rFonts w:cs="Times New Roman"/>
            <w:noProof/>
            <w:webHidden/>
          </w:rPr>
          <w:t>41</w:t>
        </w:r>
        <w:r w:rsidRPr="00F22A75">
          <w:rPr>
            <w:rFonts w:cs="Times New Roman"/>
            <w:noProof/>
            <w:webHidden/>
          </w:rPr>
          <w:fldChar w:fldCharType="end"/>
        </w:r>
      </w:hyperlink>
    </w:p>
    <w:p w14:paraId="471DE6BD" w14:textId="3CE2AC22" w:rsidR="00BF7E93" w:rsidRPr="00F22A75" w:rsidRDefault="00BF7E93" w:rsidP="00F22A75">
      <w:pPr>
        <w:pStyle w:val="TableofFigures"/>
        <w:tabs>
          <w:tab w:val="right" w:leader="dot" w:pos="8630"/>
        </w:tabs>
        <w:spacing w:line="480" w:lineRule="auto"/>
        <w:rPr>
          <w:rFonts w:eastAsiaTheme="minorEastAsia" w:cs="Times New Roman"/>
          <w:noProof/>
        </w:rPr>
      </w:pPr>
      <w:hyperlink w:anchor="_Toc202957543" w:history="1">
        <w:r w:rsidRPr="00F22A75">
          <w:rPr>
            <w:rStyle w:val="Hyperlink"/>
            <w:rFonts w:ascii="Times New Roman" w:hAnsi="Times New Roman" w:cs="Times New Roman"/>
            <w:noProof/>
          </w:rPr>
          <w:t>Figure 3.8. Comparison Between RELAP5-3D Code Predictions, and TRACE Code Predictions for Case TR8.</w:t>
        </w:r>
        <w:r w:rsidRPr="00F22A75">
          <w:rPr>
            <w:rFonts w:cs="Times New Roman"/>
            <w:noProof/>
            <w:webHidden/>
          </w:rPr>
          <w:tab/>
        </w:r>
        <w:r w:rsidRPr="00F22A75">
          <w:rPr>
            <w:rFonts w:cs="Times New Roman"/>
            <w:noProof/>
            <w:webHidden/>
          </w:rPr>
          <w:fldChar w:fldCharType="begin"/>
        </w:r>
        <w:r w:rsidRPr="00F22A75">
          <w:rPr>
            <w:rFonts w:cs="Times New Roman"/>
            <w:noProof/>
            <w:webHidden/>
          </w:rPr>
          <w:instrText xml:space="preserve"> PAGEREF _Toc202957543 \h </w:instrText>
        </w:r>
        <w:r w:rsidRPr="00F22A75">
          <w:rPr>
            <w:rFonts w:cs="Times New Roman"/>
            <w:noProof/>
            <w:webHidden/>
          </w:rPr>
        </w:r>
        <w:r w:rsidRPr="00F22A75">
          <w:rPr>
            <w:rFonts w:cs="Times New Roman"/>
            <w:noProof/>
            <w:webHidden/>
          </w:rPr>
          <w:fldChar w:fldCharType="separate"/>
        </w:r>
        <w:r w:rsidR="00897306">
          <w:rPr>
            <w:rFonts w:cs="Times New Roman"/>
            <w:noProof/>
            <w:webHidden/>
          </w:rPr>
          <w:t>42</w:t>
        </w:r>
        <w:r w:rsidRPr="00F22A75">
          <w:rPr>
            <w:rFonts w:cs="Times New Roman"/>
            <w:noProof/>
            <w:webHidden/>
          </w:rPr>
          <w:fldChar w:fldCharType="end"/>
        </w:r>
      </w:hyperlink>
    </w:p>
    <w:p w14:paraId="6129B64D" w14:textId="3799C39C" w:rsidR="00BF7E93" w:rsidRPr="00F22A75" w:rsidRDefault="00BF7E93" w:rsidP="00F22A75">
      <w:pPr>
        <w:pStyle w:val="TableofFigures"/>
        <w:tabs>
          <w:tab w:val="right" w:leader="dot" w:pos="8630"/>
        </w:tabs>
        <w:spacing w:line="480" w:lineRule="auto"/>
        <w:rPr>
          <w:rFonts w:eastAsiaTheme="minorEastAsia" w:cs="Times New Roman"/>
          <w:noProof/>
        </w:rPr>
      </w:pPr>
      <w:hyperlink w:anchor="_Toc202957544" w:history="1">
        <w:r w:rsidRPr="00F22A75">
          <w:rPr>
            <w:rStyle w:val="Hyperlink"/>
            <w:rFonts w:ascii="Times New Roman" w:hAnsi="Times New Roman" w:cs="Times New Roman"/>
            <w:noProof/>
          </w:rPr>
          <w:t>Figure 3.9. TRTL High-Power Experimental Power Pulses as Proposed by Meehan et. al. [106].</w:t>
        </w:r>
        <w:r w:rsidRPr="00F22A75">
          <w:rPr>
            <w:rFonts w:cs="Times New Roman"/>
            <w:noProof/>
            <w:webHidden/>
          </w:rPr>
          <w:tab/>
        </w:r>
        <w:r w:rsidRPr="00F22A75">
          <w:rPr>
            <w:rFonts w:cs="Times New Roman"/>
            <w:noProof/>
            <w:webHidden/>
          </w:rPr>
          <w:fldChar w:fldCharType="begin"/>
        </w:r>
        <w:r w:rsidRPr="00F22A75">
          <w:rPr>
            <w:rFonts w:cs="Times New Roman"/>
            <w:noProof/>
            <w:webHidden/>
          </w:rPr>
          <w:instrText xml:space="preserve"> PAGEREF _Toc202957544 \h </w:instrText>
        </w:r>
        <w:r w:rsidRPr="00F22A75">
          <w:rPr>
            <w:rFonts w:cs="Times New Roman"/>
            <w:noProof/>
            <w:webHidden/>
          </w:rPr>
        </w:r>
        <w:r w:rsidRPr="00F22A75">
          <w:rPr>
            <w:rFonts w:cs="Times New Roman"/>
            <w:noProof/>
            <w:webHidden/>
          </w:rPr>
          <w:fldChar w:fldCharType="separate"/>
        </w:r>
        <w:r w:rsidR="00897306">
          <w:rPr>
            <w:rFonts w:cs="Times New Roman"/>
            <w:noProof/>
            <w:webHidden/>
          </w:rPr>
          <w:t>45</w:t>
        </w:r>
        <w:r w:rsidRPr="00F22A75">
          <w:rPr>
            <w:rFonts w:cs="Times New Roman"/>
            <w:noProof/>
            <w:webHidden/>
          </w:rPr>
          <w:fldChar w:fldCharType="end"/>
        </w:r>
      </w:hyperlink>
    </w:p>
    <w:p w14:paraId="1843996B" w14:textId="6FBC4869" w:rsidR="00BF7E93" w:rsidRPr="00F22A75" w:rsidRDefault="00BF7E93" w:rsidP="00F22A75">
      <w:pPr>
        <w:pStyle w:val="TableofFigures"/>
        <w:tabs>
          <w:tab w:val="right" w:leader="dot" w:pos="8630"/>
        </w:tabs>
        <w:spacing w:line="480" w:lineRule="auto"/>
        <w:rPr>
          <w:rFonts w:eastAsiaTheme="minorEastAsia" w:cs="Times New Roman"/>
          <w:noProof/>
        </w:rPr>
      </w:pPr>
      <w:hyperlink w:anchor="_Toc202957545" w:history="1">
        <w:r w:rsidRPr="00F22A75">
          <w:rPr>
            <w:rStyle w:val="Hyperlink"/>
            <w:rFonts w:ascii="Times New Roman" w:hAnsi="Times New Roman" w:cs="Times New Roman"/>
            <w:noProof/>
          </w:rPr>
          <w:t>Figure 3.10. Envelope for CHF Occurrence within the TRTL Facility Test Section.</w:t>
        </w:r>
        <w:r w:rsidRPr="00F22A75">
          <w:rPr>
            <w:rFonts w:cs="Times New Roman"/>
            <w:noProof/>
            <w:webHidden/>
          </w:rPr>
          <w:tab/>
        </w:r>
        <w:r w:rsidRPr="00F22A75">
          <w:rPr>
            <w:rFonts w:cs="Times New Roman"/>
            <w:noProof/>
            <w:webHidden/>
          </w:rPr>
          <w:fldChar w:fldCharType="begin"/>
        </w:r>
        <w:r w:rsidRPr="00F22A75">
          <w:rPr>
            <w:rFonts w:cs="Times New Roman"/>
            <w:noProof/>
            <w:webHidden/>
          </w:rPr>
          <w:instrText xml:space="preserve"> PAGEREF _Toc202957545 \h </w:instrText>
        </w:r>
        <w:r w:rsidRPr="00F22A75">
          <w:rPr>
            <w:rFonts w:cs="Times New Roman"/>
            <w:noProof/>
            <w:webHidden/>
          </w:rPr>
        </w:r>
        <w:r w:rsidRPr="00F22A75">
          <w:rPr>
            <w:rFonts w:cs="Times New Roman"/>
            <w:noProof/>
            <w:webHidden/>
          </w:rPr>
          <w:fldChar w:fldCharType="separate"/>
        </w:r>
        <w:r w:rsidR="00897306">
          <w:rPr>
            <w:rFonts w:cs="Times New Roman"/>
            <w:noProof/>
            <w:webHidden/>
          </w:rPr>
          <w:t>46</w:t>
        </w:r>
        <w:r w:rsidRPr="00F22A75">
          <w:rPr>
            <w:rFonts w:cs="Times New Roman"/>
            <w:noProof/>
            <w:webHidden/>
          </w:rPr>
          <w:fldChar w:fldCharType="end"/>
        </w:r>
      </w:hyperlink>
    </w:p>
    <w:p w14:paraId="7461517E" w14:textId="6428E748" w:rsidR="00BF7E93" w:rsidRPr="00F22A75" w:rsidRDefault="00BF7E93" w:rsidP="00F22A75">
      <w:pPr>
        <w:pStyle w:val="TableofFigures"/>
        <w:tabs>
          <w:tab w:val="right" w:leader="dot" w:pos="8630"/>
        </w:tabs>
        <w:spacing w:line="480" w:lineRule="auto"/>
        <w:rPr>
          <w:rFonts w:eastAsiaTheme="minorEastAsia" w:cs="Times New Roman"/>
          <w:noProof/>
        </w:rPr>
      </w:pPr>
      <w:hyperlink w:anchor="_Toc202957546" w:history="1">
        <w:r w:rsidRPr="00F22A75">
          <w:rPr>
            <w:rStyle w:val="Hyperlink"/>
            <w:rFonts w:ascii="Times New Roman" w:hAnsi="Times New Roman" w:cs="Times New Roman"/>
            <w:noProof/>
          </w:rPr>
          <w:t>Figure 3.11. PPMCCs for Each Input with Respect to Peak Cladding Heat Flux</w:t>
        </w:r>
        <w:r w:rsidRPr="00F22A75">
          <w:rPr>
            <w:rFonts w:cs="Times New Roman"/>
            <w:noProof/>
            <w:webHidden/>
          </w:rPr>
          <w:tab/>
        </w:r>
        <w:r w:rsidRPr="00F22A75">
          <w:rPr>
            <w:rFonts w:cs="Times New Roman"/>
            <w:noProof/>
            <w:webHidden/>
          </w:rPr>
          <w:fldChar w:fldCharType="begin"/>
        </w:r>
        <w:r w:rsidRPr="00F22A75">
          <w:rPr>
            <w:rFonts w:cs="Times New Roman"/>
            <w:noProof/>
            <w:webHidden/>
          </w:rPr>
          <w:instrText xml:space="preserve"> PAGEREF _Toc202957546 \h </w:instrText>
        </w:r>
        <w:r w:rsidRPr="00F22A75">
          <w:rPr>
            <w:rFonts w:cs="Times New Roman"/>
            <w:noProof/>
            <w:webHidden/>
          </w:rPr>
        </w:r>
        <w:r w:rsidRPr="00F22A75">
          <w:rPr>
            <w:rFonts w:cs="Times New Roman"/>
            <w:noProof/>
            <w:webHidden/>
          </w:rPr>
          <w:fldChar w:fldCharType="separate"/>
        </w:r>
        <w:r w:rsidR="00897306">
          <w:rPr>
            <w:rFonts w:cs="Times New Roman"/>
            <w:noProof/>
            <w:webHidden/>
          </w:rPr>
          <w:t>54</w:t>
        </w:r>
        <w:r w:rsidRPr="00F22A75">
          <w:rPr>
            <w:rFonts w:cs="Times New Roman"/>
            <w:noProof/>
            <w:webHidden/>
          </w:rPr>
          <w:fldChar w:fldCharType="end"/>
        </w:r>
      </w:hyperlink>
    </w:p>
    <w:p w14:paraId="548054BF" w14:textId="6162A252" w:rsidR="00BF7E93" w:rsidRPr="00F22A75" w:rsidRDefault="00BF7E93" w:rsidP="00F22A75">
      <w:pPr>
        <w:pStyle w:val="TableofFigures"/>
        <w:tabs>
          <w:tab w:val="right" w:leader="dot" w:pos="8630"/>
        </w:tabs>
        <w:spacing w:line="480" w:lineRule="auto"/>
        <w:rPr>
          <w:rFonts w:eastAsiaTheme="minorEastAsia" w:cs="Times New Roman"/>
          <w:noProof/>
        </w:rPr>
      </w:pPr>
      <w:hyperlink w:anchor="_Toc202957547" w:history="1">
        <w:r w:rsidRPr="00F22A75">
          <w:rPr>
            <w:rStyle w:val="Hyperlink"/>
            <w:rFonts w:ascii="Times New Roman" w:hAnsi="Times New Roman" w:cs="Times New Roman"/>
            <w:noProof/>
          </w:rPr>
          <w:t>Figure 3.12. PPMCCs for Each Input with Respect to Peak Outer Surface Temperature</w:t>
        </w:r>
        <w:r w:rsidRPr="00F22A75">
          <w:rPr>
            <w:rFonts w:cs="Times New Roman"/>
            <w:noProof/>
            <w:webHidden/>
          </w:rPr>
          <w:tab/>
        </w:r>
        <w:r w:rsidRPr="00F22A75">
          <w:rPr>
            <w:rFonts w:cs="Times New Roman"/>
            <w:noProof/>
            <w:webHidden/>
          </w:rPr>
          <w:fldChar w:fldCharType="begin"/>
        </w:r>
        <w:r w:rsidRPr="00F22A75">
          <w:rPr>
            <w:rFonts w:cs="Times New Roman"/>
            <w:noProof/>
            <w:webHidden/>
          </w:rPr>
          <w:instrText xml:space="preserve"> PAGEREF _Toc202957547 \h </w:instrText>
        </w:r>
        <w:r w:rsidRPr="00F22A75">
          <w:rPr>
            <w:rFonts w:cs="Times New Roman"/>
            <w:noProof/>
            <w:webHidden/>
          </w:rPr>
        </w:r>
        <w:r w:rsidRPr="00F22A75">
          <w:rPr>
            <w:rFonts w:cs="Times New Roman"/>
            <w:noProof/>
            <w:webHidden/>
          </w:rPr>
          <w:fldChar w:fldCharType="separate"/>
        </w:r>
        <w:r w:rsidR="00897306">
          <w:rPr>
            <w:rFonts w:cs="Times New Roman"/>
            <w:noProof/>
            <w:webHidden/>
          </w:rPr>
          <w:t>54</w:t>
        </w:r>
        <w:r w:rsidRPr="00F22A75">
          <w:rPr>
            <w:rFonts w:cs="Times New Roman"/>
            <w:noProof/>
            <w:webHidden/>
          </w:rPr>
          <w:fldChar w:fldCharType="end"/>
        </w:r>
      </w:hyperlink>
    </w:p>
    <w:p w14:paraId="5A3FF488" w14:textId="1CE79291" w:rsidR="00BF7E93" w:rsidRPr="00F22A75" w:rsidRDefault="00BF7E93" w:rsidP="00F22A75">
      <w:pPr>
        <w:pStyle w:val="TableofFigures"/>
        <w:tabs>
          <w:tab w:val="right" w:leader="dot" w:pos="8630"/>
        </w:tabs>
        <w:spacing w:line="480" w:lineRule="auto"/>
        <w:rPr>
          <w:rFonts w:eastAsiaTheme="minorEastAsia" w:cs="Times New Roman"/>
          <w:noProof/>
        </w:rPr>
      </w:pPr>
      <w:hyperlink w:anchor="_Toc202957548" w:history="1">
        <w:r w:rsidRPr="00F22A75">
          <w:rPr>
            <w:rStyle w:val="Hyperlink"/>
            <w:rFonts w:ascii="Times New Roman" w:hAnsi="Times New Roman" w:cs="Times New Roman"/>
            <w:noProof/>
          </w:rPr>
          <w:t>Figure 3.13. PPMCCs for Each Input with Respect to Time of CHF Occurrence</w:t>
        </w:r>
        <w:r w:rsidRPr="00F22A75">
          <w:rPr>
            <w:rFonts w:cs="Times New Roman"/>
            <w:noProof/>
            <w:webHidden/>
          </w:rPr>
          <w:tab/>
        </w:r>
        <w:r w:rsidRPr="00F22A75">
          <w:rPr>
            <w:rFonts w:cs="Times New Roman"/>
            <w:noProof/>
            <w:webHidden/>
          </w:rPr>
          <w:fldChar w:fldCharType="begin"/>
        </w:r>
        <w:r w:rsidRPr="00F22A75">
          <w:rPr>
            <w:rFonts w:cs="Times New Roman"/>
            <w:noProof/>
            <w:webHidden/>
          </w:rPr>
          <w:instrText xml:space="preserve"> PAGEREF _Toc202957548 \h </w:instrText>
        </w:r>
        <w:r w:rsidRPr="00F22A75">
          <w:rPr>
            <w:rFonts w:cs="Times New Roman"/>
            <w:noProof/>
            <w:webHidden/>
          </w:rPr>
        </w:r>
        <w:r w:rsidRPr="00F22A75">
          <w:rPr>
            <w:rFonts w:cs="Times New Roman"/>
            <w:noProof/>
            <w:webHidden/>
          </w:rPr>
          <w:fldChar w:fldCharType="separate"/>
        </w:r>
        <w:r w:rsidR="00897306">
          <w:rPr>
            <w:rFonts w:cs="Times New Roman"/>
            <w:noProof/>
            <w:webHidden/>
          </w:rPr>
          <w:t>55</w:t>
        </w:r>
        <w:r w:rsidRPr="00F22A75">
          <w:rPr>
            <w:rFonts w:cs="Times New Roman"/>
            <w:noProof/>
            <w:webHidden/>
          </w:rPr>
          <w:fldChar w:fldCharType="end"/>
        </w:r>
      </w:hyperlink>
    </w:p>
    <w:p w14:paraId="6294FABE" w14:textId="69D1CB1B" w:rsidR="00BF7E93" w:rsidRPr="00F22A75" w:rsidRDefault="00BF7E93" w:rsidP="00F22A75">
      <w:pPr>
        <w:pStyle w:val="TableofFigures"/>
        <w:tabs>
          <w:tab w:val="right" w:leader="dot" w:pos="8630"/>
        </w:tabs>
        <w:spacing w:line="480" w:lineRule="auto"/>
        <w:rPr>
          <w:rFonts w:eastAsiaTheme="minorEastAsia" w:cs="Times New Roman"/>
          <w:noProof/>
        </w:rPr>
      </w:pPr>
      <w:hyperlink w:anchor="_Toc202957549" w:history="1">
        <w:r w:rsidRPr="00F22A75">
          <w:rPr>
            <w:rStyle w:val="Hyperlink"/>
            <w:rFonts w:ascii="Times New Roman" w:hAnsi="Times New Roman" w:cs="Times New Roman"/>
            <w:noProof/>
          </w:rPr>
          <w:t>Figure 3.14. PPMCCs for Each Input with Respect to Time of Cladding Rewetting</w:t>
        </w:r>
        <w:r w:rsidRPr="00F22A75">
          <w:rPr>
            <w:rFonts w:cs="Times New Roman"/>
            <w:noProof/>
            <w:webHidden/>
          </w:rPr>
          <w:tab/>
        </w:r>
        <w:r w:rsidRPr="00F22A75">
          <w:rPr>
            <w:rFonts w:cs="Times New Roman"/>
            <w:noProof/>
            <w:webHidden/>
          </w:rPr>
          <w:fldChar w:fldCharType="begin"/>
        </w:r>
        <w:r w:rsidRPr="00F22A75">
          <w:rPr>
            <w:rFonts w:cs="Times New Roman"/>
            <w:noProof/>
            <w:webHidden/>
          </w:rPr>
          <w:instrText xml:space="preserve"> PAGEREF _Toc202957549 \h </w:instrText>
        </w:r>
        <w:r w:rsidRPr="00F22A75">
          <w:rPr>
            <w:rFonts w:cs="Times New Roman"/>
            <w:noProof/>
            <w:webHidden/>
          </w:rPr>
        </w:r>
        <w:r w:rsidRPr="00F22A75">
          <w:rPr>
            <w:rFonts w:cs="Times New Roman"/>
            <w:noProof/>
            <w:webHidden/>
          </w:rPr>
          <w:fldChar w:fldCharType="separate"/>
        </w:r>
        <w:r w:rsidR="00897306">
          <w:rPr>
            <w:rFonts w:cs="Times New Roman"/>
            <w:noProof/>
            <w:webHidden/>
          </w:rPr>
          <w:t>55</w:t>
        </w:r>
        <w:r w:rsidRPr="00F22A75">
          <w:rPr>
            <w:rFonts w:cs="Times New Roman"/>
            <w:noProof/>
            <w:webHidden/>
          </w:rPr>
          <w:fldChar w:fldCharType="end"/>
        </w:r>
      </w:hyperlink>
    </w:p>
    <w:p w14:paraId="0864361A" w14:textId="304C179A" w:rsidR="00BF7E93" w:rsidRPr="00F22A75" w:rsidRDefault="00BF7E93" w:rsidP="00F22A75">
      <w:pPr>
        <w:pStyle w:val="TableofFigures"/>
        <w:tabs>
          <w:tab w:val="right" w:leader="dot" w:pos="8630"/>
        </w:tabs>
        <w:spacing w:line="480" w:lineRule="auto"/>
        <w:rPr>
          <w:rFonts w:eastAsiaTheme="minorEastAsia" w:cs="Times New Roman"/>
          <w:noProof/>
        </w:rPr>
      </w:pPr>
      <w:hyperlink w:anchor="_Toc202957550" w:history="1">
        <w:r w:rsidRPr="00F22A75">
          <w:rPr>
            <w:rStyle w:val="Hyperlink"/>
            <w:rFonts w:ascii="Times New Roman" w:hAnsi="Times New Roman" w:cs="Times New Roman"/>
            <w:noProof/>
          </w:rPr>
          <w:t>Figure 3.15. CHF Multiplier vs Exponential Period Using the Empirical Model Fit By Hata et al. [66] With Inlaid Graph of Experimental Test Matrix Periods.</w:t>
        </w:r>
        <w:r w:rsidRPr="00F22A75">
          <w:rPr>
            <w:rFonts w:cs="Times New Roman"/>
            <w:noProof/>
            <w:webHidden/>
          </w:rPr>
          <w:tab/>
        </w:r>
        <w:r w:rsidRPr="00F22A75">
          <w:rPr>
            <w:rFonts w:cs="Times New Roman"/>
            <w:noProof/>
            <w:webHidden/>
          </w:rPr>
          <w:fldChar w:fldCharType="begin"/>
        </w:r>
        <w:r w:rsidRPr="00F22A75">
          <w:rPr>
            <w:rFonts w:cs="Times New Roman"/>
            <w:noProof/>
            <w:webHidden/>
          </w:rPr>
          <w:instrText xml:space="preserve"> PAGEREF _Toc202957550 \h </w:instrText>
        </w:r>
        <w:r w:rsidRPr="00F22A75">
          <w:rPr>
            <w:rFonts w:cs="Times New Roman"/>
            <w:noProof/>
            <w:webHidden/>
          </w:rPr>
        </w:r>
        <w:r w:rsidRPr="00F22A75">
          <w:rPr>
            <w:rFonts w:cs="Times New Roman"/>
            <w:noProof/>
            <w:webHidden/>
          </w:rPr>
          <w:fldChar w:fldCharType="separate"/>
        </w:r>
        <w:r w:rsidR="00897306">
          <w:rPr>
            <w:rFonts w:cs="Times New Roman"/>
            <w:noProof/>
            <w:webHidden/>
          </w:rPr>
          <w:t>57</w:t>
        </w:r>
        <w:r w:rsidRPr="00F22A75">
          <w:rPr>
            <w:rFonts w:cs="Times New Roman"/>
            <w:noProof/>
            <w:webHidden/>
          </w:rPr>
          <w:fldChar w:fldCharType="end"/>
        </w:r>
      </w:hyperlink>
    </w:p>
    <w:p w14:paraId="077C2637" w14:textId="6BA0A306" w:rsidR="00BF7E93" w:rsidRPr="00F22A75" w:rsidRDefault="00BF7E93" w:rsidP="00F22A75">
      <w:pPr>
        <w:pStyle w:val="TableofFigures"/>
        <w:tabs>
          <w:tab w:val="right" w:leader="dot" w:pos="8630"/>
        </w:tabs>
        <w:spacing w:line="480" w:lineRule="auto"/>
        <w:rPr>
          <w:rFonts w:eastAsiaTheme="minorEastAsia" w:cs="Times New Roman"/>
          <w:noProof/>
        </w:rPr>
      </w:pPr>
      <w:hyperlink w:anchor="_Toc202957551" w:history="1">
        <w:r w:rsidRPr="00F22A75">
          <w:rPr>
            <w:rStyle w:val="Hyperlink"/>
            <w:rFonts w:ascii="Times New Roman" w:hAnsi="Times New Roman" w:cs="Times New Roman"/>
            <w:noProof/>
          </w:rPr>
          <w:t>Figure 3.16. CHF-SERTTA Experimental Campaign Test Matrix Transients [45].</w:t>
        </w:r>
        <w:r w:rsidRPr="00F22A75">
          <w:rPr>
            <w:rFonts w:cs="Times New Roman"/>
            <w:noProof/>
            <w:webHidden/>
          </w:rPr>
          <w:tab/>
        </w:r>
        <w:r w:rsidRPr="00F22A75">
          <w:rPr>
            <w:rFonts w:cs="Times New Roman"/>
            <w:noProof/>
            <w:webHidden/>
          </w:rPr>
          <w:fldChar w:fldCharType="begin"/>
        </w:r>
        <w:r w:rsidRPr="00F22A75">
          <w:rPr>
            <w:rFonts w:cs="Times New Roman"/>
            <w:noProof/>
            <w:webHidden/>
          </w:rPr>
          <w:instrText xml:space="preserve"> PAGEREF _Toc202957551 \h </w:instrText>
        </w:r>
        <w:r w:rsidRPr="00F22A75">
          <w:rPr>
            <w:rFonts w:cs="Times New Roman"/>
            <w:noProof/>
            <w:webHidden/>
          </w:rPr>
        </w:r>
        <w:r w:rsidRPr="00F22A75">
          <w:rPr>
            <w:rFonts w:cs="Times New Roman"/>
            <w:noProof/>
            <w:webHidden/>
          </w:rPr>
          <w:fldChar w:fldCharType="separate"/>
        </w:r>
        <w:r w:rsidR="00897306">
          <w:rPr>
            <w:rFonts w:cs="Times New Roman"/>
            <w:noProof/>
            <w:webHidden/>
          </w:rPr>
          <w:t>60</w:t>
        </w:r>
        <w:r w:rsidRPr="00F22A75">
          <w:rPr>
            <w:rFonts w:cs="Times New Roman"/>
            <w:noProof/>
            <w:webHidden/>
          </w:rPr>
          <w:fldChar w:fldCharType="end"/>
        </w:r>
      </w:hyperlink>
    </w:p>
    <w:p w14:paraId="40D2CA3F" w14:textId="12132184" w:rsidR="00BF7E93" w:rsidRPr="00F22A75" w:rsidRDefault="00BF7E93" w:rsidP="00F22A75">
      <w:pPr>
        <w:pStyle w:val="TableofFigures"/>
        <w:tabs>
          <w:tab w:val="right" w:leader="dot" w:pos="8630"/>
        </w:tabs>
        <w:spacing w:line="480" w:lineRule="auto"/>
        <w:rPr>
          <w:rFonts w:eastAsiaTheme="minorEastAsia" w:cs="Times New Roman"/>
          <w:noProof/>
        </w:rPr>
      </w:pPr>
      <w:hyperlink w:anchor="_Toc202957552" w:history="1">
        <w:r w:rsidRPr="00F22A75">
          <w:rPr>
            <w:rStyle w:val="Hyperlink"/>
            <w:rFonts w:ascii="Times New Roman" w:hAnsi="Times New Roman" w:cs="Times New Roman"/>
            <w:noProof/>
          </w:rPr>
          <w:t>Figure 3.17. CHF-SERTTA Capsule (Left) Nodalization Diagram (Right) Borated Heater Rod Nodalization as Designed by Folsom et. al. [45].</w:t>
        </w:r>
        <w:r w:rsidRPr="00F22A75">
          <w:rPr>
            <w:rFonts w:cs="Times New Roman"/>
            <w:noProof/>
            <w:webHidden/>
          </w:rPr>
          <w:tab/>
        </w:r>
        <w:r w:rsidRPr="00F22A75">
          <w:rPr>
            <w:rFonts w:cs="Times New Roman"/>
            <w:noProof/>
            <w:webHidden/>
          </w:rPr>
          <w:fldChar w:fldCharType="begin"/>
        </w:r>
        <w:r w:rsidRPr="00F22A75">
          <w:rPr>
            <w:rFonts w:cs="Times New Roman"/>
            <w:noProof/>
            <w:webHidden/>
          </w:rPr>
          <w:instrText xml:space="preserve"> PAGEREF _Toc202957552 \h </w:instrText>
        </w:r>
        <w:r w:rsidRPr="00F22A75">
          <w:rPr>
            <w:rFonts w:cs="Times New Roman"/>
            <w:noProof/>
            <w:webHidden/>
          </w:rPr>
        </w:r>
        <w:r w:rsidRPr="00F22A75">
          <w:rPr>
            <w:rFonts w:cs="Times New Roman"/>
            <w:noProof/>
            <w:webHidden/>
          </w:rPr>
          <w:fldChar w:fldCharType="separate"/>
        </w:r>
        <w:r w:rsidR="00897306">
          <w:rPr>
            <w:rFonts w:cs="Times New Roman"/>
            <w:noProof/>
            <w:webHidden/>
          </w:rPr>
          <w:t>62</w:t>
        </w:r>
        <w:r w:rsidRPr="00F22A75">
          <w:rPr>
            <w:rFonts w:cs="Times New Roman"/>
            <w:noProof/>
            <w:webHidden/>
          </w:rPr>
          <w:fldChar w:fldCharType="end"/>
        </w:r>
      </w:hyperlink>
    </w:p>
    <w:p w14:paraId="71A5AA8D" w14:textId="2A07046C" w:rsidR="00BF7E93" w:rsidRPr="00F22A75" w:rsidRDefault="00BF7E93" w:rsidP="00F22A75">
      <w:pPr>
        <w:pStyle w:val="TableofFigures"/>
        <w:tabs>
          <w:tab w:val="right" w:leader="dot" w:pos="8630"/>
        </w:tabs>
        <w:spacing w:line="480" w:lineRule="auto"/>
        <w:rPr>
          <w:rFonts w:eastAsiaTheme="minorEastAsia" w:cs="Times New Roman"/>
          <w:noProof/>
        </w:rPr>
      </w:pPr>
      <w:hyperlink w:anchor="_Toc202957553" w:history="1">
        <w:r w:rsidRPr="00F22A75">
          <w:rPr>
            <w:rStyle w:val="Hyperlink"/>
            <w:rFonts w:ascii="Times New Roman" w:hAnsi="Times New Roman" w:cs="Times New Roman"/>
            <w:noProof/>
          </w:rPr>
          <w:t>Figure 3.18. CHF-SERTTA PPMCCs for each input with respect to peak cladding heat flux.</w:t>
        </w:r>
        <w:r w:rsidRPr="00F22A75">
          <w:rPr>
            <w:rFonts w:cs="Times New Roman"/>
            <w:noProof/>
            <w:webHidden/>
          </w:rPr>
          <w:tab/>
        </w:r>
        <w:r w:rsidRPr="00F22A75">
          <w:rPr>
            <w:rFonts w:cs="Times New Roman"/>
            <w:noProof/>
            <w:webHidden/>
          </w:rPr>
          <w:fldChar w:fldCharType="begin"/>
        </w:r>
        <w:r w:rsidRPr="00F22A75">
          <w:rPr>
            <w:rFonts w:cs="Times New Roman"/>
            <w:noProof/>
            <w:webHidden/>
          </w:rPr>
          <w:instrText xml:space="preserve"> PAGEREF _Toc202957553 \h </w:instrText>
        </w:r>
        <w:r w:rsidRPr="00F22A75">
          <w:rPr>
            <w:rFonts w:cs="Times New Roman"/>
            <w:noProof/>
            <w:webHidden/>
          </w:rPr>
        </w:r>
        <w:r w:rsidRPr="00F22A75">
          <w:rPr>
            <w:rFonts w:cs="Times New Roman"/>
            <w:noProof/>
            <w:webHidden/>
          </w:rPr>
          <w:fldChar w:fldCharType="separate"/>
        </w:r>
        <w:r w:rsidR="00897306">
          <w:rPr>
            <w:rFonts w:cs="Times New Roman"/>
            <w:noProof/>
            <w:webHidden/>
          </w:rPr>
          <w:t>64</w:t>
        </w:r>
        <w:r w:rsidRPr="00F22A75">
          <w:rPr>
            <w:rFonts w:cs="Times New Roman"/>
            <w:noProof/>
            <w:webHidden/>
          </w:rPr>
          <w:fldChar w:fldCharType="end"/>
        </w:r>
      </w:hyperlink>
    </w:p>
    <w:p w14:paraId="7B8CD0FD" w14:textId="2D1A37F1" w:rsidR="00BF7E93" w:rsidRPr="00F22A75" w:rsidRDefault="00BF7E93" w:rsidP="00F22A75">
      <w:pPr>
        <w:pStyle w:val="TableofFigures"/>
        <w:tabs>
          <w:tab w:val="right" w:leader="dot" w:pos="8630"/>
        </w:tabs>
        <w:spacing w:line="480" w:lineRule="auto"/>
        <w:rPr>
          <w:rFonts w:eastAsiaTheme="minorEastAsia" w:cs="Times New Roman"/>
          <w:noProof/>
        </w:rPr>
      </w:pPr>
      <w:hyperlink w:anchor="_Toc202957554" w:history="1">
        <w:r w:rsidRPr="00F22A75">
          <w:rPr>
            <w:rStyle w:val="Hyperlink"/>
            <w:rFonts w:ascii="Times New Roman" w:hAnsi="Times New Roman" w:cs="Times New Roman"/>
            <w:noProof/>
          </w:rPr>
          <w:t>Figure 3.19. CHF-SERTTA PPMCCs for each input with respect to peak outer surface temperature.</w:t>
        </w:r>
        <w:r w:rsidRPr="00F22A75">
          <w:rPr>
            <w:rFonts w:cs="Times New Roman"/>
            <w:noProof/>
            <w:webHidden/>
          </w:rPr>
          <w:tab/>
        </w:r>
        <w:r w:rsidRPr="00F22A75">
          <w:rPr>
            <w:rFonts w:cs="Times New Roman"/>
            <w:noProof/>
            <w:webHidden/>
          </w:rPr>
          <w:fldChar w:fldCharType="begin"/>
        </w:r>
        <w:r w:rsidRPr="00F22A75">
          <w:rPr>
            <w:rFonts w:cs="Times New Roman"/>
            <w:noProof/>
            <w:webHidden/>
          </w:rPr>
          <w:instrText xml:space="preserve"> PAGEREF _Toc202957554 \h </w:instrText>
        </w:r>
        <w:r w:rsidRPr="00F22A75">
          <w:rPr>
            <w:rFonts w:cs="Times New Roman"/>
            <w:noProof/>
            <w:webHidden/>
          </w:rPr>
        </w:r>
        <w:r w:rsidRPr="00F22A75">
          <w:rPr>
            <w:rFonts w:cs="Times New Roman"/>
            <w:noProof/>
            <w:webHidden/>
          </w:rPr>
          <w:fldChar w:fldCharType="separate"/>
        </w:r>
        <w:r w:rsidR="00897306">
          <w:rPr>
            <w:rFonts w:cs="Times New Roman"/>
            <w:noProof/>
            <w:webHidden/>
          </w:rPr>
          <w:t>65</w:t>
        </w:r>
        <w:r w:rsidRPr="00F22A75">
          <w:rPr>
            <w:rFonts w:cs="Times New Roman"/>
            <w:noProof/>
            <w:webHidden/>
          </w:rPr>
          <w:fldChar w:fldCharType="end"/>
        </w:r>
      </w:hyperlink>
    </w:p>
    <w:p w14:paraId="643A7E28" w14:textId="19F9FB1D" w:rsidR="00BF7E93" w:rsidRPr="00F22A75" w:rsidRDefault="00BF7E93" w:rsidP="00F22A75">
      <w:pPr>
        <w:pStyle w:val="TableofFigures"/>
        <w:tabs>
          <w:tab w:val="right" w:leader="dot" w:pos="8630"/>
        </w:tabs>
        <w:spacing w:line="480" w:lineRule="auto"/>
        <w:rPr>
          <w:rFonts w:eastAsiaTheme="minorEastAsia" w:cs="Times New Roman"/>
          <w:noProof/>
        </w:rPr>
      </w:pPr>
      <w:hyperlink w:anchor="_Toc202957555" w:history="1">
        <w:r w:rsidRPr="00F22A75">
          <w:rPr>
            <w:rStyle w:val="Hyperlink"/>
            <w:rFonts w:ascii="Times New Roman" w:hAnsi="Times New Roman" w:cs="Times New Roman"/>
            <w:noProof/>
          </w:rPr>
          <w:t>Figure 3.20. CHF-SERTTA PPMCCs for each input with respect to time of CHF occurrence.</w:t>
        </w:r>
        <w:r w:rsidRPr="00F22A75">
          <w:rPr>
            <w:rFonts w:cs="Times New Roman"/>
            <w:noProof/>
            <w:webHidden/>
          </w:rPr>
          <w:tab/>
        </w:r>
        <w:r w:rsidRPr="00F22A75">
          <w:rPr>
            <w:rFonts w:cs="Times New Roman"/>
            <w:noProof/>
            <w:webHidden/>
          </w:rPr>
          <w:fldChar w:fldCharType="begin"/>
        </w:r>
        <w:r w:rsidRPr="00F22A75">
          <w:rPr>
            <w:rFonts w:cs="Times New Roman"/>
            <w:noProof/>
            <w:webHidden/>
          </w:rPr>
          <w:instrText xml:space="preserve"> PAGEREF _Toc202957555 \h </w:instrText>
        </w:r>
        <w:r w:rsidRPr="00F22A75">
          <w:rPr>
            <w:rFonts w:cs="Times New Roman"/>
            <w:noProof/>
            <w:webHidden/>
          </w:rPr>
        </w:r>
        <w:r w:rsidRPr="00F22A75">
          <w:rPr>
            <w:rFonts w:cs="Times New Roman"/>
            <w:noProof/>
            <w:webHidden/>
          </w:rPr>
          <w:fldChar w:fldCharType="separate"/>
        </w:r>
        <w:r w:rsidR="00897306">
          <w:rPr>
            <w:rFonts w:cs="Times New Roman"/>
            <w:noProof/>
            <w:webHidden/>
          </w:rPr>
          <w:t>66</w:t>
        </w:r>
        <w:r w:rsidRPr="00F22A75">
          <w:rPr>
            <w:rFonts w:cs="Times New Roman"/>
            <w:noProof/>
            <w:webHidden/>
          </w:rPr>
          <w:fldChar w:fldCharType="end"/>
        </w:r>
      </w:hyperlink>
    </w:p>
    <w:p w14:paraId="3306B54D" w14:textId="781B4399" w:rsidR="00BF7E93" w:rsidRPr="00F22A75" w:rsidRDefault="00BF7E93" w:rsidP="00F22A75">
      <w:pPr>
        <w:pStyle w:val="TableofFigures"/>
        <w:tabs>
          <w:tab w:val="right" w:leader="dot" w:pos="8630"/>
        </w:tabs>
        <w:spacing w:line="480" w:lineRule="auto"/>
        <w:rPr>
          <w:rFonts w:eastAsiaTheme="minorEastAsia" w:cs="Times New Roman"/>
          <w:noProof/>
        </w:rPr>
      </w:pPr>
      <w:hyperlink w:anchor="_Toc202957556" w:history="1">
        <w:r w:rsidRPr="00F22A75">
          <w:rPr>
            <w:rStyle w:val="Hyperlink"/>
            <w:rFonts w:ascii="Times New Roman" w:hAnsi="Times New Roman" w:cs="Times New Roman"/>
            <w:noProof/>
          </w:rPr>
          <w:t>Figure 3.21. CHF-SERTTA PPMCCs for each input with respect to time of cladding rewetting.</w:t>
        </w:r>
        <w:r w:rsidRPr="00F22A75">
          <w:rPr>
            <w:rFonts w:cs="Times New Roman"/>
            <w:noProof/>
            <w:webHidden/>
          </w:rPr>
          <w:tab/>
        </w:r>
        <w:r w:rsidRPr="00F22A75">
          <w:rPr>
            <w:rFonts w:cs="Times New Roman"/>
            <w:noProof/>
            <w:webHidden/>
          </w:rPr>
          <w:fldChar w:fldCharType="begin"/>
        </w:r>
        <w:r w:rsidRPr="00F22A75">
          <w:rPr>
            <w:rFonts w:cs="Times New Roman"/>
            <w:noProof/>
            <w:webHidden/>
          </w:rPr>
          <w:instrText xml:space="preserve"> PAGEREF _Toc202957556 \h </w:instrText>
        </w:r>
        <w:r w:rsidRPr="00F22A75">
          <w:rPr>
            <w:rFonts w:cs="Times New Roman"/>
            <w:noProof/>
            <w:webHidden/>
          </w:rPr>
        </w:r>
        <w:r w:rsidRPr="00F22A75">
          <w:rPr>
            <w:rFonts w:cs="Times New Roman"/>
            <w:noProof/>
            <w:webHidden/>
          </w:rPr>
          <w:fldChar w:fldCharType="separate"/>
        </w:r>
        <w:r w:rsidR="00897306">
          <w:rPr>
            <w:rFonts w:cs="Times New Roman"/>
            <w:noProof/>
            <w:webHidden/>
          </w:rPr>
          <w:t>67</w:t>
        </w:r>
        <w:r w:rsidRPr="00F22A75">
          <w:rPr>
            <w:rFonts w:cs="Times New Roman"/>
            <w:noProof/>
            <w:webHidden/>
          </w:rPr>
          <w:fldChar w:fldCharType="end"/>
        </w:r>
      </w:hyperlink>
    </w:p>
    <w:p w14:paraId="23660C9D" w14:textId="439EDAFA" w:rsidR="00BF7E93" w:rsidRPr="00F22A75" w:rsidRDefault="00BF7E93" w:rsidP="00F22A75">
      <w:pPr>
        <w:pStyle w:val="TableofFigures"/>
        <w:tabs>
          <w:tab w:val="right" w:leader="dot" w:pos="8630"/>
        </w:tabs>
        <w:spacing w:line="480" w:lineRule="auto"/>
        <w:rPr>
          <w:rFonts w:eastAsiaTheme="minorEastAsia" w:cs="Times New Roman"/>
          <w:noProof/>
        </w:rPr>
      </w:pPr>
      <w:hyperlink w:anchor="_Toc202957557" w:history="1">
        <w:r w:rsidRPr="00F22A75">
          <w:rPr>
            <w:rStyle w:val="Hyperlink"/>
            <w:rFonts w:ascii="Times New Roman" w:hAnsi="Times New Roman" w:cs="Times New Roman"/>
            <w:noProof/>
          </w:rPr>
          <w:t>Figure 3.22. Experimental Case SERTTA-A Transient 2 with Experimental Data From R. J. ARMSTRONG, et al. [116].</w:t>
        </w:r>
        <w:r w:rsidRPr="00F22A75">
          <w:rPr>
            <w:rFonts w:cs="Times New Roman"/>
            <w:noProof/>
            <w:webHidden/>
          </w:rPr>
          <w:tab/>
        </w:r>
        <w:r w:rsidRPr="00F22A75">
          <w:rPr>
            <w:rFonts w:cs="Times New Roman"/>
            <w:noProof/>
            <w:webHidden/>
          </w:rPr>
          <w:fldChar w:fldCharType="begin"/>
        </w:r>
        <w:r w:rsidRPr="00F22A75">
          <w:rPr>
            <w:rFonts w:cs="Times New Roman"/>
            <w:noProof/>
            <w:webHidden/>
          </w:rPr>
          <w:instrText xml:space="preserve"> PAGEREF _Toc202957557 \h </w:instrText>
        </w:r>
        <w:r w:rsidRPr="00F22A75">
          <w:rPr>
            <w:rFonts w:cs="Times New Roman"/>
            <w:noProof/>
            <w:webHidden/>
          </w:rPr>
        </w:r>
        <w:r w:rsidRPr="00F22A75">
          <w:rPr>
            <w:rFonts w:cs="Times New Roman"/>
            <w:noProof/>
            <w:webHidden/>
          </w:rPr>
          <w:fldChar w:fldCharType="separate"/>
        </w:r>
        <w:r w:rsidR="00897306">
          <w:rPr>
            <w:rFonts w:cs="Times New Roman"/>
            <w:noProof/>
            <w:webHidden/>
          </w:rPr>
          <w:t>69</w:t>
        </w:r>
        <w:r w:rsidRPr="00F22A75">
          <w:rPr>
            <w:rFonts w:cs="Times New Roman"/>
            <w:noProof/>
            <w:webHidden/>
          </w:rPr>
          <w:fldChar w:fldCharType="end"/>
        </w:r>
      </w:hyperlink>
    </w:p>
    <w:p w14:paraId="1CFE9B02" w14:textId="3AF7B645" w:rsidR="00BF7E93" w:rsidRPr="00F22A75" w:rsidRDefault="00BF7E93" w:rsidP="00F22A75">
      <w:pPr>
        <w:pStyle w:val="TableofFigures"/>
        <w:tabs>
          <w:tab w:val="right" w:leader="dot" w:pos="8630"/>
        </w:tabs>
        <w:spacing w:line="480" w:lineRule="auto"/>
        <w:rPr>
          <w:rFonts w:eastAsiaTheme="minorEastAsia" w:cs="Times New Roman"/>
          <w:noProof/>
        </w:rPr>
      </w:pPr>
      <w:hyperlink w:anchor="_Toc202957558" w:history="1">
        <w:r w:rsidRPr="00F22A75">
          <w:rPr>
            <w:rStyle w:val="Hyperlink"/>
            <w:rFonts w:ascii="Times New Roman" w:hAnsi="Times New Roman" w:cs="Times New Roman"/>
            <w:noProof/>
          </w:rPr>
          <w:t>Figure 3.23. Experimental Case SERTTA-B Transient 2 with Experimental Data From C. P. FOLSOM, et al. [45], R. J. ARMSTRONG, et al. [116].</w:t>
        </w:r>
        <w:r w:rsidRPr="00F22A75">
          <w:rPr>
            <w:rFonts w:cs="Times New Roman"/>
            <w:noProof/>
            <w:webHidden/>
          </w:rPr>
          <w:tab/>
        </w:r>
        <w:r w:rsidRPr="00F22A75">
          <w:rPr>
            <w:rFonts w:cs="Times New Roman"/>
            <w:noProof/>
            <w:webHidden/>
          </w:rPr>
          <w:fldChar w:fldCharType="begin"/>
        </w:r>
        <w:r w:rsidRPr="00F22A75">
          <w:rPr>
            <w:rFonts w:cs="Times New Roman"/>
            <w:noProof/>
            <w:webHidden/>
          </w:rPr>
          <w:instrText xml:space="preserve"> PAGEREF _Toc202957558 \h </w:instrText>
        </w:r>
        <w:r w:rsidRPr="00F22A75">
          <w:rPr>
            <w:rFonts w:cs="Times New Roman"/>
            <w:noProof/>
            <w:webHidden/>
          </w:rPr>
        </w:r>
        <w:r w:rsidRPr="00F22A75">
          <w:rPr>
            <w:rFonts w:cs="Times New Roman"/>
            <w:noProof/>
            <w:webHidden/>
          </w:rPr>
          <w:fldChar w:fldCharType="separate"/>
        </w:r>
        <w:r w:rsidR="00897306">
          <w:rPr>
            <w:rFonts w:cs="Times New Roman"/>
            <w:noProof/>
            <w:webHidden/>
          </w:rPr>
          <w:t>70</w:t>
        </w:r>
        <w:r w:rsidRPr="00F22A75">
          <w:rPr>
            <w:rFonts w:cs="Times New Roman"/>
            <w:noProof/>
            <w:webHidden/>
          </w:rPr>
          <w:fldChar w:fldCharType="end"/>
        </w:r>
      </w:hyperlink>
    </w:p>
    <w:p w14:paraId="6E8D6980" w14:textId="09A2343C" w:rsidR="00BF7E93" w:rsidRPr="00F22A75" w:rsidRDefault="00BF7E93" w:rsidP="00F22A75">
      <w:pPr>
        <w:pStyle w:val="TableofFigures"/>
        <w:tabs>
          <w:tab w:val="right" w:leader="dot" w:pos="8630"/>
        </w:tabs>
        <w:spacing w:line="480" w:lineRule="auto"/>
        <w:rPr>
          <w:rFonts w:eastAsiaTheme="minorEastAsia" w:cs="Times New Roman"/>
          <w:noProof/>
        </w:rPr>
      </w:pPr>
      <w:hyperlink w:anchor="_Toc202957559" w:history="1">
        <w:r w:rsidRPr="00F22A75">
          <w:rPr>
            <w:rStyle w:val="Hyperlink"/>
            <w:rFonts w:ascii="Times New Roman" w:hAnsi="Times New Roman" w:cs="Times New Roman"/>
            <w:noProof/>
          </w:rPr>
          <w:t>Figure 3.24. Representative RELAP5-3D Nodalization for the UNM Pool Boiling Facility</w:t>
        </w:r>
        <w:r w:rsidRPr="00F22A75">
          <w:rPr>
            <w:rFonts w:cs="Times New Roman"/>
            <w:noProof/>
            <w:webHidden/>
          </w:rPr>
          <w:tab/>
        </w:r>
        <w:r w:rsidRPr="00F22A75">
          <w:rPr>
            <w:rFonts w:cs="Times New Roman"/>
            <w:noProof/>
            <w:webHidden/>
          </w:rPr>
          <w:fldChar w:fldCharType="begin"/>
        </w:r>
        <w:r w:rsidRPr="00F22A75">
          <w:rPr>
            <w:rFonts w:cs="Times New Roman"/>
            <w:noProof/>
            <w:webHidden/>
          </w:rPr>
          <w:instrText xml:space="preserve"> PAGEREF _Toc202957559 \h </w:instrText>
        </w:r>
        <w:r w:rsidRPr="00F22A75">
          <w:rPr>
            <w:rFonts w:cs="Times New Roman"/>
            <w:noProof/>
            <w:webHidden/>
          </w:rPr>
        </w:r>
        <w:r w:rsidRPr="00F22A75">
          <w:rPr>
            <w:rFonts w:cs="Times New Roman"/>
            <w:noProof/>
            <w:webHidden/>
          </w:rPr>
          <w:fldChar w:fldCharType="separate"/>
        </w:r>
        <w:r w:rsidR="00897306">
          <w:rPr>
            <w:rFonts w:cs="Times New Roman"/>
            <w:noProof/>
            <w:webHidden/>
          </w:rPr>
          <w:t>73</w:t>
        </w:r>
        <w:r w:rsidRPr="00F22A75">
          <w:rPr>
            <w:rFonts w:cs="Times New Roman"/>
            <w:noProof/>
            <w:webHidden/>
          </w:rPr>
          <w:fldChar w:fldCharType="end"/>
        </w:r>
      </w:hyperlink>
    </w:p>
    <w:p w14:paraId="4215422B" w14:textId="6CAE06A1" w:rsidR="00BF7E93" w:rsidRPr="00F22A75" w:rsidRDefault="00BF7E93" w:rsidP="00F22A75">
      <w:pPr>
        <w:pStyle w:val="TableofFigures"/>
        <w:tabs>
          <w:tab w:val="right" w:leader="dot" w:pos="8630"/>
        </w:tabs>
        <w:spacing w:line="480" w:lineRule="auto"/>
        <w:rPr>
          <w:rFonts w:eastAsiaTheme="minorEastAsia" w:cs="Times New Roman"/>
          <w:noProof/>
        </w:rPr>
      </w:pPr>
      <w:hyperlink w:anchor="_Toc202957560" w:history="1">
        <w:r w:rsidRPr="00F22A75">
          <w:rPr>
            <w:rStyle w:val="Hyperlink"/>
            <w:rFonts w:ascii="Times New Roman" w:hAnsi="Times New Roman" w:cs="Times New Roman"/>
            <w:noProof/>
          </w:rPr>
          <w:t>Figure 3.25. Experimental Test Matrix for Vertical Pool Boiling Experiments Using Equation 3 with Varying Values of s M. HE and M. CHEN [21].</w:t>
        </w:r>
        <w:r w:rsidRPr="00F22A75">
          <w:rPr>
            <w:rFonts w:cs="Times New Roman"/>
            <w:noProof/>
            <w:webHidden/>
          </w:rPr>
          <w:tab/>
        </w:r>
        <w:r w:rsidRPr="00F22A75">
          <w:rPr>
            <w:rFonts w:cs="Times New Roman"/>
            <w:noProof/>
            <w:webHidden/>
          </w:rPr>
          <w:fldChar w:fldCharType="begin"/>
        </w:r>
        <w:r w:rsidRPr="00F22A75">
          <w:rPr>
            <w:rFonts w:cs="Times New Roman"/>
            <w:noProof/>
            <w:webHidden/>
          </w:rPr>
          <w:instrText xml:space="preserve"> PAGEREF _Toc202957560 \h </w:instrText>
        </w:r>
        <w:r w:rsidRPr="00F22A75">
          <w:rPr>
            <w:rFonts w:cs="Times New Roman"/>
            <w:noProof/>
            <w:webHidden/>
          </w:rPr>
        </w:r>
        <w:r w:rsidRPr="00F22A75">
          <w:rPr>
            <w:rFonts w:cs="Times New Roman"/>
            <w:noProof/>
            <w:webHidden/>
          </w:rPr>
          <w:fldChar w:fldCharType="separate"/>
        </w:r>
        <w:r w:rsidR="00897306">
          <w:rPr>
            <w:rFonts w:cs="Times New Roman"/>
            <w:noProof/>
            <w:webHidden/>
          </w:rPr>
          <w:t>75</w:t>
        </w:r>
        <w:r w:rsidRPr="00F22A75">
          <w:rPr>
            <w:rFonts w:cs="Times New Roman"/>
            <w:noProof/>
            <w:webHidden/>
          </w:rPr>
          <w:fldChar w:fldCharType="end"/>
        </w:r>
      </w:hyperlink>
    </w:p>
    <w:p w14:paraId="44985066" w14:textId="694A6D74" w:rsidR="00BF7E93" w:rsidRPr="00F22A75" w:rsidRDefault="00BF7E93" w:rsidP="00F22A75">
      <w:pPr>
        <w:pStyle w:val="TableofFigures"/>
        <w:tabs>
          <w:tab w:val="right" w:leader="dot" w:pos="8630"/>
        </w:tabs>
        <w:spacing w:line="480" w:lineRule="auto"/>
        <w:rPr>
          <w:rFonts w:eastAsiaTheme="minorEastAsia" w:cs="Times New Roman"/>
          <w:noProof/>
        </w:rPr>
      </w:pPr>
      <w:hyperlink w:anchor="_Toc202957561" w:history="1">
        <w:r w:rsidRPr="00F22A75">
          <w:rPr>
            <w:rStyle w:val="Hyperlink"/>
            <w:rFonts w:ascii="Times New Roman" w:hAnsi="Times New Roman" w:cs="Times New Roman"/>
            <w:noProof/>
          </w:rPr>
          <w:t>Figure 3.26. Comparison of Experimental RELAP5-3D Calculated Results for Horizontal and Vertical Test Sections Under Steady-State Conditions M. HE and M. CHEN [21], M. HE, A. F. ALI and M. CHEN [117].</w:t>
        </w:r>
        <w:r w:rsidRPr="00F22A75">
          <w:rPr>
            <w:rFonts w:cs="Times New Roman"/>
            <w:noProof/>
            <w:webHidden/>
          </w:rPr>
          <w:tab/>
        </w:r>
        <w:r w:rsidRPr="00F22A75">
          <w:rPr>
            <w:rFonts w:cs="Times New Roman"/>
            <w:noProof/>
            <w:webHidden/>
          </w:rPr>
          <w:fldChar w:fldCharType="begin"/>
        </w:r>
        <w:r w:rsidRPr="00F22A75">
          <w:rPr>
            <w:rFonts w:cs="Times New Roman"/>
            <w:noProof/>
            <w:webHidden/>
          </w:rPr>
          <w:instrText xml:space="preserve"> PAGEREF _Toc202957561 \h </w:instrText>
        </w:r>
        <w:r w:rsidRPr="00F22A75">
          <w:rPr>
            <w:rFonts w:cs="Times New Roman"/>
            <w:noProof/>
            <w:webHidden/>
          </w:rPr>
        </w:r>
        <w:r w:rsidRPr="00F22A75">
          <w:rPr>
            <w:rFonts w:cs="Times New Roman"/>
            <w:noProof/>
            <w:webHidden/>
          </w:rPr>
          <w:fldChar w:fldCharType="separate"/>
        </w:r>
        <w:r w:rsidR="00897306">
          <w:rPr>
            <w:rFonts w:cs="Times New Roman"/>
            <w:noProof/>
            <w:webHidden/>
          </w:rPr>
          <w:t>77</w:t>
        </w:r>
        <w:r w:rsidRPr="00F22A75">
          <w:rPr>
            <w:rFonts w:cs="Times New Roman"/>
            <w:noProof/>
            <w:webHidden/>
          </w:rPr>
          <w:fldChar w:fldCharType="end"/>
        </w:r>
      </w:hyperlink>
    </w:p>
    <w:p w14:paraId="22513EA9" w14:textId="721177AC" w:rsidR="00BF7E93" w:rsidRPr="00F22A75" w:rsidRDefault="00BF7E93" w:rsidP="00F22A75">
      <w:pPr>
        <w:pStyle w:val="TableofFigures"/>
        <w:tabs>
          <w:tab w:val="right" w:leader="dot" w:pos="8630"/>
        </w:tabs>
        <w:spacing w:line="480" w:lineRule="auto"/>
        <w:rPr>
          <w:rFonts w:eastAsiaTheme="minorEastAsia" w:cs="Times New Roman"/>
          <w:noProof/>
        </w:rPr>
      </w:pPr>
      <w:hyperlink w:anchor="_Toc202957562" w:history="1">
        <w:r w:rsidRPr="00F22A75">
          <w:rPr>
            <w:rStyle w:val="Hyperlink"/>
            <w:rFonts w:ascii="Times New Roman" w:hAnsi="Times New Roman" w:cs="Times New Roman"/>
            <w:noProof/>
          </w:rPr>
          <w:t>Figure 3.27. Comparison of Experimental RELAP5-3D Calculated Results for Horizontal and Vertical Test Sections Under Transient Conditions M. HE and M. CHEN [21], M. HE, A. F. ALI and M. CHEN [117].</w:t>
        </w:r>
        <w:r w:rsidRPr="00F22A75">
          <w:rPr>
            <w:rFonts w:cs="Times New Roman"/>
            <w:noProof/>
            <w:webHidden/>
          </w:rPr>
          <w:tab/>
        </w:r>
        <w:r w:rsidRPr="00F22A75">
          <w:rPr>
            <w:rFonts w:cs="Times New Roman"/>
            <w:noProof/>
            <w:webHidden/>
          </w:rPr>
          <w:fldChar w:fldCharType="begin"/>
        </w:r>
        <w:r w:rsidRPr="00F22A75">
          <w:rPr>
            <w:rFonts w:cs="Times New Roman"/>
            <w:noProof/>
            <w:webHidden/>
          </w:rPr>
          <w:instrText xml:space="preserve"> PAGEREF _Toc202957562 \h </w:instrText>
        </w:r>
        <w:r w:rsidRPr="00F22A75">
          <w:rPr>
            <w:rFonts w:cs="Times New Roman"/>
            <w:noProof/>
            <w:webHidden/>
          </w:rPr>
        </w:r>
        <w:r w:rsidRPr="00F22A75">
          <w:rPr>
            <w:rFonts w:cs="Times New Roman"/>
            <w:noProof/>
            <w:webHidden/>
          </w:rPr>
          <w:fldChar w:fldCharType="separate"/>
        </w:r>
        <w:r w:rsidR="00897306">
          <w:rPr>
            <w:rFonts w:cs="Times New Roman"/>
            <w:noProof/>
            <w:webHidden/>
          </w:rPr>
          <w:t>78</w:t>
        </w:r>
        <w:r w:rsidRPr="00F22A75">
          <w:rPr>
            <w:rFonts w:cs="Times New Roman"/>
            <w:noProof/>
            <w:webHidden/>
          </w:rPr>
          <w:fldChar w:fldCharType="end"/>
        </w:r>
      </w:hyperlink>
    </w:p>
    <w:p w14:paraId="21DD9890" w14:textId="39AF0895" w:rsidR="00BF7E93" w:rsidRPr="00F22A75" w:rsidRDefault="00BF7E93" w:rsidP="00F22A75">
      <w:pPr>
        <w:pStyle w:val="TableofFigures"/>
        <w:tabs>
          <w:tab w:val="right" w:leader="dot" w:pos="8630"/>
        </w:tabs>
        <w:spacing w:line="480" w:lineRule="auto"/>
        <w:rPr>
          <w:rFonts w:eastAsiaTheme="minorEastAsia" w:cs="Times New Roman"/>
          <w:noProof/>
        </w:rPr>
      </w:pPr>
      <w:hyperlink w:anchor="_Toc202957563" w:history="1">
        <w:r w:rsidRPr="00F22A75">
          <w:rPr>
            <w:rStyle w:val="Hyperlink"/>
            <w:rFonts w:ascii="Times New Roman" w:hAnsi="Times New Roman" w:cs="Times New Roman"/>
            <w:noProof/>
          </w:rPr>
          <w:t>Figure 3.28. Proposed CHF Performance Envelopes for TRTL Power Pulses.</w:t>
        </w:r>
        <w:r w:rsidRPr="00F22A75">
          <w:rPr>
            <w:rFonts w:cs="Times New Roman"/>
            <w:noProof/>
            <w:webHidden/>
          </w:rPr>
          <w:tab/>
        </w:r>
        <w:r w:rsidRPr="00F22A75">
          <w:rPr>
            <w:rFonts w:cs="Times New Roman"/>
            <w:noProof/>
            <w:webHidden/>
          </w:rPr>
          <w:fldChar w:fldCharType="begin"/>
        </w:r>
        <w:r w:rsidRPr="00F22A75">
          <w:rPr>
            <w:rFonts w:cs="Times New Roman"/>
            <w:noProof/>
            <w:webHidden/>
          </w:rPr>
          <w:instrText xml:space="preserve"> PAGEREF _Toc202957563 \h </w:instrText>
        </w:r>
        <w:r w:rsidRPr="00F22A75">
          <w:rPr>
            <w:rFonts w:cs="Times New Roman"/>
            <w:noProof/>
            <w:webHidden/>
          </w:rPr>
        </w:r>
        <w:r w:rsidRPr="00F22A75">
          <w:rPr>
            <w:rFonts w:cs="Times New Roman"/>
            <w:noProof/>
            <w:webHidden/>
          </w:rPr>
          <w:fldChar w:fldCharType="separate"/>
        </w:r>
        <w:r w:rsidR="00897306">
          <w:rPr>
            <w:rFonts w:cs="Times New Roman"/>
            <w:noProof/>
            <w:webHidden/>
          </w:rPr>
          <w:t>83</w:t>
        </w:r>
        <w:r w:rsidRPr="00F22A75">
          <w:rPr>
            <w:rFonts w:cs="Times New Roman"/>
            <w:noProof/>
            <w:webHidden/>
          </w:rPr>
          <w:fldChar w:fldCharType="end"/>
        </w:r>
      </w:hyperlink>
    </w:p>
    <w:p w14:paraId="4D328482" w14:textId="1FF65D4C" w:rsidR="00BF7E93" w:rsidRPr="00F22A75" w:rsidRDefault="00BF7E93" w:rsidP="00F22A75">
      <w:pPr>
        <w:pStyle w:val="TableofFigures"/>
        <w:tabs>
          <w:tab w:val="right" w:leader="dot" w:pos="8630"/>
        </w:tabs>
        <w:spacing w:line="480" w:lineRule="auto"/>
        <w:rPr>
          <w:rFonts w:eastAsiaTheme="minorEastAsia" w:cs="Times New Roman"/>
          <w:noProof/>
        </w:rPr>
      </w:pPr>
      <w:hyperlink w:anchor="_Toc202957564" w:history="1">
        <w:r w:rsidRPr="00F22A75">
          <w:rPr>
            <w:rStyle w:val="Hyperlink"/>
            <w:rFonts w:ascii="Times New Roman" w:hAnsi="Times New Roman" w:cs="Times New Roman"/>
            <w:noProof/>
          </w:rPr>
          <w:t>Figure 4.1. ANSYS rendering of a MiniFuel a) target, b) subcapsule, c) axisymmetric subcapsule.</w:t>
        </w:r>
        <w:r w:rsidRPr="00F22A75">
          <w:rPr>
            <w:rFonts w:cs="Times New Roman"/>
            <w:noProof/>
            <w:webHidden/>
          </w:rPr>
          <w:tab/>
        </w:r>
        <w:r w:rsidRPr="00F22A75">
          <w:rPr>
            <w:rFonts w:cs="Times New Roman"/>
            <w:noProof/>
            <w:webHidden/>
          </w:rPr>
          <w:fldChar w:fldCharType="begin"/>
        </w:r>
        <w:r w:rsidRPr="00F22A75">
          <w:rPr>
            <w:rFonts w:cs="Times New Roman"/>
            <w:noProof/>
            <w:webHidden/>
          </w:rPr>
          <w:instrText xml:space="preserve"> PAGEREF _Toc202957564 \h </w:instrText>
        </w:r>
        <w:r w:rsidRPr="00F22A75">
          <w:rPr>
            <w:rFonts w:cs="Times New Roman"/>
            <w:noProof/>
            <w:webHidden/>
          </w:rPr>
        </w:r>
        <w:r w:rsidRPr="00F22A75">
          <w:rPr>
            <w:rFonts w:cs="Times New Roman"/>
            <w:noProof/>
            <w:webHidden/>
          </w:rPr>
          <w:fldChar w:fldCharType="separate"/>
        </w:r>
        <w:r w:rsidR="00897306">
          <w:rPr>
            <w:rFonts w:cs="Times New Roman"/>
            <w:noProof/>
            <w:webHidden/>
          </w:rPr>
          <w:t>91</w:t>
        </w:r>
        <w:r w:rsidRPr="00F22A75">
          <w:rPr>
            <w:rFonts w:cs="Times New Roman"/>
            <w:noProof/>
            <w:webHidden/>
          </w:rPr>
          <w:fldChar w:fldCharType="end"/>
        </w:r>
      </w:hyperlink>
    </w:p>
    <w:p w14:paraId="261251E9" w14:textId="73005849" w:rsidR="00BF7E93" w:rsidRPr="00F22A75" w:rsidRDefault="00BF7E93" w:rsidP="00F22A75">
      <w:pPr>
        <w:pStyle w:val="TableofFigures"/>
        <w:tabs>
          <w:tab w:val="right" w:leader="dot" w:pos="8630"/>
        </w:tabs>
        <w:spacing w:line="480" w:lineRule="auto"/>
        <w:rPr>
          <w:rFonts w:eastAsiaTheme="minorEastAsia" w:cs="Times New Roman"/>
          <w:noProof/>
        </w:rPr>
      </w:pPr>
      <w:hyperlink w:anchor="_Toc202957565" w:history="1">
        <w:r w:rsidRPr="00F22A75">
          <w:rPr>
            <w:rStyle w:val="Hyperlink"/>
            <w:rFonts w:ascii="Times New Roman" w:hAnsi="Times New Roman" w:cs="Times New Roman"/>
            <w:noProof/>
          </w:rPr>
          <w:t>Figure 4.2. Morris Method parameter screening methodology.</w:t>
        </w:r>
        <w:r w:rsidRPr="00F22A75">
          <w:rPr>
            <w:rFonts w:cs="Times New Roman"/>
            <w:noProof/>
            <w:webHidden/>
          </w:rPr>
          <w:tab/>
        </w:r>
        <w:r w:rsidRPr="00F22A75">
          <w:rPr>
            <w:rFonts w:cs="Times New Roman"/>
            <w:noProof/>
            <w:webHidden/>
          </w:rPr>
          <w:fldChar w:fldCharType="begin"/>
        </w:r>
        <w:r w:rsidRPr="00F22A75">
          <w:rPr>
            <w:rFonts w:cs="Times New Roman"/>
            <w:noProof/>
            <w:webHidden/>
          </w:rPr>
          <w:instrText xml:space="preserve"> PAGEREF _Toc202957565 \h </w:instrText>
        </w:r>
        <w:r w:rsidRPr="00F22A75">
          <w:rPr>
            <w:rFonts w:cs="Times New Roman"/>
            <w:noProof/>
            <w:webHidden/>
          </w:rPr>
        </w:r>
        <w:r w:rsidRPr="00F22A75">
          <w:rPr>
            <w:rFonts w:cs="Times New Roman"/>
            <w:noProof/>
            <w:webHidden/>
          </w:rPr>
          <w:fldChar w:fldCharType="separate"/>
        </w:r>
        <w:r w:rsidR="00897306">
          <w:rPr>
            <w:rFonts w:cs="Times New Roman"/>
            <w:noProof/>
            <w:webHidden/>
          </w:rPr>
          <w:t>106</w:t>
        </w:r>
        <w:r w:rsidRPr="00F22A75">
          <w:rPr>
            <w:rFonts w:cs="Times New Roman"/>
            <w:noProof/>
            <w:webHidden/>
          </w:rPr>
          <w:fldChar w:fldCharType="end"/>
        </w:r>
      </w:hyperlink>
    </w:p>
    <w:p w14:paraId="27DD1397" w14:textId="25DE64E0" w:rsidR="00BF7E93" w:rsidRPr="00F22A75" w:rsidRDefault="00BF7E93" w:rsidP="00F22A75">
      <w:pPr>
        <w:pStyle w:val="TableofFigures"/>
        <w:tabs>
          <w:tab w:val="right" w:leader="dot" w:pos="8630"/>
        </w:tabs>
        <w:spacing w:line="480" w:lineRule="auto"/>
        <w:rPr>
          <w:rFonts w:eastAsiaTheme="minorEastAsia" w:cs="Times New Roman"/>
          <w:noProof/>
        </w:rPr>
      </w:pPr>
      <w:hyperlink w:anchor="_Toc202957566" w:history="1">
        <w:r w:rsidRPr="00F22A75">
          <w:rPr>
            <w:rStyle w:val="Hyperlink"/>
            <w:rFonts w:ascii="Times New Roman" w:hAnsi="Times New Roman" w:cs="Times New Roman"/>
            <w:noProof/>
          </w:rPr>
          <w:t>Figure 4.3. Morris parameter screening for high-temperature UO</w:t>
        </w:r>
        <w:r w:rsidRPr="00F22A75">
          <w:rPr>
            <w:rStyle w:val="Hyperlink"/>
            <w:rFonts w:ascii="Times New Roman" w:hAnsi="Times New Roman" w:cs="Times New Roman"/>
            <w:noProof/>
            <w:vertAlign w:val="subscript"/>
          </w:rPr>
          <w:t>2</w:t>
        </w:r>
        <w:r w:rsidRPr="00F22A75">
          <w:rPr>
            <w:rStyle w:val="Hyperlink"/>
            <w:rFonts w:ascii="Times New Roman" w:hAnsi="Times New Roman" w:cs="Times New Roman"/>
            <w:noProof/>
          </w:rPr>
          <w:t xml:space="preserve"> fuel with respect to average fuel temperature.</w:t>
        </w:r>
        <w:r w:rsidRPr="00F22A75">
          <w:rPr>
            <w:rFonts w:cs="Times New Roman"/>
            <w:noProof/>
            <w:webHidden/>
          </w:rPr>
          <w:tab/>
        </w:r>
        <w:r w:rsidRPr="00F22A75">
          <w:rPr>
            <w:rFonts w:cs="Times New Roman"/>
            <w:noProof/>
            <w:webHidden/>
          </w:rPr>
          <w:fldChar w:fldCharType="begin"/>
        </w:r>
        <w:r w:rsidRPr="00F22A75">
          <w:rPr>
            <w:rFonts w:cs="Times New Roman"/>
            <w:noProof/>
            <w:webHidden/>
          </w:rPr>
          <w:instrText xml:space="preserve"> PAGEREF _Toc202957566 \h </w:instrText>
        </w:r>
        <w:r w:rsidRPr="00F22A75">
          <w:rPr>
            <w:rFonts w:cs="Times New Roman"/>
            <w:noProof/>
            <w:webHidden/>
          </w:rPr>
        </w:r>
        <w:r w:rsidRPr="00F22A75">
          <w:rPr>
            <w:rFonts w:cs="Times New Roman"/>
            <w:noProof/>
            <w:webHidden/>
          </w:rPr>
          <w:fldChar w:fldCharType="separate"/>
        </w:r>
        <w:r w:rsidR="00897306">
          <w:rPr>
            <w:rFonts w:cs="Times New Roman"/>
            <w:noProof/>
            <w:webHidden/>
          </w:rPr>
          <w:t>112</w:t>
        </w:r>
        <w:r w:rsidRPr="00F22A75">
          <w:rPr>
            <w:rFonts w:cs="Times New Roman"/>
            <w:noProof/>
            <w:webHidden/>
          </w:rPr>
          <w:fldChar w:fldCharType="end"/>
        </w:r>
      </w:hyperlink>
    </w:p>
    <w:p w14:paraId="67454751" w14:textId="2C7D831B" w:rsidR="00BF7E93" w:rsidRPr="00F22A75" w:rsidRDefault="00BF7E93" w:rsidP="00F22A75">
      <w:pPr>
        <w:pStyle w:val="TableofFigures"/>
        <w:tabs>
          <w:tab w:val="right" w:leader="dot" w:pos="8630"/>
        </w:tabs>
        <w:spacing w:line="480" w:lineRule="auto"/>
        <w:rPr>
          <w:rFonts w:eastAsiaTheme="minorEastAsia" w:cs="Times New Roman"/>
          <w:noProof/>
        </w:rPr>
      </w:pPr>
      <w:hyperlink w:anchor="_Toc202957567" w:history="1">
        <w:r w:rsidRPr="00F22A75">
          <w:rPr>
            <w:rStyle w:val="Hyperlink"/>
            <w:rFonts w:ascii="Times New Roman" w:hAnsi="Times New Roman" w:cs="Times New Roman"/>
            <w:noProof/>
          </w:rPr>
          <w:t>Figure 4.4. Morris parameter screening for high-temperature UO</w:t>
        </w:r>
        <w:r w:rsidRPr="00F22A75">
          <w:rPr>
            <w:rStyle w:val="Hyperlink"/>
            <w:rFonts w:ascii="Times New Roman" w:hAnsi="Times New Roman" w:cs="Times New Roman"/>
            <w:noProof/>
            <w:vertAlign w:val="subscript"/>
          </w:rPr>
          <w:t>2</w:t>
        </w:r>
        <w:r w:rsidRPr="00F22A75">
          <w:rPr>
            <w:rStyle w:val="Hyperlink"/>
            <w:rFonts w:ascii="Times New Roman" w:hAnsi="Times New Roman" w:cs="Times New Roman"/>
            <w:noProof/>
          </w:rPr>
          <w:t xml:space="preserve"> fuel with respect to fuel temperature gradient.</w:t>
        </w:r>
        <w:r w:rsidRPr="00F22A75">
          <w:rPr>
            <w:rFonts w:cs="Times New Roman"/>
            <w:noProof/>
            <w:webHidden/>
          </w:rPr>
          <w:tab/>
        </w:r>
        <w:r w:rsidRPr="00F22A75">
          <w:rPr>
            <w:rFonts w:cs="Times New Roman"/>
            <w:noProof/>
            <w:webHidden/>
          </w:rPr>
          <w:fldChar w:fldCharType="begin"/>
        </w:r>
        <w:r w:rsidRPr="00F22A75">
          <w:rPr>
            <w:rFonts w:cs="Times New Roman"/>
            <w:noProof/>
            <w:webHidden/>
          </w:rPr>
          <w:instrText xml:space="preserve"> PAGEREF _Toc202957567 \h </w:instrText>
        </w:r>
        <w:r w:rsidRPr="00F22A75">
          <w:rPr>
            <w:rFonts w:cs="Times New Roman"/>
            <w:noProof/>
            <w:webHidden/>
          </w:rPr>
        </w:r>
        <w:r w:rsidRPr="00F22A75">
          <w:rPr>
            <w:rFonts w:cs="Times New Roman"/>
            <w:noProof/>
            <w:webHidden/>
          </w:rPr>
          <w:fldChar w:fldCharType="separate"/>
        </w:r>
        <w:r w:rsidR="00897306">
          <w:rPr>
            <w:rFonts w:cs="Times New Roman"/>
            <w:noProof/>
            <w:webHidden/>
          </w:rPr>
          <w:t>113</w:t>
        </w:r>
        <w:r w:rsidRPr="00F22A75">
          <w:rPr>
            <w:rFonts w:cs="Times New Roman"/>
            <w:noProof/>
            <w:webHidden/>
          </w:rPr>
          <w:fldChar w:fldCharType="end"/>
        </w:r>
      </w:hyperlink>
    </w:p>
    <w:p w14:paraId="67CDE8DB" w14:textId="5DC5F4AF" w:rsidR="00BF7E93" w:rsidRPr="00F22A75" w:rsidRDefault="00BF7E93" w:rsidP="00F22A75">
      <w:pPr>
        <w:pStyle w:val="TableofFigures"/>
        <w:tabs>
          <w:tab w:val="right" w:leader="dot" w:pos="8630"/>
        </w:tabs>
        <w:spacing w:line="480" w:lineRule="auto"/>
        <w:rPr>
          <w:rFonts w:eastAsiaTheme="minorEastAsia" w:cs="Times New Roman"/>
          <w:noProof/>
        </w:rPr>
      </w:pPr>
      <w:hyperlink w:anchor="_Toc202957568" w:history="1">
        <w:r w:rsidRPr="00F22A75">
          <w:rPr>
            <w:rStyle w:val="Hyperlink"/>
            <w:rFonts w:ascii="Times New Roman" w:hAnsi="Times New Roman" w:cs="Times New Roman"/>
            <w:noProof/>
          </w:rPr>
          <w:t>Figure 4.5. Morris parameter screening for low-temperature UO</w:t>
        </w:r>
        <w:r w:rsidRPr="00F22A75">
          <w:rPr>
            <w:rStyle w:val="Hyperlink"/>
            <w:rFonts w:ascii="Times New Roman" w:hAnsi="Times New Roman" w:cs="Times New Roman"/>
            <w:noProof/>
            <w:vertAlign w:val="subscript"/>
          </w:rPr>
          <w:t>2</w:t>
        </w:r>
        <w:r w:rsidRPr="00F22A75">
          <w:rPr>
            <w:rStyle w:val="Hyperlink"/>
            <w:rFonts w:ascii="Times New Roman" w:hAnsi="Times New Roman" w:cs="Times New Roman"/>
            <w:noProof/>
          </w:rPr>
          <w:t xml:space="preserve"> fuel with respect to average fuel temperature.</w:t>
        </w:r>
        <w:r w:rsidRPr="00F22A75">
          <w:rPr>
            <w:rFonts w:cs="Times New Roman"/>
            <w:noProof/>
            <w:webHidden/>
          </w:rPr>
          <w:tab/>
        </w:r>
        <w:r w:rsidRPr="00F22A75">
          <w:rPr>
            <w:rFonts w:cs="Times New Roman"/>
            <w:noProof/>
            <w:webHidden/>
          </w:rPr>
          <w:fldChar w:fldCharType="begin"/>
        </w:r>
        <w:r w:rsidRPr="00F22A75">
          <w:rPr>
            <w:rFonts w:cs="Times New Roman"/>
            <w:noProof/>
            <w:webHidden/>
          </w:rPr>
          <w:instrText xml:space="preserve"> PAGEREF _Toc202957568 \h </w:instrText>
        </w:r>
        <w:r w:rsidRPr="00F22A75">
          <w:rPr>
            <w:rFonts w:cs="Times New Roman"/>
            <w:noProof/>
            <w:webHidden/>
          </w:rPr>
        </w:r>
        <w:r w:rsidRPr="00F22A75">
          <w:rPr>
            <w:rFonts w:cs="Times New Roman"/>
            <w:noProof/>
            <w:webHidden/>
          </w:rPr>
          <w:fldChar w:fldCharType="separate"/>
        </w:r>
        <w:r w:rsidR="00897306">
          <w:rPr>
            <w:rFonts w:cs="Times New Roman"/>
            <w:noProof/>
            <w:webHidden/>
          </w:rPr>
          <w:t>114</w:t>
        </w:r>
        <w:r w:rsidRPr="00F22A75">
          <w:rPr>
            <w:rFonts w:cs="Times New Roman"/>
            <w:noProof/>
            <w:webHidden/>
          </w:rPr>
          <w:fldChar w:fldCharType="end"/>
        </w:r>
      </w:hyperlink>
    </w:p>
    <w:p w14:paraId="616B121E" w14:textId="32118A09" w:rsidR="00BF7E93" w:rsidRPr="00F22A75" w:rsidRDefault="00BF7E93" w:rsidP="00F22A75">
      <w:pPr>
        <w:pStyle w:val="TableofFigures"/>
        <w:tabs>
          <w:tab w:val="right" w:leader="dot" w:pos="8630"/>
        </w:tabs>
        <w:spacing w:line="480" w:lineRule="auto"/>
        <w:rPr>
          <w:rFonts w:eastAsiaTheme="minorEastAsia" w:cs="Times New Roman"/>
          <w:noProof/>
        </w:rPr>
      </w:pPr>
      <w:hyperlink w:anchor="_Toc202957569" w:history="1">
        <w:r w:rsidRPr="00F22A75">
          <w:rPr>
            <w:rStyle w:val="Hyperlink"/>
            <w:rFonts w:ascii="Times New Roman" w:hAnsi="Times New Roman" w:cs="Times New Roman"/>
            <w:noProof/>
          </w:rPr>
          <w:t>Figure 4.6. Morris parameter screening for low-temperature UO</w:t>
        </w:r>
        <w:r w:rsidRPr="00F22A75">
          <w:rPr>
            <w:rStyle w:val="Hyperlink"/>
            <w:rFonts w:ascii="Times New Roman" w:hAnsi="Times New Roman" w:cs="Times New Roman"/>
            <w:noProof/>
            <w:vertAlign w:val="subscript"/>
          </w:rPr>
          <w:t>2</w:t>
        </w:r>
        <w:r w:rsidRPr="00F22A75">
          <w:rPr>
            <w:rStyle w:val="Hyperlink"/>
            <w:rFonts w:ascii="Times New Roman" w:hAnsi="Times New Roman" w:cs="Times New Roman"/>
            <w:noProof/>
          </w:rPr>
          <w:t xml:space="preserve"> fuel with respect to fuel temperature gradient.</w:t>
        </w:r>
        <w:r w:rsidRPr="00F22A75">
          <w:rPr>
            <w:rFonts w:cs="Times New Roman"/>
            <w:noProof/>
            <w:webHidden/>
          </w:rPr>
          <w:tab/>
        </w:r>
        <w:r w:rsidRPr="00F22A75">
          <w:rPr>
            <w:rFonts w:cs="Times New Roman"/>
            <w:noProof/>
            <w:webHidden/>
          </w:rPr>
          <w:fldChar w:fldCharType="begin"/>
        </w:r>
        <w:r w:rsidRPr="00F22A75">
          <w:rPr>
            <w:rFonts w:cs="Times New Roman"/>
            <w:noProof/>
            <w:webHidden/>
          </w:rPr>
          <w:instrText xml:space="preserve"> PAGEREF _Toc202957569 \h </w:instrText>
        </w:r>
        <w:r w:rsidRPr="00F22A75">
          <w:rPr>
            <w:rFonts w:cs="Times New Roman"/>
            <w:noProof/>
            <w:webHidden/>
          </w:rPr>
        </w:r>
        <w:r w:rsidRPr="00F22A75">
          <w:rPr>
            <w:rFonts w:cs="Times New Roman"/>
            <w:noProof/>
            <w:webHidden/>
          </w:rPr>
          <w:fldChar w:fldCharType="separate"/>
        </w:r>
        <w:r w:rsidR="00897306">
          <w:rPr>
            <w:rFonts w:cs="Times New Roman"/>
            <w:noProof/>
            <w:webHidden/>
          </w:rPr>
          <w:t>115</w:t>
        </w:r>
        <w:r w:rsidRPr="00F22A75">
          <w:rPr>
            <w:rFonts w:cs="Times New Roman"/>
            <w:noProof/>
            <w:webHidden/>
          </w:rPr>
          <w:fldChar w:fldCharType="end"/>
        </w:r>
      </w:hyperlink>
    </w:p>
    <w:p w14:paraId="63A2ECB3" w14:textId="75FEBB69" w:rsidR="00BF7E93" w:rsidRPr="00F22A75" w:rsidRDefault="00BF7E93" w:rsidP="00F22A75">
      <w:pPr>
        <w:pStyle w:val="TableofFigures"/>
        <w:tabs>
          <w:tab w:val="right" w:leader="dot" w:pos="8630"/>
        </w:tabs>
        <w:spacing w:line="480" w:lineRule="auto"/>
        <w:rPr>
          <w:rFonts w:eastAsiaTheme="minorEastAsia" w:cs="Times New Roman"/>
          <w:noProof/>
        </w:rPr>
      </w:pPr>
      <w:hyperlink w:anchor="_Toc202957570" w:history="1">
        <w:r w:rsidRPr="00F22A75">
          <w:rPr>
            <w:rStyle w:val="Hyperlink"/>
            <w:rFonts w:ascii="Times New Roman" w:hAnsi="Times New Roman" w:cs="Times New Roman"/>
            <w:noProof/>
          </w:rPr>
          <w:t>Figure 4.7. Total Sobol index convergence for high-temperature UO</w:t>
        </w:r>
        <w:r w:rsidRPr="00F22A75">
          <w:rPr>
            <w:rStyle w:val="Hyperlink"/>
            <w:rFonts w:ascii="Times New Roman" w:hAnsi="Times New Roman" w:cs="Times New Roman"/>
            <w:noProof/>
            <w:vertAlign w:val="subscript"/>
          </w:rPr>
          <w:t>2</w:t>
        </w:r>
        <w:r w:rsidRPr="00F22A75">
          <w:rPr>
            <w:rStyle w:val="Hyperlink"/>
            <w:rFonts w:ascii="Times New Roman" w:hAnsi="Times New Roman" w:cs="Times New Roman"/>
            <w:noProof/>
          </w:rPr>
          <w:t xml:space="preserve"> fuel with respect to average fuel temperature.</w:t>
        </w:r>
        <w:r w:rsidRPr="00F22A75">
          <w:rPr>
            <w:rFonts w:cs="Times New Roman"/>
            <w:noProof/>
            <w:webHidden/>
          </w:rPr>
          <w:tab/>
        </w:r>
        <w:r w:rsidRPr="00F22A75">
          <w:rPr>
            <w:rFonts w:cs="Times New Roman"/>
            <w:noProof/>
            <w:webHidden/>
          </w:rPr>
          <w:fldChar w:fldCharType="begin"/>
        </w:r>
        <w:r w:rsidRPr="00F22A75">
          <w:rPr>
            <w:rFonts w:cs="Times New Roman"/>
            <w:noProof/>
            <w:webHidden/>
          </w:rPr>
          <w:instrText xml:space="preserve"> PAGEREF _Toc202957570 \h </w:instrText>
        </w:r>
        <w:r w:rsidRPr="00F22A75">
          <w:rPr>
            <w:rFonts w:cs="Times New Roman"/>
            <w:noProof/>
            <w:webHidden/>
          </w:rPr>
        </w:r>
        <w:r w:rsidRPr="00F22A75">
          <w:rPr>
            <w:rFonts w:cs="Times New Roman"/>
            <w:noProof/>
            <w:webHidden/>
          </w:rPr>
          <w:fldChar w:fldCharType="separate"/>
        </w:r>
        <w:r w:rsidR="00897306">
          <w:rPr>
            <w:rFonts w:cs="Times New Roman"/>
            <w:noProof/>
            <w:webHidden/>
          </w:rPr>
          <w:t>118</w:t>
        </w:r>
        <w:r w:rsidRPr="00F22A75">
          <w:rPr>
            <w:rFonts w:cs="Times New Roman"/>
            <w:noProof/>
            <w:webHidden/>
          </w:rPr>
          <w:fldChar w:fldCharType="end"/>
        </w:r>
      </w:hyperlink>
    </w:p>
    <w:p w14:paraId="7C5F8D21" w14:textId="1CADCA70" w:rsidR="00BF7E93" w:rsidRPr="00F22A75" w:rsidRDefault="00BF7E93" w:rsidP="00F22A75">
      <w:pPr>
        <w:pStyle w:val="TableofFigures"/>
        <w:tabs>
          <w:tab w:val="right" w:leader="dot" w:pos="8630"/>
        </w:tabs>
        <w:spacing w:line="480" w:lineRule="auto"/>
        <w:rPr>
          <w:rFonts w:eastAsiaTheme="minorEastAsia" w:cs="Times New Roman"/>
          <w:noProof/>
        </w:rPr>
      </w:pPr>
      <w:hyperlink w:anchor="_Toc202957571" w:history="1">
        <w:r w:rsidRPr="00F22A75">
          <w:rPr>
            <w:rStyle w:val="Hyperlink"/>
            <w:rFonts w:ascii="Times New Roman" w:hAnsi="Times New Roman" w:cs="Times New Roman"/>
            <w:noProof/>
          </w:rPr>
          <w:t>Figure 4.8. Total Sobol indices for high-temperature UO</w:t>
        </w:r>
        <w:r w:rsidRPr="00F22A75">
          <w:rPr>
            <w:rStyle w:val="Hyperlink"/>
            <w:rFonts w:ascii="Times New Roman" w:hAnsi="Times New Roman" w:cs="Times New Roman"/>
            <w:noProof/>
            <w:vertAlign w:val="subscript"/>
          </w:rPr>
          <w:t>2</w:t>
        </w:r>
        <w:r w:rsidRPr="00F22A75">
          <w:rPr>
            <w:rStyle w:val="Hyperlink"/>
            <w:rFonts w:ascii="Times New Roman" w:hAnsi="Times New Roman" w:cs="Times New Roman"/>
            <w:noProof/>
          </w:rPr>
          <w:t xml:space="preserve"> fuel with respect to each POI (including the primary subcapsule design parameters).</w:t>
        </w:r>
        <w:r w:rsidRPr="00F22A75">
          <w:rPr>
            <w:rFonts w:cs="Times New Roman"/>
            <w:noProof/>
            <w:webHidden/>
          </w:rPr>
          <w:tab/>
        </w:r>
        <w:r w:rsidRPr="00F22A75">
          <w:rPr>
            <w:rFonts w:cs="Times New Roman"/>
            <w:noProof/>
            <w:webHidden/>
          </w:rPr>
          <w:fldChar w:fldCharType="begin"/>
        </w:r>
        <w:r w:rsidRPr="00F22A75">
          <w:rPr>
            <w:rFonts w:cs="Times New Roman"/>
            <w:noProof/>
            <w:webHidden/>
          </w:rPr>
          <w:instrText xml:space="preserve"> PAGEREF _Toc202957571 \h </w:instrText>
        </w:r>
        <w:r w:rsidRPr="00F22A75">
          <w:rPr>
            <w:rFonts w:cs="Times New Roman"/>
            <w:noProof/>
            <w:webHidden/>
          </w:rPr>
        </w:r>
        <w:r w:rsidRPr="00F22A75">
          <w:rPr>
            <w:rFonts w:cs="Times New Roman"/>
            <w:noProof/>
            <w:webHidden/>
          </w:rPr>
          <w:fldChar w:fldCharType="separate"/>
        </w:r>
        <w:r w:rsidR="00897306">
          <w:rPr>
            <w:rFonts w:cs="Times New Roman"/>
            <w:noProof/>
            <w:webHidden/>
          </w:rPr>
          <w:t>119</w:t>
        </w:r>
        <w:r w:rsidRPr="00F22A75">
          <w:rPr>
            <w:rFonts w:cs="Times New Roman"/>
            <w:noProof/>
            <w:webHidden/>
          </w:rPr>
          <w:fldChar w:fldCharType="end"/>
        </w:r>
      </w:hyperlink>
    </w:p>
    <w:p w14:paraId="78B61FB9" w14:textId="6A76A40F" w:rsidR="00BF7E93" w:rsidRPr="00F22A75" w:rsidRDefault="00BF7E93" w:rsidP="00F22A75">
      <w:pPr>
        <w:pStyle w:val="TableofFigures"/>
        <w:tabs>
          <w:tab w:val="right" w:leader="dot" w:pos="8630"/>
        </w:tabs>
        <w:spacing w:line="480" w:lineRule="auto"/>
        <w:rPr>
          <w:rFonts w:eastAsiaTheme="minorEastAsia" w:cs="Times New Roman"/>
          <w:noProof/>
        </w:rPr>
      </w:pPr>
      <w:hyperlink w:anchor="_Toc202957572" w:history="1">
        <w:r w:rsidRPr="00F22A75">
          <w:rPr>
            <w:rStyle w:val="Hyperlink"/>
            <w:rFonts w:ascii="Times New Roman" w:hAnsi="Times New Roman" w:cs="Times New Roman"/>
            <w:noProof/>
          </w:rPr>
          <w:t>Figure 4.9. Total Sobol indices for low-temperature UO</w:t>
        </w:r>
        <w:r w:rsidRPr="00F22A75">
          <w:rPr>
            <w:rStyle w:val="Hyperlink"/>
            <w:rFonts w:ascii="Times New Roman" w:hAnsi="Times New Roman" w:cs="Times New Roman"/>
            <w:noProof/>
            <w:vertAlign w:val="subscript"/>
          </w:rPr>
          <w:t>2</w:t>
        </w:r>
        <w:r w:rsidRPr="00F22A75">
          <w:rPr>
            <w:rStyle w:val="Hyperlink"/>
            <w:rFonts w:ascii="Times New Roman" w:hAnsi="Times New Roman" w:cs="Times New Roman"/>
            <w:noProof/>
          </w:rPr>
          <w:t xml:space="preserve"> fuel with respect to each POI (including the primary subcapsule design parameters).</w:t>
        </w:r>
        <w:r w:rsidRPr="00F22A75">
          <w:rPr>
            <w:rFonts w:cs="Times New Roman"/>
            <w:noProof/>
            <w:webHidden/>
          </w:rPr>
          <w:tab/>
        </w:r>
        <w:r w:rsidRPr="00F22A75">
          <w:rPr>
            <w:rFonts w:cs="Times New Roman"/>
            <w:noProof/>
            <w:webHidden/>
          </w:rPr>
          <w:fldChar w:fldCharType="begin"/>
        </w:r>
        <w:r w:rsidRPr="00F22A75">
          <w:rPr>
            <w:rFonts w:cs="Times New Roman"/>
            <w:noProof/>
            <w:webHidden/>
          </w:rPr>
          <w:instrText xml:space="preserve"> PAGEREF _Toc202957572 \h </w:instrText>
        </w:r>
        <w:r w:rsidRPr="00F22A75">
          <w:rPr>
            <w:rFonts w:cs="Times New Roman"/>
            <w:noProof/>
            <w:webHidden/>
          </w:rPr>
        </w:r>
        <w:r w:rsidRPr="00F22A75">
          <w:rPr>
            <w:rFonts w:cs="Times New Roman"/>
            <w:noProof/>
            <w:webHidden/>
          </w:rPr>
          <w:fldChar w:fldCharType="separate"/>
        </w:r>
        <w:r w:rsidR="00897306">
          <w:rPr>
            <w:rFonts w:cs="Times New Roman"/>
            <w:noProof/>
            <w:webHidden/>
          </w:rPr>
          <w:t>120</w:t>
        </w:r>
        <w:r w:rsidRPr="00F22A75">
          <w:rPr>
            <w:rFonts w:cs="Times New Roman"/>
            <w:noProof/>
            <w:webHidden/>
          </w:rPr>
          <w:fldChar w:fldCharType="end"/>
        </w:r>
      </w:hyperlink>
    </w:p>
    <w:p w14:paraId="7DEBFC68" w14:textId="63BC2129" w:rsidR="00BF7E93" w:rsidRPr="00F22A75" w:rsidRDefault="00BF7E93" w:rsidP="00F22A75">
      <w:pPr>
        <w:pStyle w:val="TableofFigures"/>
        <w:tabs>
          <w:tab w:val="right" w:leader="dot" w:pos="8630"/>
        </w:tabs>
        <w:spacing w:line="480" w:lineRule="auto"/>
        <w:rPr>
          <w:rFonts w:eastAsiaTheme="minorEastAsia" w:cs="Times New Roman"/>
          <w:noProof/>
        </w:rPr>
      </w:pPr>
      <w:hyperlink w:anchor="_Toc202957573" w:history="1">
        <w:r w:rsidRPr="00F22A75">
          <w:rPr>
            <w:rStyle w:val="Hyperlink"/>
            <w:rFonts w:ascii="Times New Roman" w:hAnsi="Times New Roman" w:cs="Times New Roman"/>
            <w:noProof/>
          </w:rPr>
          <w:t>Figure 4.10. Total Sobol indices for high-temperature UO</w:t>
        </w:r>
        <w:r w:rsidRPr="00F22A75">
          <w:rPr>
            <w:rStyle w:val="Hyperlink"/>
            <w:rFonts w:ascii="Times New Roman" w:hAnsi="Times New Roman" w:cs="Times New Roman"/>
            <w:noProof/>
            <w:vertAlign w:val="subscript"/>
          </w:rPr>
          <w:t>2</w:t>
        </w:r>
        <w:r w:rsidRPr="00F22A75">
          <w:rPr>
            <w:rStyle w:val="Hyperlink"/>
            <w:rFonts w:ascii="Times New Roman" w:hAnsi="Times New Roman" w:cs="Times New Roman"/>
            <w:noProof/>
          </w:rPr>
          <w:t xml:space="preserve"> fuel with respect to each POI (not including the primary subcapsule design parameters).</w:t>
        </w:r>
        <w:r w:rsidRPr="00F22A75">
          <w:rPr>
            <w:rFonts w:cs="Times New Roman"/>
            <w:noProof/>
            <w:webHidden/>
          </w:rPr>
          <w:tab/>
        </w:r>
        <w:r w:rsidRPr="00F22A75">
          <w:rPr>
            <w:rFonts w:cs="Times New Roman"/>
            <w:noProof/>
            <w:webHidden/>
          </w:rPr>
          <w:fldChar w:fldCharType="begin"/>
        </w:r>
        <w:r w:rsidRPr="00F22A75">
          <w:rPr>
            <w:rFonts w:cs="Times New Roman"/>
            <w:noProof/>
            <w:webHidden/>
          </w:rPr>
          <w:instrText xml:space="preserve"> PAGEREF _Toc202957573 \h </w:instrText>
        </w:r>
        <w:r w:rsidRPr="00F22A75">
          <w:rPr>
            <w:rFonts w:cs="Times New Roman"/>
            <w:noProof/>
            <w:webHidden/>
          </w:rPr>
        </w:r>
        <w:r w:rsidRPr="00F22A75">
          <w:rPr>
            <w:rFonts w:cs="Times New Roman"/>
            <w:noProof/>
            <w:webHidden/>
          </w:rPr>
          <w:fldChar w:fldCharType="separate"/>
        </w:r>
        <w:r w:rsidR="00897306">
          <w:rPr>
            <w:rFonts w:cs="Times New Roman"/>
            <w:noProof/>
            <w:webHidden/>
          </w:rPr>
          <w:t>121</w:t>
        </w:r>
        <w:r w:rsidRPr="00F22A75">
          <w:rPr>
            <w:rFonts w:cs="Times New Roman"/>
            <w:noProof/>
            <w:webHidden/>
          </w:rPr>
          <w:fldChar w:fldCharType="end"/>
        </w:r>
      </w:hyperlink>
    </w:p>
    <w:p w14:paraId="613F19E4" w14:textId="5A3CD006" w:rsidR="00BF7E93" w:rsidRPr="00F22A75" w:rsidRDefault="00BF7E93" w:rsidP="00F22A75">
      <w:pPr>
        <w:pStyle w:val="TableofFigures"/>
        <w:tabs>
          <w:tab w:val="right" w:leader="dot" w:pos="8630"/>
        </w:tabs>
        <w:spacing w:line="480" w:lineRule="auto"/>
        <w:rPr>
          <w:rFonts w:eastAsiaTheme="minorEastAsia" w:cs="Times New Roman"/>
          <w:noProof/>
        </w:rPr>
      </w:pPr>
      <w:hyperlink w:anchor="_Toc202957574" w:history="1">
        <w:r w:rsidRPr="00F22A75">
          <w:rPr>
            <w:rStyle w:val="Hyperlink"/>
            <w:rFonts w:ascii="Times New Roman" w:hAnsi="Times New Roman" w:cs="Times New Roman"/>
            <w:noProof/>
          </w:rPr>
          <w:t>Figure 4.11. Total Sobol indices for low-temperature UO</w:t>
        </w:r>
        <w:r w:rsidRPr="00F22A75">
          <w:rPr>
            <w:rStyle w:val="Hyperlink"/>
            <w:rFonts w:ascii="Times New Roman" w:hAnsi="Times New Roman" w:cs="Times New Roman"/>
            <w:noProof/>
            <w:vertAlign w:val="subscript"/>
          </w:rPr>
          <w:t>2</w:t>
        </w:r>
        <w:r w:rsidRPr="00F22A75">
          <w:rPr>
            <w:rStyle w:val="Hyperlink"/>
            <w:rFonts w:ascii="Times New Roman" w:hAnsi="Times New Roman" w:cs="Times New Roman"/>
            <w:noProof/>
          </w:rPr>
          <w:t xml:space="preserve"> fuel with respect to each POI (not including the primary subcapsule design parameters).</w:t>
        </w:r>
        <w:r w:rsidRPr="00F22A75">
          <w:rPr>
            <w:rFonts w:cs="Times New Roman"/>
            <w:noProof/>
            <w:webHidden/>
          </w:rPr>
          <w:tab/>
        </w:r>
        <w:r w:rsidRPr="00F22A75">
          <w:rPr>
            <w:rFonts w:cs="Times New Roman"/>
            <w:noProof/>
            <w:webHidden/>
          </w:rPr>
          <w:fldChar w:fldCharType="begin"/>
        </w:r>
        <w:r w:rsidRPr="00F22A75">
          <w:rPr>
            <w:rFonts w:cs="Times New Roman"/>
            <w:noProof/>
            <w:webHidden/>
          </w:rPr>
          <w:instrText xml:space="preserve"> PAGEREF _Toc202957574 \h </w:instrText>
        </w:r>
        <w:r w:rsidRPr="00F22A75">
          <w:rPr>
            <w:rFonts w:cs="Times New Roman"/>
            <w:noProof/>
            <w:webHidden/>
          </w:rPr>
        </w:r>
        <w:r w:rsidRPr="00F22A75">
          <w:rPr>
            <w:rFonts w:cs="Times New Roman"/>
            <w:noProof/>
            <w:webHidden/>
          </w:rPr>
          <w:fldChar w:fldCharType="separate"/>
        </w:r>
        <w:r w:rsidR="00897306">
          <w:rPr>
            <w:rFonts w:cs="Times New Roman"/>
            <w:noProof/>
            <w:webHidden/>
          </w:rPr>
          <w:t>122</w:t>
        </w:r>
        <w:r w:rsidRPr="00F22A75">
          <w:rPr>
            <w:rFonts w:cs="Times New Roman"/>
            <w:noProof/>
            <w:webHidden/>
          </w:rPr>
          <w:fldChar w:fldCharType="end"/>
        </w:r>
      </w:hyperlink>
    </w:p>
    <w:p w14:paraId="4CD12043" w14:textId="140AA111" w:rsidR="00BF7E93" w:rsidRPr="00F22A75" w:rsidRDefault="00BF7E93" w:rsidP="00F22A75">
      <w:pPr>
        <w:pStyle w:val="TableofFigures"/>
        <w:tabs>
          <w:tab w:val="right" w:leader="dot" w:pos="8630"/>
        </w:tabs>
        <w:spacing w:line="480" w:lineRule="auto"/>
        <w:rPr>
          <w:rFonts w:eastAsiaTheme="minorEastAsia" w:cs="Times New Roman"/>
          <w:noProof/>
        </w:rPr>
      </w:pPr>
      <w:hyperlink w:anchor="_Toc202957575" w:history="1">
        <w:r w:rsidRPr="00F22A75">
          <w:rPr>
            <w:rStyle w:val="Hyperlink"/>
            <w:rFonts w:ascii="Times New Roman" w:hAnsi="Times New Roman" w:cs="Times New Roman"/>
            <w:noProof/>
          </w:rPr>
          <w:t>Figure 4.12. Histogram of average fuel temperature for the high-temperature UO</w:t>
        </w:r>
        <w:r w:rsidRPr="00F22A75">
          <w:rPr>
            <w:rStyle w:val="Hyperlink"/>
            <w:rFonts w:ascii="Times New Roman" w:hAnsi="Times New Roman" w:cs="Times New Roman"/>
            <w:noProof/>
            <w:vertAlign w:val="subscript"/>
          </w:rPr>
          <w:t>2</w:t>
        </w:r>
        <w:r w:rsidRPr="00F22A75">
          <w:rPr>
            <w:rStyle w:val="Hyperlink"/>
            <w:rFonts w:ascii="Times New Roman" w:hAnsi="Times New Roman" w:cs="Times New Roman"/>
            <w:noProof/>
          </w:rPr>
          <w:t xml:space="preserve"> fuel Sobol analysis.</w:t>
        </w:r>
        <w:r w:rsidRPr="00F22A75">
          <w:rPr>
            <w:rFonts w:cs="Times New Roman"/>
            <w:noProof/>
            <w:webHidden/>
          </w:rPr>
          <w:tab/>
        </w:r>
        <w:r w:rsidRPr="00F22A75">
          <w:rPr>
            <w:rFonts w:cs="Times New Roman"/>
            <w:noProof/>
            <w:webHidden/>
          </w:rPr>
          <w:fldChar w:fldCharType="begin"/>
        </w:r>
        <w:r w:rsidRPr="00F22A75">
          <w:rPr>
            <w:rFonts w:cs="Times New Roman"/>
            <w:noProof/>
            <w:webHidden/>
          </w:rPr>
          <w:instrText xml:space="preserve"> PAGEREF _Toc202957575 \h </w:instrText>
        </w:r>
        <w:r w:rsidRPr="00F22A75">
          <w:rPr>
            <w:rFonts w:cs="Times New Roman"/>
            <w:noProof/>
            <w:webHidden/>
          </w:rPr>
        </w:r>
        <w:r w:rsidRPr="00F22A75">
          <w:rPr>
            <w:rFonts w:cs="Times New Roman"/>
            <w:noProof/>
            <w:webHidden/>
          </w:rPr>
          <w:fldChar w:fldCharType="separate"/>
        </w:r>
        <w:r w:rsidR="00897306">
          <w:rPr>
            <w:rFonts w:cs="Times New Roman"/>
            <w:noProof/>
            <w:webHidden/>
          </w:rPr>
          <w:t>123</w:t>
        </w:r>
        <w:r w:rsidRPr="00F22A75">
          <w:rPr>
            <w:rFonts w:cs="Times New Roman"/>
            <w:noProof/>
            <w:webHidden/>
          </w:rPr>
          <w:fldChar w:fldCharType="end"/>
        </w:r>
      </w:hyperlink>
    </w:p>
    <w:p w14:paraId="0DCF7B6A" w14:textId="2FC860B0" w:rsidR="00BF7E93" w:rsidRPr="00F22A75" w:rsidRDefault="00BF7E93" w:rsidP="00F22A75">
      <w:pPr>
        <w:pStyle w:val="TableofFigures"/>
        <w:tabs>
          <w:tab w:val="right" w:leader="dot" w:pos="8630"/>
        </w:tabs>
        <w:spacing w:line="480" w:lineRule="auto"/>
        <w:rPr>
          <w:rFonts w:eastAsiaTheme="minorEastAsia" w:cs="Times New Roman"/>
          <w:noProof/>
        </w:rPr>
      </w:pPr>
      <w:hyperlink w:anchor="_Toc202957576" w:history="1">
        <w:r w:rsidRPr="00F22A75">
          <w:rPr>
            <w:rStyle w:val="Hyperlink"/>
            <w:rFonts w:ascii="Times New Roman" w:hAnsi="Times New Roman" w:cs="Times New Roman"/>
            <w:noProof/>
          </w:rPr>
          <w:t>Figure 4.13. Histogram of average fuel temperature for the low-temperature UO</w:t>
        </w:r>
        <w:r w:rsidRPr="00F22A75">
          <w:rPr>
            <w:rStyle w:val="Hyperlink"/>
            <w:rFonts w:ascii="Times New Roman" w:hAnsi="Times New Roman" w:cs="Times New Roman"/>
            <w:noProof/>
            <w:vertAlign w:val="subscript"/>
          </w:rPr>
          <w:t>2</w:t>
        </w:r>
        <w:r w:rsidRPr="00F22A75">
          <w:rPr>
            <w:rStyle w:val="Hyperlink"/>
            <w:rFonts w:ascii="Times New Roman" w:hAnsi="Times New Roman" w:cs="Times New Roman"/>
            <w:noProof/>
          </w:rPr>
          <w:t xml:space="preserve"> fuel Sobol analysis.</w:t>
        </w:r>
        <w:r w:rsidRPr="00F22A75">
          <w:rPr>
            <w:rFonts w:cs="Times New Roman"/>
            <w:noProof/>
            <w:webHidden/>
          </w:rPr>
          <w:tab/>
        </w:r>
        <w:r w:rsidRPr="00F22A75">
          <w:rPr>
            <w:rFonts w:cs="Times New Roman"/>
            <w:noProof/>
            <w:webHidden/>
          </w:rPr>
          <w:fldChar w:fldCharType="begin"/>
        </w:r>
        <w:r w:rsidRPr="00F22A75">
          <w:rPr>
            <w:rFonts w:cs="Times New Roman"/>
            <w:noProof/>
            <w:webHidden/>
          </w:rPr>
          <w:instrText xml:space="preserve"> PAGEREF _Toc202957576 \h </w:instrText>
        </w:r>
        <w:r w:rsidRPr="00F22A75">
          <w:rPr>
            <w:rFonts w:cs="Times New Roman"/>
            <w:noProof/>
            <w:webHidden/>
          </w:rPr>
        </w:r>
        <w:r w:rsidRPr="00F22A75">
          <w:rPr>
            <w:rFonts w:cs="Times New Roman"/>
            <w:noProof/>
            <w:webHidden/>
          </w:rPr>
          <w:fldChar w:fldCharType="separate"/>
        </w:r>
        <w:r w:rsidR="00897306">
          <w:rPr>
            <w:rFonts w:cs="Times New Roman"/>
            <w:noProof/>
            <w:webHidden/>
          </w:rPr>
          <w:t>124</w:t>
        </w:r>
        <w:r w:rsidRPr="00F22A75">
          <w:rPr>
            <w:rFonts w:cs="Times New Roman"/>
            <w:noProof/>
            <w:webHidden/>
          </w:rPr>
          <w:fldChar w:fldCharType="end"/>
        </w:r>
      </w:hyperlink>
    </w:p>
    <w:p w14:paraId="6BBE5983" w14:textId="14CF54DC" w:rsidR="00BF7E93" w:rsidRPr="00F22A75" w:rsidRDefault="00BF7E93" w:rsidP="00F22A75">
      <w:pPr>
        <w:pStyle w:val="TableofFigures"/>
        <w:tabs>
          <w:tab w:val="right" w:leader="dot" w:pos="8630"/>
        </w:tabs>
        <w:spacing w:line="480" w:lineRule="auto"/>
        <w:rPr>
          <w:rFonts w:eastAsiaTheme="minorEastAsia" w:cs="Times New Roman"/>
          <w:noProof/>
        </w:rPr>
      </w:pPr>
      <w:hyperlink w:anchor="_Toc202957577" w:history="1">
        <w:r w:rsidRPr="00F22A75">
          <w:rPr>
            <w:rStyle w:val="Hyperlink"/>
            <w:rFonts w:ascii="Times New Roman" w:hAnsi="Times New Roman" w:cs="Times New Roman"/>
            <w:noProof/>
          </w:rPr>
          <w:t>Figure 4.14. Thermal contact conductance between two surfaces in mechanical contact.</w:t>
        </w:r>
        <w:r w:rsidRPr="00F22A75">
          <w:rPr>
            <w:rFonts w:cs="Times New Roman"/>
            <w:noProof/>
            <w:webHidden/>
          </w:rPr>
          <w:tab/>
        </w:r>
        <w:r w:rsidRPr="00F22A75">
          <w:rPr>
            <w:rFonts w:cs="Times New Roman"/>
            <w:noProof/>
            <w:webHidden/>
          </w:rPr>
          <w:fldChar w:fldCharType="begin"/>
        </w:r>
        <w:r w:rsidRPr="00F22A75">
          <w:rPr>
            <w:rFonts w:cs="Times New Roman"/>
            <w:noProof/>
            <w:webHidden/>
          </w:rPr>
          <w:instrText xml:space="preserve"> PAGEREF _Toc202957577 \h </w:instrText>
        </w:r>
        <w:r w:rsidRPr="00F22A75">
          <w:rPr>
            <w:rFonts w:cs="Times New Roman"/>
            <w:noProof/>
            <w:webHidden/>
          </w:rPr>
        </w:r>
        <w:r w:rsidRPr="00F22A75">
          <w:rPr>
            <w:rFonts w:cs="Times New Roman"/>
            <w:noProof/>
            <w:webHidden/>
          </w:rPr>
          <w:fldChar w:fldCharType="separate"/>
        </w:r>
        <w:r w:rsidR="00897306">
          <w:rPr>
            <w:rFonts w:cs="Times New Roman"/>
            <w:noProof/>
            <w:webHidden/>
          </w:rPr>
          <w:t>117</w:t>
        </w:r>
        <w:r w:rsidRPr="00F22A75">
          <w:rPr>
            <w:rFonts w:cs="Times New Roman"/>
            <w:noProof/>
            <w:webHidden/>
          </w:rPr>
          <w:fldChar w:fldCharType="end"/>
        </w:r>
      </w:hyperlink>
    </w:p>
    <w:p w14:paraId="007CE5CA" w14:textId="70673007" w:rsidR="00BF7E93" w:rsidRPr="00F22A75" w:rsidRDefault="00BF7E93" w:rsidP="00F22A75">
      <w:pPr>
        <w:pStyle w:val="TableofFigures"/>
        <w:tabs>
          <w:tab w:val="right" w:leader="dot" w:pos="8630"/>
        </w:tabs>
        <w:spacing w:line="480" w:lineRule="auto"/>
        <w:rPr>
          <w:rFonts w:eastAsiaTheme="minorEastAsia" w:cs="Times New Roman"/>
          <w:noProof/>
        </w:rPr>
      </w:pPr>
      <w:hyperlink w:anchor="_Toc202957578" w:history="1">
        <w:r w:rsidRPr="00F22A75">
          <w:rPr>
            <w:rStyle w:val="Hyperlink"/>
            <w:rFonts w:ascii="Times New Roman" w:hAnsi="Times New Roman" w:cs="Times New Roman"/>
            <w:noProof/>
          </w:rPr>
          <w:t>Figure 4.15. R-Z BISON model with boundary conditions for code coupling.</w:t>
        </w:r>
        <w:r w:rsidRPr="00F22A75">
          <w:rPr>
            <w:rFonts w:cs="Times New Roman"/>
            <w:noProof/>
            <w:webHidden/>
          </w:rPr>
          <w:tab/>
        </w:r>
        <w:r w:rsidRPr="00F22A75">
          <w:rPr>
            <w:rFonts w:cs="Times New Roman"/>
            <w:noProof/>
            <w:webHidden/>
          </w:rPr>
          <w:fldChar w:fldCharType="begin"/>
        </w:r>
        <w:r w:rsidRPr="00F22A75">
          <w:rPr>
            <w:rFonts w:cs="Times New Roman"/>
            <w:noProof/>
            <w:webHidden/>
          </w:rPr>
          <w:instrText xml:space="preserve"> PAGEREF _Toc202957578 \h </w:instrText>
        </w:r>
        <w:r w:rsidRPr="00F22A75">
          <w:rPr>
            <w:rFonts w:cs="Times New Roman"/>
            <w:noProof/>
            <w:webHidden/>
          </w:rPr>
        </w:r>
        <w:r w:rsidRPr="00F22A75">
          <w:rPr>
            <w:rFonts w:cs="Times New Roman"/>
            <w:noProof/>
            <w:webHidden/>
          </w:rPr>
          <w:fldChar w:fldCharType="separate"/>
        </w:r>
        <w:r w:rsidR="00897306">
          <w:rPr>
            <w:rFonts w:cs="Times New Roman"/>
            <w:noProof/>
            <w:webHidden/>
          </w:rPr>
          <w:t>129</w:t>
        </w:r>
        <w:r w:rsidRPr="00F22A75">
          <w:rPr>
            <w:rFonts w:cs="Times New Roman"/>
            <w:noProof/>
            <w:webHidden/>
          </w:rPr>
          <w:fldChar w:fldCharType="end"/>
        </w:r>
      </w:hyperlink>
    </w:p>
    <w:p w14:paraId="528818C6" w14:textId="35EE70D6" w:rsidR="00BF7E93" w:rsidRPr="00F22A75" w:rsidRDefault="00BF7E93" w:rsidP="00F22A75">
      <w:pPr>
        <w:pStyle w:val="TableofFigures"/>
        <w:tabs>
          <w:tab w:val="right" w:leader="dot" w:pos="8630"/>
        </w:tabs>
        <w:spacing w:line="480" w:lineRule="auto"/>
        <w:rPr>
          <w:rFonts w:eastAsiaTheme="minorEastAsia" w:cs="Times New Roman"/>
          <w:noProof/>
        </w:rPr>
      </w:pPr>
      <w:hyperlink w:anchor="_Toc202957579" w:history="1">
        <w:r w:rsidRPr="00F22A75">
          <w:rPr>
            <w:rStyle w:val="Hyperlink"/>
            <w:rFonts w:ascii="Times New Roman" w:hAnsi="Times New Roman" w:cs="Times New Roman"/>
            <w:noProof/>
          </w:rPr>
          <w:t>Figure 4.16. Total Sobol indices Sobol sensitivity parameters of UO</w:t>
        </w:r>
        <w:r w:rsidRPr="00F22A75">
          <w:rPr>
            <w:rStyle w:val="Hyperlink"/>
            <w:rFonts w:ascii="Times New Roman" w:hAnsi="Times New Roman" w:cs="Times New Roman"/>
            <w:noProof/>
            <w:vertAlign w:val="subscript"/>
          </w:rPr>
          <w:t>2</w:t>
        </w:r>
        <w:r w:rsidRPr="00F22A75">
          <w:rPr>
            <w:rStyle w:val="Hyperlink"/>
            <w:rFonts w:ascii="Times New Roman" w:hAnsi="Times New Roman" w:cs="Times New Roman"/>
            <w:noProof/>
          </w:rPr>
          <w:t xml:space="preserve"> MiniFuel TCC parameters at 1000°C target temperature using a standalone Python model.</w:t>
        </w:r>
        <w:r w:rsidRPr="00F22A75">
          <w:rPr>
            <w:rFonts w:cs="Times New Roman"/>
            <w:noProof/>
            <w:webHidden/>
          </w:rPr>
          <w:tab/>
        </w:r>
        <w:r w:rsidRPr="00F22A75">
          <w:rPr>
            <w:rFonts w:cs="Times New Roman"/>
            <w:noProof/>
            <w:webHidden/>
          </w:rPr>
          <w:fldChar w:fldCharType="begin"/>
        </w:r>
        <w:r w:rsidRPr="00F22A75">
          <w:rPr>
            <w:rFonts w:cs="Times New Roman"/>
            <w:noProof/>
            <w:webHidden/>
          </w:rPr>
          <w:instrText xml:space="preserve"> PAGEREF _Toc202957579 \h </w:instrText>
        </w:r>
        <w:r w:rsidRPr="00F22A75">
          <w:rPr>
            <w:rFonts w:cs="Times New Roman"/>
            <w:noProof/>
            <w:webHidden/>
          </w:rPr>
        </w:r>
        <w:r w:rsidRPr="00F22A75">
          <w:rPr>
            <w:rFonts w:cs="Times New Roman"/>
            <w:noProof/>
            <w:webHidden/>
          </w:rPr>
          <w:fldChar w:fldCharType="separate"/>
        </w:r>
        <w:r w:rsidR="00897306">
          <w:rPr>
            <w:rFonts w:cs="Times New Roman"/>
            <w:noProof/>
            <w:webHidden/>
          </w:rPr>
          <w:t>132</w:t>
        </w:r>
        <w:r w:rsidRPr="00F22A75">
          <w:rPr>
            <w:rFonts w:cs="Times New Roman"/>
            <w:noProof/>
            <w:webHidden/>
          </w:rPr>
          <w:fldChar w:fldCharType="end"/>
        </w:r>
      </w:hyperlink>
    </w:p>
    <w:p w14:paraId="4A2B4C15" w14:textId="3E6D88FF" w:rsidR="00BF7E93" w:rsidRPr="00F22A75" w:rsidRDefault="00BF7E93" w:rsidP="00F22A75">
      <w:pPr>
        <w:pStyle w:val="TableofFigures"/>
        <w:tabs>
          <w:tab w:val="right" w:leader="dot" w:pos="8630"/>
        </w:tabs>
        <w:spacing w:line="480" w:lineRule="auto"/>
        <w:rPr>
          <w:rFonts w:eastAsiaTheme="minorEastAsia" w:cs="Times New Roman"/>
          <w:noProof/>
        </w:rPr>
      </w:pPr>
      <w:hyperlink w:anchor="_Toc202957580" w:history="1">
        <w:r w:rsidRPr="00F22A75">
          <w:rPr>
            <w:rStyle w:val="Hyperlink"/>
            <w:rFonts w:ascii="Times New Roman" w:hAnsi="Times New Roman" w:cs="Times New Roman"/>
            <w:noProof/>
          </w:rPr>
          <w:t>Figure 4.17. Total Sobol indices of UO</w:t>
        </w:r>
        <w:r w:rsidRPr="00F22A75">
          <w:rPr>
            <w:rStyle w:val="Hyperlink"/>
            <w:rFonts w:ascii="Times New Roman" w:hAnsi="Times New Roman" w:cs="Times New Roman"/>
            <w:noProof/>
            <w:vertAlign w:val="subscript"/>
          </w:rPr>
          <w:t>2</w:t>
        </w:r>
        <w:r w:rsidRPr="00F22A75">
          <w:rPr>
            <w:rStyle w:val="Hyperlink"/>
            <w:rFonts w:ascii="Times New Roman" w:hAnsi="Times New Roman" w:cs="Times New Roman"/>
            <w:noProof/>
          </w:rPr>
          <w:t xml:space="preserve"> MiniFuel TCC parameters at 1000°C target temperature and 80 GWd/MTU using a coupled Python-BISON model.</w:t>
        </w:r>
        <w:r w:rsidRPr="00F22A75">
          <w:rPr>
            <w:rFonts w:cs="Times New Roman"/>
            <w:noProof/>
            <w:webHidden/>
          </w:rPr>
          <w:tab/>
        </w:r>
        <w:r w:rsidRPr="00F22A75">
          <w:rPr>
            <w:rFonts w:cs="Times New Roman"/>
            <w:noProof/>
            <w:webHidden/>
          </w:rPr>
          <w:fldChar w:fldCharType="begin"/>
        </w:r>
        <w:r w:rsidRPr="00F22A75">
          <w:rPr>
            <w:rFonts w:cs="Times New Roman"/>
            <w:noProof/>
            <w:webHidden/>
          </w:rPr>
          <w:instrText xml:space="preserve"> PAGEREF _Toc202957580 \h </w:instrText>
        </w:r>
        <w:r w:rsidRPr="00F22A75">
          <w:rPr>
            <w:rFonts w:cs="Times New Roman"/>
            <w:noProof/>
            <w:webHidden/>
          </w:rPr>
        </w:r>
        <w:r w:rsidRPr="00F22A75">
          <w:rPr>
            <w:rFonts w:cs="Times New Roman"/>
            <w:noProof/>
            <w:webHidden/>
          </w:rPr>
          <w:fldChar w:fldCharType="separate"/>
        </w:r>
        <w:r w:rsidR="00897306">
          <w:rPr>
            <w:rFonts w:cs="Times New Roman"/>
            <w:noProof/>
            <w:webHidden/>
          </w:rPr>
          <w:t>134</w:t>
        </w:r>
        <w:r w:rsidRPr="00F22A75">
          <w:rPr>
            <w:rFonts w:cs="Times New Roman"/>
            <w:noProof/>
            <w:webHidden/>
          </w:rPr>
          <w:fldChar w:fldCharType="end"/>
        </w:r>
      </w:hyperlink>
    </w:p>
    <w:p w14:paraId="7A1292FF" w14:textId="316AF88C" w:rsidR="00BF7E93" w:rsidRPr="00F22A75" w:rsidRDefault="00BF7E93" w:rsidP="00F22A75">
      <w:pPr>
        <w:pStyle w:val="TableofFigures"/>
        <w:tabs>
          <w:tab w:val="right" w:leader="dot" w:pos="8630"/>
        </w:tabs>
        <w:spacing w:line="480" w:lineRule="auto"/>
        <w:rPr>
          <w:rFonts w:eastAsiaTheme="minorEastAsia" w:cs="Times New Roman"/>
          <w:noProof/>
        </w:rPr>
      </w:pPr>
      <w:hyperlink w:anchor="_Toc202957581" w:history="1">
        <w:r w:rsidRPr="00F22A75">
          <w:rPr>
            <w:rStyle w:val="Hyperlink"/>
            <w:rFonts w:ascii="Times New Roman" w:hAnsi="Times New Roman" w:cs="Times New Roman"/>
            <w:noProof/>
          </w:rPr>
          <w:t>Figure 4.18. Interface temperature variations of UO</w:t>
        </w:r>
        <w:r w:rsidRPr="00F22A75">
          <w:rPr>
            <w:rStyle w:val="Hyperlink"/>
            <w:rFonts w:ascii="Times New Roman" w:hAnsi="Times New Roman" w:cs="Times New Roman"/>
            <w:noProof/>
            <w:vertAlign w:val="subscript"/>
          </w:rPr>
          <w:t>2</w:t>
        </w:r>
        <w:r w:rsidRPr="00F22A75">
          <w:rPr>
            <w:rStyle w:val="Hyperlink"/>
            <w:rFonts w:ascii="Times New Roman" w:hAnsi="Times New Roman" w:cs="Times New Roman"/>
            <w:noProof/>
          </w:rPr>
          <w:t xml:space="preserve"> MiniFuel subcapsules with target temperatures of 800°C, 1000°C, and 1200°C.</w:t>
        </w:r>
        <w:r w:rsidRPr="00F22A75">
          <w:rPr>
            <w:rFonts w:cs="Times New Roman"/>
            <w:noProof/>
            <w:webHidden/>
          </w:rPr>
          <w:tab/>
        </w:r>
        <w:r w:rsidRPr="00F22A75">
          <w:rPr>
            <w:rFonts w:cs="Times New Roman"/>
            <w:noProof/>
            <w:webHidden/>
          </w:rPr>
          <w:fldChar w:fldCharType="begin"/>
        </w:r>
        <w:r w:rsidRPr="00F22A75">
          <w:rPr>
            <w:rFonts w:cs="Times New Roman"/>
            <w:noProof/>
            <w:webHidden/>
          </w:rPr>
          <w:instrText xml:space="preserve"> PAGEREF _Toc202957581 \h </w:instrText>
        </w:r>
        <w:r w:rsidRPr="00F22A75">
          <w:rPr>
            <w:rFonts w:cs="Times New Roman"/>
            <w:noProof/>
            <w:webHidden/>
          </w:rPr>
        </w:r>
        <w:r w:rsidRPr="00F22A75">
          <w:rPr>
            <w:rFonts w:cs="Times New Roman"/>
            <w:noProof/>
            <w:webHidden/>
          </w:rPr>
          <w:fldChar w:fldCharType="separate"/>
        </w:r>
        <w:r w:rsidR="00897306">
          <w:rPr>
            <w:rFonts w:cs="Times New Roman"/>
            <w:noProof/>
            <w:webHidden/>
          </w:rPr>
          <w:t>136</w:t>
        </w:r>
        <w:r w:rsidRPr="00F22A75">
          <w:rPr>
            <w:rFonts w:cs="Times New Roman"/>
            <w:noProof/>
            <w:webHidden/>
          </w:rPr>
          <w:fldChar w:fldCharType="end"/>
        </w:r>
      </w:hyperlink>
    </w:p>
    <w:p w14:paraId="359E4AE1" w14:textId="3F9759EB" w:rsidR="00BF7E93" w:rsidRPr="00F22A75" w:rsidRDefault="00BF7E93" w:rsidP="00F22A75">
      <w:pPr>
        <w:pStyle w:val="TableofFigures"/>
        <w:tabs>
          <w:tab w:val="right" w:leader="dot" w:pos="8630"/>
        </w:tabs>
        <w:spacing w:line="480" w:lineRule="auto"/>
        <w:rPr>
          <w:rFonts w:eastAsiaTheme="minorEastAsia" w:cs="Times New Roman"/>
          <w:noProof/>
        </w:rPr>
      </w:pPr>
      <w:hyperlink w:anchor="_Toc202957582" w:history="1">
        <w:r w:rsidRPr="00F22A75">
          <w:rPr>
            <w:rStyle w:val="Hyperlink"/>
            <w:rFonts w:ascii="Times New Roman" w:hAnsi="Times New Roman" w:cs="Times New Roman"/>
            <w:noProof/>
          </w:rPr>
          <w:t>Figure 4.19. Histograms of UO</w:t>
        </w:r>
        <w:r w:rsidRPr="00F22A75">
          <w:rPr>
            <w:rStyle w:val="Hyperlink"/>
            <w:rFonts w:ascii="Times New Roman" w:hAnsi="Times New Roman" w:cs="Times New Roman"/>
            <w:noProof/>
            <w:vertAlign w:val="subscript"/>
          </w:rPr>
          <w:t>2</w:t>
        </w:r>
        <w:r w:rsidRPr="00F22A75">
          <w:rPr>
            <w:rStyle w:val="Hyperlink"/>
            <w:rFonts w:ascii="Times New Roman" w:hAnsi="Times New Roman" w:cs="Times New Roman"/>
            <w:noProof/>
          </w:rPr>
          <w:t xml:space="preserve"> MiniFuel specimens at 80 GWd/MTU with target temperatures of 800°C, 1000°C, and 1200°C.</w:t>
        </w:r>
        <w:r w:rsidRPr="00F22A75">
          <w:rPr>
            <w:rFonts w:cs="Times New Roman"/>
            <w:noProof/>
            <w:webHidden/>
          </w:rPr>
          <w:tab/>
        </w:r>
        <w:r w:rsidRPr="00F22A75">
          <w:rPr>
            <w:rFonts w:cs="Times New Roman"/>
            <w:noProof/>
            <w:webHidden/>
          </w:rPr>
          <w:fldChar w:fldCharType="begin"/>
        </w:r>
        <w:r w:rsidRPr="00F22A75">
          <w:rPr>
            <w:rFonts w:cs="Times New Roman"/>
            <w:noProof/>
            <w:webHidden/>
          </w:rPr>
          <w:instrText xml:space="preserve"> PAGEREF _Toc202957582 \h </w:instrText>
        </w:r>
        <w:r w:rsidRPr="00F22A75">
          <w:rPr>
            <w:rFonts w:cs="Times New Roman"/>
            <w:noProof/>
            <w:webHidden/>
          </w:rPr>
        </w:r>
        <w:r w:rsidRPr="00F22A75">
          <w:rPr>
            <w:rFonts w:cs="Times New Roman"/>
            <w:noProof/>
            <w:webHidden/>
          </w:rPr>
          <w:fldChar w:fldCharType="separate"/>
        </w:r>
        <w:r w:rsidR="00897306">
          <w:rPr>
            <w:rFonts w:cs="Times New Roman"/>
            <w:noProof/>
            <w:webHidden/>
          </w:rPr>
          <w:t>137</w:t>
        </w:r>
        <w:r w:rsidRPr="00F22A75">
          <w:rPr>
            <w:rFonts w:cs="Times New Roman"/>
            <w:noProof/>
            <w:webHidden/>
          </w:rPr>
          <w:fldChar w:fldCharType="end"/>
        </w:r>
      </w:hyperlink>
    </w:p>
    <w:p w14:paraId="14AB7887" w14:textId="671B58C6" w:rsidR="00BF7E93" w:rsidRPr="00F22A75" w:rsidRDefault="00BF7E93" w:rsidP="00F22A75">
      <w:pPr>
        <w:pStyle w:val="TableofFigures"/>
        <w:tabs>
          <w:tab w:val="right" w:leader="dot" w:pos="8630"/>
        </w:tabs>
        <w:spacing w:line="480" w:lineRule="auto"/>
        <w:rPr>
          <w:rFonts w:eastAsiaTheme="minorEastAsia" w:cs="Times New Roman"/>
          <w:noProof/>
        </w:rPr>
      </w:pPr>
      <w:hyperlink w:anchor="_Toc202957583" w:history="1">
        <w:r w:rsidRPr="00F22A75">
          <w:rPr>
            <w:rStyle w:val="Hyperlink"/>
            <w:rFonts w:ascii="Times New Roman" w:hAnsi="Times New Roman" w:cs="Times New Roman"/>
            <w:noProof/>
          </w:rPr>
          <w:t>Figure 4.20. FGR of UO2 MiniFuel subcapsules with target temperatures of 800°C, 1000°C, and 1200°C.</w:t>
        </w:r>
        <w:r w:rsidRPr="00F22A75">
          <w:rPr>
            <w:rFonts w:cs="Times New Roman"/>
            <w:noProof/>
            <w:webHidden/>
          </w:rPr>
          <w:tab/>
        </w:r>
        <w:r w:rsidRPr="00F22A75">
          <w:rPr>
            <w:rFonts w:cs="Times New Roman"/>
            <w:noProof/>
            <w:webHidden/>
          </w:rPr>
          <w:fldChar w:fldCharType="begin"/>
        </w:r>
        <w:r w:rsidRPr="00F22A75">
          <w:rPr>
            <w:rFonts w:cs="Times New Roman"/>
            <w:noProof/>
            <w:webHidden/>
          </w:rPr>
          <w:instrText xml:space="preserve"> PAGEREF _Toc202957583 \h </w:instrText>
        </w:r>
        <w:r w:rsidRPr="00F22A75">
          <w:rPr>
            <w:rFonts w:cs="Times New Roman"/>
            <w:noProof/>
            <w:webHidden/>
          </w:rPr>
        </w:r>
        <w:r w:rsidRPr="00F22A75">
          <w:rPr>
            <w:rFonts w:cs="Times New Roman"/>
            <w:noProof/>
            <w:webHidden/>
          </w:rPr>
          <w:fldChar w:fldCharType="separate"/>
        </w:r>
        <w:r w:rsidR="00897306">
          <w:rPr>
            <w:rFonts w:cs="Times New Roman"/>
            <w:noProof/>
            <w:webHidden/>
          </w:rPr>
          <w:t>138</w:t>
        </w:r>
        <w:r w:rsidRPr="00F22A75">
          <w:rPr>
            <w:rFonts w:cs="Times New Roman"/>
            <w:noProof/>
            <w:webHidden/>
          </w:rPr>
          <w:fldChar w:fldCharType="end"/>
        </w:r>
      </w:hyperlink>
    </w:p>
    <w:p w14:paraId="113B7DE8" w14:textId="3300AF29" w:rsidR="00BF7E93" w:rsidRPr="00F22A75" w:rsidRDefault="00BF7E93" w:rsidP="00F22A75">
      <w:pPr>
        <w:pStyle w:val="TableofFigures"/>
        <w:tabs>
          <w:tab w:val="right" w:leader="dot" w:pos="8630"/>
        </w:tabs>
        <w:spacing w:line="480" w:lineRule="auto"/>
        <w:rPr>
          <w:rFonts w:eastAsiaTheme="minorEastAsia" w:cs="Times New Roman"/>
          <w:noProof/>
        </w:rPr>
      </w:pPr>
      <w:hyperlink w:anchor="_Toc202957584" w:history="1">
        <w:r w:rsidRPr="00F22A75">
          <w:rPr>
            <w:rStyle w:val="Hyperlink"/>
            <w:rFonts w:ascii="Times New Roman" w:hAnsi="Times New Roman" w:cs="Times New Roman"/>
            <w:noProof/>
          </w:rPr>
          <w:t>Figure 4.21. Performance envelopes of a 1000°C target temperature UO</w:t>
        </w:r>
        <w:r w:rsidRPr="00F22A75">
          <w:rPr>
            <w:rStyle w:val="Hyperlink"/>
            <w:rFonts w:ascii="Times New Roman" w:hAnsi="Times New Roman" w:cs="Times New Roman"/>
            <w:noProof/>
            <w:vertAlign w:val="subscript"/>
          </w:rPr>
          <w:t>2</w:t>
        </w:r>
        <w:r w:rsidRPr="00F22A75">
          <w:rPr>
            <w:rStyle w:val="Hyperlink"/>
            <w:rFonts w:ascii="Times New Roman" w:hAnsi="Times New Roman" w:cs="Times New Roman"/>
            <w:noProof/>
          </w:rPr>
          <w:t xml:space="preserve"> MiniFuel subcapsule based on initial fill gas pressure.</w:t>
        </w:r>
        <w:r w:rsidRPr="00F22A75">
          <w:rPr>
            <w:rFonts w:cs="Times New Roman"/>
            <w:noProof/>
            <w:webHidden/>
          </w:rPr>
          <w:tab/>
        </w:r>
        <w:r w:rsidRPr="00F22A75">
          <w:rPr>
            <w:rFonts w:cs="Times New Roman"/>
            <w:noProof/>
            <w:webHidden/>
          </w:rPr>
          <w:fldChar w:fldCharType="begin"/>
        </w:r>
        <w:r w:rsidRPr="00F22A75">
          <w:rPr>
            <w:rFonts w:cs="Times New Roman"/>
            <w:noProof/>
            <w:webHidden/>
          </w:rPr>
          <w:instrText xml:space="preserve"> PAGEREF _Toc202957584 \h </w:instrText>
        </w:r>
        <w:r w:rsidRPr="00F22A75">
          <w:rPr>
            <w:rFonts w:cs="Times New Roman"/>
            <w:noProof/>
            <w:webHidden/>
          </w:rPr>
        </w:r>
        <w:r w:rsidRPr="00F22A75">
          <w:rPr>
            <w:rFonts w:cs="Times New Roman"/>
            <w:noProof/>
            <w:webHidden/>
          </w:rPr>
          <w:fldChar w:fldCharType="separate"/>
        </w:r>
        <w:r w:rsidR="00897306">
          <w:rPr>
            <w:rFonts w:cs="Times New Roman"/>
            <w:noProof/>
            <w:webHidden/>
          </w:rPr>
          <w:t>140</w:t>
        </w:r>
        <w:r w:rsidRPr="00F22A75">
          <w:rPr>
            <w:rFonts w:cs="Times New Roman"/>
            <w:noProof/>
            <w:webHidden/>
          </w:rPr>
          <w:fldChar w:fldCharType="end"/>
        </w:r>
      </w:hyperlink>
    </w:p>
    <w:p w14:paraId="3259DCDD" w14:textId="7C82F0F3" w:rsidR="00BF7E93" w:rsidRPr="00F22A75" w:rsidRDefault="00BF7E93" w:rsidP="00F22A75">
      <w:pPr>
        <w:pStyle w:val="TableofFigures"/>
        <w:tabs>
          <w:tab w:val="right" w:leader="dot" w:pos="8630"/>
        </w:tabs>
        <w:spacing w:line="480" w:lineRule="auto"/>
        <w:rPr>
          <w:rFonts w:eastAsiaTheme="minorEastAsia" w:cs="Times New Roman"/>
          <w:noProof/>
        </w:rPr>
      </w:pPr>
      <w:hyperlink w:anchor="_Toc202957585" w:history="1">
        <w:r w:rsidRPr="00F22A75">
          <w:rPr>
            <w:rStyle w:val="Hyperlink"/>
            <w:rFonts w:ascii="Times New Roman" w:hAnsi="Times New Roman" w:cs="Times New Roman"/>
            <w:noProof/>
          </w:rPr>
          <w:t>Figure 4.22. Performance envelopes of a 1000°C target temperature UO</w:t>
        </w:r>
        <w:r w:rsidRPr="00F22A75">
          <w:rPr>
            <w:rStyle w:val="Hyperlink"/>
            <w:rFonts w:ascii="Times New Roman" w:hAnsi="Times New Roman" w:cs="Times New Roman"/>
            <w:noProof/>
            <w:vertAlign w:val="subscript"/>
          </w:rPr>
          <w:t>2</w:t>
        </w:r>
        <w:r w:rsidRPr="00F22A75">
          <w:rPr>
            <w:rStyle w:val="Hyperlink"/>
            <w:rFonts w:ascii="Times New Roman" w:hAnsi="Times New Roman" w:cs="Times New Roman"/>
            <w:noProof/>
          </w:rPr>
          <w:t xml:space="preserve"> MiniFuel subcapsule based on contact pressure.</w:t>
        </w:r>
        <w:r w:rsidRPr="00F22A75">
          <w:rPr>
            <w:rFonts w:cs="Times New Roman"/>
            <w:noProof/>
            <w:webHidden/>
          </w:rPr>
          <w:tab/>
        </w:r>
        <w:r w:rsidRPr="00F22A75">
          <w:rPr>
            <w:rFonts w:cs="Times New Roman"/>
            <w:noProof/>
            <w:webHidden/>
          </w:rPr>
          <w:fldChar w:fldCharType="begin"/>
        </w:r>
        <w:r w:rsidRPr="00F22A75">
          <w:rPr>
            <w:rFonts w:cs="Times New Roman"/>
            <w:noProof/>
            <w:webHidden/>
          </w:rPr>
          <w:instrText xml:space="preserve"> PAGEREF _Toc202957585 \h </w:instrText>
        </w:r>
        <w:r w:rsidRPr="00F22A75">
          <w:rPr>
            <w:rFonts w:cs="Times New Roman"/>
            <w:noProof/>
            <w:webHidden/>
          </w:rPr>
        </w:r>
        <w:r w:rsidRPr="00F22A75">
          <w:rPr>
            <w:rFonts w:cs="Times New Roman"/>
            <w:noProof/>
            <w:webHidden/>
          </w:rPr>
          <w:fldChar w:fldCharType="separate"/>
        </w:r>
        <w:r w:rsidR="00897306">
          <w:rPr>
            <w:rFonts w:cs="Times New Roman"/>
            <w:noProof/>
            <w:webHidden/>
          </w:rPr>
          <w:t>141</w:t>
        </w:r>
        <w:r w:rsidRPr="00F22A75">
          <w:rPr>
            <w:rFonts w:cs="Times New Roman"/>
            <w:noProof/>
            <w:webHidden/>
          </w:rPr>
          <w:fldChar w:fldCharType="end"/>
        </w:r>
      </w:hyperlink>
    </w:p>
    <w:p w14:paraId="3C7ACAE0" w14:textId="7D234D3F" w:rsidR="00BF7E93" w:rsidRPr="00F22A75" w:rsidRDefault="00BF7E93" w:rsidP="00F22A75">
      <w:pPr>
        <w:pStyle w:val="TableofFigures"/>
        <w:tabs>
          <w:tab w:val="right" w:leader="dot" w:pos="8630"/>
        </w:tabs>
        <w:spacing w:line="480" w:lineRule="auto"/>
        <w:rPr>
          <w:rFonts w:eastAsiaTheme="minorEastAsia" w:cs="Times New Roman"/>
          <w:noProof/>
        </w:rPr>
      </w:pPr>
      <w:hyperlink w:anchor="_Toc202957586" w:history="1">
        <w:r w:rsidRPr="00F22A75">
          <w:rPr>
            <w:rStyle w:val="Hyperlink"/>
            <w:rFonts w:ascii="Times New Roman" w:hAnsi="Times New Roman" w:cs="Times New Roman"/>
            <w:noProof/>
          </w:rPr>
          <w:t>Figure 4.23. Performance envelopes of a 1000°C target temperature UO</w:t>
        </w:r>
        <w:r w:rsidRPr="00F22A75">
          <w:rPr>
            <w:rStyle w:val="Hyperlink"/>
            <w:rFonts w:ascii="Times New Roman" w:hAnsi="Times New Roman" w:cs="Times New Roman"/>
            <w:noProof/>
            <w:vertAlign w:val="subscript"/>
          </w:rPr>
          <w:t>2</w:t>
        </w:r>
        <w:r w:rsidRPr="00F22A75">
          <w:rPr>
            <w:rStyle w:val="Hyperlink"/>
            <w:rFonts w:ascii="Times New Roman" w:hAnsi="Times New Roman" w:cs="Times New Roman"/>
            <w:noProof/>
          </w:rPr>
          <w:t xml:space="preserve"> MiniFuel subcapsule based on effective surface roughness.</w:t>
        </w:r>
        <w:r w:rsidRPr="00F22A75">
          <w:rPr>
            <w:rFonts w:cs="Times New Roman"/>
            <w:noProof/>
            <w:webHidden/>
          </w:rPr>
          <w:tab/>
        </w:r>
        <w:r w:rsidRPr="00F22A75">
          <w:rPr>
            <w:rFonts w:cs="Times New Roman"/>
            <w:noProof/>
            <w:webHidden/>
          </w:rPr>
          <w:fldChar w:fldCharType="begin"/>
        </w:r>
        <w:r w:rsidRPr="00F22A75">
          <w:rPr>
            <w:rFonts w:cs="Times New Roman"/>
            <w:noProof/>
            <w:webHidden/>
          </w:rPr>
          <w:instrText xml:space="preserve"> PAGEREF _Toc202957586 \h </w:instrText>
        </w:r>
        <w:r w:rsidRPr="00F22A75">
          <w:rPr>
            <w:rFonts w:cs="Times New Roman"/>
            <w:noProof/>
            <w:webHidden/>
          </w:rPr>
        </w:r>
        <w:r w:rsidRPr="00F22A75">
          <w:rPr>
            <w:rFonts w:cs="Times New Roman"/>
            <w:noProof/>
            <w:webHidden/>
          </w:rPr>
          <w:fldChar w:fldCharType="separate"/>
        </w:r>
        <w:r w:rsidR="00897306">
          <w:rPr>
            <w:rFonts w:cs="Times New Roman"/>
            <w:noProof/>
            <w:webHidden/>
          </w:rPr>
          <w:t>142</w:t>
        </w:r>
        <w:r w:rsidRPr="00F22A75">
          <w:rPr>
            <w:rFonts w:cs="Times New Roman"/>
            <w:noProof/>
            <w:webHidden/>
          </w:rPr>
          <w:fldChar w:fldCharType="end"/>
        </w:r>
      </w:hyperlink>
    </w:p>
    <w:p w14:paraId="4DC5BCE1" w14:textId="64B56258" w:rsidR="00BF7E93" w:rsidRPr="00F22A75" w:rsidRDefault="00BF7E93" w:rsidP="00F22A75">
      <w:pPr>
        <w:pStyle w:val="TableofFigures"/>
        <w:tabs>
          <w:tab w:val="right" w:leader="dot" w:pos="8630"/>
        </w:tabs>
        <w:spacing w:line="480" w:lineRule="auto"/>
        <w:rPr>
          <w:rFonts w:eastAsiaTheme="minorEastAsia" w:cs="Times New Roman"/>
          <w:noProof/>
        </w:rPr>
      </w:pPr>
      <w:hyperlink w:anchor="_Toc202957587" w:history="1">
        <w:r w:rsidRPr="00F22A75">
          <w:rPr>
            <w:rStyle w:val="Hyperlink"/>
            <w:rFonts w:ascii="Times New Roman" w:hAnsi="Times New Roman" w:cs="Times New Roman"/>
            <w:noProof/>
          </w:rPr>
          <w:t>Figure 4.24. Performance envelopes of a 1000°C target temperature UO</w:t>
        </w:r>
        <w:r w:rsidRPr="00F22A75">
          <w:rPr>
            <w:rStyle w:val="Hyperlink"/>
            <w:rFonts w:ascii="Times New Roman" w:hAnsi="Times New Roman" w:cs="Times New Roman"/>
            <w:noProof/>
            <w:vertAlign w:val="subscript"/>
          </w:rPr>
          <w:t>2</w:t>
        </w:r>
        <w:r w:rsidRPr="00F22A75">
          <w:rPr>
            <w:rStyle w:val="Hyperlink"/>
            <w:rFonts w:ascii="Times New Roman" w:hAnsi="Times New Roman" w:cs="Times New Roman"/>
            <w:noProof/>
          </w:rPr>
          <w:t xml:space="preserve"> MiniFuel subcapsule inspecting varying SSC.</w:t>
        </w:r>
        <w:r w:rsidRPr="00F22A75">
          <w:rPr>
            <w:rFonts w:cs="Times New Roman"/>
            <w:noProof/>
            <w:webHidden/>
          </w:rPr>
          <w:tab/>
        </w:r>
        <w:r w:rsidRPr="00F22A75">
          <w:rPr>
            <w:rFonts w:cs="Times New Roman"/>
            <w:noProof/>
            <w:webHidden/>
          </w:rPr>
          <w:fldChar w:fldCharType="begin"/>
        </w:r>
        <w:r w:rsidRPr="00F22A75">
          <w:rPr>
            <w:rFonts w:cs="Times New Roman"/>
            <w:noProof/>
            <w:webHidden/>
          </w:rPr>
          <w:instrText xml:space="preserve"> PAGEREF _Toc202957587 \h </w:instrText>
        </w:r>
        <w:r w:rsidRPr="00F22A75">
          <w:rPr>
            <w:rFonts w:cs="Times New Roman"/>
            <w:noProof/>
            <w:webHidden/>
          </w:rPr>
        </w:r>
        <w:r w:rsidRPr="00F22A75">
          <w:rPr>
            <w:rFonts w:cs="Times New Roman"/>
            <w:noProof/>
            <w:webHidden/>
          </w:rPr>
          <w:fldChar w:fldCharType="separate"/>
        </w:r>
        <w:r w:rsidR="00897306">
          <w:rPr>
            <w:rFonts w:cs="Times New Roman"/>
            <w:noProof/>
            <w:webHidden/>
          </w:rPr>
          <w:t>144</w:t>
        </w:r>
        <w:r w:rsidRPr="00F22A75">
          <w:rPr>
            <w:rFonts w:cs="Times New Roman"/>
            <w:noProof/>
            <w:webHidden/>
          </w:rPr>
          <w:fldChar w:fldCharType="end"/>
        </w:r>
      </w:hyperlink>
    </w:p>
    <w:p w14:paraId="35EBE4D9" w14:textId="36BBBB0D" w:rsidR="00BF7E93" w:rsidRPr="00F22A75" w:rsidRDefault="00BF7E93" w:rsidP="00F22A75">
      <w:pPr>
        <w:pStyle w:val="TableofFigures"/>
        <w:tabs>
          <w:tab w:val="right" w:leader="dot" w:pos="8630"/>
        </w:tabs>
        <w:spacing w:line="480" w:lineRule="auto"/>
        <w:rPr>
          <w:rFonts w:eastAsiaTheme="minorEastAsia" w:cs="Times New Roman"/>
          <w:noProof/>
        </w:rPr>
      </w:pPr>
      <w:hyperlink w:anchor="_Toc202957588" w:history="1">
        <w:r w:rsidRPr="00F22A75">
          <w:rPr>
            <w:rStyle w:val="Hyperlink"/>
            <w:rFonts w:ascii="Times New Roman" w:hAnsi="Times New Roman" w:cs="Times New Roman"/>
            <w:noProof/>
          </w:rPr>
          <w:t>Figure 4.25. SSC of a 1000°C target UO</w:t>
        </w:r>
        <w:r w:rsidRPr="00F22A75">
          <w:rPr>
            <w:rStyle w:val="Hyperlink"/>
            <w:rFonts w:ascii="Times New Roman" w:hAnsi="Times New Roman" w:cs="Times New Roman"/>
            <w:noProof/>
            <w:vertAlign w:val="subscript"/>
          </w:rPr>
          <w:t>2</w:t>
        </w:r>
        <w:r w:rsidRPr="00F22A75">
          <w:rPr>
            <w:rStyle w:val="Hyperlink"/>
            <w:rFonts w:ascii="Times New Roman" w:hAnsi="Times New Roman" w:cs="Times New Roman"/>
            <w:noProof/>
          </w:rPr>
          <w:t xml:space="preserve"> MiniFuel subcapsule at 80 GWd/MTU based on contact pressure and surface roughness.</w:t>
        </w:r>
        <w:r w:rsidRPr="00F22A75">
          <w:rPr>
            <w:rFonts w:cs="Times New Roman"/>
            <w:noProof/>
            <w:webHidden/>
          </w:rPr>
          <w:tab/>
        </w:r>
        <w:r w:rsidRPr="00F22A75">
          <w:rPr>
            <w:rFonts w:cs="Times New Roman"/>
            <w:noProof/>
            <w:webHidden/>
          </w:rPr>
          <w:fldChar w:fldCharType="begin"/>
        </w:r>
        <w:r w:rsidRPr="00F22A75">
          <w:rPr>
            <w:rFonts w:cs="Times New Roman"/>
            <w:noProof/>
            <w:webHidden/>
          </w:rPr>
          <w:instrText xml:space="preserve"> PAGEREF _Toc202957588 \h </w:instrText>
        </w:r>
        <w:r w:rsidRPr="00F22A75">
          <w:rPr>
            <w:rFonts w:cs="Times New Roman"/>
            <w:noProof/>
            <w:webHidden/>
          </w:rPr>
        </w:r>
        <w:r w:rsidRPr="00F22A75">
          <w:rPr>
            <w:rFonts w:cs="Times New Roman"/>
            <w:noProof/>
            <w:webHidden/>
          </w:rPr>
          <w:fldChar w:fldCharType="separate"/>
        </w:r>
        <w:r w:rsidR="00897306">
          <w:rPr>
            <w:rFonts w:cs="Times New Roman"/>
            <w:noProof/>
            <w:webHidden/>
          </w:rPr>
          <w:t>145</w:t>
        </w:r>
        <w:r w:rsidRPr="00F22A75">
          <w:rPr>
            <w:rFonts w:cs="Times New Roman"/>
            <w:noProof/>
            <w:webHidden/>
          </w:rPr>
          <w:fldChar w:fldCharType="end"/>
        </w:r>
      </w:hyperlink>
    </w:p>
    <w:p w14:paraId="35B71BE5" w14:textId="52E75C82" w:rsidR="00BF7E93" w:rsidRPr="00F22A75" w:rsidRDefault="00BF7E93" w:rsidP="00F22A75">
      <w:pPr>
        <w:pStyle w:val="TableofFigures"/>
        <w:tabs>
          <w:tab w:val="right" w:leader="dot" w:pos="8630"/>
        </w:tabs>
        <w:spacing w:line="480" w:lineRule="auto"/>
        <w:rPr>
          <w:rFonts w:eastAsiaTheme="minorEastAsia" w:cs="Times New Roman"/>
          <w:noProof/>
        </w:rPr>
      </w:pPr>
      <w:hyperlink w:anchor="_Toc202957589" w:history="1">
        <w:r w:rsidRPr="00F22A75">
          <w:rPr>
            <w:rStyle w:val="Hyperlink"/>
            <w:rFonts w:ascii="Times New Roman" w:hAnsi="Times New Roman" w:cs="Times New Roman"/>
            <w:noProof/>
          </w:rPr>
          <w:t>Figure 4.26. Fuel interface temperature performance envelopes of a Target UO</w:t>
        </w:r>
        <w:r w:rsidRPr="00F22A75">
          <w:rPr>
            <w:rStyle w:val="Hyperlink"/>
            <w:rFonts w:ascii="Times New Roman" w:hAnsi="Times New Roman" w:cs="Times New Roman"/>
            <w:noProof/>
            <w:vertAlign w:val="subscript"/>
          </w:rPr>
          <w:t>2</w:t>
        </w:r>
        <w:r w:rsidRPr="00F22A75">
          <w:rPr>
            <w:rStyle w:val="Hyperlink"/>
            <w:rFonts w:ascii="Times New Roman" w:hAnsi="Times New Roman" w:cs="Times New Roman"/>
            <w:noProof/>
          </w:rPr>
          <w:t xml:space="preserve"> MiniFuel subcapsule at 80 GWd/MTU based on initial fill gas pressure.</w:t>
        </w:r>
        <w:r w:rsidRPr="00F22A75">
          <w:rPr>
            <w:rFonts w:cs="Times New Roman"/>
            <w:noProof/>
            <w:webHidden/>
          </w:rPr>
          <w:tab/>
        </w:r>
        <w:r w:rsidRPr="00F22A75">
          <w:rPr>
            <w:rFonts w:cs="Times New Roman"/>
            <w:noProof/>
            <w:webHidden/>
          </w:rPr>
          <w:fldChar w:fldCharType="begin"/>
        </w:r>
        <w:r w:rsidRPr="00F22A75">
          <w:rPr>
            <w:rFonts w:cs="Times New Roman"/>
            <w:noProof/>
            <w:webHidden/>
          </w:rPr>
          <w:instrText xml:space="preserve"> PAGEREF _Toc202957589 \h </w:instrText>
        </w:r>
        <w:r w:rsidRPr="00F22A75">
          <w:rPr>
            <w:rFonts w:cs="Times New Roman"/>
            <w:noProof/>
            <w:webHidden/>
          </w:rPr>
        </w:r>
        <w:r w:rsidRPr="00F22A75">
          <w:rPr>
            <w:rFonts w:cs="Times New Roman"/>
            <w:noProof/>
            <w:webHidden/>
          </w:rPr>
          <w:fldChar w:fldCharType="separate"/>
        </w:r>
        <w:r w:rsidR="00897306">
          <w:rPr>
            <w:rFonts w:cs="Times New Roman"/>
            <w:noProof/>
            <w:webHidden/>
          </w:rPr>
          <w:t>147</w:t>
        </w:r>
        <w:r w:rsidRPr="00F22A75">
          <w:rPr>
            <w:rFonts w:cs="Times New Roman"/>
            <w:noProof/>
            <w:webHidden/>
          </w:rPr>
          <w:fldChar w:fldCharType="end"/>
        </w:r>
      </w:hyperlink>
    </w:p>
    <w:p w14:paraId="4CB5E979" w14:textId="1344A488" w:rsidR="00BF7E93" w:rsidRPr="00F22A75" w:rsidRDefault="00BF7E93" w:rsidP="00F22A75">
      <w:pPr>
        <w:pStyle w:val="TableofFigures"/>
        <w:tabs>
          <w:tab w:val="right" w:leader="dot" w:pos="8630"/>
        </w:tabs>
        <w:spacing w:line="480" w:lineRule="auto"/>
        <w:rPr>
          <w:rFonts w:eastAsiaTheme="minorEastAsia" w:cs="Times New Roman"/>
          <w:noProof/>
        </w:rPr>
      </w:pPr>
      <w:hyperlink w:anchor="_Toc202957590" w:history="1">
        <w:r w:rsidRPr="00F22A75">
          <w:rPr>
            <w:rStyle w:val="Hyperlink"/>
            <w:rFonts w:ascii="Times New Roman" w:hAnsi="Times New Roman" w:cs="Times New Roman"/>
            <w:noProof/>
          </w:rPr>
          <w:t>Figure 4.27. Influence of initial gas pressure on temperature jump distance for a He-Mo interface at 1000 °C.</w:t>
        </w:r>
        <w:r w:rsidRPr="00F22A75">
          <w:rPr>
            <w:rFonts w:cs="Times New Roman"/>
            <w:noProof/>
            <w:webHidden/>
          </w:rPr>
          <w:tab/>
        </w:r>
        <w:r w:rsidRPr="00F22A75">
          <w:rPr>
            <w:rFonts w:cs="Times New Roman"/>
            <w:noProof/>
            <w:webHidden/>
          </w:rPr>
          <w:fldChar w:fldCharType="begin"/>
        </w:r>
        <w:r w:rsidRPr="00F22A75">
          <w:rPr>
            <w:rFonts w:cs="Times New Roman"/>
            <w:noProof/>
            <w:webHidden/>
          </w:rPr>
          <w:instrText xml:space="preserve"> PAGEREF _Toc202957590 \h </w:instrText>
        </w:r>
        <w:r w:rsidRPr="00F22A75">
          <w:rPr>
            <w:rFonts w:cs="Times New Roman"/>
            <w:noProof/>
            <w:webHidden/>
          </w:rPr>
        </w:r>
        <w:r w:rsidRPr="00F22A75">
          <w:rPr>
            <w:rFonts w:cs="Times New Roman"/>
            <w:noProof/>
            <w:webHidden/>
          </w:rPr>
          <w:fldChar w:fldCharType="separate"/>
        </w:r>
        <w:r w:rsidR="00897306">
          <w:rPr>
            <w:rFonts w:cs="Times New Roman"/>
            <w:noProof/>
            <w:webHidden/>
          </w:rPr>
          <w:t>149</w:t>
        </w:r>
        <w:r w:rsidRPr="00F22A75">
          <w:rPr>
            <w:rFonts w:cs="Times New Roman"/>
            <w:noProof/>
            <w:webHidden/>
          </w:rPr>
          <w:fldChar w:fldCharType="end"/>
        </w:r>
      </w:hyperlink>
    </w:p>
    <w:p w14:paraId="79CA9328" w14:textId="2EA27D45" w:rsidR="00BF7E93" w:rsidRPr="00F22A75" w:rsidRDefault="00BF7E93" w:rsidP="00F22A75">
      <w:pPr>
        <w:pStyle w:val="TableofFigures"/>
        <w:tabs>
          <w:tab w:val="right" w:leader="dot" w:pos="8630"/>
        </w:tabs>
        <w:spacing w:line="480" w:lineRule="auto"/>
        <w:rPr>
          <w:rFonts w:eastAsiaTheme="minorEastAsia" w:cs="Times New Roman"/>
          <w:noProof/>
        </w:rPr>
      </w:pPr>
      <w:hyperlink w:anchor="_Toc202957591" w:history="1">
        <w:r w:rsidRPr="00F22A75">
          <w:rPr>
            <w:rStyle w:val="Hyperlink"/>
            <w:rFonts w:ascii="Times New Roman" w:hAnsi="Times New Roman" w:cs="Times New Roman"/>
            <w:noProof/>
          </w:rPr>
          <w:t>Figure 4.28. Influence of initial gas pressure on temperature jump distance for a He-UO</w:t>
        </w:r>
        <w:r w:rsidRPr="00F22A75">
          <w:rPr>
            <w:rStyle w:val="Hyperlink"/>
            <w:rFonts w:ascii="Times New Roman" w:hAnsi="Times New Roman" w:cs="Times New Roman"/>
            <w:noProof/>
            <w:vertAlign w:val="subscript"/>
          </w:rPr>
          <w:t>2</w:t>
        </w:r>
        <w:r w:rsidRPr="00F22A75">
          <w:rPr>
            <w:rStyle w:val="Hyperlink"/>
            <w:rFonts w:ascii="Times New Roman" w:hAnsi="Times New Roman" w:cs="Times New Roman"/>
            <w:noProof/>
          </w:rPr>
          <w:t xml:space="preserve"> interface at 1000 °C.</w:t>
        </w:r>
        <w:r w:rsidRPr="00F22A75">
          <w:rPr>
            <w:rFonts w:cs="Times New Roman"/>
            <w:noProof/>
            <w:webHidden/>
          </w:rPr>
          <w:tab/>
        </w:r>
        <w:r w:rsidRPr="00F22A75">
          <w:rPr>
            <w:rFonts w:cs="Times New Roman"/>
            <w:noProof/>
            <w:webHidden/>
          </w:rPr>
          <w:fldChar w:fldCharType="begin"/>
        </w:r>
        <w:r w:rsidRPr="00F22A75">
          <w:rPr>
            <w:rFonts w:cs="Times New Roman"/>
            <w:noProof/>
            <w:webHidden/>
          </w:rPr>
          <w:instrText xml:space="preserve"> PAGEREF _Toc202957591 \h </w:instrText>
        </w:r>
        <w:r w:rsidRPr="00F22A75">
          <w:rPr>
            <w:rFonts w:cs="Times New Roman"/>
            <w:noProof/>
            <w:webHidden/>
          </w:rPr>
        </w:r>
        <w:r w:rsidRPr="00F22A75">
          <w:rPr>
            <w:rFonts w:cs="Times New Roman"/>
            <w:noProof/>
            <w:webHidden/>
          </w:rPr>
          <w:fldChar w:fldCharType="separate"/>
        </w:r>
        <w:r w:rsidR="00897306">
          <w:rPr>
            <w:rFonts w:cs="Times New Roman"/>
            <w:noProof/>
            <w:webHidden/>
          </w:rPr>
          <w:t>150</w:t>
        </w:r>
        <w:r w:rsidRPr="00F22A75">
          <w:rPr>
            <w:rFonts w:cs="Times New Roman"/>
            <w:noProof/>
            <w:webHidden/>
          </w:rPr>
          <w:fldChar w:fldCharType="end"/>
        </w:r>
      </w:hyperlink>
    </w:p>
    <w:p w14:paraId="6B7C5B51" w14:textId="6E64F905" w:rsidR="00BF7E93" w:rsidRPr="00F22A75" w:rsidRDefault="00BF7E93" w:rsidP="00F22A75">
      <w:pPr>
        <w:pStyle w:val="TableofFigures"/>
        <w:tabs>
          <w:tab w:val="right" w:leader="dot" w:pos="8630"/>
        </w:tabs>
        <w:spacing w:line="480" w:lineRule="auto"/>
        <w:rPr>
          <w:rFonts w:eastAsiaTheme="minorEastAsia" w:cs="Times New Roman"/>
          <w:noProof/>
        </w:rPr>
      </w:pPr>
      <w:hyperlink w:anchor="_Toc202957592" w:history="1">
        <w:r w:rsidRPr="00F22A75">
          <w:rPr>
            <w:rStyle w:val="Hyperlink"/>
            <w:rFonts w:ascii="Times New Roman" w:hAnsi="Times New Roman" w:cs="Times New Roman"/>
            <w:noProof/>
          </w:rPr>
          <w:t>Figure 4.29. Influence of design recommendations on fuel and dish interface temperature gradients in ANSYS.</w:t>
        </w:r>
        <w:r w:rsidRPr="00F22A75">
          <w:rPr>
            <w:rFonts w:cs="Times New Roman"/>
            <w:noProof/>
            <w:webHidden/>
          </w:rPr>
          <w:tab/>
        </w:r>
        <w:r w:rsidRPr="00F22A75">
          <w:rPr>
            <w:rFonts w:cs="Times New Roman"/>
            <w:noProof/>
            <w:webHidden/>
          </w:rPr>
          <w:fldChar w:fldCharType="begin"/>
        </w:r>
        <w:r w:rsidRPr="00F22A75">
          <w:rPr>
            <w:rFonts w:cs="Times New Roman"/>
            <w:noProof/>
            <w:webHidden/>
          </w:rPr>
          <w:instrText xml:space="preserve"> PAGEREF _Toc202957592 \h </w:instrText>
        </w:r>
        <w:r w:rsidRPr="00F22A75">
          <w:rPr>
            <w:rFonts w:cs="Times New Roman"/>
            <w:noProof/>
            <w:webHidden/>
          </w:rPr>
        </w:r>
        <w:r w:rsidRPr="00F22A75">
          <w:rPr>
            <w:rFonts w:cs="Times New Roman"/>
            <w:noProof/>
            <w:webHidden/>
          </w:rPr>
          <w:fldChar w:fldCharType="separate"/>
        </w:r>
        <w:r w:rsidR="00897306">
          <w:rPr>
            <w:rFonts w:cs="Times New Roman"/>
            <w:noProof/>
            <w:webHidden/>
          </w:rPr>
          <w:t>155</w:t>
        </w:r>
        <w:r w:rsidRPr="00F22A75">
          <w:rPr>
            <w:rFonts w:cs="Times New Roman"/>
            <w:noProof/>
            <w:webHidden/>
          </w:rPr>
          <w:fldChar w:fldCharType="end"/>
        </w:r>
      </w:hyperlink>
    </w:p>
    <w:p w14:paraId="1CC820F3" w14:textId="506D8671" w:rsidR="00BF7E93" w:rsidRPr="00F22A75" w:rsidRDefault="00BF7E93" w:rsidP="00F22A75">
      <w:pPr>
        <w:pStyle w:val="TableofFigures"/>
        <w:tabs>
          <w:tab w:val="right" w:leader="dot" w:pos="8630"/>
        </w:tabs>
        <w:spacing w:line="480" w:lineRule="auto"/>
        <w:rPr>
          <w:rFonts w:eastAsiaTheme="minorEastAsia" w:cs="Times New Roman"/>
          <w:noProof/>
        </w:rPr>
      </w:pPr>
      <w:hyperlink w:anchor="_Toc202957593" w:history="1">
        <w:r w:rsidRPr="00F22A75">
          <w:rPr>
            <w:rStyle w:val="Hyperlink"/>
            <w:rFonts w:ascii="Times New Roman" w:hAnsi="Times New Roman" w:cs="Times New Roman"/>
            <w:noProof/>
          </w:rPr>
          <w:t>Figure 1. MiniFuel subcapsule cross section with overlaid geometric parameter numbers.</w:t>
        </w:r>
        <w:r w:rsidRPr="00F22A75">
          <w:rPr>
            <w:rFonts w:cs="Times New Roman"/>
            <w:noProof/>
            <w:webHidden/>
          </w:rPr>
          <w:tab/>
        </w:r>
        <w:r w:rsidRPr="00F22A75">
          <w:rPr>
            <w:rFonts w:cs="Times New Roman"/>
            <w:noProof/>
            <w:webHidden/>
          </w:rPr>
          <w:fldChar w:fldCharType="begin"/>
        </w:r>
        <w:r w:rsidRPr="00F22A75">
          <w:rPr>
            <w:rFonts w:cs="Times New Roman"/>
            <w:noProof/>
            <w:webHidden/>
          </w:rPr>
          <w:instrText xml:space="preserve"> PAGEREF _Toc202957593 \h </w:instrText>
        </w:r>
        <w:r w:rsidRPr="00F22A75">
          <w:rPr>
            <w:rFonts w:cs="Times New Roman"/>
            <w:noProof/>
            <w:webHidden/>
          </w:rPr>
        </w:r>
        <w:r w:rsidRPr="00F22A75">
          <w:rPr>
            <w:rFonts w:cs="Times New Roman"/>
            <w:noProof/>
            <w:webHidden/>
          </w:rPr>
          <w:fldChar w:fldCharType="separate"/>
        </w:r>
        <w:r w:rsidR="00897306">
          <w:rPr>
            <w:rFonts w:cs="Times New Roman"/>
            <w:noProof/>
            <w:webHidden/>
          </w:rPr>
          <w:t>199</w:t>
        </w:r>
        <w:r w:rsidRPr="00F22A75">
          <w:rPr>
            <w:rFonts w:cs="Times New Roman"/>
            <w:noProof/>
            <w:webHidden/>
          </w:rPr>
          <w:fldChar w:fldCharType="end"/>
        </w:r>
      </w:hyperlink>
    </w:p>
    <w:p w14:paraId="0AE558CA" w14:textId="44A4BAC2" w:rsidR="003C1575" w:rsidRPr="00171F6A" w:rsidRDefault="00665C7E" w:rsidP="00F22A75">
      <w:pPr>
        <w:numPr>
          <w:ilvl w:val="12"/>
          <w:numId w:val="0"/>
        </w:numPr>
        <w:sectPr w:rsidR="003C1575" w:rsidRPr="00171F6A" w:rsidSect="00FF7D08">
          <w:headerReference w:type="even" r:id="rId8"/>
          <w:headerReference w:type="default" r:id="rId9"/>
          <w:footerReference w:type="even" r:id="rId10"/>
          <w:footerReference w:type="default" r:id="rId11"/>
          <w:pgSz w:w="12240" w:h="15840" w:code="1"/>
          <w:pgMar w:top="1440" w:right="1800" w:bottom="1872" w:left="1800" w:header="720" w:footer="1440" w:gutter="0"/>
          <w:pgNumType w:fmt="lowerRoman" w:start="1"/>
          <w:cols w:space="720"/>
          <w:noEndnote/>
          <w:titlePg/>
        </w:sectPr>
      </w:pPr>
      <w:r w:rsidRPr="00F22A75">
        <w:rPr>
          <w:rFonts w:cs="Times New Roman"/>
        </w:rPr>
        <w:fldChar w:fldCharType="end"/>
      </w:r>
    </w:p>
    <w:p w14:paraId="2805B185" w14:textId="30C10561" w:rsidR="004F08CE" w:rsidRPr="00171F6A" w:rsidRDefault="00EE334C" w:rsidP="00324644">
      <w:pPr>
        <w:pStyle w:val="Heading1"/>
        <w:spacing w:line="480" w:lineRule="auto"/>
      </w:pPr>
      <w:bookmarkStart w:id="0" w:name="_Toc420995890"/>
      <w:bookmarkStart w:id="1" w:name="_Toc422997477"/>
      <w:bookmarkStart w:id="2" w:name="_Toc427156460"/>
      <w:bookmarkStart w:id="3" w:name="_Ref197958596"/>
      <w:bookmarkStart w:id="4" w:name="_Toc202957439"/>
      <w:r w:rsidRPr="00171F6A">
        <w:lastRenderedPageBreak/>
        <w:t>Introduction</w:t>
      </w:r>
      <w:bookmarkEnd w:id="0"/>
      <w:bookmarkEnd w:id="1"/>
      <w:bookmarkEnd w:id="2"/>
      <w:bookmarkEnd w:id="3"/>
      <w:bookmarkEnd w:id="4"/>
    </w:p>
    <w:p w14:paraId="4F626DC3" w14:textId="5029E15F" w:rsidR="00581C26" w:rsidRDefault="00581C26" w:rsidP="00324644">
      <w:r>
        <w:t xml:space="preserve">Nuclear power accounts for roughly 31% of global power production </w:t>
      </w:r>
      <w:r>
        <w:fldChar w:fldCharType="begin"/>
      </w:r>
      <w:r>
        <w:instrText xml:space="preserve"> ADDIN EN.CITE &lt;EndNote&gt;&lt;Cite&gt;&lt;Author&gt;Siqueira&lt;/Author&gt;&lt;Year&gt;2019&lt;/Year&gt;&lt;RecNum&gt;374&lt;/RecNum&gt;&lt;DisplayText&gt;[1]&lt;/DisplayText&gt;&lt;record&gt;&lt;rec-number&gt;374&lt;/rec-number&gt;&lt;foreign-keys&gt;&lt;key app="EN" db-id="eseee05sfe5vt6efvr0xapvq20vfdsfp5fvf" timestamp="1701286281" guid="86f8e907-ea35-4d26-8cb8-246b6c24c2fe"&gt;374&lt;/key&gt;&lt;/foreign-keys&gt;&lt;ref-type name="Journal Article"&gt;17&lt;/ref-type&gt;&lt;contributors&gt;&lt;authors&gt;&lt;author&gt;Siqueira, Diana Silva&lt;/author&gt;&lt;author&gt;de Almeida Meystre, Josué&lt;/author&gt;&lt;author&gt;Hilário, Maicon Queiroz&lt;/author&gt;&lt;author&gt;Rocha, Danilo Henrique Donato&lt;/author&gt;&lt;author&gt;Menon, Genésio José&lt;/author&gt;&lt;author&gt;da Silva, Rogério José&lt;/author&gt;&lt;/authors&gt;&lt;/contributors&gt;&lt;titles&gt;&lt;title&gt;Current perspectives on nuclear energy as a global climate change mitigation option&lt;/title&gt;&lt;secondary-title&gt;Mitigation and Adaptation Strategies for Global Change&lt;/secondary-title&gt;&lt;/titles&gt;&lt;periodical&gt;&lt;full-title&gt;Mitigation and Adaptation Strategies for Global Change&lt;/full-title&gt;&lt;/periodical&gt;&lt;pages&gt;749-777&lt;/pages&gt;&lt;volume&gt;24&lt;/volume&gt;&lt;number&gt;5&lt;/number&gt;&lt;dates&gt;&lt;year&gt;2019&lt;/year&gt;&lt;pub-dates&gt;&lt;date&gt;2019/06/01&lt;/date&gt;&lt;/pub-dates&gt;&lt;/dates&gt;&lt;isbn&gt;1573-1596&lt;/isbn&gt;&lt;urls&gt;&lt;related-urls&gt;&lt;url&gt;https://doi.org/10.1007/s11027-018-9829-5&lt;/url&gt;&lt;/related-urls&gt;&lt;/urls&gt;&lt;electronic-resource-num&gt;10.1007/s11027-018-9829-5&lt;/electronic-resource-num&gt;&lt;/record&gt;&lt;/Cite&gt;&lt;/EndNote&gt;</w:instrText>
      </w:r>
      <w:r>
        <w:fldChar w:fldCharType="separate"/>
      </w:r>
      <w:r>
        <w:rPr>
          <w:noProof/>
        </w:rPr>
        <w:t>[1]</w:t>
      </w:r>
      <w:r>
        <w:fldChar w:fldCharType="end"/>
      </w:r>
      <w:r>
        <w:t xml:space="preserve">. One of the main challenges in utilizing nuclear energy as the primary means of energy production is that current generation gigawatt-scale reactors </w:t>
      </w:r>
      <w:r w:rsidR="000E54AC">
        <w:t>induce too great of a capital risk</w:t>
      </w:r>
      <w:r>
        <w:t>; as evident by Vogtle unit 3</w:t>
      </w:r>
      <w:r w:rsidR="00110E73">
        <w:t xml:space="preserve"> &amp; 4</w:t>
      </w:r>
      <w:r>
        <w:t xml:space="preserve"> in Georgia taking </w:t>
      </w:r>
      <w:r w:rsidR="000E54AC">
        <w:t>over</w:t>
      </w:r>
      <w:r>
        <w:t xml:space="preserve"> 10 years and $10</w:t>
      </w:r>
      <w:r w:rsidR="00110E73">
        <w:t>s of</w:t>
      </w:r>
      <w:r>
        <w:t xml:space="preserve"> billion</w:t>
      </w:r>
      <w:r w:rsidR="00110E73">
        <w:t>s</w:t>
      </w:r>
      <w:r>
        <w:t xml:space="preserve"> to begin operation. Public and private industry </w:t>
      </w:r>
      <w:r w:rsidR="000E54AC">
        <w:t xml:space="preserve">are working </w:t>
      </w:r>
      <w:r>
        <w:t>toward the development of advanced reactor designs which</w:t>
      </w:r>
      <w:r w:rsidR="000E54AC">
        <w:t xml:space="preserve"> can</w:t>
      </w:r>
      <w:r>
        <w:t xml:space="preserve"> leverage historical reactor concepts and aim to address these issues </w:t>
      </w:r>
      <w:r w:rsidR="000C17F7">
        <w:t>with</w:t>
      </w:r>
      <w:r>
        <w:t xml:space="preserve"> improvements in safety, economics and waste </w:t>
      </w:r>
      <w:r>
        <w:fldChar w:fldCharType="begin"/>
      </w:r>
      <w:r>
        <w:instrText xml:space="preserve"> ADDIN EN.CITE &lt;EndNote&gt;&lt;Cite&gt;&lt;Author&gt;Arostegui&lt;/Author&gt;&lt;Year&gt;2019&lt;/Year&gt;&lt;RecNum&gt;376&lt;/RecNum&gt;&lt;DisplayText&gt;[2]&lt;/DisplayText&gt;&lt;record&gt;&lt;rec-number&gt;376&lt;/rec-number&gt;&lt;foreign-keys&gt;&lt;key app="EN" db-id="eseee05sfe5vt6efvr0xapvq20vfdsfp5fvf" timestamp="1701290244" guid="ef5abb9a-7b1e-4570-8de8-81979f7a869b"&gt;376&lt;/key&gt;&lt;/foreign-keys&gt;&lt;ref-type name="Conference Proceedings"&gt;10&lt;/ref-type&gt;&lt;contributors&gt;&lt;authors&gt;&lt;author&gt;Arostegui, Danielle A&lt;/author&gt;&lt;author&gt;Holt, Mark&lt;/author&gt;&lt;/authors&gt;&lt;/contributors&gt;&lt;titles&gt;&lt;title&gt;Advanced nuclear reactors: technology overview and current issues&lt;/title&gt;&lt;secondary-title&gt;Congressional Research Service Report for Congress, Washington, DC, Report&lt;/secondary-title&gt;&lt;/titles&gt;&lt;number&gt;R45706&lt;/number&gt;&lt;dates&gt;&lt;year&gt;2019&lt;/year&gt;&lt;/dates&gt;&lt;urls&gt;&lt;/urls&gt;&lt;/record&gt;&lt;/Cite&gt;&lt;/EndNote&gt;</w:instrText>
      </w:r>
      <w:r>
        <w:fldChar w:fldCharType="separate"/>
      </w:r>
      <w:r>
        <w:rPr>
          <w:noProof/>
        </w:rPr>
        <w:t>[2]</w:t>
      </w:r>
      <w:r>
        <w:fldChar w:fldCharType="end"/>
      </w:r>
      <w:r>
        <w:t xml:space="preserve">. Several advanced reactor designs are adopting a modular approach to standardize parts and scale down reactor units to operate at the megawatt-scale, which should drastically reduce the upfront construction cost and construction time </w:t>
      </w:r>
      <w:r>
        <w:fldChar w:fldCharType="begin"/>
      </w:r>
      <w:r>
        <w:instrText xml:space="preserve"> ADDIN EN.CITE &lt;EndNote&gt;&lt;Cite&gt;&lt;Author&gt;Arostegui&lt;/Author&gt;&lt;Year&gt;2019&lt;/Year&gt;&lt;RecNum&gt;376&lt;/RecNum&gt;&lt;DisplayText&gt;[2]&lt;/DisplayText&gt;&lt;record&gt;&lt;rec-number&gt;376&lt;/rec-number&gt;&lt;foreign-keys&gt;&lt;key app="EN" db-id="eseee05sfe5vt6efvr0xapvq20vfdsfp5fvf" timestamp="1701290244" guid="ef5abb9a-7b1e-4570-8de8-81979f7a869b"&gt;376&lt;/key&gt;&lt;/foreign-keys&gt;&lt;ref-type name="Conference Proceedings"&gt;10&lt;/ref-type&gt;&lt;contributors&gt;&lt;authors&gt;&lt;author&gt;Arostegui, Danielle A&lt;/author&gt;&lt;author&gt;Holt, Mark&lt;/author&gt;&lt;/authors&gt;&lt;/contributors&gt;&lt;titles&gt;&lt;title&gt;Advanced nuclear reactors: technology overview and current issues&lt;/title&gt;&lt;secondary-title&gt;Congressional Research Service Report for Congress, Washington, DC, Report&lt;/secondary-title&gt;&lt;/titles&gt;&lt;number&gt;R45706&lt;/number&gt;&lt;dates&gt;&lt;year&gt;2019&lt;/year&gt;&lt;/dates&gt;&lt;urls&gt;&lt;/urls&gt;&lt;/record&gt;&lt;/Cite&gt;&lt;/EndNote&gt;</w:instrText>
      </w:r>
      <w:r>
        <w:fldChar w:fldCharType="separate"/>
      </w:r>
      <w:r>
        <w:rPr>
          <w:noProof/>
        </w:rPr>
        <w:t>[2]</w:t>
      </w:r>
      <w:r>
        <w:fldChar w:fldCharType="end"/>
      </w:r>
      <w:r>
        <w:t xml:space="preserve">. Advanced reactor operational cycle lifetimes are extended to reduce plant outages and decrease waste, and passive safety features are being implemented to ensure the core is sufficiently cooled and that radioactive material is contained in the event of accidents </w:t>
      </w:r>
      <w:r>
        <w:fldChar w:fldCharType="begin"/>
      </w:r>
      <w:r>
        <w:instrText xml:space="preserve"> ADDIN EN.CITE &lt;EndNote&gt;&lt;Cite&gt;&lt;Author&gt;Arostegui&lt;/Author&gt;&lt;Year&gt;2019&lt;/Year&gt;&lt;RecNum&gt;376&lt;/RecNum&gt;&lt;DisplayText&gt;[2]&lt;/DisplayText&gt;&lt;record&gt;&lt;rec-number&gt;376&lt;/rec-number&gt;&lt;foreign-keys&gt;&lt;key app="EN" db-id="eseee05sfe5vt6efvr0xapvq20vfdsfp5fvf" timestamp="1701290244" guid="ef5abb9a-7b1e-4570-8de8-81979f7a869b"&gt;376&lt;/key&gt;&lt;/foreign-keys&gt;&lt;ref-type name="Conference Proceedings"&gt;10&lt;/ref-type&gt;&lt;contributors&gt;&lt;authors&gt;&lt;author&gt;Arostegui, Danielle A&lt;/author&gt;&lt;author&gt;Holt, Mark&lt;/author&gt;&lt;/authors&gt;&lt;/contributors&gt;&lt;titles&gt;&lt;title&gt;Advanced nuclear reactors: technology overview and current issues&lt;/title&gt;&lt;secondary-title&gt;Congressional Research Service Report for Congress, Washington, DC, Report&lt;/secondary-title&gt;&lt;/titles&gt;&lt;number&gt;R45706&lt;/number&gt;&lt;dates&gt;&lt;year&gt;2019&lt;/year&gt;&lt;/dates&gt;&lt;urls&gt;&lt;/urls&gt;&lt;/record&gt;&lt;/Cite&gt;&lt;/EndNote&gt;</w:instrText>
      </w:r>
      <w:r>
        <w:fldChar w:fldCharType="separate"/>
      </w:r>
      <w:r>
        <w:rPr>
          <w:noProof/>
        </w:rPr>
        <w:t>[2]</w:t>
      </w:r>
      <w:r>
        <w:fldChar w:fldCharType="end"/>
      </w:r>
      <w:r>
        <w:t xml:space="preserve">. </w:t>
      </w:r>
    </w:p>
    <w:p w14:paraId="022589A8" w14:textId="4F7AA7FE" w:rsidR="00097770" w:rsidRDefault="00581C26" w:rsidP="00324644">
      <w:r w:rsidRPr="00801F0D">
        <w:t xml:space="preserve">Although advanced reactors seem like the most promising long-term solution to nuclear power, there is currently no established licensing basis for the majority of the proposed designs </w:t>
      </w:r>
      <w:r w:rsidRPr="00801F0D">
        <w:fldChar w:fldCharType="begin"/>
      </w:r>
      <w:r>
        <w:instrText xml:space="preserve"> ADDIN EN.CITE &lt;EndNote&gt;&lt;Cite&gt;&lt;Author&gt;Arostegui&lt;/Author&gt;&lt;Year&gt;2019&lt;/Year&gt;&lt;RecNum&gt;376&lt;/RecNum&gt;&lt;DisplayText&gt;[2]&lt;/DisplayText&gt;&lt;record&gt;&lt;rec-number&gt;376&lt;/rec-number&gt;&lt;foreign-keys&gt;&lt;key app="EN" db-id="eseee05sfe5vt6efvr0xapvq20vfdsfp5fvf" timestamp="1701290244" guid="ef5abb9a-7b1e-4570-8de8-81979f7a869b"&gt;376&lt;/key&gt;&lt;/foreign-keys&gt;&lt;ref-type name="Conference Proceedings"&gt;10&lt;/ref-type&gt;&lt;contributors&gt;&lt;authors&gt;&lt;author&gt;Arostegui, Danielle A&lt;/author&gt;&lt;author&gt;Holt, Mark&lt;/author&gt;&lt;/authors&gt;&lt;/contributors&gt;&lt;titles&gt;&lt;title&gt;Advanced nuclear reactors: technology overview and current issues&lt;/title&gt;&lt;secondary-title&gt;Congressional Research Service Report for Congress, Washington, DC, Report&lt;/secondary-title&gt;&lt;/titles&gt;&lt;number&gt;R45706&lt;/number&gt;&lt;dates&gt;&lt;year&gt;2019&lt;/year&gt;&lt;/dates&gt;&lt;urls&gt;&lt;/urls&gt;&lt;/record&gt;&lt;/Cite&gt;&lt;/EndNote&gt;</w:instrText>
      </w:r>
      <w:r w:rsidRPr="00801F0D">
        <w:fldChar w:fldCharType="separate"/>
      </w:r>
      <w:r>
        <w:rPr>
          <w:noProof/>
        </w:rPr>
        <w:t>[2]</w:t>
      </w:r>
      <w:r w:rsidRPr="00801F0D">
        <w:fldChar w:fldCharType="end"/>
      </w:r>
      <w:r w:rsidRPr="00801F0D">
        <w:t xml:space="preserve">. </w:t>
      </w:r>
      <w:r w:rsidR="00822C27">
        <w:t>To bridge the gap between the development and licensing of advanced reactors</w:t>
      </w:r>
      <w:r w:rsidRPr="00801F0D">
        <w:t>, the near-term compromise is to improve and extend the lifetime of existing light water reactor (LWR) plants.</w:t>
      </w:r>
      <w:r w:rsidR="008210E1">
        <w:t xml:space="preserve"> </w:t>
      </w:r>
      <w:r w:rsidR="0015016E">
        <w:t>T</w:t>
      </w:r>
      <w:r w:rsidR="008210E1">
        <w:t>he</w:t>
      </w:r>
      <w:r w:rsidR="0009324F">
        <w:t xml:space="preserve"> current commercial nuclear fleet is </w:t>
      </w:r>
      <w:r w:rsidR="0017173A">
        <w:t>approachin</w:t>
      </w:r>
      <w:r w:rsidR="0009324F">
        <w:t>g</w:t>
      </w:r>
      <w:r w:rsidR="0017173A">
        <w:t xml:space="preserve"> or </w:t>
      </w:r>
      <w:r w:rsidR="0015016E">
        <w:t xml:space="preserve">has </w:t>
      </w:r>
      <w:r w:rsidR="0017173A">
        <w:t>exceeding</w:t>
      </w:r>
      <w:r w:rsidR="0009324F">
        <w:t xml:space="preserve"> the end of </w:t>
      </w:r>
      <w:r w:rsidR="0017173A">
        <w:t xml:space="preserve">their </w:t>
      </w:r>
      <w:r w:rsidR="00E43D4F">
        <w:t xml:space="preserve">original </w:t>
      </w:r>
      <w:r w:rsidR="0017173A">
        <w:t>40 year</w:t>
      </w:r>
      <w:r w:rsidR="0009324F">
        <w:t xml:space="preserve"> operational licenses</w:t>
      </w:r>
      <w:r w:rsidR="0017173A">
        <w:t xml:space="preserve"> </w:t>
      </w:r>
      <w:r w:rsidR="0017173A">
        <w:fldChar w:fldCharType="begin"/>
      </w:r>
      <w:r>
        <w:instrText xml:space="preserve"> ADDIN EN.CITE &lt;EndNote&gt;&lt;Cite&gt;&lt;Author&gt;Chen&lt;/Author&gt;&lt;Year&gt;2022&lt;/Year&gt;&lt;RecNum&gt;564&lt;/RecNum&gt;&lt;DisplayText&gt;[3]&lt;/DisplayText&gt;&lt;record&gt;&lt;rec-number&gt;564&lt;/rec-number&gt;&lt;foreign-keys&gt;&lt;key app="EN" db-id="eseee05sfe5vt6efvr0xapvq20vfdsfp5fvf" timestamp="1745844216"&gt;564&lt;/key&gt;&lt;/foreign-keys&gt;&lt;ref-type name="Conference Proceedings"&gt;10&lt;/ref-type&gt;&lt;contributors&gt;&lt;authors&gt;&lt;author&gt;Chen, Zhilin&lt;/author&gt;&lt;author&gt;Li, Xiaowei&lt;/author&gt;&lt;author&gt;Huang, Ping&lt;/author&gt;&lt;author&gt;Wang, Chunhui&lt;/author&gt;&lt;author&gt;Wang, Jun&lt;/author&gt;&lt;author&gt;Chi, Zhiyuan&lt;/author&gt;&lt;author&gt;Fang, Kuiyuan&lt;/author&gt;&lt;author&gt;An, Yinghui&lt;/author&gt;&lt;author&gt;Zhang, Yanwei&lt;/author&gt;&lt;/authors&gt;&lt;/contributors&gt;&lt;titles&gt;&lt;title&gt;Review of Operating License Extension of Nuclear Power Plants&lt;/title&gt;&lt;secondary-title&gt;2022 29th International Conference on Nuclear Engineering&lt;/secondary-title&gt;&lt;/titles&gt;&lt;volume&gt;Volume 1: Nuclear Plant Operation and Maintenance, Engineering and Modification, Operation Life Extension (OLE), and Life Cycle&lt;/volume&gt;&lt;dates&gt;&lt;year&gt;2022&lt;/year&gt;&lt;/dates&gt;&lt;urls&gt;&lt;related-urls&gt;&lt;url&gt;https://doi.org/10.1115/ICONE29-93427&lt;/url&gt;&lt;/related-urls&gt;&lt;/urls&gt;&lt;custom1&gt;V001T01A082&lt;/custom1&gt;&lt;electronic-resource-num&gt;10.1115/icone29-93427&lt;/electronic-resource-num&gt;&lt;access-date&gt;4/28/2025&lt;/access-date&gt;&lt;/record&gt;&lt;/Cite&gt;&lt;/EndNote&gt;</w:instrText>
      </w:r>
      <w:r w:rsidR="0017173A">
        <w:fldChar w:fldCharType="separate"/>
      </w:r>
      <w:r>
        <w:rPr>
          <w:noProof/>
        </w:rPr>
        <w:t>[3]</w:t>
      </w:r>
      <w:r w:rsidR="0017173A">
        <w:fldChar w:fldCharType="end"/>
      </w:r>
      <w:r w:rsidR="0017173A">
        <w:t>.</w:t>
      </w:r>
      <w:r w:rsidR="00E43D4F">
        <w:t xml:space="preserve"> While many plants have applied for and have been approved for license extensions</w:t>
      </w:r>
      <w:r w:rsidR="003E155B">
        <w:t xml:space="preserve"> </w:t>
      </w:r>
      <w:r w:rsidR="003E155B">
        <w:fldChar w:fldCharType="begin"/>
      </w:r>
      <w:r>
        <w:instrText xml:space="preserve"> ADDIN EN.CITE &lt;EndNote&gt;&lt;Cite&gt;&lt;Author&gt;Chen&lt;/Author&gt;&lt;Year&gt;2022&lt;/Year&gt;&lt;RecNum&gt;564&lt;/RecNum&gt;&lt;DisplayText&gt;[3]&lt;/DisplayText&gt;&lt;record&gt;&lt;rec-number&gt;564&lt;/rec-number&gt;&lt;foreign-keys&gt;&lt;key app="EN" db-id="eseee05sfe5vt6efvr0xapvq20vfdsfp5fvf" timestamp="1745844216"&gt;564&lt;/key&gt;&lt;/foreign-keys&gt;&lt;ref-type name="Conference Proceedings"&gt;10&lt;/ref-type&gt;&lt;contributors&gt;&lt;authors&gt;&lt;author&gt;Chen, Zhilin&lt;/author&gt;&lt;author&gt;Li, Xiaowei&lt;/author&gt;&lt;author&gt;Huang, Ping&lt;/author&gt;&lt;author&gt;Wang, Chunhui&lt;/author&gt;&lt;author&gt;Wang, Jun&lt;/author&gt;&lt;author&gt;Chi, Zhiyuan&lt;/author&gt;&lt;author&gt;Fang, Kuiyuan&lt;/author&gt;&lt;author&gt;An, Yinghui&lt;/author&gt;&lt;author&gt;Zhang, Yanwei&lt;/author&gt;&lt;/authors&gt;&lt;/contributors&gt;&lt;titles&gt;&lt;title&gt;Review of Operating License Extension of Nuclear Power Plants&lt;/title&gt;&lt;secondary-title&gt;2022 29th International Conference on Nuclear Engineering&lt;/secondary-title&gt;&lt;/titles&gt;&lt;volume&gt;Volume 1: Nuclear Plant Operation and Maintenance, Engineering and Modification, Operation Life Extension (OLE), and Life Cycle&lt;/volume&gt;&lt;dates&gt;&lt;year&gt;2022&lt;/year&gt;&lt;/dates&gt;&lt;urls&gt;&lt;related-urls&gt;&lt;url&gt;https://doi.org/10.1115/ICONE29-93427&lt;/url&gt;&lt;/related-urls&gt;&lt;/urls&gt;&lt;custom1&gt;V001T01A082&lt;/custom1&gt;&lt;electronic-resource-num&gt;10.1115/icone29-93427&lt;/electronic-resource-num&gt;&lt;access-date&gt;4/28/2025&lt;/access-date&gt;&lt;/record&gt;&lt;/Cite&gt;&lt;/EndNote&gt;</w:instrText>
      </w:r>
      <w:r w:rsidR="003E155B">
        <w:fldChar w:fldCharType="separate"/>
      </w:r>
      <w:r>
        <w:rPr>
          <w:noProof/>
        </w:rPr>
        <w:t>[3]</w:t>
      </w:r>
      <w:r w:rsidR="003E155B">
        <w:fldChar w:fldCharType="end"/>
      </w:r>
      <w:r w:rsidR="00E43D4F">
        <w:t xml:space="preserve">, </w:t>
      </w:r>
      <w:r w:rsidR="0009324F">
        <w:t>the</w:t>
      </w:r>
      <w:r w:rsidR="0015016E">
        <w:t xml:space="preserve">re is still a need to </w:t>
      </w:r>
      <w:r w:rsidR="0009324F">
        <w:lastRenderedPageBreak/>
        <w:t>enhanc</w:t>
      </w:r>
      <w:r w:rsidR="0015016E">
        <w:t>e</w:t>
      </w:r>
      <w:r w:rsidR="0009324F">
        <w:t xml:space="preserve"> performance </w:t>
      </w:r>
      <w:r w:rsidR="005D4335">
        <w:t>and</w:t>
      </w:r>
      <w:r w:rsidR="003E155B">
        <w:t xml:space="preserve"> economic competitiveness</w:t>
      </w:r>
      <w:r w:rsidR="0009324F">
        <w:t xml:space="preserve"> </w:t>
      </w:r>
      <w:r w:rsidR="00794805">
        <w:fldChar w:fldCharType="begin"/>
      </w:r>
      <w:r>
        <w:instrText xml:space="preserve"> ADDIN EN.CITE &lt;EndNote&gt;&lt;Cite&gt;&lt;Author&gt;Gorton&lt;/Author&gt;&lt;Year&gt;2023&lt;/Year&gt;&lt;RecNum&gt;396&lt;/RecNum&gt;&lt;DisplayText&gt;[4]&lt;/DisplayText&gt;&lt;record&gt;&lt;rec-number&gt;396&lt;/rec-number&gt;&lt;foreign-keys&gt;&lt;key app="EN" db-id="eseee05sfe5vt6efvr0xapvq20vfdsfp5fvf" timestamp="1707774333"&gt;396&lt;/key&gt;&lt;/foreign-keys&gt;&lt;ref-type name="Journal Article"&gt;17&lt;/ref-type&gt;&lt;contributors&gt;&lt;authors&gt;&lt;author&gt;Gorton, Jacob P.&lt;/author&gt;&lt;author&gt;Petrie, Christian M.&lt;/author&gt;&lt;author&gt;Nelson, Andrew T.&lt;/author&gt;&lt;/authors&gt;&lt;/contributors&gt;&lt;titles&gt;&lt;title&gt;A review of neutronics and thermal hydraulics–based screening methods applied to accelerated nuclear fuel qualification&lt;/title&gt;&lt;secondary-title&gt;Progress in Nuclear Energy&lt;/secondary-title&gt;&lt;/titles&gt;&lt;periodical&gt;&lt;full-title&gt;Progress in Nuclear Energy&lt;/full-title&gt;&lt;/periodical&gt;&lt;pages&gt;104737&lt;/pages&gt;&lt;volume&gt;162&lt;/volume&gt;&lt;keywords&gt;&lt;keyword&gt;Accelerated fuel qualification&lt;/keyword&gt;&lt;keyword&gt;Reactor physics&lt;/keyword&gt;&lt;keyword&gt;Multiphysics&lt;/keyword&gt;&lt;keyword&gt;Nuclear fuels&lt;/keyword&gt;&lt;/keywords&gt;&lt;dates&gt;&lt;year&gt;2023&lt;/year&gt;&lt;pub-dates&gt;&lt;date&gt;2023/08/01/&lt;/date&gt;&lt;/pub-dates&gt;&lt;/dates&gt;&lt;isbn&gt;0149-1970&lt;/isbn&gt;&lt;urls&gt;&lt;related-urls&gt;&lt;url&gt;https://www.sciencedirect.com/science/article/pii/S0149197023001725&lt;/url&gt;&lt;/related-urls&gt;&lt;/urls&gt;&lt;electronic-resource-num&gt;https://doi.org/10.1016/j.pnucene.2023.104737&lt;/electronic-resource-num&gt;&lt;/record&gt;&lt;/Cite&gt;&lt;/EndNote&gt;</w:instrText>
      </w:r>
      <w:r w:rsidR="00794805">
        <w:fldChar w:fldCharType="separate"/>
      </w:r>
      <w:r>
        <w:rPr>
          <w:noProof/>
        </w:rPr>
        <w:t>[4]</w:t>
      </w:r>
      <w:r w:rsidR="00794805">
        <w:fldChar w:fldCharType="end"/>
      </w:r>
      <w:r w:rsidR="00D546C0">
        <w:t>;</w:t>
      </w:r>
      <w:r w:rsidR="00097770">
        <w:t xml:space="preserve"> especially in competition with other renewable energy alternatives </w:t>
      </w:r>
      <w:r w:rsidR="00097770">
        <w:fldChar w:fldCharType="begin"/>
      </w:r>
      <w:r>
        <w:instrText xml:space="preserve"> ADDIN EN.CITE &lt;EndNote&gt;&lt;Cite&gt;&lt;Author&gt;Knighton&lt;/Author&gt;&lt;Year&gt;2021&lt;/Year&gt;&lt;RecNum&gt;397&lt;/RecNum&gt;&lt;DisplayText&gt;[5]&lt;/DisplayText&gt;&lt;record&gt;&lt;rec-number&gt;397&lt;/rec-number&gt;&lt;foreign-keys&gt;&lt;key app="EN" db-id="eseee05sfe5vt6efvr0xapvq20vfdsfp5fvf" timestamp="1708215487"&gt;397&lt;/key&gt;&lt;/foreign-keys&gt;&lt;ref-type name="Report"&gt;27&lt;/ref-type&gt;&lt;contributors&gt;&lt;authors&gt;&lt;author&gt;Knighton, Lane T.&lt;/author&gt;&lt;author&gt;Shigrekar, Amey&lt;/author&gt;&lt;author&gt;Wendt, Daniel S.&lt;/author&gt;&lt;author&gt;Frick, Konor L.&lt;/author&gt;&lt;author&gt;Boardman, Richard D.&lt;/author&gt;&lt;author&gt;Elgowainy, Amgad A.&lt;/author&gt;&lt;author&gt;Bafana, Adarsh&lt;/author&gt;&lt;author&gt;Tun, Hla&lt;/author&gt;&lt;author&gt;Reddi, Krishna R.&lt;/author&gt;&lt;/authors&gt;&lt;/contributors&gt;&lt;titles&gt;&lt;title&gt;Energy Arbitrage: Comparison of Options for use with LWR Nuclear Power Plants&lt;/title&gt;&lt;/titles&gt;&lt;keywords&gt;&lt;keyword&gt;25 - ENERGY STORAGE&lt;/keyword&gt;&lt;keyword&gt;Energy Storage&lt;/keyword&gt;&lt;keyword&gt;carbon capture&lt;/keyword&gt;&lt;keyword&gt;cryogenic&lt;/keyword&gt;&lt;keyword&gt;thermal energy storage&lt;/keyword&gt;&lt;/keywords&gt;&lt;dates&gt;&lt;year&gt;2021&lt;/year&gt;&lt;pub-dates&gt;&lt;date&gt;2021-09-01&lt;/date&gt;&lt;/pub-dates&gt;&lt;/dates&gt;&lt;pub-location&gt;United States&lt;/pub-location&gt;&lt;urls&gt;&lt;related-urls&gt;&lt;url&gt;https://www.osti.gov/biblio/1834404&lt;/url&gt;&lt;url&gt;https://www.osti.gov/servlets/purl/1834404&lt;/url&gt;&lt;/related-urls&gt;&lt;/urls&gt;&lt;custom1&gt;Research Org.: Idaho National Lab. (INL), Idaho Falls, ID (United States)&lt;/custom1&gt;&lt;custom2&gt;Sponsor Org.: USDOE Office of Nuclear Energy (NE)&lt;/custom2&gt;&lt;custom3&gt;Report Number: INL/EXT-21-62939-Rev000&lt;/custom3&gt;&lt;custom4&gt;Contract Number: DE-AC07-05ID14517&lt;/custom4&gt;&lt;language&gt;English&lt;/language&gt;&lt;/record&gt;&lt;/Cite&gt;&lt;/EndNote&gt;</w:instrText>
      </w:r>
      <w:r w:rsidR="00097770">
        <w:fldChar w:fldCharType="separate"/>
      </w:r>
      <w:r>
        <w:rPr>
          <w:noProof/>
        </w:rPr>
        <w:t>[5]</w:t>
      </w:r>
      <w:r w:rsidR="00097770">
        <w:fldChar w:fldCharType="end"/>
      </w:r>
      <w:r w:rsidR="0009324F">
        <w:t>.</w:t>
      </w:r>
      <w:r w:rsidR="003E155B">
        <w:t xml:space="preserve"> Current avenues for improvement include </w:t>
      </w:r>
      <w:r w:rsidR="002C3582">
        <w:t xml:space="preserve">front/back end fuel cycle costs, proliferation resistance, and operational performance and safety </w:t>
      </w:r>
      <w:r w:rsidR="002C3582">
        <w:fldChar w:fldCharType="begin"/>
      </w:r>
      <w:r>
        <w:instrText xml:space="preserve"> ADDIN EN.CITE &lt;EndNote&gt;&lt;Cite&gt;&lt;Author&gt;Gorton&lt;/Author&gt;&lt;Year&gt;2023&lt;/Year&gt;&lt;RecNum&gt;396&lt;/RecNum&gt;&lt;DisplayText&gt;[4]&lt;/DisplayText&gt;&lt;record&gt;&lt;rec-number&gt;396&lt;/rec-number&gt;&lt;foreign-keys&gt;&lt;key app="EN" db-id="eseee05sfe5vt6efvr0xapvq20vfdsfp5fvf" timestamp="1707774333"&gt;396&lt;/key&gt;&lt;/foreign-keys&gt;&lt;ref-type name="Journal Article"&gt;17&lt;/ref-type&gt;&lt;contributors&gt;&lt;authors&gt;&lt;author&gt;Gorton, Jacob P.&lt;/author&gt;&lt;author&gt;Petrie, Christian M.&lt;/author&gt;&lt;author&gt;Nelson, Andrew T.&lt;/author&gt;&lt;/authors&gt;&lt;/contributors&gt;&lt;titles&gt;&lt;title&gt;A review of neutronics and thermal hydraulics–based screening methods applied to accelerated nuclear fuel qualification&lt;/title&gt;&lt;secondary-title&gt;Progress in Nuclear Energy&lt;/secondary-title&gt;&lt;/titles&gt;&lt;periodical&gt;&lt;full-title&gt;Progress in Nuclear Energy&lt;/full-title&gt;&lt;/periodical&gt;&lt;pages&gt;104737&lt;/pages&gt;&lt;volume&gt;162&lt;/volume&gt;&lt;keywords&gt;&lt;keyword&gt;Accelerated fuel qualification&lt;/keyword&gt;&lt;keyword&gt;Reactor physics&lt;/keyword&gt;&lt;keyword&gt;Multiphysics&lt;/keyword&gt;&lt;keyword&gt;Nuclear fuels&lt;/keyword&gt;&lt;/keywords&gt;&lt;dates&gt;&lt;year&gt;2023&lt;/year&gt;&lt;pub-dates&gt;&lt;date&gt;2023/08/01/&lt;/date&gt;&lt;/pub-dates&gt;&lt;/dates&gt;&lt;isbn&gt;0149-1970&lt;/isbn&gt;&lt;urls&gt;&lt;related-urls&gt;&lt;url&gt;https://www.sciencedirect.com/science/article/pii/S0149197023001725&lt;/url&gt;&lt;/related-urls&gt;&lt;/urls&gt;&lt;electronic-resource-num&gt;https://doi.org/10.1016/j.pnucene.2023.104737&lt;/electronic-resource-num&gt;&lt;/record&gt;&lt;/Cite&gt;&lt;/EndNote&gt;</w:instrText>
      </w:r>
      <w:r w:rsidR="002C3582">
        <w:fldChar w:fldCharType="separate"/>
      </w:r>
      <w:r>
        <w:rPr>
          <w:noProof/>
        </w:rPr>
        <w:t>[4]</w:t>
      </w:r>
      <w:r w:rsidR="002C3582">
        <w:fldChar w:fldCharType="end"/>
      </w:r>
      <w:r w:rsidR="002C3582">
        <w:t>.</w:t>
      </w:r>
      <w:r w:rsidR="008A1ED5">
        <w:t xml:space="preserve"> </w:t>
      </w:r>
      <w:r w:rsidR="007904CD">
        <w:t>Among other global efforts, t</w:t>
      </w:r>
      <w:r w:rsidR="00097770">
        <w:t>he</w:t>
      </w:r>
      <w:r w:rsidR="005E3BC8">
        <w:t xml:space="preserve"> US Department of Energy</w:t>
      </w:r>
      <w:r w:rsidR="00097770">
        <w:t xml:space="preserve"> </w:t>
      </w:r>
      <w:r w:rsidR="005E3BC8">
        <w:t>(</w:t>
      </w:r>
      <w:r w:rsidR="00097770">
        <w:t>DOE</w:t>
      </w:r>
      <w:r w:rsidR="005E3BC8">
        <w:t>)</w:t>
      </w:r>
      <w:r w:rsidR="00097770">
        <w:t xml:space="preserve"> </w:t>
      </w:r>
      <w:r w:rsidR="0015016E">
        <w:t>has</w:t>
      </w:r>
      <w:r w:rsidR="00097770">
        <w:t xml:space="preserve"> put forth several programs to</w:t>
      </w:r>
      <w:r w:rsidR="00A306BC">
        <w:t xml:space="preserve"> address these challenges</w:t>
      </w:r>
      <w:r w:rsidR="00097770">
        <w:t xml:space="preserve"> including</w:t>
      </w:r>
      <w:r w:rsidR="00C3084D">
        <w:t>, but not limited to,</w:t>
      </w:r>
      <w:r w:rsidR="00097770">
        <w:t xml:space="preserve"> the accident tolerant fuels (ATF) campaign, advanced fuels campaign (AFC), and campaigns for integrated energy systems and energy storage </w:t>
      </w:r>
      <w:r w:rsidR="00097770">
        <w:fldChar w:fldCharType="begin">
          <w:fldData xml:space="preserve">PEVuZE5vdGU+PENpdGU+PEF1dGhvcj5LbmlnaHRvbjwvQXV0aG9yPjxZZWFyPjIwMjE8L1llYXI+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</w:fldData>
        </w:fldChar>
      </w:r>
      <w:r>
        <w:instrText xml:space="preserve"> ADDIN EN.CITE </w:instrText>
      </w:r>
      <w:r>
        <w:fldChar w:fldCharType="begin">
          <w:fldData xml:space="preserve">PEVuZE5vdGU+PENpdGU+PEF1dGhvcj5LbmlnaHRvbjwvQXV0aG9yPjxZZWFyPjIwMjE8L1llYXI+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</w:fldData>
        </w:fldChar>
      </w:r>
      <w:r>
        <w:instrText xml:space="preserve"> ADDIN EN.CITE.DATA </w:instrText>
      </w:r>
      <w:r>
        <w:fldChar w:fldCharType="end"/>
      </w:r>
      <w:r w:rsidR="00097770">
        <w:fldChar w:fldCharType="separate"/>
      </w:r>
      <w:r>
        <w:rPr>
          <w:noProof/>
        </w:rPr>
        <w:t>[5-7]</w:t>
      </w:r>
      <w:r w:rsidR="00097770">
        <w:fldChar w:fldCharType="end"/>
      </w:r>
      <w:r w:rsidR="00097770">
        <w:t>.</w:t>
      </w:r>
    </w:p>
    <w:p w14:paraId="13E5E1AA" w14:textId="60A727FB" w:rsidR="009D3C0F" w:rsidRDefault="008A1ED5" w:rsidP="00DF37BD">
      <w:r>
        <w:t xml:space="preserve">The </w:t>
      </w:r>
      <w:r w:rsidR="005E3BC8">
        <w:t>ATF</w:t>
      </w:r>
      <w:r>
        <w:t xml:space="preserve"> program is an ongoing campaign</w:t>
      </w:r>
      <w:r w:rsidR="00987A84">
        <w:t xml:space="preserve"> within the </w:t>
      </w:r>
      <w:r w:rsidR="005E3BC8">
        <w:t>AFC</w:t>
      </w:r>
      <w:r>
        <w:t xml:space="preserve"> supporting the goal of improving the safety of fuels without sacrificing performance or economics</w:t>
      </w:r>
      <w:r w:rsidR="00987A84">
        <w:t xml:space="preserve"> </w:t>
      </w:r>
      <w:r w:rsidR="00987A84">
        <w:fldChar w:fldCharType="begin">
          <w:fldData xml:space="preserve">PEVuZE5vdGU+PENpdGU+PEF1dGhvcj5Hb2xkbmVyPC9BdXRob3I+PFllYXI+MjAyMTwvWWVhcj48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</w:fldData>
        </w:fldChar>
      </w:r>
      <w:r w:rsidR="00581C26">
        <w:instrText xml:space="preserve"> ADDIN EN.CITE </w:instrText>
      </w:r>
      <w:r w:rsidR="00581C26">
        <w:fldChar w:fldCharType="begin">
          <w:fldData xml:space="preserve">PEVuZE5vdGU+PENpdGU+PEF1dGhvcj5Hb2xkbmVyPC9BdXRob3I+PFllYXI+MjAyMTwvWWVhcj48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</w:fldData>
        </w:fldChar>
      </w:r>
      <w:r w:rsidR="00581C26">
        <w:instrText xml:space="preserve"> ADDIN EN.CITE.DATA </w:instrText>
      </w:r>
      <w:r w:rsidR="00581C26">
        <w:fldChar w:fldCharType="end"/>
      </w:r>
      <w:r w:rsidR="00987A84">
        <w:fldChar w:fldCharType="separate"/>
      </w:r>
      <w:r w:rsidR="00581C26">
        <w:rPr>
          <w:noProof/>
        </w:rPr>
        <w:t>[6, 8]</w:t>
      </w:r>
      <w:r w:rsidR="00987A84">
        <w:fldChar w:fldCharType="end"/>
      </w:r>
      <w:r>
        <w:t>.</w:t>
      </w:r>
      <w:r w:rsidR="00233376">
        <w:t xml:space="preserve"> </w:t>
      </w:r>
      <w:r w:rsidR="00822B49">
        <w:t xml:space="preserve">To license new fuels for the </w:t>
      </w:r>
      <w:r w:rsidR="008B15DB">
        <w:t xml:space="preserve">use in commercial nuclear systems, candidate materials must </w:t>
      </w:r>
      <w:r w:rsidR="00F077B9">
        <w:t xml:space="preserve">undergo fuel qualification </w:t>
      </w:r>
      <w:r w:rsidR="00F077B9">
        <w:fldChar w:fldCharType="begin">
          <w:fldData xml:space="preserve">PEVuZE5vdGU+PENpdGU+PEF1dGhvcj5DcmF3Zm9yZDwvQXV0aG9yPjxZZWFyPjIwMDc8L1llYXI+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</w:fldData>
        </w:fldChar>
      </w:r>
      <w:r w:rsidR="00581C26">
        <w:instrText xml:space="preserve"> ADDIN EN.CITE </w:instrText>
      </w:r>
      <w:r w:rsidR="00581C26">
        <w:fldChar w:fldCharType="begin">
          <w:fldData xml:space="preserve">PEVuZE5vdGU+PENpdGU+PEF1dGhvcj5DcmF3Zm9yZDwvQXV0aG9yPjxZZWFyPjIwMDc8L1llYXI+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</w:fldData>
        </w:fldChar>
      </w:r>
      <w:r w:rsidR="00581C26">
        <w:instrText xml:space="preserve"> ADDIN EN.CITE.DATA </w:instrText>
      </w:r>
      <w:r w:rsidR="00581C26">
        <w:fldChar w:fldCharType="end"/>
      </w:r>
      <w:r w:rsidR="00F077B9">
        <w:fldChar w:fldCharType="separate"/>
      </w:r>
      <w:r w:rsidR="00581C26">
        <w:rPr>
          <w:noProof/>
        </w:rPr>
        <w:t>[9, 10]</w:t>
      </w:r>
      <w:r w:rsidR="00F077B9">
        <w:fldChar w:fldCharType="end"/>
      </w:r>
      <w:r w:rsidR="00F077B9">
        <w:t>. This is a process that involves down-selection of candidate fuel systems through</w:t>
      </w:r>
      <w:r w:rsidR="008C39B3">
        <w:t xml:space="preserve"> comprehensive</w:t>
      </w:r>
      <w:r w:rsidR="00F077B9">
        <w:t xml:space="preserve"> experimental </w:t>
      </w:r>
      <w:r w:rsidR="00AA660C">
        <w:t xml:space="preserve">testing and traditionally takes ~20 years </w:t>
      </w:r>
      <w:r w:rsidR="001E3182">
        <w:t>from conception to licensing</w:t>
      </w:r>
      <w:r w:rsidR="00AA660C">
        <w:t xml:space="preserve"> </w:t>
      </w:r>
      <w:r w:rsidR="00AA660C">
        <w:fldChar w:fldCharType="begin"/>
      </w:r>
      <w:r w:rsidR="00581C26">
        <w:instrText xml:space="preserve"> ADDIN EN.CITE &lt;EndNote&gt;&lt;Cite&gt;&lt;Author&gt;Crawford&lt;/Author&gt;&lt;Year&gt;2007&lt;/Year&gt;&lt;RecNum&gt;378&lt;/RecNum&gt;&lt;DisplayText&gt;[9]&lt;/DisplayText&gt;&lt;record&gt;&lt;rec-number&gt;378&lt;/rec-number&gt;&lt;foreign-keys&gt;&lt;key app="EN" db-id="eseee05sfe5vt6efvr0xapvq20vfdsfp5fvf" timestamp="1701293831" guid="36de3baa-731e-443a-a16b-399159a2348b"&gt;378&lt;/key&gt;&lt;/foreign-keys&gt;&lt;ref-type name="Journal Article"&gt;17&lt;/ref-type&gt;&lt;contributors&gt;&lt;authors&gt;&lt;author&gt;Crawford, Douglas C.&lt;/author&gt;&lt;author&gt;Porter, Douglas L.&lt;/author&gt;&lt;author&gt;Hayes, Steven L.&lt;/author&gt;&lt;author&gt;Meyer, Mitchell K.&lt;/author&gt;&lt;author&gt;Petti, David A.&lt;/author&gt;&lt;author&gt;Pasamehmetoglu, Kemal&lt;/author&gt;&lt;/authors&gt;&lt;/contributors&gt;&lt;titles&gt;&lt;title&gt;An approach to fuel development and qualification&lt;/title&gt;&lt;secondary-title&gt;Journal of Nuclear Materials&lt;/secondary-title&gt;&lt;/titles&gt;&lt;periodical&gt;&lt;full-title&gt;Journal of Nuclear Materials&lt;/full-title&gt;&lt;/periodical&gt;&lt;pages&gt;232-242&lt;/pages&gt;&lt;volume&gt;371&lt;/volume&gt;&lt;number&gt;1&lt;/number&gt;&lt;dates&gt;&lt;year&gt;2007&lt;/year&gt;&lt;pub-dates&gt;&lt;date&gt;2007/09/15/&lt;/date&gt;&lt;/pub-dates&gt;&lt;/dates&gt;&lt;isbn&gt;0022-3115&lt;/isbn&gt;&lt;urls&gt;&lt;related-urls&gt;&lt;url&gt;https://www.sciencedirect.com/science/article/pii/S0022311507007544&lt;/url&gt;&lt;/related-urls&gt;&lt;/urls&gt;&lt;electronic-resource-num&gt;https://doi.org/10.1016/j.jnucmat.2007.05.029&lt;/electronic-resource-num&gt;&lt;/record&gt;&lt;/Cite&gt;&lt;/EndNote&gt;</w:instrText>
      </w:r>
      <w:r w:rsidR="00AA660C">
        <w:fldChar w:fldCharType="separate"/>
      </w:r>
      <w:r w:rsidR="00581C26">
        <w:rPr>
          <w:noProof/>
        </w:rPr>
        <w:t>[9]</w:t>
      </w:r>
      <w:r w:rsidR="00AA660C">
        <w:fldChar w:fldCharType="end"/>
      </w:r>
      <w:r w:rsidR="00AA660C">
        <w:t xml:space="preserve">. </w:t>
      </w:r>
      <w:r w:rsidR="00CB3C42">
        <w:t xml:space="preserve">Although the approach has been successfully applied for several fuel forms across several reactor designs including, but not limited to, light-water reactors, gas cooled reactors, sodium fast reactors and research reactors; the approach as a whole remains inefficient and costly to perform </w:t>
      </w:r>
      <w:r w:rsidR="00CB3C42">
        <w:fldChar w:fldCharType="begin"/>
      </w:r>
      <w:r w:rsidR="00581C26">
        <w:instrText xml:space="preserve"> ADDIN EN.CITE &lt;EndNote&gt;&lt;Cite&gt;&lt;Author&gt;Terrani&lt;/Author&gt;&lt;Year&gt;2020&lt;/Year&gt;&lt;RecNum&gt;329&lt;/RecNum&gt;&lt;DisplayText&gt;[10]&lt;/DisplayText&gt;&lt;record&gt;&lt;rec-number&gt;329&lt;/rec-number&gt;&lt;foreign-keys&gt;&lt;key app="EN" db-id="eseee05sfe5vt6efvr0xapvq20vfdsfp5fvf" timestamp="1694799015" guid="2592c69c-465c-42e8-985f-10ae1a4393f8"&gt;329&lt;/key&gt;&lt;/foreign-keys&gt;&lt;ref-type name="Journal Article"&gt;17&lt;/ref-type&gt;&lt;contributors&gt;&lt;authors&gt;&lt;author&gt;Terrani, Kurt A.&lt;/author&gt;&lt;author&gt;Capps, Nathan A.&lt;/author&gt;&lt;author&gt;Kerr, Matthew J.&lt;/author&gt;&lt;author&gt;Back, Christina A.&lt;/author&gt;&lt;author&gt;Nelson, Andrew T.&lt;/author&gt;&lt;author&gt;Wirth, Brian D.&lt;/author&gt;&lt;author&gt;Hayes, Steven L.&lt;/author&gt;&lt;author&gt;Stanek, Chris R.&lt;/author&gt;&lt;/authors&gt;&lt;/contributors&gt;&lt;titles&gt;&lt;title&gt;Accelerating nuclear fuel development and qualification: Modeling and simulation integrated with separate-effects testing&lt;/title&gt;&lt;secondary-title&gt;Journal of Nuclear Materials&lt;/secondary-title&gt;&lt;/titles&gt;&lt;periodical&gt;&lt;full-title&gt;Journal of Nuclear Materials&lt;/full-title&gt;&lt;/periodical&gt;&lt;pages&gt;152267&lt;/pages&gt;&lt;volume&gt;539&lt;/volume&gt;&lt;dates&gt;&lt;year&gt;2020&lt;/year&gt;&lt;pub-dates&gt;&lt;date&gt;2020/10/01/&lt;/date&gt;&lt;/pub-dates&gt;&lt;/dates&gt;&lt;isbn&gt;0022-3115&lt;/isbn&gt;&lt;urls&gt;&lt;related-urls&gt;&lt;url&gt;https://www.sciencedirect.com/science/article/pii/S0022311519316733&lt;/url&gt;&lt;/related-urls&gt;&lt;/urls&gt;&lt;electronic-resource-num&gt;https://doi.org/10.1016/j.jnucmat.2020.152267&lt;/electronic-resource-num&gt;&lt;/record&gt;&lt;/Cite&gt;&lt;/EndNote&gt;</w:instrText>
      </w:r>
      <w:r w:rsidR="00CB3C42">
        <w:fldChar w:fldCharType="separate"/>
      </w:r>
      <w:r w:rsidR="00581C26">
        <w:rPr>
          <w:noProof/>
        </w:rPr>
        <w:t>[10]</w:t>
      </w:r>
      <w:r w:rsidR="00CB3C42">
        <w:fldChar w:fldCharType="end"/>
      </w:r>
      <w:r w:rsidR="00CB3C42">
        <w:t xml:space="preserve">. </w:t>
      </w:r>
    </w:p>
    <w:p w14:paraId="00DBD759" w14:textId="2223BD66" w:rsidR="004B3A23" w:rsidRDefault="00107E3B" w:rsidP="00DF37BD">
      <w:r>
        <w:t>In an effort to accelerate the current fuel qualification process</w:t>
      </w:r>
      <w:r w:rsidR="004B3A23">
        <w:t xml:space="preserve">, a new approach was proposed by Terrani et. al. leveraging advanced modeling and simulation capabilities </w:t>
      </w:r>
      <w:r w:rsidR="004B3A23">
        <w:fldChar w:fldCharType="begin"/>
      </w:r>
      <w:r w:rsidR="00581C26">
        <w:instrText xml:space="preserve"> ADDIN EN.CITE &lt;EndNote&gt;&lt;Cite&gt;&lt;Author&gt;Terrani&lt;/Author&gt;&lt;Year&gt;2020&lt;/Year&gt;&lt;RecNum&gt;329&lt;/RecNum&gt;&lt;DisplayText&gt;[10]&lt;/DisplayText&gt;&lt;record&gt;&lt;rec-number&gt;329&lt;/rec-number&gt;&lt;foreign-keys&gt;&lt;key app="EN" db-id="eseee05sfe5vt6efvr0xapvq20vfdsfp5fvf" timestamp="1694799015" guid="2592c69c-465c-42e8-985f-10ae1a4393f8"&gt;329&lt;/key&gt;&lt;/foreign-keys&gt;&lt;ref-type name="Journal Article"&gt;17&lt;/ref-type&gt;&lt;contributors&gt;&lt;authors&gt;&lt;author&gt;Terrani, Kurt A.&lt;/author&gt;&lt;author&gt;Capps, Nathan A.&lt;/author&gt;&lt;author&gt;Kerr, Matthew J.&lt;/author&gt;&lt;author&gt;Back, Christina A.&lt;/author&gt;&lt;author&gt;Nelson, Andrew T.&lt;/author&gt;&lt;author&gt;Wirth, Brian D.&lt;/author&gt;&lt;author&gt;Hayes, Steven L.&lt;/author&gt;&lt;author&gt;Stanek, Chris R.&lt;/author&gt;&lt;/authors&gt;&lt;/contributors&gt;&lt;titles&gt;&lt;title&gt;Accelerating nuclear fuel development and qualification: Modeling and simulation integrated with separate-effects testing&lt;/title&gt;&lt;secondary-title&gt;Journal of Nuclear Materials&lt;/secondary-title&gt;&lt;/titles&gt;&lt;periodical&gt;&lt;full-title&gt;Journal of Nuclear Materials&lt;/full-title&gt;&lt;/periodical&gt;&lt;pages&gt;152267&lt;/pages&gt;&lt;volume&gt;539&lt;/volume&gt;&lt;dates&gt;&lt;year&gt;2020&lt;/year&gt;&lt;pub-dates&gt;&lt;date&gt;2020/10/01/&lt;/date&gt;&lt;/pub-dates&gt;&lt;/dates&gt;&lt;isbn&gt;0022-3115&lt;/isbn&gt;&lt;urls&gt;&lt;related-urls&gt;&lt;url&gt;https://www.sciencedirect.com/science/article/pii/S0022311519316733&lt;/url&gt;&lt;/related-urls&gt;&lt;/urls&gt;&lt;electronic-resource-num&gt;https://doi.org/10.1016/j.jnucmat.2020.152267&lt;/electronic-resource-num&gt;&lt;/record&gt;&lt;/Cite&gt;&lt;/EndNote&gt;</w:instrText>
      </w:r>
      <w:r w:rsidR="004B3A23">
        <w:fldChar w:fldCharType="separate"/>
      </w:r>
      <w:r w:rsidR="00581C26">
        <w:rPr>
          <w:noProof/>
        </w:rPr>
        <w:t>[10]</w:t>
      </w:r>
      <w:r w:rsidR="004B3A23">
        <w:fldChar w:fldCharType="end"/>
      </w:r>
      <w:r w:rsidR="004B3A23">
        <w:t xml:space="preserve">. The </w:t>
      </w:r>
      <w:r w:rsidR="004A652A">
        <w:t>basis</w:t>
      </w:r>
      <w:r w:rsidR="004B3A23">
        <w:t xml:space="preserve"> of this new approach is to</w:t>
      </w:r>
      <w:r w:rsidR="00CA457A">
        <w:t xml:space="preserve"> supplement integral effects testing with the</w:t>
      </w:r>
      <w:r w:rsidR="004B3A23">
        <w:t xml:space="preserve"> use an iterative feedback loop between computational modeling and </w:t>
      </w:r>
      <w:r w:rsidR="007D34B8">
        <w:t xml:space="preserve">separate effects </w:t>
      </w:r>
      <w:r w:rsidR="004B3A23">
        <w:t>experimentation.</w:t>
      </w:r>
      <w:r w:rsidR="00CA457A">
        <w:t xml:space="preserve"> Integral effects tests are tests which encapsulate the full representative </w:t>
      </w:r>
      <w:r w:rsidR="00CA457A">
        <w:lastRenderedPageBreak/>
        <w:t xml:space="preserve">environment of a system. While these tests are necessary for fuel performance, they are expensive to perform and give little information outside of the range of its specific design </w:t>
      </w:r>
      <w:r w:rsidR="00CA457A">
        <w:fldChar w:fldCharType="begin"/>
      </w:r>
      <w:r w:rsidR="00CA457A">
        <w:instrText xml:space="preserve"> ADDIN EN.CITE &lt;EndNote&gt;&lt;Cite&gt;&lt;Author&gt;Terrani&lt;/Author&gt;&lt;Year&gt;2020&lt;/Year&gt;&lt;RecNum&gt;329&lt;/RecNum&gt;&lt;DisplayText&gt;[10]&lt;/DisplayText&gt;&lt;record&gt;&lt;rec-number&gt;329&lt;/rec-number&gt;&lt;foreign-keys&gt;&lt;key app="EN" db-id="eseee05sfe5vt6efvr0xapvq20vfdsfp5fvf" timestamp="1694799015" guid="2592c69c-465c-42e8-985f-10ae1a4393f8"&gt;329&lt;/key&gt;&lt;/foreign-keys&gt;&lt;ref-type name="Journal Article"&gt;17&lt;/ref-type&gt;&lt;contributors&gt;&lt;authors&gt;&lt;author&gt;Terrani, Kurt A.&lt;/author&gt;&lt;author&gt;Capps, Nathan A.&lt;/author&gt;&lt;author&gt;Kerr, Matthew J.&lt;/author&gt;&lt;author&gt;Back, Christina A.&lt;/author&gt;&lt;author&gt;Nelson, Andrew T.&lt;/author&gt;&lt;author&gt;Wirth, Brian D.&lt;/author&gt;&lt;author&gt;Hayes, Steven L.&lt;/author&gt;&lt;author&gt;Stanek, Chris R.&lt;/author&gt;&lt;/authors&gt;&lt;/contributors&gt;&lt;titles&gt;&lt;title&gt;Accelerating nuclear fuel development and qualification: Modeling and simulation integrated with separate-effects testing&lt;/title&gt;&lt;secondary-title&gt;Journal of Nuclear Materials&lt;/secondary-title&gt;&lt;/titles&gt;&lt;periodical&gt;&lt;full-title&gt;Journal of Nuclear Materials&lt;/full-title&gt;&lt;/periodical&gt;&lt;pages&gt;152267&lt;/pages&gt;&lt;volume&gt;539&lt;/volume&gt;&lt;dates&gt;&lt;year&gt;2020&lt;/year&gt;&lt;pub-dates&gt;&lt;date&gt;2020/10/01/&lt;/date&gt;&lt;/pub-dates&gt;&lt;/dates&gt;&lt;isbn&gt;0022-3115&lt;/isbn&gt;&lt;urls&gt;&lt;related-urls&gt;&lt;url&gt;https://www.sciencedirect.com/science/article/pii/S0022311519316733&lt;/url&gt;&lt;/related-urls&gt;&lt;/urls&gt;&lt;electronic-resource-num&gt;https://doi.org/10.1016/j.jnucmat.2020.152267&lt;/electronic-resource-num&gt;&lt;/record&gt;&lt;/Cite&gt;&lt;/EndNote&gt;</w:instrText>
      </w:r>
      <w:r w:rsidR="00CA457A">
        <w:fldChar w:fldCharType="separate"/>
      </w:r>
      <w:r w:rsidR="00CA457A">
        <w:rPr>
          <w:noProof/>
        </w:rPr>
        <w:t>[10]</w:t>
      </w:r>
      <w:r w:rsidR="00CA457A">
        <w:fldChar w:fldCharType="end"/>
      </w:r>
      <w:r w:rsidR="00CA457A">
        <w:t>.</w:t>
      </w:r>
      <w:r w:rsidR="004B3A23">
        <w:t xml:space="preserve"> </w:t>
      </w:r>
      <w:r w:rsidR="00281E03">
        <w:t>S</w:t>
      </w:r>
      <w:r w:rsidR="004B3A23">
        <w:t>eparate effects tests</w:t>
      </w:r>
      <w:r w:rsidR="00281E03">
        <w:t xml:space="preserve"> </w:t>
      </w:r>
      <w:r w:rsidR="00DB5DC0">
        <w:t>are cost-effective experimen</w:t>
      </w:r>
      <w:r w:rsidR="006E2660">
        <w:t>t</w:t>
      </w:r>
      <w:r w:rsidR="00DB5DC0">
        <w:t xml:space="preserve">s that aim to isolate a specific effect which is imperative for gathering fundamental data in a highly coupled system such as a nuclear reactor environment </w:t>
      </w:r>
      <w:r w:rsidR="004B3A23">
        <w:fldChar w:fldCharType="begin"/>
      </w:r>
      <w:r w:rsidR="00581C26">
        <w:instrText xml:space="preserve"> ADDIN EN.CITE &lt;EndNote&gt;&lt;Cite&gt;&lt;Author&gt;Terrani&lt;/Author&gt;&lt;Year&gt;2020&lt;/Year&gt;&lt;RecNum&gt;329&lt;/RecNum&gt;&lt;DisplayText&gt;[10]&lt;/DisplayText&gt;&lt;record&gt;&lt;rec-number&gt;329&lt;/rec-number&gt;&lt;foreign-keys&gt;&lt;key app="EN" db-id="eseee05sfe5vt6efvr0xapvq20vfdsfp5fvf" timestamp="1694799015" guid="2592c69c-465c-42e8-985f-10ae1a4393f8"&gt;329&lt;/key&gt;&lt;/foreign-keys&gt;&lt;ref-type name="Journal Article"&gt;17&lt;/ref-type&gt;&lt;contributors&gt;&lt;authors&gt;&lt;author&gt;Terrani, Kurt A.&lt;/author&gt;&lt;author&gt;Capps, Nathan A.&lt;/author&gt;&lt;author&gt;Kerr, Matthew J.&lt;/author&gt;&lt;author&gt;Back, Christina A.&lt;/author&gt;&lt;author&gt;Nelson, Andrew T.&lt;/author&gt;&lt;author&gt;Wirth, Brian D.&lt;/author&gt;&lt;author&gt;Hayes, Steven L.&lt;/author&gt;&lt;author&gt;Stanek, Chris R.&lt;/author&gt;&lt;/authors&gt;&lt;/contributors&gt;&lt;titles&gt;&lt;title&gt;Accelerating nuclear fuel development and qualification: Modeling and simulation integrated with separate-effects testing&lt;/title&gt;&lt;secondary-title&gt;Journal of Nuclear Materials&lt;/secondary-title&gt;&lt;/titles&gt;&lt;periodical&gt;&lt;full-title&gt;Journal of Nuclear Materials&lt;/full-title&gt;&lt;/periodical&gt;&lt;pages&gt;152267&lt;/pages&gt;&lt;volume&gt;539&lt;/volume&gt;&lt;dates&gt;&lt;year&gt;2020&lt;/year&gt;&lt;pub-dates&gt;&lt;date&gt;2020/10/01/&lt;/date&gt;&lt;/pub-dates&gt;&lt;/dates&gt;&lt;isbn&gt;0022-3115&lt;/isbn&gt;&lt;urls&gt;&lt;related-urls&gt;&lt;url&gt;https://www.sciencedirect.com/science/article/pii/S0022311519316733&lt;/url&gt;&lt;/related-urls&gt;&lt;/urls&gt;&lt;electronic-resource-num&gt;https://doi.org/10.1016/j.jnucmat.2020.152267&lt;/electronic-resource-num&gt;&lt;/record&gt;&lt;/Cite&gt;&lt;/EndNote&gt;</w:instrText>
      </w:r>
      <w:r w:rsidR="004B3A23">
        <w:fldChar w:fldCharType="separate"/>
      </w:r>
      <w:r w:rsidR="00581C26">
        <w:rPr>
          <w:noProof/>
        </w:rPr>
        <w:t>[10]</w:t>
      </w:r>
      <w:r w:rsidR="004B3A23">
        <w:fldChar w:fldCharType="end"/>
      </w:r>
      <w:r w:rsidR="004B3A23">
        <w:t>.</w:t>
      </w:r>
      <w:r w:rsidR="00DB5DC0">
        <w:t xml:space="preserve"> The data from these experiments can help to develop new and improve existing </w:t>
      </w:r>
      <w:r w:rsidR="00CA457A">
        <w:t xml:space="preserve">predictive </w:t>
      </w:r>
      <w:r w:rsidR="00DB5DC0">
        <w:t>computational models.</w:t>
      </w:r>
      <w:r w:rsidR="004B3A23">
        <w:t xml:space="preserve"> </w:t>
      </w:r>
      <w:r w:rsidR="00DB5DC0">
        <w:t xml:space="preserve">Predictive models can then be used to inform the design of future experiments to fill data gaps and </w:t>
      </w:r>
      <w:r w:rsidR="00CA457A">
        <w:t>to address</w:t>
      </w:r>
      <w:r w:rsidR="00DB5DC0">
        <w:t xml:space="preserve"> areas of high uncertainty. </w:t>
      </w:r>
      <w:r w:rsidR="00CA457A">
        <w:t>This iterative process will be performed prior to integral testing to help streamline the down-selection process and ensure</w:t>
      </w:r>
      <w:r w:rsidR="008A02F6">
        <w:t xml:space="preserve"> a comprehensive database is formed that can be used to inform</w:t>
      </w:r>
      <w:r w:rsidR="00CA457A">
        <w:t xml:space="preserve"> integral tests. </w:t>
      </w:r>
      <w:r w:rsidR="004B3A23">
        <w:t>Th</w:t>
      </w:r>
      <w:r w:rsidR="007D34B8">
        <w:t>is iterative process</w:t>
      </w:r>
      <w:r w:rsidR="004B3A23">
        <w:t xml:space="preserve"> is an approach that has been proposed in the past for eff</w:t>
      </w:r>
      <w:r w:rsidR="00DB5DC0">
        <w:t>icient</w:t>
      </w:r>
      <w:r w:rsidR="004B3A23">
        <w:t xml:space="preserve"> design</w:t>
      </w:r>
      <w:r w:rsidR="00DB5DC0">
        <w:t xml:space="preserve"> of expensive time-consuming experiments</w:t>
      </w:r>
      <w:r w:rsidR="004B3A23">
        <w:t xml:space="preserve"> </w:t>
      </w:r>
      <w:r w:rsidR="004B3A23">
        <w:fldChar w:fldCharType="begin"/>
      </w:r>
      <w:r w:rsidR="00581C26">
        <w:instrText xml:space="preserve"> ADDIN EN.CITE &lt;EndNote&gt;&lt;Cite&gt;&lt;Author&gt;Fraedrich&lt;/Author&gt;&lt;Year&gt;2000&lt;/Year&gt;&lt;RecNum&gt;416&lt;/RecNum&gt;&lt;DisplayText&gt;[11]&lt;/DisplayText&gt;&lt;record&gt;&lt;rec-number&gt;416&lt;/rec-number&gt;&lt;foreign-keys&gt;&lt;key app="EN" db-id="eseee05sfe5vt6efvr0xapvq20vfdsfp5fvf" timestamp="1709245510"&gt;416&lt;/key&gt;&lt;/foreign-keys&gt;&lt;ref-type name="Journal Article"&gt;17&lt;/ref-type&gt;&lt;contributors&gt;&lt;authors&gt;&lt;author&gt;Fraedrich, D.&lt;/author&gt;&lt;author&gt;Goldberg, A.&lt;/author&gt;&lt;/authors&gt;&lt;/contributors&gt;&lt;titles&gt;&lt;title&gt;A methodological framework for the validation of predictive simulations&lt;/title&gt;&lt;secondary-title&gt;European Journal of Operational Research&lt;/secondary-title&gt;&lt;/titles&gt;&lt;periodical&gt;&lt;full-title&gt;European Journal of Operational Research&lt;/full-title&gt;&lt;/periodical&gt;&lt;pages&gt;55-62&lt;/pages&gt;&lt;volume&gt;124&lt;/volume&gt;&lt;number&gt;1&lt;/number&gt;&lt;keywords&gt;&lt;keyword&gt;Simulation&lt;/keyword&gt;&lt;keyword&gt;Verification and validation&lt;/keyword&gt;&lt;keyword&gt;Design of experiments&lt;/keyword&gt;&lt;keyword&gt;Error analysis&lt;/keyword&gt;&lt;/keywords&gt;&lt;dates&gt;&lt;year&gt;2000&lt;/year&gt;&lt;pub-dates&gt;&lt;date&gt;2000/07/01/&lt;/date&gt;&lt;/pub-dates&gt;&lt;/dates&gt;&lt;isbn&gt;0377-2217&lt;/isbn&gt;&lt;urls&gt;&lt;related-urls&gt;&lt;url&gt;https://www.sciencedirect.com/science/article/pii/S0377221799001174&lt;/url&gt;&lt;/related-urls&gt;&lt;/urls&gt;&lt;electronic-resource-num&gt;https://doi.org/10.1016/S0377-2217(99)00117-4&lt;/electronic-resource-num&gt;&lt;/record&gt;&lt;/Cite&gt;&lt;/EndNote&gt;</w:instrText>
      </w:r>
      <w:r w:rsidR="004B3A23">
        <w:fldChar w:fldCharType="separate"/>
      </w:r>
      <w:r w:rsidR="00581C26">
        <w:rPr>
          <w:noProof/>
        </w:rPr>
        <w:t>[11]</w:t>
      </w:r>
      <w:r w:rsidR="004B3A23">
        <w:fldChar w:fldCharType="end"/>
      </w:r>
      <w:r w:rsidR="00CA457A">
        <w:t xml:space="preserve">, and has been endorsed by several organizations including the Nuclear Regulatory Committee (NRC) </w:t>
      </w:r>
      <w:r w:rsidR="00CA457A">
        <w:fldChar w:fldCharType="begin">
          <w:fldData xml:space="preserve">PEVuZE5vdGU+PENpdGU+PEF1dGhvcj5HYWJlcjwvQXV0aG9yPjxZZWFyPjIwMDk8L1llYXI+PFJl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</w:fldData>
        </w:fldChar>
      </w:r>
      <w:r w:rsidR="00CA457A">
        <w:instrText xml:space="preserve"> ADDIN EN.CITE </w:instrText>
      </w:r>
      <w:r w:rsidR="00CA457A">
        <w:fldChar w:fldCharType="begin">
          <w:fldData xml:space="preserve">PEVuZE5vdGU+PENpdGU+PEF1dGhvcj5HYWJlcjwvQXV0aG9yPjxZZWFyPjIwMDk8L1llYXI+PFJl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</w:fldData>
        </w:fldChar>
      </w:r>
      <w:r w:rsidR="00CA457A">
        <w:instrText xml:space="preserve"> ADDIN EN.CITE.DATA </w:instrText>
      </w:r>
      <w:r w:rsidR="00CA457A">
        <w:fldChar w:fldCharType="end"/>
      </w:r>
      <w:r w:rsidR="00CA457A">
        <w:fldChar w:fldCharType="separate"/>
      </w:r>
      <w:r w:rsidR="00CA457A">
        <w:rPr>
          <w:noProof/>
        </w:rPr>
        <w:t>[12-14]</w:t>
      </w:r>
      <w:r w:rsidR="00CA457A">
        <w:fldChar w:fldCharType="end"/>
      </w:r>
      <w:r w:rsidR="004B3A23">
        <w:t>.</w:t>
      </w:r>
    </w:p>
    <w:p w14:paraId="63D1419F" w14:textId="6B9A8BE2" w:rsidR="00652D23" w:rsidRDefault="00E015C4" w:rsidP="00DF37BD">
      <w:r>
        <w:t>T</w:t>
      </w:r>
      <w:r w:rsidR="00446CF8">
        <w:t>h</w:t>
      </w:r>
      <w:r>
        <w:t xml:space="preserve">is goal of this </w:t>
      </w:r>
      <w:r w:rsidR="003F38DD">
        <w:t>work</w:t>
      </w:r>
      <w:r>
        <w:t xml:space="preserve"> is to establish a computational framework </w:t>
      </w:r>
      <w:r w:rsidR="00335A8A">
        <w:t>which can identify areas of high uncertainty in predictive models and</w:t>
      </w:r>
      <w:r>
        <w:t xml:space="preserve"> inform the design of separate effects experiments</w:t>
      </w:r>
      <w:r w:rsidR="00335A8A">
        <w:t xml:space="preserve"> to address them</w:t>
      </w:r>
      <w:r>
        <w:t>. In order to demonstrate this approach</w:t>
      </w:r>
      <w:r w:rsidR="007B47EE">
        <w:t>, specifically</w:t>
      </w:r>
      <w:r w:rsidR="005A113E">
        <w:t xml:space="preserve"> for </w:t>
      </w:r>
      <w:r w:rsidR="001D57E3">
        <w:t>fuel qualification</w:t>
      </w:r>
      <w:r>
        <w:t xml:space="preserve">, </w:t>
      </w:r>
      <w:r w:rsidR="003F38DD">
        <w:t>I</w:t>
      </w:r>
      <w:r>
        <w:t xml:space="preserve"> will be performing </w:t>
      </w:r>
      <w:r w:rsidR="003F38DD">
        <w:t xml:space="preserve">two individual case studies </w:t>
      </w:r>
      <w:r>
        <w:t xml:space="preserve">within two research areas </w:t>
      </w:r>
      <w:r w:rsidR="003F38DD">
        <w:t>of</w:t>
      </w:r>
      <w:r>
        <w:t xml:space="preserve"> nuclear safety analysis</w:t>
      </w:r>
      <w:r w:rsidR="003F38DD">
        <w:t>.</w:t>
      </w:r>
      <w:r>
        <w:t xml:space="preserve"> </w:t>
      </w:r>
      <w:r w:rsidR="003F38DD">
        <w:t>The first study will i</w:t>
      </w:r>
      <w:r>
        <w:t>nspec</w:t>
      </w:r>
      <w:r w:rsidR="003F38DD">
        <w:t>t</w:t>
      </w:r>
      <w:r>
        <w:t xml:space="preserve"> transient critical heat flux</w:t>
      </w:r>
      <w:r w:rsidR="00882FEA">
        <w:t xml:space="preserve"> (CHF)</w:t>
      </w:r>
      <w:r w:rsidR="003F38DD">
        <w:t xml:space="preserve"> and transient boiling heat transfer and the second will inspect irradiation of candidate</w:t>
      </w:r>
      <w:r w:rsidR="00F85061">
        <w:t xml:space="preserve"> fuel</w:t>
      </w:r>
      <w:r w:rsidR="00D34714">
        <w:t>s</w:t>
      </w:r>
      <w:r>
        <w:t xml:space="preserve">. The main method </w:t>
      </w:r>
      <w:r w:rsidR="00704129">
        <w:t>I</w:t>
      </w:r>
      <w:r>
        <w:t xml:space="preserve"> will utilize to drive this framework will be sensitivity and uncertainty analysis, a powerful</w:t>
      </w:r>
      <w:r w:rsidR="003F38DD">
        <w:t xml:space="preserve"> data analysis</w:t>
      </w:r>
      <w:r>
        <w:t xml:space="preserve"> tool </w:t>
      </w:r>
      <w:r w:rsidR="003F38DD">
        <w:t>capable of</w:t>
      </w:r>
      <w:r>
        <w:t xml:space="preserve"> gain</w:t>
      </w:r>
      <w:r w:rsidR="003F38DD">
        <w:t>ing</w:t>
      </w:r>
      <w:r>
        <w:t xml:space="preserve"> insight into tightly </w:t>
      </w:r>
      <w:r>
        <w:lastRenderedPageBreak/>
        <w:t>coupled complex systems such as that of a nuclear reactor core</w:t>
      </w:r>
      <w:r w:rsidR="00925C37">
        <w:t xml:space="preserve"> </w:t>
      </w:r>
      <w:r w:rsidR="00925C37">
        <w:fldChar w:fldCharType="begin">
          <w:fldData xml:space="preserve">PEVuZE5vdGU+PENpdGU+PEF1dGhvcj5CYW5lcmplZTwvQXV0aG9yPjxZZWFyPjIwMDI8L1llYXI+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==
</w:fldData>
        </w:fldChar>
      </w:r>
      <w:r w:rsidR="00CA457A">
        <w:instrText xml:space="preserve"> ADDIN EN.CITE </w:instrText>
      </w:r>
      <w:r w:rsidR="00CA457A">
        <w:fldChar w:fldCharType="begin">
          <w:fldData xml:space="preserve">PEVuZE5vdGU+PENpdGU+PEF1dGhvcj5CYW5lcmplZTwvQXV0aG9yPjxZZWFyPjIwMDI8L1llYXI+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==
</w:fldData>
        </w:fldChar>
      </w:r>
      <w:r w:rsidR="00CA457A">
        <w:instrText xml:space="preserve"> ADDIN EN.CITE.DATA </w:instrText>
      </w:r>
      <w:r w:rsidR="00CA457A">
        <w:fldChar w:fldCharType="end"/>
      </w:r>
      <w:r w:rsidR="00925C37">
        <w:fldChar w:fldCharType="separate"/>
      </w:r>
      <w:r w:rsidR="00CA457A">
        <w:rPr>
          <w:noProof/>
        </w:rPr>
        <w:t>[15-18]</w:t>
      </w:r>
      <w:r w:rsidR="00925C37">
        <w:fldChar w:fldCharType="end"/>
      </w:r>
      <w:r>
        <w:t>.</w:t>
      </w:r>
      <w:r w:rsidR="0079131D">
        <w:t xml:space="preserve"> </w:t>
      </w:r>
      <w:r w:rsidR="002E1121">
        <w:t xml:space="preserve">The facilities that </w:t>
      </w:r>
      <w:r w:rsidR="00704129">
        <w:t>I</w:t>
      </w:r>
      <w:r w:rsidR="002E1121">
        <w:t xml:space="preserve"> will inspect for the </w:t>
      </w:r>
      <w:r w:rsidR="00025204">
        <w:t xml:space="preserve">first case study </w:t>
      </w:r>
      <w:r w:rsidR="002E1121">
        <w:t>are the Transient Reactor Test Loop (TRTL) facility at Oregon State University (OSU), the Transient Reactor Test (TREAT) Facility at Idaho National Laboratory (INL) and a boiling chamber at the University of New Mexico (UNM)</w:t>
      </w:r>
      <w:r w:rsidR="00025204">
        <w:t xml:space="preserve"> </w:t>
      </w:r>
      <w:r w:rsidR="00025204">
        <w:fldChar w:fldCharType="begin">
          <w:fldData xml:space="preserve">PEVuZE5vdGU+PENpdGU+PEF1dGhvcj5NYXJjdW08L0F1dGhvcj48WWVhcj4yMDIwPC9ZZWFyPjxS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</w:fldData>
        </w:fldChar>
      </w:r>
      <w:r w:rsidR="00025204">
        <w:instrText xml:space="preserve"> ADDIN EN.CITE </w:instrText>
      </w:r>
      <w:r w:rsidR="00025204">
        <w:fldChar w:fldCharType="begin">
          <w:fldData xml:space="preserve">PEVuZE5vdGU+PENpdGU+PEF1dGhvcj5NYXJjdW08L0F1dGhvcj48WWVhcj4yMDIwPC9ZZWFyPjxS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</w:fldData>
        </w:fldChar>
      </w:r>
      <w:r w:rsidR="00025204">
        <w:instrText xml:space="preserve"> ADDIN EN.CITE.DATA </w:instrText>
      </w:r>
      <w:r w:rsidR="00025204">
        <w:fldChar w:fldCharType="end"/>
      </w:r>
      <w:r w:rsidR="00025204">
        <w:fldChar w:fldCharType="separate"/>
      </w:r>
      <w:r w:rsidR="00025204">
        <w:rPr>
          <w:noProof/>
        </w:rPr>
        <w:t>[19-21]</w:t>
      </w:r>
      <w:r w:rsidR="00025204">
        <w:fldChar w:fldCharType="end"/>
      </w:r>
      <w:r w:rsidR="002E1121">
        <w:t>. Th</w:t>
      </w:r>
      <w:r w:rsidR="001803E0">
        <w:t xml:space="preserve">e </w:t>
      </w:r>
      <w:r w:rsidR="00025204">
        <w:t>second case study</w:t>
      </w:r>
      <w:r w:rsidR="001803E0">
        <w:t xml:space="preserve"> will </w:t>
      </w:r>
      <w:r w:rsidR="00025204">
        <w:t>inspect</w:t>
      </w:r>
      <w:r w:rsidR="001803E0">
        <w:t xml:space="preserve"> the </w:t>
      </w:r>
      <w:r w:rsidR="00926EE0">
        <w:t>M</w:t>
      </w:r>
      <w:r w:rsidR="001803E0">
        <w:t>ini</w:t>
      </w:r>
      <w:r w:rsidR="00926EE0">
        <w:t>F</w:t>
      </w:r>
      <w:r w:rsidR="001803E0">
        <w:t xml:space="preserve">uel irradiation </w:t>
      </w:r>
      <w:r w:rsidR="00926EE0">
        <w:t>vehicle</w:t>
      </w:r>
      <w:r w:rsidR="001803E0">
        <w:t xml:space="preserve"> developed at Oak Ridge National Laboratory (ORNL) for use in the High Flux Isotope Reactor (HFIR)</w:t>
      </w:r>
      <w:r w:rsidR="00025204">
        <w:t xml:space="preserve"> </w:t>
      </w:r>
      <w:r w:rsidR="00025204">
        <w:fldChar w:fldCharType="begin"/>
      </w:r>
      <w:r w:rsidR="00025204">
        <w:instrText xml:space="preserve"> ADDIN EN.CITE &lt;EndNote&gt;&lt;Cite&gt;&lt;Author&gt;Petrie&lt;/Author&gt;&lt;Year&gt;2019&lt;/Year&gt;&lt;RecNum&gt;330&lt;/RecNum&gt;&lt;DisplayText&gt;[22]&lt;/DisplayText&gt;&lt;record&gt;&lt;rec-number&gt;330&lt;/rec-number&gt;&lt;foreign-keys&gt;&lt;key app="EN" db-id="eseee05sfe5vt6efvr0xapvq20vfdsfp5fvf" timestamp="1694799017" guid="87a38962-dc46-43d3-b93c-17a925259823"&gt;330&lt;/key&gt;&lt;/foreign-keys&gt;&lt;ref-type name="Journal Article"&gt;17&lt;/ref-type&gt;&lt;contributors&gt;&lt;authors&gt;&lt;author&gt;Petrie, Christian M.&lt;/author&gt;&lt;author&gt;Burns, Joseph R.&lt;/author&gt;&lt;author&gt;Raftery, Alicia M.&lt;/author&gt;&lt;author&gt;Nelson, Andrew T.&lt;/author&gt;&lt;author&gt;Terrani, Kurt A.&lt;/author&gt;&lt;/authors&gt;&lt;/contributors&gt;&lt;titles&gt;&lt;title&gt;Separate effects irradiation testing of miniature fuel specimens&lt;/title&gt;&lt;secondary-title&gt;Journal of Nuclear Materials&lt;/secondary-title&gt;&lt;/titles&gt;&lt;periodical&gt;&lt;full-title&gt;Journal of Nuclear Materials&lt;/full-title&gt;&lt;/periodical&gt;&lt;pages&gt;151783&lt;/pages&gt;&lt;volume&gt;526&lt;/volume&gt;&lt;keywords&gt;&lt;keyword&gt;Fuel&lt;/keyword&gt;&lt;keyword&gt;Irradiation&lt;/keyword&gt;&lt;keyword&gt;Separate effects&lt;/keyword&gt;&lt;keyword&gt;Burnup&lt;/keyword&gt;&lt;/keywords&gt;&lt;dates&gt;&lt;year&gt;2019&lt;/year&gt;&lt;pub-dates&gt;&lt;date&gt;2019/12/01/&lt;/date&gt;&lt;/pub-dates&gt;&lt;/dates&gt;&lt;isbn&gt;0022-3115&lt;/isbn&gt;&lt;urls&gt;&lt;related-urls&gt;&lt;url&gt;https://www.sciencedirect.com/science/article/pii/S0022311519304155&lt;/url&gt;&lt;/related-urls&gt;&lt;/urls&gt;&lt;electronic-resource-num&gt;https://doi.org/10.1016/j.jnucmat.2019.151783&lt;/electronic-resource-num&gt;&lt;/record&gt;&lt;/Cite&gt;&lt;/EndNote&gt;</w:instrText>
      </w:r>
      <w:r w:rsidR="00025204">
        <w:fldChar w:fldCharType="separate"/>
      </w:r>
      <w:r w:rsidR="00025204">
        <w:rPr>
          <w:noProof/>
        </w:rPr>
        <w:t>[22]</w:t>
      </w:r>
      <w:r w:rsidR="00025204">
        <w:fldChar w:fldCharType="end"/>
      </w:r>
      <w:r w:rsidR="001803E0">
        <w:t>.</w:t>
      </w:r>
      <w:r w:rsidR="00652D23">
        <w:t xml:space="preserve"> </w:t>
      </w:r>
    </w:p>
    <w:p w14:paraId="3F20E666" w14:textId="03B0DDAF" w:rsidR="00D73F6A" w:rsidRDefault="001803E0" w:rsidP="00DF37BD">
      <w:r>
        <w:t xml:space="preserve">The work presented </w:t>
      </w:r>
      <w:r w:rsidR="00025204">
        <w:t xml:space="preserve">aims to answer the following key questions associated </w:t>
      </w:r>
      <w:r w:rsidR="00DC1FDB">
        <w:t>with</w:t>
      </w:r>
      <w:r w:rsidR="00025204">
        <w:t xml:space="preserve"> each case study</w:t>
      </w:r>
      <w:r w:rsidR="00602158">
        <w:t>:</w:t>
      </w:r>
    </w:p>
    <w:p w14:paraId="21485107" w14:textId="4C346AFF" w:rsidR="00025204" w:rsidRDefault="00025204" w:rsidP="00DF37BD">
      <w:r>
        <w:t>Study 1: Transient Critical Heat Flux and Transient Boiling Heat Transfer</w:t>
      </w:r>
    </w:p>
    <w:p w14:paraId="014E4596" w14:textId="3B81B226" w:rsidR="00D73F6A" w:rsidRPr="00D73F6A" w:rsidRDefault="00D73F6A" w:rsidP="00447B0A">
      <w:pPr>
        <w:pStyle w:val="ListParagraph"/>
        <w:numPr>
          <w:ilvl w:val="0"/>
          <w:numId w:val="7"/>
        </w:numPr>
      </w:pPr>
      <w:r w:rsidRPr="00D73F6A">
        <w:rPr>
          <w:rFonts w:hint="eastAsia"/>
        </w:rPr>
        <w:t xml:space="preserve">What are high-impact high-uncertainty parameters for prediction of pre- and post- CHF </w:t>
      </w:r>
      <w:r w:rsidR="00E5576F">
        <w:t xml:space="preserve">transient </w:t>
      </w:r>
      <w:r w:rsidRPr="00D73F6A">
        <w:rPr>
          <w:rFonts w:hint="eastAsia"/>
        </w:rPr>
        <w:t>boiling heat transfer?</w:t>
      </w:r>
    </w:p>
    <w:p w14:paraId="5216249E" w14:textId="0D8A0A11" w:rsidR="00D73F6A" w:rsidRDefault="00D73F6A" w:rsidP="00D73F6A">
      <w:pPr>
        <w:pStyle w:val="ListParagraph"/>
        <w:numPr>
          <w:ilvl w:val="0"/>
          <w:numId w:val="7"/>
        </w:numPr>
      </w:pPr>
      <w:r w:rsidRPr="00E02011">
        <w:rPr>
          <w:rFonts w:hint="eastAsia"/>
        </w:rPr>
        <w:t>How can I improve model predictions of transient critical heat flux and transient boiling heat transfer?</w:t>
      </w:r>
    </w:p>
    <w:p w14:paraId="76D70253" w14:textId="1D89FF5C" w:rsidR="00D73F6A" w:rsidRDefault="00D73F6A" w:rsidP="00D73F6A">
      <w:r>
        <w:t>Study 2: Investigation of MiniFuel Irradiation Vehicle</w:t>
      </w:r>
    </w:p>
    <w:p w14:paraId="4B7623C7" w14:textId="77777777" w:rsidR="00D73F6A" w:rsidRPr="005D3200" w:rsidRDefault="00D73F6A" w:rsidP="005D3200">
      <w:pPr>
        <w:pStyle w:val="ListParagraph"/>
        <w:numPr>
          <w:ilvl w:val="0"/>
          <w:numId w:val="20"/>
        </w:numPr>
      </w:pPr>
      <w:r w:rsidRPr="005D3200">
        <w:rPr>
          <w:rFonts w:hint="eastAsia"/>
        </w:rPr>
        <w:t>What are high-impact high-uncertainty parameters for prediction of MiniFuel specimen temperatures?</w:t>
      </w:r>
    </w:p>
    <w:p w14:paraId="49B6A2EE" w14:textId="13E7F95F" w:rsidR="00482E7E" w:rsidRDefault="00D73F6A" w:rsidP="00482E7E">
      <w:pPr>
        <w:pStyle w:val="ListParagraph"/>
        <w:numPr>
          <w:ilvl w:val="0"/>
          <w:numId w:val="20"/>
        </w:numPr>
      </w:pPr>
      <w:r w:rsidRPr="005D3200">
        <w:rPr>
          <w:rFonts w:hint="eastAsia"/>
        </w:rPr>
        <w:t>How can I improve experimental designs to reduce variance in predicted fuel temperatures?</w:t>
      </w:r>
    </w:p>
    <w:p w14:paraId="400EEC9A" w14:textId="45E562B0" w:rsidR="005F2B0B" w:rsidRPr="00E02011" w:rsidRDefault="00482E7E" w:rsidP="00482E7E">
      <w:r>
        <w:t xml:space="preserve">The first question of each case study will be addressed by performing a sensitivity analysis on existing predictive modeling capabilities and the second question will be </w:t>
      </w:r>
      <w:r>
        <w:lastRenderedPageBreak/>
        <w:t>addressed by comparing model results to experimental data.</w:t>
      </w:r>
      <w:r w:rsidR="00652D23">
        <w:t xml:space="preserve"> The work associated with</w:t>
      </w:r>
      <w:r w:rsidR="00853C53">
        <w:t xml:space="preserve"> both</w:t>
      </w:r>
      <w:r w:rsidR="00652D23">
        <w:t xml:space="preserve"> the first case study</w:t>
      </w:r>
      <w:r w:rsidR="00853C53">
        <w:t xml:space="preserve"> </w:t>
      </w:r>
      <w:r w:rsidR="00853C53">
        <w:fldChar w:fldCharType="begin">
          <w:fldData xml:space="preserve">PEVuZE5vdGU+PENpdGU+PEF1dGhvcj5NZWVoYW48L0F1dGhvcj48WWVhcj4yMDIzPC9ZZWFyPjxS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</w:fldData>
        </w:fldChar>
      </w:r>
      <w:r w:rsidR="00853C53">
        <w:instrText xml:space="preserve"> ADDIN EN.CITE </w:instrText>
      </w:r>
      <w:r w:rsidR="00853C53">
        <w:fldChar w:fldCharType="begin">
          <w:fldData xml:space="preserve">PEVuZE5vdGU+PENpdGU+PEF1dGhvcj5NZWVoYW48L0F1dGhvcj48WWVhcj4yMDIzPC9ZZWFyPjxS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</w:fldData>
        </w:fldChar>
      </w:r>
      <w:r w:rsidR="00853C53">
        <w:instrText xml:space="preserve"> ADDIN EN.CITE.DATA </w:instrText>
      </w:r>
      <w:r w:rsidR="00853C53">
        <w:fldChar w:fldCharType="end"/>
      </w:r>
      <w:r w:rsidR="00853C53">
        <w:fldChar w:fldCharType="separate"/>
      </w:r>
      <w:r w:rsidR="00853C53">
        <w:rPr>
          <w:noProof/>
        </w:rPr>
        <w:t>[23, 24]</w:t>
      </w:r>
      <w:r w:rsidR="00853C53">
        <w:fldChar w:fldCharType="end"/>
      </w:r>
      <w:r w:rsidR="00853C53">
        <w:t>,</w:t>
      </w:r>
      <w:r w:rsidR="00652D23">
        <w:t xml:space="preserve"> </w:t>
      </w:r>
      <w:r w:rsidR="00853C53">
        <w:t xml:space="preserve">and second case study </w:t>
      </w:r>
      <w:r w:rsidR="00853C53">
        <w:fldChar w:fldCharType="begin">
          <w:fldData xml:space="preserve">PEVuZE5vdGU+PENpdGU+PEF1dGhvcj5NZWVoYW48L0F1dGhvcj48WWVhcj4yMDI1PC9ZZWFyPjxS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</w:fldData>
        </w:fldChar>
      </w:r>
      <w:r w:rsidR="00853C53">
        <w:instrText xml:space="preserve"> ADDIN EN.CITE </w:instrText>
      </w:r>
      <w:r w:rsidR="00853C53">
        <w:fldChar w:fldCharType="begin">
          <w:fldData xml:space="preserve">PEVuZE5vdGU+PENpdGU+PEF1dGhvcj5NZWVoYW48L0F1dGhvcj48WWVhcj4yMDI1PC9ZZWFyPjxS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</w:fldData>
        </w:fldChar>
      </w:r>
      <w:r w:rsidR="00853C53">
        <w:instrText xml:space="preserve"> ADDIN EN.CITE.DATA </w:instrText>
      </w:r>
      <w:r w:rsidR="00853C53">
        <w:fldChar w:fldCharType="end"/>
      </w:r>
      <w:r w:rsidR="00853C53">
        <w:fldChar w:fldCharType="separate"/>
      </w:r>
      <w:r w:rsidR="00853C53">
        <w:rPr>
          <w:noProof/>
        </w:rPr>
        <w:t>[25, 26]</w:t>
      </w:r>
      <w:r w:rsidR="00853C53">
        <w:fldChar w:fldCharType="end"/>
      </w:r>
      <w:r w:rsidR="00853C53">
        <w:t xml:space="preserve"> </w:t>
      </w:r>
      <w:r w:rsidR="00652D23">
        <w:t>ha</w:t>
      </w:r>
      <w:r w:rsidR="00853C53">
        <w:t>ve</w:t>
      </w:r>
      <w:r w:rsidR="00652D23">
        <w:t xml:space="preserve"> been published</w:t>
      </w:r>
      <w:r w:rsidR="00853C53">
        <w:t xml:space="preserve"> or submitted for publication</w:t>
      </w:r>
      <w:r w:rsidR="000E288C">
        <w:t xml:space="preserve"> and are </w:t>
      </w:r>
      <w:r w:rsidR="0029185A">
        <w:t>modified to give a cohesive overview of the work</w:t>
      </w:r>
      <w:r w:rsidR="00853C53">
        <w:t>.</w:t>
      </w:r>
      <w:r w:rsidR="00B46A53">
        <w:t xml:space="preserve"> </w:t>
      </w:r>
      <w:r w:rsidR="005F2B0B" w:rsidRPr="00482E7E">
        <w:br w:type="page"/>
      </w:r>
    </w:p>
    <w:p w14:paraId="179793D5" w14:textId="77F8283C" w:rsidR="00236E6D" w:rsidRPr="00BB534B" w:rsidRDefault="003D63DF" w:rsidP="00F22A75">
      <w:pPr>
        <w:pStyle w:val="Heading1"/>
        <w:spacing w:line="480" w:lineRule="auto"/>
      </w:pPr>
      <w:bookmarkStart w:id="5" w:name="_Toc420995896"/>
      <w:bookmarkStart w:id="6" w:name="_Toc422997483"/>
      <w:bookmarkStart w:id="7" w:name="_Toc427156466"/>
      <w:bookmarkStart w:id="8" w:name="_Toc202957440"/>
      <w:r w:rsidRPr="00BB534B">
        <w:lastRenderedPageBreak/>
        <w:t>Literature Review</w:t>
      </w:r>
      <w:bookmarkEnd w:id="5"/>
      <w:bookmarkEnd w:id="6"/>
      <w:bookmarkEnd w:id="7"/>
      <w:bookmarkEnd w:id="8"/>
      <w:r w:rsidR="00236E6D" w:rsidRPr="00BB534B">
        <w:tab/>
      </w:r>
    </w:p>
    <w:p w14:paraId="32249FFD" w14:textId="44FA69C6" w:rsidR="00C95526" w:rsidRDefault="001457CB" w:rsidP="00F22A75">
      <w:pPr>
        <w:pStyle w:val="Heading3"/>
        <w:spacing w:before="0" w:after="0"/>
      </w:pPr>
      <w:bookmarkStart w:id="9" w:name="_Toc202957441"/>
      <w:r>
        <w:t>Fuel qualification</w:t>
      </w:r>
      <w:bookmarkEnd w:id="9"/>
    </w:p>
    <w:p w14:paraId="29AECF0A" w14:textId="1D1D47A0" w:rsidR="001457CB" w:rsidRDefault="003B4E7F" w:rsidP="00F22A75">
      <w:r>
        <w:t>Mika et. al. defines f</w:t>
      </w:r>
      <w:r w:rsidR="001457CB">
        <w:t xml:space="preserve">uel qualification </w:t>
      </w:r>
      <w:r>
        <w:t>a</w:t>
      </w:r>
      <w:r w:rsidR="001457CB">
        <w:t xml:space="preserve">s “the process of ensuring that a fuel concept will perform as intended in a reactor when it is manufactured to a defined standard” and </w:t>
      </w:r>
      <w:r>
        <w:t>i</w:t>
      </w:r>
      <w:r w:rsidR="001457CB">
        <w:t xml:space="preserve">s a joint effort between regulators, private industry, institutions, and independent research efforts </w:t>
      </w:r>
      <w:r w:rsidR="001457CB">
        <w:fldChar w:fldCharType="begin"/>
      </w:r>
      <w:r w:rsidR="001457CB">
        <w:instrText xml:space="preserve"> ADDIN EN.CITE &lt;EndNote&gt;&lt;Cite&gt;&lt;Author&gt;Mika&lt;/Author&gt;&lt;Year&gt;2024&lt;/Year&gt;&lt;RecNum&gt;572&lt;/RecNum&gt;&lt;DisplayText&gt;[27]&lt;/DisplayText&gt;&lt;record&gt;&lt;rec-number&gt;572&lt;/rec-number&gt;&lt;foreign-keys&gt;&lt;key app="EN" db-id="eseee05sfe5vt6efvr0xapvq20vfdsfp5fvf" timestamp="1746820522"&gt;572&lt;/key&gt;&lt;/foreign-keys&gt;&lt;ref-type name="Journal Article"&gt;17&lt;/ref-type&gt;&lt;contributors&gt;&lt;authors&gt;&lt;author&gt;Mika, Mitchell&lt;/author&gt;&lt;author&gt;Probert, Allison&lt;/author&gt;&lt;author&gt;Aitkaliyeva, Assel&lt;/author&gt;&lt;/authors&gt;&lt;/contributors&gt;&lt;titles&gt;&lt;title&gt;Nuclear fuel qualification: History, current state, and future&lt;/title&gt;&lt;secondary-title&gt;Progress in Nuclear Energy&lt;/secondary-title&gt;&lt;/titles&gt;&lt;periodical&gt;&lt;full-title&gt;Progress in Nuclear Energy&lt;/full-title&gt;&lt;/periodical&gt;&lt;pages&gt;105460&lt;/pages&gt;&lt;volume&gt;177&lt;/volume&gt;&lt;dates&gt;&lt;year&gt;2024&lt;/year&gt;&lt;pub-dates&gt;&lt;date&gt;2024/12/01/&lt;/date&gt;&lt;/pub-dates&gt;&lt;/dates&gt;&lt;isbn&gt;0149-1970&lt;/isbn&gt;&lt;urls&gt;&lt;related-urls&gt;&lt;url&gt;https://www.sciencedirect.com/science/article/pii/S0149197024004104&lt;/url&gt;&lt;/related-urls&gt;&lt;/urls&gt;&lt;electronic-resource-num&gt;https://doi.org/10.1016/j.pnucene.2024.105460&lt;/electronic-resource-num&gt;&lt;/record&gt;&lt;/Cite&gt;&lt;/EndNote&gt;</w:instrText>
      </w:r>
      <w:r w:rsidR="001457CB">
        <w:fldChar w:fldCharType="separate"/>
      </w:r>
      <w:r w:rsidR="001457CB">
        <w:rPr>
          <w:noProof/>
        </w:rPr>
        <w:t>[27]</w:t>
      </w:r>
      <w:r w:rsidR="001457CB">
        <w:fldChar w:fldCharType="end"/>
      </w:r>
      <w:r w:rsidR="001457CB">
        <w:t xml:space="preserve">. “Fuel qualification” itself is a sparse topic throughout the current literature and isn’t explicitly defined or used within regulations developed by the </w:t>
      </w:r>
      <w:r w:rsidR="00F40153">
        <w:t>Nuclear Regulatory Commission (NRC)</w:t>
      </w:r>
      <w:r w:rsidR="001457CB">
        <w:t xml:space="preserve"> </w:t>
      </w:r>
      <w:r w:rsidR="001457CB">
        <w:fldChar w:fldCharType="begin"/>
      </w:r>
      <w:r w:rsidR="001457CB">
        <w:instrText xml:space="preserve"> ADDIN EN.CITE &lt;EndNote&gt;&lt;Cite&gt;&lt;Author&gt;Drzewiecki&lt;/Author&gt;&lt;Year&gt;2022&lt;/Year&gt;&lt;RecNum&gt;573&lt;/RecNum&gt;&lt;DisplayText&gt;[28]&lt;/DisplayText&gt;&lt;record&gt;&lt;rec-number&gt;573&lt;/rec-number&gt;&lt;foreign-keys&gt;&lt;key app="EN" db-id="eseee05sfe5vt6efvr0xapvq20vfdsfp5fvf" timestamp="1746825737"&gt;573&lt;/key&gt;&lt;/foreign-keys&gt;&lt;ref-type name="Journal Article"&gt;17&lt;/ref-type&gt;&lt;contributors&gt;&lt;authors&gt;&lt;author&gt;Drzewiecki, T., Schmidt, J., VanWert, C., Clifford, P., Hoellman, J.&lt;/author&gt;&lt;/authors&gt;&lt;/contributors&gt;&lt;titles&gt;&lt;title&gt;Fuel Qualification for Advanced Reactors&lt;/title&gt;&lt;secondary-title&gt;Nuclear Regulatory Commission, Office of Nuclear Reactor Regulation&lt;/secondary-title&gt;&lt;/titles&gt;&lt;periodical&gt;&lt;full-title&gt;Nuclear Regulatory Commission, Office of Nuclear Reactor Regulation&lt;/full-title&gt;&lt;/periodical&gt;&lt;volume&gt;NUREG-2246&lt;/volume&gt;&lt;dates&gt;&lt;year&gt;2022&lt;/year&gt;&lt;/dates&gt;&lt;urls&gt;&lt;/urls&gt;&lt;electronic-resource-num&gt;https://www.nrc.gov/docs/ML2206/ML22063A131.pdf&lt;/electronic-resource-num&gt;&lt;/record&gt;&lt;/Cite&gt;&lt;/EndNote&gt;</w:instrText>
      </w:r>
      <w:r w:rsidR="001457CB">
        <w:fldChar w:fldCharType="separate"/>
      </w:r>
      <w:r w:rsidR="001457CB">
        <w:rPr>
          <w:noProof/>
        </w:rPr>
        <w:t>[28]</w:t>
      </w:r>
      <w:r w:rsidR="001457CB">
        <w:fldChar w:fldCharType="end"/>
      </w:r>
      <w:r w:rsidR="001457CB">
        <w:t xml:space="preserve">. Efforts have been made to both define a process for qualifying fuel and the expectations of a qualified fuel form. Crawford et. al. </w:t>
      </w:r>
      <w:r w:rsidR="001457CB">
        <w:fldChar w:fldCharType="begin"/>
      </w:r>
      <w:r w:rsidR="001457CB">
        <w:instrText xml:space="preserve"> ADDIN EN.CITE &lt;EndNote&gt;&lt;Cite&gt;&lt;Author&gt;Crawford&lt;/Author&gt;&lt;Year&gt;2007&lt;/Year&gt;&lt;RecNum&gt;378&lt;/RecNum&gt;&lt;DisplayText&gt;[9]&lt;/DisplayText&gt;&lt;record&gt;&lt;rec-number&gt;378&lt;/rec-number&gt;&lt;foreign-keys&gt;&lt;key app="EN" db-id="eseee05sfe5vt6efvr0xapvq20vfdsfp5fvf" timestamp="1701293831" guid="36de3baa-731e-443a-a16b-399159a2348b"&gt;378&lt;/key&gt;&lt;/foreign-keys&gt;&lt;ref-type name="Journal Article"&gt;17&lt;/ref-type&gt;&lt;contributors&gt;&lt;authors&gt;&lt;author&gt;Crawford, Douglas C.&lt;/author&gt;&lt;author&gt;Porter, Douglas L.&lt;/author&gt;&lt;author&gt;Hayes, Steven L.&lt;/author&gt;&lt;author&gt;Meyer, Mitchell K.&lt;/author&gt;&lt;author&gt;Petti, David A.&lt;/author&gt;&lt;author&gt;Pasamehmetoglu, Kemal&lt;/author&gt;&lt;/authors&gt;&lt;/contributors&gt;&lt;titles&gt;&lt;title&gt;An approach to fuel development and qualification&lt;/title&gt;&lt;secondary-title&gt;Journal of Nuclear Materials&lt;/secondary-title&gt;&lt;/titles&gt;&lt;periodical&gt;&lt;full-title&gt;Journal of Nuclear Materials&lt;/full-title&gt;&lt;/periodical&gt;&lt;pages&gt;232-242&lt;/pages&gt;&lt;volume&gt;371&lt;/volume&gt;&lt;number&gt;1&lt;/number&gt;&lt;dates&gt;&lt;year&gt;2007&lt;/year&gt;&lt;pub-dates&gt;&lt;date&gt;2007/09/15/&lt;/date&gt;&lt;/pub-dates&gt;&lt;/dates&gt;&lt;isbn&gt;0022-3115&lt;/isbn&gt;&lt;urls&gt;&lt;related-urls&gt;&lt;url&gt;https://www.sciencedirect.com/science/article/pii/S0022311507007544&lt;/url&gt;&lt;/related-urls&gt;&lt;/urls&gt;&lt;electronic-resource-num&gt;https://doi.org/10.1016/j.jnucmat.2007.05.029&lt;/electronic-resource-num&gt;&lt;/record&gt;&lt;/Cite&gt;&lt;/EndNote&gt;</w:instrText>
      </w:r>
      <w:r w:rsidR="001457CB">
        <w:fldChar w:fldCharType="separate"/>
      </w:r>
      <w:r w:rsidR="001457CB">
        <w:rPr>
          <w:noProof/>
        </w:rPr>
        <w:t>[9]</w:t>
      </w:r>
      <w:r w:rsidR="001457CB">
        <w:fldChar w:fldCharType="end"/>
      </w:r>
      <w:r w:rsidR="001457CB">
        <w:t xml:space="preserve"> and Terrani et. al. </w:t>
      </w:r>
      <w:r w:rsidR="001457CB">
        <w:fldChar w:fldCharType="begin"/>
      </w:r>
      <w:r w:rsidR="001457CB">
        <w:instrText xml:space="preserve"> ADDIN EN.CITE &lt;EndNote&gt;&lt;Cite&gt;&lt;Author&gt;Terrani&lt;/Author&gt;&lt;Year&gt;2020&lt;/Year&gt;&lt;RecNum&gt;329&lt;/RecNum&gt;&lt;DisplayText&gt;[10]&lt;/DisplayText&gt;&lt;record&gt;&lt;rec-number&gt;329&lt;/rec-number&gt;&lt;foreign-keys&gt;&lt;key app="EN" db-id="eseee05sfe5vt6efvr0xapvq20vfdsfp5fvf" timestamp="1694799015" guid="2592c69c-465c-42e8-985f-10ae1a4393f8"&gt;329&lt;/key&gt;&lt;/foreign-keys&gt;&lt;ref-type name="Journal Article"&gt;17&lt;/ref-type&gt;&lt;contributors&gt;&lt;authors&gt;&lt;author&gt;Terrani, Kurt A.&lt;/author&gt;&lt;author&gt;Capps, Nathan A.&lt;/author&gt;&lt;author&gt;Kerr, Matthew J.&lt;/author&gt;&lt;author&gt;Back, Christina A.&lt;/author&gt;&lt;author&gt;Nelson, Andrew T.&lt;/author&gt;&lt;author&gt;Wirth, Brian D.&lt;/author&gt;&lt;author&gt;Hayes, Steven L.&lt;/author&gt;&lt;author&gt;Stanek, Chris R.&lt;/author&gt;&lt;/authors&gt;&lt;/contributors&gt;&lt;titles&gt;&lt;title&gt;Accelerating nuclear fuel development and qualification: Modeling and simulation integrated with separate-effects testing&lt;/title&gt;&lt;secondary-title&gt;Journal of Nuclear Materials&lt;/secondary-title&gt;&lt;/titles&gt;&lt;periodical&gt;&lt;full-title&gt;Journal of Nuclear Materials&lt;/full-title&gt;&lt;/periodical&gt;&lt;pages&gt;152267&lt;/pages&gt;&lt;volume&gt;539&lt;/volume&gt;&lt;dates&gt;&lt;year&gt;2020&lt;/year&gt;&lt;pub-dates&gt;&lt;date&gt;2020/10/01/&lt;/date&gt;&lt;/pub-dates&gt;&lt;/dates&gt;&lt;isbn&gt;0022-3115&lt;/isbn&gt;&lt;urls&gt;&lt;related-urls&gt;&lt;url&gt;https://www.sciencedirect.com/science/article/pii/S0022311519316733&lt;/url&gt;&lt;/related-urls&gt;&lt;/urls&gt;&lt;electronic-resource-num&gt;https://doi.org/10.1016/j.jnucmat.2020.152267&lt;/electronic-resource-num&gt;&lt;/record&gt;&lt;/Cite&gt;&lt;/EndNote&gt;</w:instrText>
      </w:r>
      <w:r w:rsidR="001457CB">
        <w:fldChar w:fldCharType="separate"/>
      </w:r>
      <w:r w:rsidR="001457CB">
        <w:rPr>
          <w:noProof/>
        </w:rPr>
        <w:t>[10]</w:t>
      </w:r>
      <w:r w:rsidR="001457CB">
        <w:fldChar w:fldCharType="end"/>
      </w:r>
      <w:r w:rsidR="001457CB">
        <w:t xml:space="preserve">. have published summaries of the fuel qualification process which serve as the primary resources for the topic; Crawford inspecting the traditional process and Terrani outlining a framework for accelerated </w:t>
      </w:r>
      <w:r w:rsidR="00E8515F">
        <w:t xml:space="preserve">fuel </w:t>
      </w:r>
      <w:r w:rsidR="001457CB">
        <w:t>qualification</w:t>
      </w:r>
      <w:r w:rsidR="00E8515F">
        <w:t xml:space="preserve"> (AFQ)</w:t>
      </w:r>
      <w:r w:rsidR="001457CB">
        <w:t xml:space="preserve">. NUREG-2246, while not a legally binding document required to be fulfilled to acquire a license, is a publication which outlines the justifications required to demonstrate a fuel is qualified. A comprehensive overview of the joint fuel qualification efforts and the interconnection between the different independent parties involved is given in the review article by Mika et. al. </w:t>
      </w:r>
      <w:r w:rsidR="001457CB">
        <w:fldChar w:fldCharType="begin"/>
      </w:r>
      <w:r w:rsidR="001457CB">
        <w:instrText xml:space="preserve"> ADDIN EN.CITE &lt;EndNote&gt;&lt;Cite&gt;&lt;Author&gt;Mika&lt;/Author&gt;&lt;Year&gt;2024&lt;/Year&gt;&lt;RecNum&gt;572&lt;/RecNum&gt;&lt;DisplayText&gt;[27]&lt;/DisplayText&gt;&lt;record&gt;&lt;rec-number&gt;572&lt;/rec-number&gt;&lt;foreign-keys&gt;&lt;key app="EN" db-id="eseee05sfe5vt6efvr0xapvq20vfdsfp5fvf" timestamp="1746820522"&gt;572&lt;/key&gt;&lt;/foreign-keys&gt;&lt;ref-type name="Journal Article"&gt;17&lt;/ref-type&gt;&lt;contributors&gt;&lt;authors&gt;&lt;author&gt;Mika, Mitchell&lt;/author&gt;&lt;author&gt;Probert, Allison&lt;/author&gt;&lt;author&gt;Aitkaliyeva, Assel&lt;/author&gt;&lt;/authors&gt;&lt;/contributors&gt;&lt;titles&gt;&lt;title&gt;Nuclear fuel qualification: History, current state, and future&lt;/title&gt;&lt;secondary-title&gt;Progress in Nuclear Energy&lt;/secondary-title&gt;&lt;/titles&gt;&lt;periodical&gt;&lt;full-title&gt;Progress in Nuclear Energy&lt;/full-title&gt;&lt;/periodical&gt;&lt;pages&gt;105460&lt;/pages&gt;&lt;volume&gt;177&lt;/volume&gt;&lt;dates&gt;&lt;year&gt;2024&lt;/year&gt;&lt;pub-dates&gt;&lt;date&gt;2024/12/01/&lt;/date&gt;&lt;/pub-dates&gt;&lt;/dates&gt;&lt;isbn&gt;0149-1970&lt;/isbn&gt;&lt;urls&gt;&lt;related-urls&gt;&lt;url&gt;https://www.sciencedirect.com/science/article/pii/S0149197024004104&lt;/url&gt;&lt;/related-urls&gt;&lt;/urls&gt;&lt;electronic-resource-num&gt;https://doi.org/10.1016/j.pnucene.2024.105460&lt;/electronic-resource-num&gt;&lt;/record&gt;&lt;/Cite&gt;&lt;/EndNote&gt;</w:instrText>
      </w:r>
      <w:r w:rsidR="001457CB">
        <w:fldChar w:fldCharType="separate"/>
      </w:r>
      <w:r w:rsidR="001457CB">
        <w:rPr>
          <w:noProof/>
        </w:rPr>
        <w:t>[27]</w:t>
      </w:r>
      <w:r w:rsidR="001457CB">
        <w:fldChar w:fldCharType="end"/>
      </w:r>
      <w:r w:rsidR="001457CB">
        <w:t>. In this section, I will give a brief overview of the overall fuel qualification landscape as it applies to my work.</w:t>
      </w:r>
    </w:p>
    <w:p w14:paraId="49CCF912" w14:textId="7A21D630" w:rsidR="001457CB" w:rsidRDefault="001457CB" w:rsidP="001457CB">
      <w:r>
        <w:t xml:space="preserve">The framework outlined by NUREG-2246 is a top-down approach that contains high level goals that are supported by smaller, more specific sub-goals. The primary goals of fuel qualification are G1: The assurance that the fuel can be manufactured within the </w:t>
      </w:r>
      <w:r>
        <w:lastRenderedPageBreak/>
        <w:t>associated specifications and G2: The assurance that margins to safety limits can be demonstrated. G2 has 3 associated subgoals for demonstrating margins to safety. These are G2.1: Margin to design limits can be demonstrated under normal operation and anticipated operational occurrences, G2.2: Margin to radionuclide release limits under accident conditions can be demonstrated, and G2.3: Ability to achieve and maintain safe shutdown is assured. To demonstrate these safety goals, the primary justification method is to provide an experimental database that defines an envelope of fuel performance. Supporting evidence can be provided using evaluation models includ</w:t>
      </w:r>
      <w:r w:rsidR="00043BBA">
        <w:t>ing</w:t>
      </w:r>
      <w:r>
        <w:t xml:space="preserve"> either computational fuel performance models or empirical correlations both validated using experimental testing.</w:t>
      </w:r>
      <w:r w:rsidR="00375A3F">
        <w:t xml:space="preserve"> </w:t>
      </w:r>
    </w:p>
    <w:p w14:paraId="4A53A329" w14:textId="55219BC7" w:rsidR="001457CB" w:rsidRPr="00DC35B4" w:rsidRDefault="001457CB" w:rsidP="001457CB">
      <w:r w:rsidRPr="00DC35B4">
        <w:t xml:space="preserve">The </w:t>
      </w:r>
      <w:r w:rsidR="00043BBA">
        <w:t>journal article</w:t>
      </w:r>
      <w:r w:rsidRPr="00DC35B4">
        <w:t xml:space="preserve"> by Crawford et. al. </w:t>
      </w:r>
      <w:r w:rsidRPr="00DC35B4">
        <w:fldChar w:fldCharType="begin"/>
      </w:r>
      <w:r w:rsidRPr="00DC35B4">
        <w:instrText xml:space="preserve"> ADDIN EN.CITE &lt;EndNote&gt;&lt;Cite&gt;&lt;Author&gt;Crawford&lt;/Author&gt;&lt;Year&gt;2007&lt;/Year&gt;&lt;RecNum&gt;378&lt;/RecNum&gt;&lt;DisplayText&gt;[9]&lt;/DisplayText&gt;&lt;record&gt;&lt;rec-number&gt;378&lt;/rec-number&gt;&lt;foreign-keys&gt;&lt;key app="EN" db-id="eseee05sfe5vt6efvr0xapvq20vfdsfp5fvf" timestamp="1701293831" guid="36de3baa-731e-443a-a16b-399159a2348b"&gt;378&lt;/key&gt;&lt;/foreign-keys&gt;&lt;ref-type name="Journal Article"&gt;17&lt;/ref-type&gt;&lt;contributors&gt;&lt;authors&gt;&lt;author&gt;Crawford, Douglas C.&lt;/author&gt;&lt;author&gt;Porter, Douglas L.&lt;/author&gt;&lt;author&gt;Hayes, Steven L.&lt;/author&gt;&lt;author&gt;Meyer, Mitchell K.&lt;/author&gt;&lt;author&gt;Petti, David A.&lt;/author&gt;&lt;author&gt;Pasamehmetoglu, Kemal&lt;/author&gt;&lt;/authors&gt;&lt;/contributors&gt;&lt;titles&gt;&lt;title&gt;An approach to fuel development and qualification&lt;/title&gt;&lt;secondary-title&gt;Journal of Nuclear Materials&lt;/secondary-title&gt;&lt;/titles&gt;&lt;periodical&gt;&lt;full-title&gt;Journal of Nuclear Materials&lt;/full-title&gt;&lt;/periodical&gt;&lt;pages&gt;232-242&lt;/pages&gt;&lt;volume&gt;371&lt;/volume&gt;&lt;number&gt;1&lt;/number&gt;&lt;dates&gt;&lt;year&gt;2007&lt;/year&gt;&lt;pub-dates&gt;&lt;date&gt;2007/09/15/&lt;/date&gt;&lt;/pub-dates&gt;&lt;/dates&gt;&lt;isbn&gt;0022-3115&lt;/isbn&gt;&lt;urls&gt;&lt;related-urls&gt;&lt;url&gt;https://www.sciencedirect.com/science/article/pii/S0022311507007544&lt;/url&gt;&lt;/related-urls&gt;&lt;/urls&gt;&lt;electronic-resource-num&gt;https://doi.org/10.1016/j.jnucmat.2007.05.029&lt;/electronic-resource-num&gt;&lt;/record&gt;&lt;/Cite&gt;&lt;/EndNote&gt;</w:instrText>
      </w:r>
      <w:r w:rsidRPr="00DC35B4">
        <w:fldChar w:fldCharType="separate"/>
      </w:r>
      <w:r w:rsidRPr="00DC35B4">
        <w:rPr>
          <w:noProof/>
        </w:rPr>
        <w:t>[9]</w:t>
      </w:r>
      <w:r w:rsidRPr="00DC35B4">
        <w:fldChar w:fldCharType="end"/>
      </w:r>
      <w:r w:rsidRPr="00DC35B4">
        <w:t xml:space="preserve"> inspects the traditional </w:t>
      </w:r>
      <w:r w:rsidR="00043BBA">
        <w:t xml:space="preserve">experimental </w:t>
      </w:r>
      <w:r w:rsidRPr="00DC35B4">
        <w:t>process for fuel qualification. The process begins with a large selection of candidate fuels and performs a down-selection process</w:t>
      </w:r>
      <w:r w:rsidR="003128EF" w:rsidRPr="00DC35B4">
        <w:t xml:space="preserve"> with increasing costs and time associated with experiments. The down-selection begins with a general screening of</w:t>
      </w:r>
      <w:r w:rsidR="00666424" w:rsidRPr="00DC35B4">
        <w:t xml:space="preserve"> candidate fuel</w:t>
      </w:r>
      <w:r w:rsidR="003128EF" w:rsidRPr="00DC35B4">
        <w:t xml:space="preserve">s and moves </w:t>
      </w:r>
      <w:r w:rsidR="00DC35B4" w:rsidRPr="00DC35B4">
        <w:t xml:space="preserve">on to development of fuel performance envelopes using increasingly complex integral testing. </w:t>
      </w:r>
      <w:r w:rsidRPr="00DC35B4">
        <w:t xml:space="preserve">Integral effects testing consists of testing the fuel form in representative reactor conditions. While integral effects tests are necessary to demonstrate performance, a primary limitation to integral effects testing is that the data acquired is only applicable to a specific set of conditions. </w:t>
      </w:r>
    </w:p>
    <w:p w14:paraId="65006C0F" w14:textId="09B54CCD" w:rsidR="009D2EEF" w:rsidRDefault="00375A3F" w:rsidP="00F22A75">
      <w:r>
        <w:t>Altogether</w:t>
      </w:r>
      <w:r w:rsidR="001A3C8D">
        <w:t xml:space="preserve">, the full process from conceptualization to licensing takes about 20-25 years assuming there is sufficient availability of test reactors and an eventual demonstration </w:t>
      </w:r>
      <w:r w:rsidR="001A3C8D">
        <w:lastRenderedPageBreak/>
        <w:t xml:space="preserve">reactor to perform the tests </w:t>
      </w:r>
      <w:r w:rsidR="001A3C8D">
        <w:fldChar w:fldCharType="begin"/>
      </w:r>
      <w:r w:rsidR="001A3C8D">
        <w:instrText xml:space="preserve"> ADDIN EN.CITE &lt;EndNote&gt;&lt;Cite&gt;&lt;Author&gt;Crawford&lt;/Author&gt;&lt;Year&gt;2007&lt;/Year&gt;&lt;RecNum&gt;378&lt;/RecNum&gt;&lt;DisplayText&gt;[9]&lt;/DisplayText&gt;&lt;record&gt;&lt;rec-number&gt;378&lt;/rec-number&gt;&lt;foreign-keys&gt;&lt;key app="EN" db-id="eseee05sfe5vt6efvr0xapvq20vfdsfp5fvf" timestamp="1701293831" guid="36de3baa-731e-443a-a16b-399159a2348b"&gt;378&lt;/key&gt;&lt;/foreign-keys&gt;&lt;ref-type name="Journal Article"&gt;17&lt;/ref-type&gt;&lt;contributors&gt;&lt;authors&gt;&lt;author&gt;Crawford, Douglas C.&lt;/author&gt;&lt;author&gt;Porter, Douglas L.&lt;/author&gt;&lt;author&gt;Hayes, Steven L.&lt;/author&gt;&lt;author&gt;Meyer, Mitchell K.&lt;/author&gt;&lt;author&gt;Petti, David A.&lt;/author&gt;&lt;author&gt;Pasamehmetoglu, Kemal&lt;/author&gt;&lt;/authors&gt;&lt;/contributors&gt;&lt;titles&gt;&lt;title&gt;An approach to fuel development and qualification&lt;/title&gt;&lt;secondary-title&gt;Journal of Nuclear Materials&lt;/secondary-title&gt;&lt;/titles&gt;&lt;periodical&gt;&lt;full-title&gt;Journal of Nuclear Materials&lt;/full-title&gt;&lt;/periodical&gt;&lt;pages&gt;232-242&lt;/pages&gt;&lt;volume&gt;371&lt;/volume&gt;&lt;number&gt;1&lt;/number&gt;&lt;dates&gt;&lt;year&gt;2007&lt;/year&gt;&lt;pub-dates&gt;&lt;date&gt;2007/09/15/&lt;/date&gt;&lt;/pub-dates&gt;&lt;/dates&gt;&lt;isbn&gt;0022-3115&lt;/isbn&gt;&lt;urls&gt;&lt;related-urls&gt;&lt;url&gt;https://www.sciencedirect.com/science/article/pii/S0022311507007544&lt;/url&gt;&lt;/related-urls&gt;&lt;/urls&gt;&lt;electronic-resource-num&gt;https://doi.org/10.1016/j.jnucmat.2007.05.029&lt;/electronic-resource-num&gt;&lt;/record&gt;&lt;/Cite&gt;&lt;/EndNote&gt;</w:instrText>
      </w:r>
      <w:r w:rsidR="001A3C8D">
        <w:fldChar w:fldCharType="separate"/>
      </w:r>
      <w:r w:rsidR="001A3C8D">
        <w:rPr>
          <w:noProof/>
        </w:rPr>
        <w:t>[9]</w:t>
      </w:r>
      <w:r w:rsidR="001A3C8D">
        <w:fldChar w:fldCharType="end"/>
      </w:r>
      <w:r w:rsidR="001A3C8D">
        <w:t xml:space="preserve">. As described by Crawford et. al., the “only viable assessment of fuel performance potential and limitations” is through the use of integral effects testing within a reactor </w:t>
      </w:r>
      <w:r w:rsidR="001A3C8D">
        <w:fldChar w:fldCharType="begin"/>
      </w:r>
      <w:r w:rsidR="001A3C8D">
        <w:instrText xml:space="preserve"> ADDIN EN.CITE &lt;EndNote&gt;&lt;Cite&gt;&lt;Author&gt;Crawford&lt;/Author&gt;&lt;Year&gt;2007&lt;/Year&gt;&lt;RecNum&gt;378&lt;/RecNum&gt;&lt;DisplayText&gt;[9]&lt;/DisplayText&gt;&lt;record&gt;&lt;rec-number&gt;378&lt;/rec-number&gt;&lt;foreign-keys&gt;&lt;key app="EN" db-id="eseee05sfe5vt6efvr0xapvq20vfdsfp5fvf" timestamp="1701293831" guid="36de3baa-731e-443a-a16b-399159a2348b"&gt;378&lt;/key&gt;&lt;/foreign-keys&gt;&lt;ref-type name="Journal Article"&gt;17&lt;/ref-type&gt;&lt;contributors&gt;&lt;authors&gt;&lt;author&gt;Crawford, Douglas C.&lt;/author&gt;&lt;author&gt;Porter, Douglas L.&lt;/author&gt;&lt;author&gt;Hayes, Steven L.&lt;/author&gt;&lt;author&gt;Meyer, Mitchell K.&lt;/author&gt;&lt;author&gt;Petti, David A.&lt;/author&gt;&lt;author&gt;Pasamehmetoglu, Kemal&lt;/author&gt;&lt;/authors&gt;&lt;/contributors&gt;&lt;titles&gt;&lt;title&gt;An approach to fuel development and qualification&lt;/title&gt;&lt;secondary-title&gt;Journal of Nuclear Materials&lt;/secondary-title&gt;&lt;/titles&gt;&lt;periodical&gt;&lt;full-title&gt;Journal of Nuclear Materials&lt;/full-title&gt;&lt;/periodical&gt;&lt;pages&gt;232-242&lt;/pages&gt;&lt;volume&gt;371&lt;/volume&gt;&lt;number&gt;1&lt;/number&gt;&lt;dates&gt;&lt;year&gt;2007&lt;/year&gt;&lt;pub-dates&gt;&lt;date&gt;2007/09/15/&lt;/date&gt;&lt;/pub-dates&gt;&lt;/dates&gt;&lt;isbn&gt;0022-3115&lt;/isbn&gt;&lt;urls&gt;&lt;related-urls&gt;&lt;url&gt;https://www.sciencedirect.com/science/article/pii/S0022311507007544&lt;/url&gt;&lt;/related-urls&gt;&lt;/urls&gt;&lt;electronic-resource-num&gt;https://doi.org/10.1016/j.jnucmat.2007.05.029&lt;/electronic-resource-num&gt;&lt;/record&gt;&lt;/Cite&gt;&lt;/EndNote&gt;</w:instrText>
      </w:r>
      <w:r w:rsidR="001A3C8D">
        <w:fldChar w:fldCharType="separate"/>
      </w:r>
      <w:r w:rsidR="001A3C8D">
        <w:rPr>
          <w:noProof/>
        </w:rPr>
        <w:t>[9]</w:t>
      </w:r>
      <w:r w:rsidR="001A3C8D">
        <w:fldChar w:fldCharType="end"/>
      </w:r>
      <w:r w:rsidR="001A3C8D">
        <w:t>.</w:t>
      </w:r>
      <w:r w:rsidR="00976346">
        <w:t xml:space="preserve"> However,</w:t>
      </w:r>
      <w:r w:rsidR="00114808">
        <w:t xml:space="preserve"> the</w:t>
      </w:r>
      <w:r w:rsidR="001A3C8D">
        <w:t xml:space="preserve"> main drawback to this approach is that it relies too heavily on the use of costly, and time intensive integral tests to demonstrate the feasibility of new fuel forms that may not even make it to the licensing phase </w:t>
      </w:r>
      <w:r w:rsidR="001A3C8D">
        <w:fldChar w:fldCharType="begin"/>
      </w:r>
      <w:r w:rsidR="001A3C8D">
        <w:instrText xml:space="preserve"> ADDIN EN.CITE &lt;EndNote&gt;&lt;Cite&gt;&lt;Author&gt;Terrani&lt;/Author&gt;&lt;Year&gt;2020&lt;/Year&gt;&lt;RecNum&gt;329&lt;/RecNum&gt;&lt;DisplayText&gt;[10]&lt;/DisplayText&gt;&lt;record&gt;&lt;rec-number&gt;329&lt;/rec-number&gt;&lt;foreign-keys&gt;&lt;key app="EN" db-id="eseee05sfe5vt6efvr0xapvq20vfdsfp5fvf" timestamp="1694799015" guid="2592c69c-465c-42e8-985f-10ae1a4393f8"&gt;329&lt;/key&gt;&lt;/foreign-keys&gt;&lt;ref-type name="Journal Article"&gt;17&lt;/ref-type&gt;&lt;contributors&gt;&lt;authors&gt;&lt;author&gt;Terrani, Kurt A.&lt;/author&gt;&lt;author&gt;Capps, Nathan A.&lt;/author&gt;&lt;author&gt;Kerr, Matthew J.&lt;/author&gt;&lt;author&gt;Back, Christina A.&lt;/author&gt;&lt;author&gt;Nelson, Andrew T.&lt;/author&gt;&lt;author&gt;Wirth, Brian D.&lt;/author&gt;&lt;author&gt;Hayes, Steven L.&lt;/author&gt;&lt;author&gt;Stanek, Chris R.&lt;/author&gt;&lt;/authors&gt;&lt;/contributors&gt;&lt;titles&gt;&lt;title&gt;Accelerating nuclear fuel development and qualification: Modeling and simulation integrated with separate-effects testing&lt;/title&gt;&lt;secondary-title&gt;Journal of Nuclear Materials&lt;/secondary-title&gt;&lt;/titles&gt;&lt;periodical&gt;&lt;full-title&gt;Journal of Nuclear Materials&lt;/full-title&gt;&lt;/periodical&gt;&lt;pages&gt;152267&lt;/pages&gt;&lt;volume&gt;539&lt;/volume&gt;&lt;dates&gt;&lt;year&gt;2020&lt;/year&gt;&lt;pub-dates&gt;&lt;date&gt;2020/10/01/&lt;/date&gt;&lt;/pub-dates&gt;&lt;/dates&gt;&lt;isbn&gt;0022-3115&lt;/isbn&gt;&lt;urls&gt;&lt;related-urls&gt;&lt;url&gt;https://www.sciencedirect.com/science/article/pii/S0022311519316733&lt;/url&gt;&lt;/related-urls&gt;&lt;/urls&gt;&lt;electronic-resource-num&gt;https://doi.org/10.1016/j.jnucmat.2020.152267&lt;/electronic-resource-num&gt;&lt;/record&gt;&lt;/Cite&gt;&lt;/EndNote&gt;</w:instrText>
      </w:r>
      <w:r w:rsidR="001A3C8D">
        <w:fldChar w:fldCharType="separate"/>
      </w:r>
      <w:r w:rsidR="001A3C8D">
        <w:rPr>
          <w:noProof/>
        </w:rPr>
        <w:t>[10]</w:t>
      </w:r>
      <w:r w:rsidR="001A3C8D">
        <w:fldChar w:fldCharType="end"/>
      </w:r>
      <w:r w:rsidR="001A3C8D">
        <w:t>. With new reactor designs being proposed and a rapidly evolving nuclear landscape, 20 years to develop each new fuel form</w:t>
      </w:r>
      <w:r w:rsidR="008E1D33">
        <w:t xml:space="preserve"> is prohibitive to development of new reactor technologies</w:t>
      </w:r>
      <w:r w:rsidR="001A3C8D">
        <w:t>.</w:t>
      </w:r>
    </w:p>
    <w:p w14:paraId="46D5713B" w14:textId="77777777" w:rsidR="006E73AB" w:rsidRDefault="006E73AB" w:rsidP="00F22A75">
      <w:pPr>
        <w:pStyle w:val="Heading3"/>
        <w:spacing w:before="0" w:after="0"/>
      </w:pPr>
      <w:bookmarkStart w:id="10" w:name="_Toc202957442"/>
      <w:r>
        <w:t>Separate Effects vs Integral Effects Experiments</w:t>
      </w:r>
      <w:bookmarkEnd w:id="10"/>
    </w:p>
    <w:p w14:paraId="764490CE" w14:textId="692D53FD" w:rsidR="003F2F6A" w:rsidRDefault="006E73AB" w:rsidP="00F22A75">
      <w:r>
        <w:t xml:space="preserve">Before explaining the newly proposed </w:t>
      </w:r>
      <w:r w:rsidR="00836A41">
        <w:t>AFQ</w:t>
      </w:r>
      <w:r>
        <w:t xml:space="preserve"> process, it is important to understand the difference between integral and separate effects testing. </w:t>
      </w:r>
      <w:r w:rsidR="00836099">
        <w:t>Integral effects nuclear fuels tests are described by Terrani et. al. as “experiments in which a</w:t>
      </w:r>
      <w:r w:rsidR="00836099" w:rsidRPr="00836099">
        <w:t xml:space="preserve"> specific fuel concept</w:t>
      </w:r>
      <w:r w:rsidR="00836099">
        <w:t xml:space="preserve"> </w:t>
      </w:r>
      <w:r w:rsidR="00836099" w:rsidRPr="00836099">
        <w:t>consisting of a fissile material encapsulated inside a nonfissile plate, tube (cladding), or an integrated matrix</w:t>
      </w:r>
      <w:r w:rsidR="00836099">
        <w:t xml:space="preserve"> </w:t>
      </w:r>
      <w:r w:rsidR="00836099" w:rsidRPr="00836099">
        <w:t>was irradiated</w:t>
      </w:r>
      <w:r w:rsidR="00836099">
        <w:t xml:space="preserve">,” and </w:t>
      </w:r>
      <w:r w:rsidR="00976346">
        <w:t>are</w:t>
      </w:r>
      <w:r w:rsidR="00836099">
        <w:t xml:space="preserve"> performed exclusively</w:t>
      </w:r>
      <w:r w:rsidR="00AD0391">
        <w:t xml:space="preserve"> as</w:t>
      </w:r>
      <w:r w:rsidR="00836099">
        <w:t xml:space="preserve"> in-pile </w:t>
      </w:r>
      <w:r w:rsidR="00836A41">
        <w:t xml:space="preserve">experiments </w:t>
      </w:r>
      <w:r w:rsidR="00836099">
        <w:t xml:space="preserve">within a test reactor. This means that the fuel will experience all the effects that it would encounter within the reactor system throughout all phases of development. While this is </w:t>
      </w:r>
      <w:r w:rsidR="00A65909">
        <w:t>a surefire way to demonstrate the</w:t>
      </w:r>
      <w:r w:rsidR="00DB469B">
        <w:t xml:space="preserve"> feasibility of candidate</w:t>
      </w:r>
      <w:r w:rsidR="00A65909">
        <w:t xml:space="preserve"> fuel form</w:t>
      </w:r>
      <w:r w:rsidR="00DB469B">
        <w:t>s,</w:t>
      </w:r>
      <w:r w:rsidR="00A65909">
        <w:t xml:space="preserve"> the tests provide little to no information on a fundamental level </w:t>
      </w:r>
      <w:r w:rsidR="00A65909">
        <w:fldChar w:fldCharType="begin"/>
      </w:r>
      <w:r w:rsidR="00581C26">
        <w:instrText xml:space="preserve"> ADDIN EN.CITE &lt;EndNote&gt;&lt;Cite&gt;&lt;Author&gt;Terrani&lt;/Author&gt;&lt;Year&gt;2020&lt;/Year&gt;&lt;RecNum&gt;329&lt;/RecNum&gt;&lt;DisplayText&gt;[10]&lt;/DisplayText&gt;&lt;record&gt;&lt;rec-number&gt;329&lt;/rec-number&gt;&lt;foreign-keys&gt;&lt;key app="EN" db-id="eseee05sfe5vt6efvr0xapvq20vfdsfp5fvf" timestamp="1694799015" guid="2592c69c-465c-42e8-985f-10ae1a4393f8"&gt;329&lt;/key&gt;&lt;/foreign-keys&gt;&lt;ref-type name="Journal Article"&gt;17&lt;/ref-type&gt;&lt;contributors&gt;&lt;authors&gt;&lt;author&gt;Terrani, Kurt A.&lt;/author&gt;&lt;author&gt;Capps, Nathan A.&lt;/author&gt;&lt;author&gt;Kerr, Matthew J.&lt;/author&gt;&lt;author&gt;Back, Christina A.&lt;/author&gt;&lt;author&gt;Nelson, Andrew T.&lt;/author&gt;&lt;author&gt;Wirth, Brian D.&lt;/author&gt;&lt;author&gt;Hayes, Steven L.&lt;/author&gt;&lt;author&gt;Stanek, Chris R.&lt;/author&gt;&lt;/authors&gt;&lt;/contributors&gt;&lt;titles&gt;&lt;title&gt;Accelerating nuclear fuel development and qualification: Modeling and simulation integrated with separate-effects testing&lt;/title&gt;&lt;secondary-title&gt;Journal of Nuclear Materials&lt;/secondary-title&gt;&lt;/titles&gt;&lt;periodical&gt;&lt;full-title&gt;Journal of Nuclear Materials&lt;/full-title&gt;&lt;/periodical&gt;&lt;pages&gt;152267&lt;/pages&gt;&lt;volume&gt;539&lt;/volume&gt;&lt;dates&gt;&lt;year&gt;2020&lt;/year&gt;&lt;pub-dates&gt;&lt;date&gt;2020/10/01/&lt;/date&gt;&lt;/pub-dates&gt;&lt;/dates&gt;&lt;isbn&gt;0022-3115&lt;/isbn&gt;&lt;urls&gt;&lt;related-urls&gt;&lt;url&gt;https://www.sciencedirect.com/science/article/pii/S0022311519316733&lt;/url&gt;&lt;/related-urls&gt;&lt;/urls&gt;&lt;electronic-resource-num&gt;https://doi.org/10.1016/j.jnucmat.2020.152267&lt;/electronic-resource-num&gt;&lt;/record&gt;&lt;/Cite&gt;&lt;/EndNote&gt;</w:instrText>
      </w:r>
      <w:r w:rsidR="00A65909">
        <w:fldChar w:fldCharType="separate"/>
      </w:r>
      <w:r w:rsidR="00581C26">
        <w:rPr>
          <w:noProof/>
        </w:rPr>
        <w:t>[10]</w:t>
      </w:r>
      <w:r w:rsidR="00A65909">
        <w:fldChar w:fldCharType="end"/>
      </w:r>
      <w:r w:rsidR="00A65909">
        <w:t xml:space="preserve">. </w:t>
      </w:r>
    </w:p>
    <w:p w14:paraId="667F9073" w14:textId="07D35389" w:rsidR="006E73AB" w:rsidRDefault="003F2F6A" w:rsidP="00F22A75">
      <w:r>
        <w:t>Numerous</w:t>
      </w:r>
      <w:r w:rsidR="00A65909">
        <w:t xml:space="preserve"> coupled interactions within a reactor environment including chemical, thermal, physical, and irradiation</w:t>
      </w:r>
      <w:r w:rsidR="00836099">
        <w:t xml:space="preserve"> </w:t>
      </w:r>
      <w:r w:rsidR="00A65909">
        <w:t>effects</w:t>
      </w:r>
      <w:r>
        <w:t xml:space="preserve"> make it</w:t>
      </w:r>
      <w:r w:rsidR="00A65909">
        <w:t xml:space="preserve"> extremely difficult to understand why a specific fuel form either works or fails</w:t>
      </w:r>
      <w:r>
        <w:t xml:space="preserve"> </w:t>
      </w:r>
      <w:r>
        <w:fldChar w:fldCharType="begin">
          <w:fldData xml:space="preserve">PEVuZE5vdGU+PENpdGU+PEF1dGhvcj5BbGxlbjwvQXV0aG9yPjxZZWFyPjIwMTA8L1llYXI+PFJl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</w:fldData>
        </w:fldChar>
      </w:r>
      <w:r w:rsidR="001457CB">
        <w:instrText xml:space="preserve"> ADDIN EN.CITE </w:instrText>
      </w:r>
      <w:r w:rsidR="001457CB">
        <w:fldChar w:fldCharType="begin">
          <w:fldData xml:space="preserve">PEVuZE5vdGU+PENpdGU+PEF1dGhvcj5BbGxlbjwvQXV0aG9yPjxZZWFyPjIwMTA8L1llYXI+PFJl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</w:fldData>
        </w:fldChar>
      </w:r>
      <w:r w:rsidR="001457CB">
        <w:instrText xml:space="preserve"> ADDIN EN.CITE.DATA </w:instrText>
      </w:r>
      <w:r w:rsidR="001457CB">
        <w:fldChar w:fldCharType="end"/>
      </w:r>
      <w:r>
        <w:fldChar w:fldCharType="separate"/>
      </w:r>
      <w:r w:rsidR="001457CB">
        <w:rPr>
          <w:noProof/>
        </w:rPr>
        <w:t>[29-31]</w:t>
      </w:r>
      <w:r>
        <w:fldChar w:fldCharType="end"/>
      </w:r>
      <w:r>
        <w:t>.</w:t>
      </w:r>
      <w:r w:rsidR="005E3632">
        <w:t xml:space="preserve"> Each new fuel form resembles a black box function where the underlying mechanisms and interactions are mostly unknown.</w:t>
      </w:r>
      <w:r>
        <w:t xml:space="preserve"> </w:t>
      </w:r>
      <w:r>
        <w:lastRenderedPageBreak/>
        <w:t xml:space="preserve">Separate effects testing, as the name suggests, attempts to isolate one or more of these effects to </w:t>
      </w:r>
      <w:r w:rsidR="007D7AD5">
        <w:t>determine their impact on the system. This can be done for nuclear fuels using</w:t>
      </w:r>
      <w:r w:rsidR="00DF3085">
        <w:t xml:space="preserve"> methods such as</w:t>
      </w:r>
      <w:r w:rsidR="007D7AD5">
        <w:t xml:space="preserve"> out-of-pile testing to remov</w:t>
      </w:r>
      <w:r w:rsidR="009678E3">
        <w:t>e</w:t>
      </w:r>
      <w:r w:rsidR="007D7AD5">
        <w:t xml:space="preserve"> irradiation effects</w:t>
      </w:r>
      <w:r w:rsidR="009678E3">
        <w:t xml:space="preserve"> such as fission heating and irradiation damage</w:t>
      </w:r>
      <w:r w:rsidR="007D7AD5">
        <w:t>, testing the fuel apart from the cladding to remove physical effects</w:t>
      </w:r>
      <w:r w:rsidR="009678E3">
        <w:t xml:space="preserve"> such as pellet cladding mechanical interaction and limi</w:t>
      </w:r>
      <w:r w:rsidR="00DF3085">
        <w:t>t</w:t>
      </w:r>
      <w:r w:rsidR="009678E3">
        <w:t xml:space="preserve"> chemical interaction</w:t>
      </w:r>
      <w:r w:rsidR="007D7AD5">
        <w:t>, etc</w:t>
      </w:r>
      <w:r w:rsidR="001721FA">
        <w:t>.</w:t>
      </w:r>
      <w:r w:rsidR="009678E3">
        <w:t xml:space="preserve"> </w:t>
      </w:r>
      <w:r w:rsidR="009678E3">
        <w:fldChar w:fldCharType="begin">
          <w:fldData xml:space="preserve">PEVuZE5vdGU+PENpdGU+PEF1dGhvcj5TcGVuY2VyPC9BdXRob3I+PFllYXI+MjAxOTwvWWVhcj48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</w:fldData>
        </w:fldChar>
      </w:r>
      <w:r w:rsidR="001457CB">
        <w:instrText xml:space="preserve"> ADDIN EN.CITE </w:instrText>
      </w:r>
      <w:r w:rsidR="001457CB">
        <w:fldChar w:fldCharType="begin">
          <w:fldData xml:space="preserve">PEVuZE5vdGU+PENpdGU+PEF1dGhvcj5TcGVuY2VyPC9BdXRob3I+PFllYXI+MjAxOTwvWWVhcj48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</w:fldData>
        </w:fldChar>
      </w:r>
      <w:r w:rsidR="001457CB">
        <w:instrText xml:space="preserve"> ADDIN EN.CITE.DATA </w:instrText>
      </w:r>
      <w:r w:rsidR="001457CB">
        <w:fldChar w:fldCharType="end"/>
      </w:r>
      <w:r w:rsidR="009678E3">
        <w:fldChar w:fldCharType="separate"/>
      </w:r>
      <w:r w:rsidR="001457CB">
        <w:rPr>
          <w:noProof/>
        </w:rPr>
        <w:t>[22, 32]</w:t>
      </w:r>
      <w:r w:rsidR="009678E3">
        <w:fldChar w:fldCharType="end"/>
      </w:r>
      <w:r w:rsidR="007D7AD5">
        <w:t>.</w:t>
      </w:r>
      <w:r w:rsidR="009678E3">
        <w:t xml:space="preserve"> </w:t>
      </w:r>
      <w:r w:rsidR="003261A5">
        <w:t>In summary, t</w:t>
      </w:r>
      <w:r w:rsidR="00DF3085">
        <w:t>hrough separate effects testing</w:t>
      </w:r>
      <w:r w:rsidR="009678E3">
        <w:t xml:space="preserve">, we </w:t>
      </w:r>
      <w:r w:rsidR="00DF3085">
        <w:t>aim to</w:t>
      </w:r>
      <w:r w:rsidR="009678E3">
        <w:t xml:space="preserve"> more easily determine</w:t>
      </w:r>
      <w:r w:rsidR="002D74F2">
        <w:t xml:space="preserve"> aspects of</w:t>
      </w:r>
      <w:r w:rsidR="009678E3">
        <w:t xml:space="preserve"> fuel </w:t>
      </w:r>
      <w:r w:rsidR="002D74F2">
        <w:t>performance</w:t>
      </w:r>
      <w:r w:rsidR="009678E3">
        <w:t xml:space="preserve"> on a fundamental level</w:t>
      </w:r>
      <w:r w:rsidR="0042368F">
        <w:t xml:space="preserve"> and can use this fundamental data to develop predictive modeling capabilities</w:t>
      </w:r>
      <w:r w:rsidR="009678E3">
        <w:t>.</w:t>
      </w:r>
    </w:p>
    <w:p w14:paraId="65BD14E9" w14:textId="498C5D7C" w:rsidR="00C95526" w:rsidRDefault="00C95526" w:rsidP="00F22A75">
      <w:pPr>
        <w:pStyle w:val="Heading3"/>
        <w:spacing w:before="0" w:after="0"/>
      </w:pPr>
      <w:bookmarkStart w:id="11" w:name="_Toc202957443"/>
      <w:r>
        <w:t>Framework for Accelerated Qualification of Nuclear Fuels</w:t>
      </w:r>
      <w:bookmarkEnd w:id="11"/>
    </w:p>
    <w:p w14:paraId="400E5549" w14:textId="5F150133" w:rsidR="00236803" w:rsidRDefault="000846AB" w:rsidP="00F22A75">
      <w:r>
        <w:t xml:space="preserve">Building off the approach presented by Crawford et. al., Terrani et. al. proposed an improved methodology to accelerate the fuel qualification process </w:t>
      </w:r>
      <w:r>
        <w:fldChar w:fldCharType="begin"/>
      </w:r>
      <w:r w:rsidR="00581C26">
        <w:instrText xml:space="preserve"> ADDIN EN.CITE &lt;EndNote&gt;&lt;Cite&gt;&lt;Author&gt;Terrani&lt;/Author&gt;&lt;Year&gt;2020&lt;/Year&gt;&lt;RecNum&gt;329&lt;/RecNum&gt;&lt;DisplayText&gt;[10]&lt;/DisplayText&gt;&lt;record&gt;&lt;rec-number&gt;329&lt;/rec-number&gt;&lt;foreign-keys&gt;&lt;key app="EN" db-id="eseee05sfe5vt6efvr0xapvq20vfdsfp5fvf" timestamp="1694799015" guid="2592c69c-465c-42e8-985f-10ae1a4393f8"&gt;329&lt;/key&gt;&lt;/foreign-keys&gt;&lt;ref-type name="Journal Article"&gt;17&lt;/ref-type&gt;&lt;contributors&gt;&lt;authors&gt;&lt;author&gt;Terrani, Kurt A.&lt;/author&gt;&lt;author&gt;Capps, Nathan A.&lt;/author&gt;&lt;author&gt;Kerr, Matthew J.&lt;/author&gt;&lt;author&gt;Back, Christina A.&lt;/author&gt;&lt;author&gt;Nelson, Andrew T.&lt;/author&gt;&lt;author&gt;Wirth, Brian D.&lt;/author&gt;&lt;author&gt;Hayes, Steven L.&lt;/author&gt;&lt;author&gt;Stanek, Chris R.&lt;/author&gt;&lt;/authors&gt;&lt;/contributors&gt;&lt;titles&gt;&lt;title&gt;Accelerating nuclear fuel development and qualification: Modeling and simulation integrated with separate-effects testing&lt;/title&gt;&lt;secondary-title&gt;Journal of Nuclear Materials&lt;/secondary-title&gt;&lt;/titles&gt;&lt;periodical&gt;&lt;full-title&gt;Journal of Nuclear Materials&lt;/full-title&gt;&lt;/periodical&gt;&lt;pages&gt;152267&lt;/pages&gt;&lt;volume&gt;539&lt;/volume&gt;&lt;dates&gt;&lt;year&gt;2020&lt;/year&gt;&lt;pub-dates&gt;&lt;date&gt;2020/10/01/&lt;/date&gt;&lt;/pub-dates&gt;&lt;/dates&gt;&lt;isbn&gt;0022-3115&lt;/isbn&gt;&lt;urls&gt;&lt;related-urls&gt;&lt;url&gt;https://www.sciencedirect.com/science/article/pii/S0022311519316733&lt;/url&gt;&lt;/related-urls&gt;&lt;/urls&gt;&lt;electronic-resource-num&gt;https://doi.org/10.1016/j.jnucmat.2020.152267&lt;/electronic-resource-num&gt;&lt;/record&gt;&lt;/Cite&gt;&lt;/EndNote&gt;</w:instrText>
      </w:r>
      <w:r>
        <w:fldChar w:fldCharType="separate"/>
      </w:r>
      <w:r w:rsidR="00581C26">
        <w:rPr>
          <w:noProof/>
        </w:rPr>
        <w:t>[10]</w:t>
      </w:r>
      <w:r>
        <w:fldChar w:fldCharType="end"/>
      </w:r>
      <w:r>
        <w:t>.</w:t>
      </w:r>
      <w:r w:rsidR="000010AF">
        <w:t xml:space="preserve"> A high-level comparison between the approaches described in Crawford et. al. </w:t>
      </w:r>
      <w:r w:rsidR="00F40153">
        <w:fldChar w:fldCharType="begin"/>
      </w:r>
      <w:r w:rsidR="00F40153">
        <w:instrText xml:space="preserve"> ADDIN EN.CITE &lt;EndNote&gt;&lt;Cite&gt;&lt;Author&gt;Crawford&lt;/Author&gt;&lt;Year&gt;2007&lt;/Year&gt;&lt;RecNum&gt;378&lt;/RecNum&gt;&lt;DisplayText&gt;[9]&lt;/DisplayText&gt;&lt;record&gt;&lt;rec-number&gt;378&lt;/rec-number&gt;&lt;foreign-keys&gt;&lt;key app="EN" db-id="eseee05sfe5vt6efvr0xapvq20vfdsfp5fvf" timestamp="1701293831" guid="36de3baa-731e-443a-a16b-399159a2348b"&gt;378&lt;/key&gt;&lt;/foreign-keys&gt;&lt;ref-type name="Journal Article"&gt;17&lt;/ref-type&gt;&lt;contributors&gt;&lt;authors&gt;&lt;author&gt;Crawford, Douglas C.&lt;/author&gt;&lt;author&gt;Porter, Douglas L.&lt;/author&gt;&lt;author&gt;Hayes, Steven L.&lt;/author&gt;&lt;author&gt;Meyer, Mitchell K.&lt;/author&gt;&lt;author&gt;Petti, David A.&lt;/author&gt;&lt;author&gt;Pasamehmetoglu, Kemal&lt;/author&gt;&lt;/authors&gt;&lt;/contributors&gt;&lt;titles&gt;&lt;title&gt;An approach to fuel development and qualification&lt;/title&gt;&lt;secondary-title&gt;Journal of Nuclear Materials&lt;/secondary-title&gt;&lt;/titles&gt;&lt;periodical&gt;&lt;full-title&gt;Journal of Nuclear Materials&lt;/full-title&gt;&lt;/periodical&gt;&lt;pages&gt;232-242&lt;/pages&gt;&lt;volume&gt;371&lt;/volume&gt;&lt;number&gt;1&lt;/number&gt;&lt;dates&gt;&lt;year&gt;2007&lt;/year&gt;&lt;pub-dates&gt;&lt;date&gt;2007/09/15/&lt;/date&gt;&lt;/pub-dates&gt;&lt;/dates&gt;&lt;isbn&gt;0022-3115&lt;/isbn&gt;&lt;urls&gt;&lt;related-urls&gt;&lt;url&gt;https://www.sciencedirect.com/science/article/pii/S0022311507007544&lt;/url&gt;&lt;/related-urls&gt;&lt;/urls&gt;&lt;electronic-resource-num&gt;https://doi.org/10.1016/j.jnucmat.2007.05.029&lt;/electronic-resource-num&gt;&lt;/record&gt;&lt;/Cite&gt;&lt;/EndNote&gt;</w:instrText>
      </w:r>
      <w:r w:rsidR="00F40153">
        <w:fldChar w:fldCharType="separate"/>
      </w:r>
      <w:r w:rsidR="00F40153">
        <w:rPr>
          <w:noProof/>
        </w:rPr>
        <w:t>[9]</w:t>
      </w:r>
      <w:r w:rsidR="00F40153">
        <w:fldChar w:fldCharType="end"/>
      </w:r>
      <w:r w:rsidR="00F40153">
        <w:t xml:space="preserve"> </w:t>
      </w:r>
      <w:r w:rsidR="000010AF">
        <w:t>and Terrani et. al.</w:t>
      </w:r>
      <w:r w:rsidR="00F40153">
        <w:t xml:space="preserve"> </w:t>
      </w:r>
      <w:r w:rsidR="00F40153">
        <w:fldChar w:fldCharType="begin"/>
      </w:r>
      <w:r w:rsidR="00F40153">
        <w:instrText xml:space="preserve"> ADDIN EN.CITE &lt;EndNote&gt;&lt;Cite&gt;&lt;Author&gt;Terrani&lt;/Author&gt;&lt;Year&gt;2020&lt;/Year&gt;&lt;RecNum&gt;329&lt;/RecNum&gt;&lt;DisplayText&gt;[10]&lt;/DisplayText&gt;&lt;record&gt;&lt;rec-number&gt;329&lt;/rec-number&gt;&lt;foreign-keys&gt;&lt;key app="EN" db-id="eseee05sfe5vt6efvr0xapvq20vfdsfp5fvf" timestamp="1694799015" guid="2592c69c-465c-42e8-985f-10ae1a4393f8"&gt;329&lt;/key&gt;&lt;/foreign-keys&gt;&lt;ref-type name="Journal Article"&gt;17&lt;/ref-type&gt;&lt;contributors&gt;&lt;authors&gt;&lt;author&gt;Terrani, Kurt A.&lt;/author&gt;&lt;author&gt;Capps, Nathan A.&lt;/author&gt;&lt;author&gt;Kerr, Matthew J.&lt;/author&gt;&lt;author&gt;Back, Christina A.&lt;/author&gt;&lt;author&gt;Nelson, Andrew T.&lt;/author&gt;&lt;author&gt;Wirth, Brian D.&lt;/author&gt;&lt;author&gt;Hayes, Steven L.&lt;/author&gt;&lt;author&gt;Stanek, Chris R.&lt;/author&gt;&lt;/authors&gt;&lt;/contributors&gt;&lt;titles&gt;&lt;title&gt;Accelerating nuclear fuel development and qualification: Modeling and simulation integrated with separate-effects testing&lt;/title&gt;&lt;secondary-title&gt;Journal of Nuclear Materials&lt;/secondary-title&gt;&lt;/titles&gt;&lt;periodical&gt;&lt;full-title&gt;Journal of Nuclear Materials&lt;/full-title&gt;&lt;/periodical&gt;&lt;pages&gt;152267&lt;/pages&gt;&lt;volume&gt;539&lt;/volume&gt;&lt;dates&gt;&lt;year&gt;2020&lt;/year&gt;&lt;pub-dates&gt;&lt;date&gt;2020/10/01/&lt;/date&gt;&lt;/pub-dates&gt;&lt;/dates&gt;&lt;isbn&gt;0022-3115&lt;/isbn&gt;&lt;urls&gt;&lt;related-urls&gt;&lt;url&gt;https://www.sciencedirect.com/science/article/pii/S0022311519316733&lt;/url&gt;&lt;/related-urls&gt;&lt;/urls&gt;&lt;electronic-resource-num&gt;https://doi.org/10.1016/j.jnucmat.2020.152267&lt;/electronic-resource-num&gt;&lt;/record&gt;&lt;/Cite&gt;&lt;/EndNote&gt;</w:instrText>
      </w:r>
      <w:r w:rsidR="00F40153">
        <w:fldChar w:fldCharType="separate"/>
      </w:r>
      <w:r w:rsidR="00F40153">
        <w:rPr>
          <w:noProof/>
        </w:rPr>
        <w:t>[10]</w:t>
      </w:r>
      <w:r w:rsidR="00F40153">
        <w:fldChar w:fldCharType="end"/>
      </w:r>
      <w:r w:rsidR="000010AF">
        <w:t xml:space="preserve"> is shown in </w:t>
      </w:r>
      <w:r w:rsidR="000010AF" w:rsidRPr="00377123">
        <w:rPr>
          <w:b/>
          <w:bCs/>
        </w:rPr>
        <w:fldChar w:fldCharType="begin"/>
      </w:r>
      <w:r w:rsidR="000010AF" w:rsidRPr="00377123">
        <w:rPr>
          <w:b/>
          <w:bCs/>
        </w:rPr>
        <w:instrText xml:space="preserve"> REF _Ref197724612 \h </w:instrText>
      </w:r>
      <w:r w:rsidR="00377123">
        <w:rPr>
          <w:b/>
          <w:bCs/>
        </w:rPr>
        <w:instrText xml:space="preserve"> \* MERGEFORMAT </w:instrText>
      </w:r>
      <w:r w:rsidR="000010AF" w:rsidRPr="00377123">
        <w:rPr>
          <w:b/>
          <w:bCs/>
        </w:rPr>
      </w:r>
      <w:r w:rsidR="000010AF" w:rsidRPr="00377123">
        <w:rPr>
          <w:b/>
          <w:bCs/>
        </w:rPr>
        <w:fldChar w:fldCharType="separate"/>
      </w:r>
      <w:r w:rsidR="00BF7E93" w:rsidRPr="00BF7E93">
        <w:rPr>
          <w:b/>
          <w:bCs/>
        </w:rPr>
        <w:t xml:space="preserve">Figure </w:t>
      </w:r>
      <w:r w:rsidR="00BF7E93" w:rsidRPr="00BF7E93">
        <w:rPr>
          <w:b/>
          <w:bCs/>
          <w:noProof/>
        </w:rPr>
        <w:t>2.1</w:t>
      </w:r>
      <w:r w:rsidR="000010AF" w:rsidRPr="00377123">
        <w:rPr>
          <w:b/>
          <w:bCs/>
        </w:rPr>
        <w:fldChar w:fldCharType="end"/>
      </w:r>
      <w:r w:rsidR="000010AF">
        <w:t>.</w:t>
      </w:r>
      <w:r>
        <w:t xml:space="preserve"> Th</w:t>
      </w:r>
      <w:r w:rsidR="000010AF">
        <w:t>e accelerated</w:t>
      </w:r>
      <w:r>
        <w:t xml:space="preserve"> approach aims to more effectively leverage increasing computational modeling </w:t>
      </w:r>
      <w:r w:rsidR="003261A5">
        <w:t xml:space="preserve">and simulation </w:t>
      </w:r>
      <w:r>
        <w:t xml:space="preserve">capabilities to inform </w:t>
      </w:r>
      <w:r w:rsidR="00536498">
        <w:t>experimental</w:t>
      </w:r>
      <w:r>
        <w:t xml:space="preserve"> design </w:t>
      </w:r>
      <w:r w:rsidR="00536498">
        <w:t xml:space="preserve">of cost-effective separate effects tests </w:t>
      </w:r>
      <w:r>
        <w:fldChar w:fldCharType="begin"/>
      </w:r>
      <w:r w:rsidR="00581C26">
        <w:instrText xml:space="preserve"> ADDIN EN.CITE &lt;EndNote&gt;&lt;Cite&gt;&lt;Author&gt;Terrani&lt;/Author&gt;&lt;Year&gt;2020&lt;/Year&gt;&lt;RecNum&gt;329&lt;/RecNum&gt;&lt;DisplayText&gt;[10]&lt;/DisplayText&gt;&lt;record&gt;&lt;rec-number&gt;329&lt;/rec-number&gt;&lt;foreign-keys&gt;&lt;key app="EN" db-id="eseee05sfe5vt6efvr0xapvq20vfdsfp5fvf" timestamp="1694799015" guid="2592c69c-465c-42e8-985f-10ae1a4393f8"&gt;329&lt;/key&gt;&lt;/foreign-keys&gt;&lt;ref-type name="Journal Article"&gt;17&lt;/ref-type&gt;&lt;contributors&gt;&lt;authors&gt;&lt;author&gt;Terrani, Kurt A.&lt;/author&gt;&lt;author&gt;Capps, Nathan A.&lt;/author&gt;&lt;author&gt;Kerr, Matthew J.&lt;/author&gt;&lt;author&gt;Back, Christina A.&lt;/author&gt;&lt;author&gt;Nelson, Andrew T.&lt;/author&gt;&lt;author&gt;Wirth, Brian D.&lt;/author&gt;&lt;author&gt;Hayes, Steven L.&lt;/author&gt;&lt;author&gt;Stanek, Chris R.&lt;/author&gt;&lt;/authors&gt;&lt;/contributors&gt;&lt;titles&gt;&lt;title&gt;Accelerating nuclear fuel development and qualification: Modeling and simulation integrated with separate-effects testing&lt;/title&gt;&lt;secondary-title&gt;Journal of Nuclear Materials&lt;/secondary-title&gt;&lt;/titles&gt;&lt;periodical&gt;&lt;full-title&gt;Journal of Nuclear Materials&lt;/full-title&gt;&lt;/periodical&gt;&lt;pages&gt;152267&lt;/pages&gt;&lt;volume&gt;539&lt;/volume&gt;&lt;dates&gt;&lt;year&gt;2020&lt;/year&gt;&lt;pub-dates&gt;&lt;date&gt;2020/10/01/&lt;/date&gt;&lt;/pub-dates&gt;&lt;/dates&gt;&lt;isbn&gt;0022-3115&lt;/isbn&gt;&lt;urls&gt;&lt;related-urls&gt;&lt;url&gt;https://www.sciencedirect.com/science/article/pii/S0022311519316733&lt;/url&gt;&lt;/related-urls&gt;&lt;/urls&gt;&lt;electronic-resource-num&gt;https://doi.org/10.1016/j.jnucmat.2020.152267&lt;/electronic-resource-num&gt;&lt;/record&gt;&lt;/Cite&gt;&lt;/EndNote&gt;</w:instrText>
      </w:r>
      <w:r>
        <w:fldChar w:fldCharType="separate"/>
      </w:r>
      <w:r w:rsidR="00581C26">
        <w:rPr>
          <w:noProof/>
        </w:rPr>
        <w:t>[10]</w:t>
      </w:r>
      <w:r>
        <w:fldChar w:fldCharType="end"/>
      </w:r>
      <w:r>
        <w:t xml:space="preserve">. </w:t>
      </w:r>
      <w:r w:rsidR="00536498" w:rsidRPr="00536498">
        <w:t>Specifically, the accelerated approach seeks to alleviate the bottleneck caused by integral effects testing by utilizing an iterative loop between separate effects testing and predictive modeling.</w:t>
      </w:r>
      <w:r w:rsidR="00A44ED6">
        <w:t xml:space="preserve"> </w:t>
      </w:r>
      <w:r w:rsidR="00BF7E17">
        <w:t xml:space="preserve">As previously mentioned, the use of separate effects tests allows us to more easily determine the factors that are directly influencing the performance of the fuel during the experiments. This information can then be effectively used in evaluating the accuracy of models that are currently implemented into the code and streamline the process of improving them to the point of </w:t>
      </w:r>
    </w:p>
    <w:p w14:paraId="5D3B9D98" w14:textId="77777777" w:rsidR="008C77CD" w:rsidRDefault="008C77CD" w:rsidP="0029535E">
      <w:pPr>
        <w:jc w:val="center"/>
        <w:sectPr w:rsidR="008C77CD" w:rsidSect="008C77CD">
          <w:pgSz w:w="12240" w:h="15840" w:code="1"/>
          <w:pgMar w:top="1440" w:right="1800" w:bottom="1872" w:left="1800" w:header="720" w:footer="1440" w:gutter="0"/>
          <w:pgNumType w:start="1"/>
          <w:cols w:space="720"/>
          <w:noEndnote/>
          <w:docGrid w:linePitch="360"/>
        </w:sectPr>
      </w:pPr>
    </w:p>
    <w:p w14:paraId="478B8546" w14:textId="540BBBB9" w:rsidR="00236803" w:rsidRDefault="00236803" w:rsidP="0029535E">
      <w:pPr>
        <w:jc w:val="center"/>
      </w:pPr>
      <w:r>
        <w:rPr>
          <w:noProof/>
        </w:rPr>
        <w:lastRenderedPageBreak/>
        <w:drawing>
          <wp:inline distT="0" distB="0" distL="0" distR="0" wp14:anchorId="313B776E" wp14:editId="078E9CD2">
            <wp:extent cx="6879564" cy="2845316"/>
            <wp:effectExtent l="0" t="0" r="4445"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51"/>
                    <pic:cNvPicPr/>
                  </pic:nvPicPr>
                  <pic:blipFill rotWithShape="1">
                    <a:blip r:embed="rId12" cstate="print">
                      <a:extLst>
                        <a:ext uri="{28A0092B-C50C-407E-A947-70E740481C1C}">
                          <a14:useLocalDpi xmlns:a14="http://schemas.microsoft.com/office/drawing/2010/main" val="0"/>
                        </a:ext>
                      </a:extLst>
                    </a:blip>
                    <a:srcRect t="19287" b="7186"/>
                    <a:stretch/>
                  </pic:blipFill>
                  <pic:spPr bwMode="auto">
                    <a:xfrm>
                      <a:off x="0" y="0"/>
                      <a:ext cx="6879564" cy="2845316"/>
                    </a:xfrm>
                    <a:prstGeom prst="rect">
                      <a:avLst/>
                    </a:prstGeom>
                    <a:ln>
                      <a:noFill/>
                    </a:ln>
                    <a:extLst>
                      <a:ext uri="{53640926-AAD7-44D8-BBD7-CCE9431645EC}">
                        <a14:shadowObscured xmlns:a14="http://schemas.microsoft.com/office/drawing/2010/main"/>
                      </a:ext>
                    </a:extLst>
                  </pic:spPr>
                </pic:pic>
              </a:graphicData>
            </a:graphic>
          </wp:inline>
        </w:drawing>
      </w:r>
    </w:p>
    <w:p w14:paraId="1105B239" w14:textId="0EA853BE" w:rsidR="00236803" w:rsidRDefault="00236803" w:rsidP="00874CBB">
      <w:pPr>
        <w:pStyle w:val="Caption"/>
      </w:pPr>
      <w:bookmarkStart w:id="12" w:name="_Ref197724612"/>
      <w:bookmarkStart w:id="13" w:name="_Toc202957534"/>
      <w:r>
        <w:t xml:space="preserve">Figure </w:t>
      </w:r>
      <w:fldSimple w:instr=" STYLEREF 1 \s ">
        <w:r w:rsidR="00BF7E93">
          <w:rPr>
            <w:noProof/>
          </w:rPr>
          <w:t>2</w:t>
        </w:r>
      </w:fldSimple>
      <w:r>
        <w:t>.</w:t>
      </w:r>
      <w:fldSimple w:instr=" SEQ Figure \* ARABIC \s 1 ">
        <w:r w:rsidR="00BF7E93">
          <w:rPr>
            <w:noProof/>
          </w:rPr>
          <w:t>1</w:t>
        </w:r>
      </w:fldSimple>
      <w:bookmarkEnd w:id="12"/>
      <w:r>
        <w:t xml:space="preserve">. Comparison Between Traditional Fuel Qualification </w:t>
      </w:r>
      <w:r>
        <w:fldChar w:fldCharType="begin"/>
      </w:r>
      <w:r>
        <w:instrText xml:space="preserve"> ADDIN EN.CITE &lt;EndNote&gt;&lt;Cite&gt;&lt;Author&gt;Crawford&lt;/Author&gt;&lt;Year&gt;2007&lt;/Year&gt;&lt;RecNum&gt;378&lt;/RecNum&gt;&lt;DisplayText&gt;[9]&lt;/DisplayText&gt;&lt;record&gt;&lt;rec-number&gt;378&lt;/rec-number&gt;&lt;foreign-keys&gt;&lt;key app="EN" db-id="eseee05sfe5vt6efvr0xapvq20vfdsfp5fvf" timestamp="1701293831" guid="36de3baa-731e-443a-a16b-399159a2348b"&gt;378&lt;/key&gt;&lt;/foreign-keys&gt;&lt;ref-type name="Journal Article"&gt;17&lt;/ref-type&gt;&lt;contributors&gt;&lt;authors&gt;&lt;author&gt;Crawford, Douglas C.&lt;/author&gt;&lt;author&gt;Porter, Douglas L.&lt;/author&gt;&lt;author&gt;Hayes, Steven L.&lt;/author&gt;&lt;author&gt;Meyer, Mitchell K.&lt;/author&gt;&lt;author&gt;Petti, David A.&lt;/author&gt;&lt;author&gt;Pasamehmetoglu, Kemal&lt;/author&gt;&lt;/authors&gt;&lt;/contributors&gt;&lt;titles&gt;&lt;title&gt;An approach to fuel development and qualification&lt;/title&gt;&lt;secondary-title&gt;Journal of Nuclear Materials&lt;/secondary-title&gt;&lt;/titles&gt;&lt;periodical&gt;&lt;full-title&gt;Journal of Nuclear Materials&lt;/full-title&gt;&lt;/periodical&gt;&lt;pages&gt;232-242&lt;/pages&gt;&lt;volume&gt;371&lt;/volume&gt;&lt;number&gt;1&lt;/number&gt;&lt;dates&gt;&lt;year&gt;2007&lt;/year&gt;&lt;pub-dates&gt;&lt;date&gt;2007/09/15/&lt;/date&gt;&lt;/pub-dates&gt;&lt;/dates&gt;&lt;isbn&gt;0022-3115&lt;/isbn&gt;&lt;urls&gt;&lt;related-urls&gt;&lt;url&gt;https://www.sciencedirect.com/science/article/pii/S0022311507007544&lt;/url&gt;&lt;/related-urls&gt;&lt;/urls&gt;&lt;electronic-resource-num&gt;https://doi.org/10.1016/j.jnucmat.2007.05.029&lt;/electronic-resource-num&gt;&lt;/record&gt;&lt;/Cite&gt;&lt;/EndNote&gt;</w:instrText>
      </w:r>
      <w:r>
        <w:fldChar w:fldCharType="separate"/>
      </w:r>
      <w:r>
        <w:rPr>
          <w:noProof/>
        </w:rPr>
        <w:t>[9]</w:t>
      </w:r>
      <w:r>
        <w:fldChar w:fldCharType="end"/>
      </w:r>
      <w:r>
        <w:t xml:space="preserve"> and Accelerated Fuel Qualification </w:t>
      </w:r>
      <w:r>
        <w:fldChar w:fldCharType="begin"/>
      </w:r>
      <w:r>
        <w:instrText xml:space="preserve"> ADDIN EN.CITE &lt;EndNote&gt;&lt;Cite&gt;&lt;Author&gt;Terrani&lt;/Author&gt;&lt;Year&gt;2020&lt;/Year&gt;&lt;RecNum&gt;329&lt;/RecNum&gt;&lt;DisplayText&gt;[10]&lt;/DisplayText&gt;&lt;record&gt;&lt;rec-number&gt;329&lt;/rec-number&gt;&lt;foreign-keys&gt;&lt;key app="EN" db-id="eseee05sfe5vt6efvr0xapvq20vfdsfp5fvf" timestamp="1694799015" guid="2592c69c-465c-42e8-985f-10ae1a4393f8"&gt;329&lt;/key&gt;&lt;/foreign-keys&gt;&lt;ref-type name="Journal Article"&gt;17&lt;/ref-type&gt;&lt;contributors&gt;&lt;authors&gt;&lt;author&gt;Terrani, Kurt A.&lt;/author&gt;&lt;author&gt;Capps, Nathan A.&lt;/author&gt;&lt;author&gt;Kerr, Matthew J.&lt;/author&gt;&lt;author&gt;Back, Christina A.&lt;/author&gt;&lt;author&gt;Nelson, Andrew T.&lt;/author&gt;&lt;author&gt;Wirth, Brian D.&lt;/author&gt;&lt;author&gt;Hayes, Steven L.&lt;/author&gt;&lt;author&gt;Stanek, Chris R.&lt;/author&gt;&lt;/authors&gt;&lt;/contributors&gt;&lt;titles&gt;&lt;title&gt;Accelerating nuclear fuel development and qualification: Modeling and simulation integrated with separate-effects testing&lt;/title&gt;&lt;secondary-title&gt;Journal of Nuclear Materials&lt;/secondary-title&gt;&lt;/titles&gt;&lt;periodical&gt;&lt;full-title&gt;Journal of Nuclear Materials&lt;/full-title&gt;&lt;/periodical&gt;&lt;pages&gt;152267&lt;/pages&gt;&lt;volume&gt;539&lt;/volume&gt;&lt;dates&gt;&lt;year&gt;2020&lt;/year&gt;&lt;pub-dates&gt;&lt;date&gt;2020/10/01/&lt;/date&gt;&lt;/pub-dates&gt;&lt;/dates&gt;&lt;isbn&gt;0022-3115&lt;/isbn&gt;&lt;urls&gt;&lt;related-urls&gt;&lt;url&gt;https://www.sciencedirect.com/science/article/pii/S0022311519316733&lt;/url&gt;&lt;/related-urls&gt;&lt;/urls&gt;&lt;electronic-resource-num&gt;https://doi.org/10.1016/j.jnucmat.2020.152267&lt;/electronic-resource-num&gt;&lt;/record&gt;&lt;/Cite&gt;&lt;/EndNote&gt;</w:instrText>
      </w:r>
      <w:r>
        <w:fldChar w:fldCharType="separate"/>
      </w:r>
      <w:r>
        <w:rPr>
          <w:noProof/>
        </w:rPr>
        <w:t>[10]</w:t>
      </w:r>
      <w:r>
        <w:fldChar w:fldCharType="end"/>
      </w:r>
      <w:r>
        <w:t>.</w:t>
      </w:r>
      <w:bookmarkEnd w:id="13"/>
    </w:p>
    <w:p w14:paraId="52B9E375" w14:textId="00EAB76D" w:rsidR="00813868" w:rsidRDefault="00BF7E17" w:rsidP="006D0555">
      <w:r>
        <w:t xml:space="preserve"> </w:t>
      </w:r>
    </w:p>
    <w:p w14:paraId="5319C99A" w14:textId="77777777" w:rsidR="008C77CD" w:rsidRDefault="008C77CD" w:rsidP="0029535E">
      <w:pPr>
        <w:keepNext/>
        <w:jc w:val="center"/>
        <w:sectPr w:rsidR="008C77CD" w:rsidSect="00A44C41">
          <w:pgSz w:w="15840" w:h="12240" w:orient="landscape" w:code="1"/>
          <w:pgMar w:top="1800" w:right="1872" w:bottom="1800" w:left="1440" w:header="720" w:footer="1440" w:gutter="0"/>
          <w:cols w:space="720"/>
          <w:noEndnote/>
          <w:docGrid w:linePitch="360"/>
        </w:sectPr>
      </w:pPr>
      <w:bookmarkStart w:id="14" w:name="_Toc420995900"/>
      <w:bookmarkStart w:id="15" w:name="_Toc422997487"/>
    </w:p>
    <w:p w14:paraId="0565C196" w14:textId="77777777" w:rsidR="00324644" w:rsidRDefault="00324644" w:rsidP="00F22A75">
      <w:r>
        <w:lastRenderedPageBreak/>
        <w:t>being able to match reality. The process will repeat until a knowledge basis for the fuel form is established which can inform integral testing. Through integral testing, confidence of fuel performance across the full envelope can be established, and the process can proceed to full-scale demonstration for validation and eventual licensing.</w:t>
      </w:r>
    </w:p>
    <w:p w14:paraId="2BC03F21" w14:textId="77777777" w:rsidR="00324644" w:rsidRDefault="00324644" w:rsidP="00F22A75">
      <w:pPr>
        <w:pStyle w:val="Heading3"/>
        <w:spacing w:before="0" w:after="0"/>
      </w:pPr>
      <w:bookmarkStart w:id="16" w:name="_Toc202957444"/>
      <w:r>
        <w:t>Sensitivity and Uncertainty Analysis</w:t>
      </w:r>
      <w:bookmarkEnd w:id="16"/>
    </w:p>
    <w:p w14:paraId="0942B234" w14:textId="77777777" w:rsidR="00324644" w:rsidRDefault="00324644" w:rsidP="00F22A75">
      <w:r>
        <w:t xml:space="preserve">Sensitivity analysis is an analysis method which can give insight on the influence of each model input parameter with respect to each model output </w:t>
      </w:r>
      <w:r>
        <w:fldChar w:fldCharType="begin"/>
      </w:r>
      <w:r>
        <w:instrText xml:space="preserve"> ADDIN EN.CITE &lt;EndNote&gt;&lt;Cite&gt;&lt;Author&gt;Borgonovo&lt;/Author&gt;&lt;Year&gt;2016&lt;/Year&gt;&lt;RecNum&gt;404&lt;/RecNum&gt;&lt;DisplayText&gt;[33]&lt;/DisplayText&gt;&lt;record&gt;&lt;rec-number&gt;404&lt;/rec-number&gt;&lt;foreign-keys&gt;&lt;key app="EN" db-id="eseee05sfe5vt6efvr0xapvq20vfdsfp5fvf" timestamp="1709060580"&gt;404&lt;/key&gt;&lt;/foreign-keys&gt;&lt;ref-type name="Journal Article"&gt;17&lt;/ref-type&gt;&lt;contributors&gt;&lt;authors&gt;&lt;author&gt;Borgonovo, Emanuele&lt;/author&gt;&lt;author&gt;Plischke, Elmar&lt;/author&gt;&lt;/authors&gt;&lt;/contributors&gt;&lt;titles&gt;&lt;title&gt;Sensitivity analysis: A review of recent advances&lt;/title&gt;&lt;secondary-title&gt;European Journal of Operational Research&lt;/secondary-title&gt;&lt;/titles&gt;&lt;periodical&gt;&lt;full-title&gt;European Journal of Operational Research&lt;/full-title&gt;&lt;/periodical&gt;&lt;pages&gt;869-887&lt;/pages&gt;&lt;volume&gt;248&lt;/volume&gt;&lt;number&gt;3&lt;/number&gt;&lt;keywords&gt;&lt;keyword&gt;Sensitivity analysis&lt;/keyword&gt;&lt;keyword&gt;Simulation&lt;/keyword&gt;&lt;keyword&gt;Computer experiments&lt;/keyword&gt;&lt;/keywords&gt;&lt;dates&gt;&lt;year&gt;2016&lt;/year&gt;&lt;pub-dates&gt;&lt;date&gt;2016/02/01/&lt;/date&gt;&lt;/pub-dates&gt;&lt;/dates&gt;&lt;isbn&gt;0377-2217&lt;/isbn&gt;&lt;urls&gt;&lt;related-urls&gt;&lt;url&gt;https://www.sciencedirect.com/science/article/pii/S0377221715005469&lt;/url&gt;&lt;/related-urls&gt;&lt;/urls&gt;&lt;electronic-resource-num&gt;https://doi.org/10.1016/j.ejor.2015.06.032&lt;/electronic-resource-num&gt;&lt;/record&gt;&lt;/Cite&gt;&lt;/EndNote&gt;</w:instrText>
      </w:r>
      <w:r>
        <w:fldChar w:fldCharType="separate"/>
      </w:r>
      <w:r>
        <w:rPr>
          <w:noProof/>
        </w:rPr>
        <w:t>[33]</w:t>
      </w:r>
      <w:r>
        <w:fldChar w:fldCharType="end"/>
      </w:r>
      <w:r>
        <w:t xml:space="preserve">. The advantage of using sensitivity analysis is that it can use existing models and data to determine high impact, high uncertainty parameters in systems that resemble black box functions </w:t>
      </w:r>
      <w:r>
        <w:fldChar w:fldCharType="begin"/>
      </w:r>
      <w:r>
        <w:instrText xml:space="preserve"> ADDIN EN.CITE &lt;EndNote&gt;&lt;Cite&gt;&lt;Author&gt;Fraedrich&lt;/Author&gt;&lt;Year&gt;2000&lt;/Year&gt;&lt;RecNum&gt;416&lt;/RecNum&gt;&lt;DisplayText&gt;[11]&lt;/DisplayText&gt;&lt;record&gt;&lt;rec-number&gt;416&lt;/rec-number&gt;&lt;foreign-keys&gt;&lt;key app="EN" db-id="eseee05sfe5vt6efvr0xapvq20vfdsfp5fvf" timestamp="1709245510"&gt;416&lt;/key&gt;&lt;/foreign-keys&gt;&lt;ref-type name="Journal Article"&gt;17&lt;/ref-type&gt;&lt;contributors&gt;&lt;authors&gt;&lt;author&gt;Fraedrich, D.&lt;/author&gt;&lt;author&gt;Goldberg, A.&lt;/author&gt;&lt;/authors&gt;&lt;/contributors&gt;&lt;titles&gt;&lt;title&gt;A methodological framework for the validation of predictive simulations&lt;/title&gt;&lt;secondary-title&gt;European Journal of Operational Research&lt;/secondary-title&gt;&lt;/titles&gt;&lt;periodical&gt;&lt;full-title&gt;European Journal of Operational Research&lt;/full-title&gt;&lt;/periodical&gt;&lt;pages&gt;55-62&lt;/pages&gt;&lt;volume&gt;124&lt;/volume&gt;&lt;number&gt;1&lt;/number&gt;&lt;keywords&gt;&lt;keyword&gt;Simulation&lt;/keyword&gt;&lt;keyword&gt;Verification and validation&lt;/keyword&gt;&lt;keyword&gt;Design of experiments&lt;/keyword&gt;&lt;keyword&gt;Error analysis&lt;/keyword&gt;&lt;/keywords&gt;&lt;dates&gt;&lt;year&gt;2000&lt;/year&gt;&lt;pub-dates&gt;&lt;date&gt;2000/07/01/&lt;/date&gt;&lt;/pub-dates&gt;&lt;/dates&gt;&lt;isbn&gt;0377-2217&lt;/isbn&gt;&lt;urls&gt;&lt;related-urls&gt;&lt;url&gt;https://www.sciencedirect.com/science/article/pii/S0377221799001174&lt;/url&gt;&lt;/related-urls&gt;&lt;/urls&gt;&lt;electronic-resource-num&gt;https://doi.org/10.1016/S0377-2217(99)00117-4&lt;/electronic-resource-num&gt;&lt;/record&gt;&lt;/Cite&gt;&lt;/EndNote&gt;</w:instrText>
      </w:r>
      <w:r>
        <w:fldChar w:fldCharType="separate"/>
      </w:r>
      <w:r>
        <w:rPr>
          <w:noProof/>
        </w:rPr>
        <w:t>[11]</w:t>
      </w:r>
      <w:r>
        <w:fldChar w:fldCharType="end"/>
      </w:r>
      <w:r>
        <w:t>. As mentioned in the introduction, this is crucial for ensuring that experiments are designed to provide data within the areas of highest model uncertainty within the operating space.</w:t>
      </w:r>
    </w:p>
    <w:p w14:paraId="5EBB26DE" w14:textId="1B23BF24" w:rsidR="00324644" w:rsidRDefault="00324644" w:rsidP="00F22A75">
      <w:r>
        <w:t xml:space="preserve">Although my work is specific to nuclear fuel qualification, the framework for simultaneously designing separate effects tests and improving modeling and simulation capabilities can be applied to any system through the use of sensitivity analysis. This approach has been presented before by Fraedrich et. al. as a general method for validating predictive models of expensive, highly-coupled experiments </w:t>
      </w:r>
      <w:r>
        <w:fldChar w:fldCharType="begin"/>
      </w:r>
      <w:r>
        <w:instrText xml:space="preserve"> ADDIN EN.CITE &lt;EndNote&gt;&lt;Cite&gt;&lt;Author&gt;Fraedrich&lt;/Author&gt;&lt;Year&gt;2000&lt;/Year&gt;&lt;RecNum&gt;416&lt;/RecNum&gt;&lt;DisplayText&gt;[11]&lt;/DisplayText&gt;&lt;record&gt;&lt;rec-number&gt;416&lt;/rec-number&gt;&lt;foreign-keys&gt;&lt;key app="EN" db-id="eseee05sfe5vt6efvr0xapvq20vfdsfp5fvf" timestamp="1709245510"&gt;416&lt;/key&gt;&lt;/foreign-keys&gt;&lt;ref-type name="Journal Article"&gt;17&lt;/ref-type&gt;&lt;contributors&gt;&lt;authors&gt;&lt;author&gt;Fraedrich, D.&lt;/author&gt;&lt;author&gt;Goldberg, A.&lt;/author&gt;&lt;/authors&gt;&lt;/contributors&gt;&lt;titles&gt;&lt;title&gt;A methodological framework for the validation of predictive simulations&lt;/title&gt;&lt;secondary-title&gt;European Journal of Operational Research&lt;/secondary-title&gt;&lt;/titles&gt;&lt;periodical&gt;&lt;full-title&gt;European Journal of Operational Research&lt;/full-title&gt;&lt;/periodical&gt;&lt;pages&gt;55-62&lt;/pages&gt;&lt;volume&gt;124&lt;/volume&gt;&lt;number&gt;1&lt;/number&gt;&lt;keywords&gt;&lt;keyword&gt;Simulation&lt;/keyword&gt;&lt;keyword&gt;Verification and validation&lt;/keyword&gt;&lt;keyword&gt;Design of experiments&lt;/keyword&gt;&lt;keyword&gt;Error analysis&lt;/keyword&gt;&lt;/keywords&gt;&lt;dates&gt;&lt;year&gt;2000&lt;/year&gt;&lt;pub-dates&gt;&lt;date&gt;2000/07/01/&lt;/date&gt;&lt;/pub-dates&gt;&lt;/dates&gt;&lt;isbn&gt;0377-2217&lt;/isbn&gt;&lt;urls&gt;&lt;related-urls&gt;&lt;url&gt;https://www.sciencedirect.com/science/article/pii/S0377221799001174&lt;/url&gt;&lt;/related-urls&gt;&lt;/urls&gt;&lt;electronic-resource-num&gt;https://doi.org/10.1016/S0377-2217(99)00117-4&lt;/electronic-resource-num&gt;&lt;/record&gt;&lt;/Cite&gt;&lt;/EndNote&gt;</w:instrText>
      </w:r>
      <w:r>
        <w:fldChar w:fldCharType="separate"/>
      </w:r>
      <w:r>
        <w:rPr>
          <w:noProof/>
        </w:rPr>
        <w:t>[11]</w:t>
      </w:r>
      <w:r>
        <w:fldChar w:fldCharType="end"/>
      </w:r>
      <w:r>
        <w:t xml:space="preserve">. A diagram of the generalized approach is shown in </w:t>
      </w:r>
      <w:r w:rsidRPr="00377123">
        <w:rPr>
          <w:b/>
          <w:bCs/>
        </w:rPr>
        <w:fldChar w:fldCharType="begin"/>
      </w:r>
      <w:r w:rsidRPr="00377123">
        <w:rPr>
          <w:b/>
          <w:bCs/>
        </w:rPr>
        <w:instrText xml:space="preserve"> REF _Ref160193959 \h </w:instrText>
      </w:r>
      <w:r>
        <w:rPr>
          <w:b/>
          <w:bCs/>
        </w:rPr>
        <w:instrText xml:space="preserve"> \* MERGEFORMAT </w:instrText>
      </w:r>
      <w:r w:rsidRPr="00377123">
        <w:rPr>
          <w:b/>
          <w:bCs/>
        </w:rPr>
      </w:r>
      <w:r w:rsidRPr="00377123">
        <w:rPr>
          <w:b/>
          <w:bCs/>
        </w:rPr>
        <w:fldChar w:fldCharType="separate"/>
      </w:r>
      <w:r w:rsidR="00BF7E93" w:rsidRPr="00BF7E93">
        <w:rPr>
          <w:b/>
          <w:bCs/>
        </w:rPr>
        <w:t xml:space="preserve">Figure </w:t>
      </w:r>
      <w:r w:rsidR="00BF7E93" w:rsidRPr="00BF7E93">
        <w:rPr>
          <w:b/>
          <w:bCs/>
          <w:noProof/>
        </w:rPr>
        <w:t>2.2</w:t>
      </w:r>
      <w:r w:rsidRPr="00377123">
        <w:rPr>
          <w:b/>
          <w:bCs/>
        </w:rPr>
        <w:fldChar w:fldCharType="end"/>
      </w:r>
      <w:r>
        <w:t xml:space="preserve">. </w:t>
      </w:r>
      <w:r w:rsidR="002B1294">
        <w:t xml:space="preserve">The end-goal of this approach is to develop both a comprehensive database of the experiments considered </w:t>
      </w:r>
      <w:r w:rsidR="00591923">
        <w:t>with</w:t>
      </w:r>
      <w:r w:rsidR="002B1294">
        <w:t xml:space="preserve"> validated predictive models that match reality.</w:t>
      </w:r>
    </w:p>
    <w:p w14:paraId="44D4E832" w14:textId="07D725A2" w:rsidR="00324644" w:rsidRDefault="00324644" w:rsidP="00F22A75">
      <w:r>
        <w:t xml:space="preserve">The approach has been applied across several different fields with varying applications including hydrological analysis of rivers </w:t>
      </w:r>
      <w:r>
        <w:fldChar w:fldCharType="begin"/>
      </w:r>
      <w:r>
        <w:instrText xml:space="preserve"> ADDIN EN.CITE &lt;EndNote&gt;&lt;Cite&gt;&lt;Author&gt;Borgonovo&lt;/Author&gt;&lt;Year&gt;2017&lt;/Year&gt;&lt;RecNum&gt;401&lt;/RecNum&gt;&lt;DisplayText&gt;[16]&lt;/DisplayText&gt;&lt;record&gt;&lt;rec-number&gt;401&lt;/rec-number&gt;&lt;foreign-keys&gt;&lt;key app="EN" db-id="eseee05sfe5vt6efvr0xapvq20vfdsfp5fvf" timestamp="1708364084"&gt;401&lt;/key&gt;&lt;/foreign-keys&gt;&lt;ref-type name="Journal Article"&gt;17&lt;/ref-type&gt;&lt;contributors&gt;&lt;authors&gt;&lt;author&gt;Borgonovo, E.&lt;/author&gt;&lt;author&gt;Lu, X.&lt;/author&gt;&lt;author&gt;Plischke, E.&lt;/author&gt;&lt;author&gt;Rakovec, O.&lt;/author&gt;&lt;author&gt;Hill, M. C.&lt;/author&gt;&lt;/authors&gt;&lt;/contributors&gt;&lt;titles&gt;&lt;title&gt;Making the most out of a hydrological model data set: Sensitivity analyses to open the model black-box&lt;/title&gt;&lt;secondary-title&gt;Water Resources Research&lt;/secondary-title&gt;&lt;/titles&gt;&lt;periodical&gt;&lt;full-title&gt;Water Resources Research&lt;/full-title&gt;&lt;/periodical&gt;&lt;pages&gt;7933-7950&lt;/pages&gt;&lt;volume&gt;53&lt;/volume&gt;&lt;number&gt;9&lt;/number&gt;&lt;keywords&gt;&lt;keyword&gt;sensitivity analysis&lt;/keyword&gt;&lt;keyword&gt;model parameters&lt;/keyword&gt;&lt;keyword&gt;hydrological model&lt;/keyword&gt;&lt;keyword&gt;uncertainty&lt;/keyword&gt;&lt;/keywords&gt;&lt;dates&gt;&lt;year&gt;2017&lt;/year&gt;&lt;pub-dates&gt;&lt;date&gt;2017/09/01&lt;/date&gt;&lt;/pub-dates&gt;&lt;/dates&gt;&lt;publisher&gt;John Wiley &amp;amp; Sons, Ltd&lt;/publisher&gt;&lt;isbn&gt;0043-1397&lt;/isbn&gt;&lt;urls&gt;&lt;related-urls&gt;&lt;url&gt;https://doi.org/10.1002/2017WR020767&lt;/url&gt;&lt;/related-urls&gt;&lt;/urls&gt;&lt;electronic-resource-num&gt;https://doi.org/10.1002/2017WR020767&lt;/electronic-resource-num&gt;&lt;access-date&gt;2024/02/19&lt;/access-date&gt;&lt;/record&gt;&lt;/Cite&gt;&lt;/EndNote&gt;</w:instrText>
      </w:r>
      <w:r>
        <w:fldChar w:fldCharType="separate"/>
      </w:r>
      <w:r>
        <w:rPr>
          <w:noProof/>
        </w:rPr>
        <w:t>[16]</w:t>
      </w:r>
      <w:r>
        <w:fldChar w:fldCharType="end"/>
      </w:r>
      <w:r>
        <w:t xml:space="preserve">, optimization of chemical plant operation </w:t>
      </w:r>
    </w:p>
    <w:p w14:paraId="494C3407" w14:textId="0847D275" w:rsidR="00324644" w:rsidRDefault="00324644" w:rsidP="00324644">
      <w:r>
        <w:rPr>
          <w:noProof/>
        </w:rPr>
        <w:lastRenderedPageBreak/>
        <w:drawing>
          <wp:inline distT="0" distB="0" distL="0" distR="0" wp14:anchorId="46617F89" wp14:editId="25668AFB">
            <wp:extent cx="4024207" cy="4749884"/>
            <wp:effectExtent l="0" t="0" r="1905" b="0"/>
            <wp:docPr id="1" name="Picture 1" descr="A diagram of a mode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diagram of a model&#10;&#10;AI-generated content may be incorrect."/>
                    <pic:cNvPicPr/>
                  </pic:nvPicPr>
                  <pic:blipFill>
                    <a:blip r:embed="rId13">
                      <a:extLst>
                        <a:ext uri="{28A0092B-C50C-407E-A947-70E740481C1C}">
                          <a14:useLocalDpi xmlns:a14="http://schemas.microsoft.com/office/drawing/2010/main" val="0"/>
                        </a:ext>
                      </a:extLst>
                    </a:blip>
                    <a:stretch>
                      <a:fillRect/>
                    </a:stretch>
                  </pic:blipFill>
                  <pic:spPr>
                    <a:xfrm>
                      <a:off x="0" y="0"/>
                      <a:ext cx="4046228" cy="4775876"/>
                    </a:xfrm>
                    <a:prstGeom prst="rect">
                      <a:avLst/>
                    </a:prstGeom>
                  </pic:spPr>
                </pic:pic>
              </a:graphicData>
            </a:graphic>
          </wp:inline>
        </w:drawing>
      </w:r>
    </w:p>
    <w:p w14:paraId="47F1EC62" w14:textId="0C168D38" w:rsidR="00324644" w:rsidRDefault="00324644" w:rsidP="00874CBB">
      <w:pPr>
        <w:pStyle w:val="Caption"/>
      </w:pPr>
      <w:bookmarkStart w:id="17" w:name="_Ref160193959"/>
      <w:bookmarkStart w:id="18" w:name="_Toc202957535"/>
      <w:r>
        <w:t xml:space="preserve">Figure </w:t>
      </w:r>
      <w:fldSimple w:instr=" STYLEREF 1 \s ">
        <w:r w:rsidR="00BF7E93">
          <w:rPr>
            <w:noProof/>
          </w:rPr>
          <w:t>2</w:t>
        </w:r>
      </w:fldSimple>
      <w:r>
        <w:t>.</w:t>
      </w:r>
      <w:fldSimple w:instr=" SEQ Figure \* ARABIC \s 1 ">
        <w:r w:rsidR="00BF7E93">
          <w:rPr>
            <w:noProof/>
          </w:rPr>
          <w:t>2</w:t>
        </w:r>
      </w:fldSimple>
      <w:bookmarkEnd w:id="17"/>
      <w:r>
        <w:t xml:space="preserve">. General Approach to Iterative Improvement of Predictive Modeling Adapted from </w:t>
      </w:r>
      <w:r>
        <w:fldChar w:fldCharType="begin"/>
      </w:r>
      <w:r>
        <w:instrText xml:space="preserve"> ADDIN EN.CITE &lt;EndNote&gt;&lt;Cite&gt;&lt;Author&gt;Fraedrich&lt;/Author&gt;&lt;Year&gt;2000&lt;/Year&gt;&lt;RecNum&gt;416&lt;/RecNum&gt;&lt;DisplayText&gt;[11]&lt;/DisplayText&gt;&lt;record&gt;&lt;rec-number&gt;416&lt;/rec-number&gt;&lt;foreign-keys&gt;&lt;key app="EN" db-id="eseee05sfe5vt6efvr0xapvq20vfdsfp5fvf" timestamp="1709245510"&gt;416&lt;/key&gt;&lt;/foreign-keys&gt;&lt;ref-type name="Journal Article"&gt;17&lt;/ref-type&gt;&lt;contributors&gt;&lt;authors&gt;&lt;author&gt;Fraedrich, D.&lt;/author&gt;&lt;author&gt;Goldberg, A.&lt;/author&gt;&lt;/authors&gt;&lt;/contributors&gt;&lt;titles&gt;&lt;title&gt;A methodological framework for the validation of predictive simulations&lt;/title&gt;&lt;secondary-title&gt;European Journal of Operational Research&lt;/secondary-title&gt;&lt;/titles&gt;&lt;periodical&gt;&lt;full-title&gt;European Journal of Operational Research&lt;/full-title&gt;&lt;/periodical&gt;&lt;pages&gt;55-62&lt;/pages&gt;&lt;volume&gt;124&lt;/volume&gt;&lt;number&gt;1&lt;/number&gt;&lt;keywords&gt;&lt;keyword&gt;Simulation&lt;/keyword&gt;&lt;keyword&gt;Verification and validation&lt;/keyword&gt;&lt;keyword&gt;Design of experiments&lt;/keyword&gt;&lt;keyword&gt;Error analysis&lt;/keyword&gt;&lt;/keywords&gt;&lt;dates&gt;&lt;year&gt;2000&lt;/year&gt;&lt;pub-dates&gt;&lt;date&gt;2000/07/01/&lt;/date&gt;&lt;/pub-dates&gt;&lt;/dates&gt;&lt;isbn&gt;0377-2217&lt;/isbn&gt;&lt;urls&gt;&lt;related-urls&gt;&lt;url&gt;https://www.sciencedirect.com/science/article/pii/S0377221799001174&lt;/url&gt;&lt;/related-urls&gt;&lt;/urls&gt;&lt;electronic-resource-num&gt;https://doi.org/10.1016/S0377-2217(99)00117-4&lt;/electronic-resource-num&gt;&lt;/record&gt;&lt;/Cite&gt;&lt;/EndNote&gt;</w:instrText>
      </w:r>
      <w:r>
        <w:fldChar w:fldCharType="separate"/>
      </w:r>
      <w:r>
        <w:rPr>
          <w:noProof/>
        </w:rPr>
        <w:t>[11]</w:t>
      </w:r>
      <w:r>
        <w:fldChar w:fldCharType="end"/>
      </w:r>
      <w:r>
        <w:t>.</w:t>
      </w:r>
      <w:bookmarkEnd w:id="18"/>
    </w:p>
    <w:p w14:paraId="2706358F" w14:textId="77777777" w:rsidR="00324644" w:rsidRDefault="00324644" w:rsidP="00324644">
      <w:r>
        <w:br w:type="page"/>
      </w:r>
    </w:p>
    <w:p w14:paraId="4CCEF268" w14:textId="6EDD5B89" w:rsidR="00324644" w:rsidRDefault="00F81A0F" w:rsidP="00F22A75">
      <w:r>
        <w:lastRenderedPageBreak/>
        <w:fldChar w:fldCharType="begin"/>
      </w:r>
      <w:r>
        <w:instrText xml:space="preserve"> ADDIN EN.CITE &lt;EndNote&gt;&lt;Cite&gt;&lt;Author&gt;Banerjee&lt;/Author&gt;&lt;Year&gt;2002&lt;/Year&gt;&lt;RecNum&gt;403&lt;/RecNum&gt;&lt;DisplayText&gt;[15]&lt;/DisplayText&gt;&lt;record&gt;&lt;rec-number&gt;403&lt;/rec-number&gt;&lt;foreign-keys&gt;&lt;key app="EN" db-id="eseee05sfe5vt6efvr0xapvq20vfdsfp5fvf" timestamp="1708364563"&gt;403&lt;/key&gt;&lt;/foreign-keys&gt;&lt;ref-type name="Journal Article"&gt;17&lt;/ref-type&gt;&lt;contributors&gt;&lt;authors&gt;&lt;author&gt;Banerjee, Ipsita&lt;/author&gt;&lt;author&gt;Ierapetritou, Marianthi G.&lt;/author&gt;&lt;/authors&gt;&lt;/contributors&gt;&lt;titles&gt;&lt;title&gt;Design Optimization under Parameter Uncertainty for General Black-Box Models&lt;/title&gt;&lt;secondary-title&gt;Industrial &amp;amp; Engineering Chemistry Research&lt;/secondary-title&gt;&lt;/titles&gt;&lt;periodical&gt;&lt;full-title&gt;Industrial &amp;amp; Engineering Chemistry Research&lt;/full-title&gt;&lt;/periodical&gt;&lt;pages&gt;6687-6697&lt;/pages&gt;&lt;volume&gt;41&lt;/volume&gt;&lt;number&gt;26&lt;/number&gt;&lt;dates&gt;&lt;year&gt;2002&lt;/year&gt;&lt;pub-dates&gt;&lt;date&gt;2002/12/01&lt;/date&gt;&lt;/pub-dates&gt;&lt;/dates&gt;&lt;publisher&gt;American Chemical Society&lt;/publisher&gt;&lt;isbn&gt;0888-5885&lt;/isbn&gt;&lt;urls&gt;&lt;related-urls&gt;&lt;url&gt;https://doi.org/10.1021/ie0202726&lt;/url&gt;&lt;/related-urls&gt;&lt;/urls&gt;&lt;electronic-resource-num&gt;10.1021/ie0202726&lt;/electronic-resource-num&gt;&lt;/record&gt;&lt;/Cite&gt;&lt;/EndNote&gt;</w:instrText>
      </w:r>
      <w:r>
        <w:fldChar w:fldCharType="separate"/>
      </w:r>
      <w:r>
        <w:rPr>
          <w:noProof/>
        </w:rPr>
        <w:t>[15]</w:t>
      </w:r>
      <w:r>
        <w:fldChar w:fldCharType="end"/>
      </w:r>
      <w:r>
        <w:t xml:space="preserve">, analyzing operational reliability </w:t>
      </w:r>
      <w:r>
        <w:fldChar w:fldCharType="begin"/>
      </w:r>
      <w:r>
        <w:instrText xml:space="preserve"> ADDIN EN.CITE &lt;EndNote&gt;&lt;Cite&gt;&lt;Author&gt;Lye&lt;/Author&gt;&lt;Year&gt;2022&lt;/Year&gt;&lt;RecNum&gt;402&lt;/RecNum&gt;&lt;DisplayText&gt;[17]&lt;/DisplayText&gt;&lt;record&gt;&lt;rec-number&gt;402&lt;/rec-number&gt;&lt;foreign-keys&gt;&lt;key app="EN" db-id="eseee05sfe5vt6efvr0xapvq20vfdsfp5fvf" timestamp="1708364315"&gt;402&lt;/key&gt;&lt;/foreign-keys&gt;&lt;ref-type name="Journal Article"&gt;17&lt;/ref-type&gt;&lt;contributors&gt;&lt;authors&gt;&lt;author&gt;Lye, Adolphus&lt;/author&gt;&lt;author&gt;Kitahara, Masaru&lt;/author&gt;&lt;author&gt;Broggi, Matteo&lt;/author&gt;&lt;author&gt;Patelli, Edoardo&lt;/author&gt;&lt;/authors&gt;&lt;/contributors&gt;&lt;titles&gt;&lt;title&gt;Robust optimization of a dynamic Black-box system under severe uncertainty: A distribution-free framework&lt;/title&gt;&lt;secondary-title&gt;Mechanical Systems and Signal Processing&lt;/secondary-title&gt;&lt;/titles&gt;&lt;periodical&gt;&lt;full-title&gt;Mechanical Systems and Signal Processing&lt;/full-title&gt;&lt;/periodical&gt;&lt;pages&gt;108522&lt;/pages&gt;&lt;volume&gt;167&lt;/volume&gt;&lt;keywords&gt;&lt;keyword&gt;Uncertainty quantification&lt;/keyword&gt;&lt;keyword&gt;Model class selection&lt;/keyword&gt;&lt;keyword&gt;Sensitivity analysis&lt;/keyword&gt;&lt;keyword&gt;Staircase density function&lt;/keyword&gt;&lt;keyword&gt;Robust optimization&lt;/keyword&gt;&lt;keyword&gt;Non-intrusive imprecise stochastic simulation&lt;/keyword&gt;&lt;/keywords&gt;&lt;dates&gt;&lt;year&gt;2022&lt;/year&gt;&lt;pub-dates&gt;&lt;date&gt;2022/03/15/&lt;/date&gt;&lt;/pub-dates&gt;&lt;/dates&gt;&lt;isbn&gt;0888-3270&lt;/isbn&gt;&lt;urls&gt;&lt;related-urls&gt;&lt;url&gt;https://www.sciencedirect.com/science/article/pii/S0888327021008645&lt;/url&gt;&lt;/related-urls&gt;&lt;/urls&gt;&lt;electronic-resource-num&gt;https://doi.org/10.1016/j.ymssp.2021.108522&lt;/electronic-resource-num&gt;&lt;/record&gt;&lt;/Cite&gt;&lt;/EndNote&gt;</w:instrText>
      </w:r>
      <w:r>
        <w:fldChar w:fldCharType="separate"/>
      </w:r>
      <w:r>
        <w:rPr>
          <w:noProof/>
        </w:rPr>
        <w:t>[17]</w:t>
      </w:r>
      <w:r>
        <w:fldChar w:fldCharType="end"/>
      </w:r>
      <w:r>
        <w:t xml:space="preserve">, and safety analysis of nuclear waste disposal </w:t>
      </w:r>
      <w:r>
        <w:fldChar w:fldCharType="begin"/>
      </w:r>
      <w:r>
        <w:instrText xml:space="preserve"> ADDIN EN.CITE &lt;EndNote&gt;&lt;Cite&gt;&lt;Author&gt;Saltelli&lt;/Author&gt;&lt;Year&gt;1992&lt;/Year&gt;&lt;RecNum&gt;414&lt;/RecNum&gt;&lt;DisplayText&gt;[34]&lt;/DisplayText&gt;&lt;record&gt;&lt;rec-number&gt;414&lt;/rec-number&gt;&lt;foreign-keys&gt;&lt;key app="EN" db-id="eseee05sfe5vt6efvr0xapvq20vfdsfp5fvf" timestamp="1709242557"&gt;414&lt;/key&gt;&lt;/foreign-keys&gt;&lt;ref-type name="Journal Article"&gt;17&lt;/ref-type&gt;&lt;contributors&gt;&lt;authors&gt;&lt;author&gt;Saltelli, A&lt;/author&gt;&lt;author&gt;Homma, T&lt;/author&gt;&lt;/authors&gt;&lt;/contributors&gt;&lt;titles&gt;&lt;title&gt;Sensitivity analysis for model output: performance of black box techniques on three international benchmark exercises&lt;/title&gt;&lt;secondary-title&gt;Computational statistics &amp;amp; data analysis&lt;/secondary-title&gt;&lt;/titles&gt;&lt;periodical&gt;&lt;full-title&gt;Computational statistics &amp;amp; data analysis&lt;/full-title&gt;&lt;/periodical&gt;&lt;pages&gt;73-94&lt;/pages&gt;&lt;volume&gt;13&lt;/volume&gt;&lt;number&gt;1&lt;/number&gt;&lt;dates&gt;&lt;year&gt;1992&lt;/year&gt;&lt;/dates&gt;&lt;isbn&gt;0167-9473&lt;/isbn&gt;&lt;urls&gt;&lt;/urls&gt;&lt;/record&gt;&lt;/Cite&gt;&lt;/EndNote&gt;</w:instrText>
      </w:r>
      <w:r>
        <w:fldChar w:fldCharType="separate"/>
      </w:r>
      <w:r>
        <w:rPr>
          <w:noProof/>
        </w:rPr>
        <w:t>[34]</w:t>
      </w:r>
      <w:r>
        <w:fldChar w:fldCharType="end"/>
      </w:r>
      <w:r>
        <w:t xml:space="preserve">. Sensitivity and uncertainty analysis has even been recommended across several </w:t>
      </w:r>
      <w:r w:rsidR="00324644">
        <w:t xml:space="preserve">organizations including the Environmental Protection Agency </w:t>
      </w:r>
      <w:r w:rsidR="00324644">
        <w:fldChar w:fldCharType="begin"/>
      </w:r>
      <w:r w:rsidR="00324644">
        <w:instrText xml:space="preserve"> ADDIN EN.CITE &lt;EndNote&gt;&lt;Cite&gt;&lt;Author&gt;Gaber&lt;/Author&gt;&lt;Year&gt;2009&lt;/Year&gt;&lt;RecNum&gt;417&lt;/RecNum&gt;&lt;DisplayText&gt;[12]&lt;/DisplayText&gt;&lt;record&gt;&lt;rec-number&gt;417&lt;/rec-number&gt;&lt;foreign-keys&gt;&lt;key app="EN" db-id="eseee05sfe5vt6efvr0xapvq20vfdsfp5fvf" timestamp="1709320194"&gt;417&lt;/key&gt;&lt;/foreign-keys&gt;&lt;ref-type name="Journal Article"&gt;17&lt;/ref-type&gt;&lt;contributors&gt;&lt;authors&gt;&lt;author&gt;Noha Gaber&lt;/author&gt;&lt;author&gt;Gary Foley&lt;/author&gt;&lt;author&gt;Pasky Pascual&lt;/author&gt;&lt;author&gt;Neil Stiber&lt;/author&gt;&lt;author&gt;Elsie Sunderland&lt;/author&gt;&lt;author&gt;Ben Cope&lt;/author&gt;&lt;author&gt;Annett Nold&lt;/author&gt;&lt;author&gt;Zubair Saleem&lt;/author&gt;&lt;/authors&gt;&lt;/contributors&gt;&lt;titles&gt;&lt;title&gt;Guidance on the Development,Evaluation, and Application of Environmental Models&lt;/title&gt;&lt;secondary-title&gt;EPA/100/K-09/003&lt;/secondary-title&gt;&lt;/titles&gt;&lt;periodical&gt;&lt;full-title&gt;EPA/100/K-09/003&lt;/full-title&gt;&lt;/periodical&gt;&lt;pages&gt;19&lt;/pages&gt;&lt;dates&gt;&lt;year&gt;2009&lt;/year&gt;&lt;/dates&gt;&lt;urls&gt;&lt;/urls&gt;&lt;/record&gt;&lt;/Cite&gt;&lt;/EndNote&gt;</w:instrText>
      </w:r>
      <w:r w:rsidR="00324644">
        <w:fldChar w:fldCharType="separate"/>
      </w:r>
      <w:r w:rsidR="00324644">
        <w:rPr>
          <w:noProof/>
        </w:rPr>
        <w:t>[12]</w:t>
      </w:r>
      <w:r w:rsidR="00324644">
        <w:fldChar w:fldCharType="end"/>
      </w:r>
      <w:r w:rsidR="00324644">
        <w:t xml:space="preserve">, National Institute for Health and Care Excellence </w:t>
      </w:r>
      <w:r w:rsidR="00324644">
        <w:fldChar w:fldCharType="begin"/>
      </w:r>
      <w:r w:rsidR="00324644">
        <w:instrText xml:space="preserve"> ADDIN EN.CITE &lt;EndNote&gt;&lt;Cite&gt;&lt;Author&gt;NICE&lt;/Author&gt;&lt;Year&gt;2013&lt;/Year&gt;&lt;RecNum&gt;418&lt;/RecNum&gt;&lt;DisplayText&gt;[13]&lt;/DisplayText&gt;&lt;record&gt;&lt;rec-number&gt;418&lt;/rec-number&gt;&lt;foreign-keys&gt;&lt;key app="EN" db-id="eseee05sfe5vt6efvr0xapvq20vfdsfp5fvf" timestamp="1709320683"&gt;418&lt;/key&gt;&lt;/foreign-keys&gt;&lt;ref-type name="Journal Article"&gt;17&lt;/ref-type&gt;&lt;contributors&gt;&lt;authors&gt;&lt;author&gt;NICE&lt;/author&gt;&lt;/authors&gt;&lt;/contributors&gt;&lt;titles&gt;&lt;title&gt;Guide to the methods of technology appraisal 2013&lt;/title&gt;&lt;secondary-title&gt;PMG9&lt;/secondary-title&gt;&lt;/titles&gt;&lt;periodical&gt;&lt;full-title&gt;PMG9&lt;/full-title&gt;&lt;/periodical&gt;&lt;pages&gt;24&lt;/pages&gt;&lt;dates&gt;&lt;year&gt;2013&lt;/year&gt;&lt;/dates&gt;&lt;urls&gt;&lt;/urls&gt;&lt;/record&gt;&lt;/Cite&gt;&lt;/EndNote&gt;</w:instrText>
      </w:r>
      <w:r w:rsidR="00324644">
        <w:fldChar w:fldCharType="separate"/>
      </w:r>
      <w:r w:rsidR="00324644">
        <w:rPr>
          <w:noProof/>
        </w:rPr>
        <w:t>[13]</w:t>
      </w:r>
      <w:r w:rsidR="00324644">
        <w:fldChar w:fldCharType="end"/>
      </w:r>
      <w:r w:rsidR="00324644">
        <w:t xml:space="preserve">, and the NRC </w:t>
      </w:r>
      <w:r w:rsidR="00324644">
        <w:fldChar w:fldCharType="begin"/>
      </w:r>
      <w:r w:rsidR="00324644">
        <w:instrText xml:space="preserve"> ADDIN EN.CITE &lt;EndNote&gt;&lt;Cite&gt;&lt;Author&gt;Gilbertson&lt;/Author&gt;&lt;Year&gt;2018&lt;/Year&gt;&lt;RecNum&gt;419&lt;/RecNum&gt;&lt;DisplayText&gt;[14]&lt;/DisplayText&gt;&lt;record&gt;&lt;rec-number&gt;419&lt;/rec-number&gt;&lt;foreign-keys&gt;&lt;key app="EN" db-id="eseee05sfe5vt6efvr0xapvq20vfdsfp5fvf" timestamp="1709321177"&gt;419&lt;/key&gt;&lt;/foreign-keys&gt;&lt;ref-type name="Journal Article"&gt;17&lt;/ref-type&gt;&lt;contributors&gt;&lt;authors&gt;&lt;author&gt;Anders Gilbertson&lt;/author&gt;&lt;/authors&gt;&lt;/contributors&gt;&lt;titles&gt;&lt;title&gt;An Approach for Using Probabilistic Risk Assessment in Risk-Informed Decisions on Plant-Specific Changes to The Licensing Basis&lt;/title&gt;&lt;secondary-title&gt;Regulatory Guide 1.174&lt;/secondary-title&gt;&lt;/titles&gt;&lt;periodical&gt;&lt;full-title&gt;REGULATORY GUIDE 1.174&lt;/full-title&gt;&lt;/periodical&gt;&lt;volume&gt;Revision 3&lt;/volume&gt;&lt;dates&gt;&lt;year&gt;2018&lt;/year&gt;&lt;/dates&gt;&lt;urls&gt;&lt;/urls&gt;&lt;/record&gt;&lt;/Cite&gt;&lt;/EndNote&gt;</w:instrText>
      </w:r>
      <w:r w:rsidR="00324644">
        <w:fldChar w:fldCharType="separate"/>
      </w:r>
      <w:r w:rsidR="00324644">
        <w:rPr>
          <w:noProof/>
        </w:rPr>
        <w:t>[14]</w:t>
      </w:r>
      <w:r w:rsidR="00324644">
        <w:fldChar w:fldCharType="end"/>
      </w:r>
      <w:r w:rsidR="00324644">
        <w:t xml:space="preserve"> as a way to ensure best modeling practice </w:t>
      </w:r>
      <w:r w:rsidR="00324644">
        <w:fldChar w:fldCharType="begin"/>
      </w:r>
      <w:r w:rsidR="00324644">
        <w:instrText xml:space="preserve"> ADDIN EN.CITE &lt;EndNote&gt;&lt;Cite&gt;&lt;Author&gt;Borgonovo&lt;/Author&gt;&lt;Year&gt;2016&lt;/Year&gt;&lt;RecNum&gt;404&lt;/RecNum&gt;&lt;DisplayText&gt;[33]&lt;/DisplayText&gt;&lt;record&gt;&lt;rec-number&gt;404&lt;/rec-number&gt;&lt;foreign-keys&gt;&lt;key app="EN" db-id="eseee05sfe5vt6efvr0xapvq20vfdsfp5fvf" timestamp="1709060580"&gt;404&lt;/key&gt;&lt;/foreign-keys&gt;&lt;ref-type name="Journal Article"&gt;17&lt;/ref-type&gt;&lt;contributors&gt;&lt;authors&gt;&lt;author&gt;Borgonovo, Emanuele&lt;/author&gt;&lt;author&gt;Plischke, Elmar&lt;/author&gt;&lt;/authors&gt;&lt;/contributors&gt;&lt;titles&gt;&lt;title&gt;Sensitivity analysis: A review of recent advances&lt;/title&gt;&lt;secondary-title&gt;European Journal of Operational Research&lt;/secondary-title&gt;&lt;/titles&gt;&lt;periodical&gt;&lt;full-title&gt;European Journal of Operational Research&lt;/full-title&gt;&lt;/periodical&gt;&lt;pages&gt;869-887&lt;/pages&gt;&lt;volume&gt;248&lt;/volume&gt;&lt;number&gt;3&lt;/number&gt;&lt;keywords&gt;&lt;keyword&gt;Sensitivity analysis&lt;/keyword&gt;&lt;keyword&gt;Simulation&lt;/keyword&gt;&lt;keyword&gt;Computer experiments&lt;/keyword&gt;&lt;/keywords&gt;&lt;dates&gt;&lt;year&gt;2016&lt;/year&gt;&lt;pub-dates&gt;&lt;date&gt;2016/02/01/&lt;/date&gt;&lt;/pub-dates&gt;&lt;/dates&gt;&lt;isbn&gt;0377-2217&lt;/isbn&gt;&lt;urls&gt;&lt;related-urls&gt;&lt;url&gt;https://www.sciencedirect.com/science/article/pii/S0377221715005469&lt;/url&gt;&lt;/related-urls&gt;&lt;/urls&gt;&lt;electronic-resource-num&gt;https://doi.org/10.1016/j.ejor.2015.06.032&lt;/electronic-resource-num&gt;&lt;/record&gt;&lt;/Cite&gt;&lt;/EndNote&gt;</w:instrText>
      </w:r>
      <w:r w:rsidR="00324644">
        <w:fldChar w:fldCharType="separate"/>
      </w:r>
      <w:r w:rsidR="00324644">
        <w:rPr>
          <w:noProof/>
        </w:rPr>
        <w:t>[33]</w:t>
      </w:r>
      <w:r w:rsidR="00324644">
        <w:fldChar w:fldCharType="end"/>
      </w:r>
      <w:r w:rsidR="00324644">
        <w:t>. Across each field of study, the one common factor that necessitates this approach is the cost and expense of performing experiments.</w:t>
      </w:r>
    </w:p>
    <w:p w14:paraId="3A365EDE" w14:textId="77777777" w:rsidR="00324644" w:rsidRPr="00083610" w:rsidRDefault="00324644" w:rsidP="00F22A75">
      <w:r>
        <w:t xml:space="preserve">A recent review of sensitivity analysis methods describes the different types of methods and how to use them effectively </w:t>
      </w:r>
      <w:r>
        <w:fldChar w:fldCharType="begin"/>
      </w:r>
      <w:r>
        <w:instrText xml:space="preserve"> ADDIN EN.CITE &lt;EndNote&gt;&lt;Cite&gt;&lt;Author&gt;Borgonovo&lt;/Author&gt;&lt;Year&gt;2016&lt;/Year&gt;&lt;RecNum&gt;404&lt;/RecNum&gt;&lt;DisplayText&gt;[33]&lt;/DisplayText&gt;&lt;record&gt;&lt;rec-number&gt;404&lt;/rec-number&gt;&lt;foreign-keys&gt;&lt;key app="EN" db-id="eseee05sfe5vt6efvr0xapvq20vfdsfp5fvf" timestamp="1709060580"&gt;404&lt;/key&gt;&lt;/foreign-keys&gt;&lt;ref-type name="Journal Article"&gt;17&lt;/ref-type&gt;&lt;contributors&gt;&lt;authors&gt;&lt;author&gt;Borgonovo, Emanuele&lt;/author&gt;&lt;author&gt;Plischke, Elmar&lt;/author&gt;&lt;/authors&gt;&lt;/contributors&gt;&lt;titles&gt;&lt;title&gt;Sensitivity analysis: A review of recent advances&lt;/title&gt;&lt;secondary-title&gt;European Journal of Operational Research&lt;/secondary-title&gt;&lt;/titles&gt;&lt;periodical&gt;&lt;full-title&gt;European Journal of Operational Research&lt;/full-title&gt;&lt;/periodical&gt;&lt;pages&gt;869-887&lt;/pages&gt;&lt;volume&gt;248&lt;/volume&gt;&lt;number&gt;3&lt;/number&gt;&lt;keywords&gt;&lt;keyword&gt;Sensitivity analysis&lt;/keyword&gt;&lt;keyword&gt;Simulation&lt;/keyword&gt;&lt;keyword&gt;Computer experiments&lt;/keyword&gt;&lt;/keywords&gt;&lt;dates&gt;&lt;year&gt;2016&lt;/year&gt;&lt;pub-dates&gt;&lt;date&gt;2016/02/01/&lt;/date&gt;&lt;/pub-dates&gt;&lt;/dates&gt;&lt;isbn&gt;0377-2217&lt;/isbn&gt;&lt;urls&gt;&lt;related-urls&gt;&lt;url&gt;https://www.sciencedirect.com/science/article/pii/S0377221715005469&lt;/url&gt;&lt;/related-urls&gt;&lt;/urls&gt;&lt;electronic-resource-num&gt;https://doi.org/10.1016/j.ejor.2015.06.032&lt;/electronic-resource-num&gt;&lt;/record&gt;&lt;/Cite&gt;&lt;/EndNote&gt;</w:instrText>
      </w:r>
      <w:r>
        <w:fldChar w:fldCharType="separate"/>
      </w:r>
      <w:r>
        <w:rPr>
          <w:noProof/>
        </w:rPr>
        <w:t>[33]</w:t>
      </w:r>
      <w:r>
        <w:fldChar w:fldCharType="end"/>
      </w:r>
      <w:r>
        <w:t xml:space="preserve">. Within this dissertation, several methods for global sensitivity analysis are discussed including value of information-based, density-based and variance-based analyses </w:t>
      </w:r>
      <w:r>
        <w:fldChar w:fldCharType="begin"/>
      </w:r>
      <w:r>
        <w:instrText xml:space="preserve"> ADDIN EN.CITE &lt;EndNote&gt;&lt;Cite&gt;&lt;Author&gt;Borgonovo&lt;/Author&gt;&lt;Year&gt;2016&lt;/Year&gt;&lt;RecNum&gt;404&lt;/RecNum&gt;&lt;DisplayText&gt;[33]&lt;/DisplayText&gt;&lt;record&gt;&lt;rec-number&gt;404&lt;/rec-number&gt;&lt;foreign-keys&gt;&lt;key app="EN" db-id="eseee05sfe5vt6efvr0xapvq20vfdsfp5fvf" timestamp="1709060580"&gt;404&lt;/key&gt;&lt;/foreign-keys&gt;&lt;ref-type name="Journal Article"&gt;17&lt;/ref-type&gt;&lt;contributors&gt;&lt;authors&gt;&lt;author&gt;Borgonovo, Emanuele&lt;/author&gt;&lt;author&gt;Plischke, Elmar&lt;/author&gt;&lt;/authors&gt;&lt;/contributors&gt;&lt;titles&gt;&lt;title&gt;Sensitivity analysis: A review of recent advances&lt;/title&gt;&lt;secondary-title&gt;European Journal of Operational Research&lt;/secondary-title&gt;&lt;/titles&gt;&lt;periodical&gt;&lt;full-title&gt;European Journal of Operational Research&lt;/full-title&gt;&lt;/periodical&gt;&lt;pages&gt;869-887&lt;/pages&gt;&lt;volume&gt;248&lt;/volume&gt;&lt;number&gt;3&lt;/number&gt;&lt;keywords&gt;&lt;keyword&gt;Sensitivity analysis&lt;/keyword&gt;&lt;keyword&gt;Simulation&lt;/keyword&gt;&lt;keyword&gt;Computer experiments&lt;/keyword&gt;&lt;/keywords&gt;&lt;dates&gt;&lt;year&gt;2016&lt;/year&gt;&lt;pub-dates&gt;&lt;date&gt;2016/02/01/&lt;/date&gt;&lt;/pub-dates&gt;&lt;/dates&gt;&lt;isbn&gt;0377-2217&lt;/isbn&gt;&lt;urls&gt;&lt;related-urls&gt;&lt;url&gt;https://www.sciencedirect.com/science/article/pii/S0377221715005469&lt;/url&gt;&lt;/related-urls&gt;&lt;/urls&gt;&lt;electronic-resource-num&gt;https://doi.org/10.1016/j.ejor.2015.06.032&lt;/electronic-resource-num&gt;&lt;/record&gt;&lt;/Cite&gt;&lt;/EndNote&gt;</w:instrText>
      </w:r>
      <w:r>
        <w:fldChar w:fldCharType="separate"/>
      </w:r>
      <w:r>
        <w:rPr>
          <w:noProof/>
        </w:rPr>
        <w:t>[33]</w:t>
      </w:r>
      <w:r>
        <w:fldChar w:fldCharType="end"/>
      </w:r>
      <w:r>
        <w:t>. The three methods for sensitivity analysis that will be utilized throughout the study are the Morris method for parameter screening, and the Pearson and Sobol sensitivity analysis methods for determining importance ranking.</w:t>
      </w:r>
    </w:p>
    <w:p w14:paraId="52E23161" w14:textId="77777777" w:rsidR="00324644" w:rsidRDefault="00324644" w:rsidP="00F22A75">
      <w:pPr>
        <w:pStyle w:val="Heading3"/>
        <w:spacing w:before="0" w:after="0"/>
      </w:pPr>
      <w:bookmarkStart w:id="19" w:name="_Toc202957445"/>
      <w:r>
        <w:t>Morris Sensitivity Analysis</w:t>
      </w:r>
      <w:bookmarkEnd w:id="19"/>
    </w:p>
    <w:p w14:paraId="70F1C028" w14:textId="69EE7B59" w:rsidR="00324644" w:rsidRDefault="00324644" w:rsidP="00F22A75">
      <w:r>
        <w:t xml:space="preserve">Factor fixing is a process that determines the input parameters of least importance across a given sample space </w:t>
      </w:r>
      <w:r>
        <w:fldChar w:fldCharType="begin"/>
      </w:r>
      <w:r>
        <w:instrText xml:space="preserve"> ADDIN EN.CITE &lt;EndNote&gt;&lt;Cite&gt;&lt;Author&gt;Borgonovo&lt;/Author&gt;&lt;Year&gt;2016&lt;/Year&gt;&lt;RecNum&gt;404&lt;/RecNum&gt;&lt;DisplayText&gt;[33]&lt;/DisplayText&gt;&lt;record&gt;&lt;rec-number&gt;404&lt;/rec-number&gt;&lt;foreign-keys&gt;&lt;key app="EN" db-id="eseee05sfe5vt6efvr0xapvq20vfdsfp5fvf" timestamp="1709060580"&gt;404&lt;/key&gt;&lt;/foreign-keys&gt;&lt;ref-type name="Journal Article"&gt;17&lt;/ref-type&gt;&lt;contributors&gt;&lt;authors&gt;&lt;author&gt;Borgonovo, Emanuele&lt;/author&gt;&lt;author&gt;Plischke, Elmar&lt;/author&gt;&lt;/authors&gt;&lt;/contributors&gt;&lt;titles&gt;&lt;title&gt;Sensitivity analysis: A review of recent advances&lt;/title&gt;&lt;secondary-title&gt;European Journal of Operational Research&lt;/secondary-title&gt;&lt;/titles&gt;&lt;periodical&gt;&lt;full-title&gt;European Journal of Operational Research&lt;/full-title&gt;&lt;/periodical&gt;&lt;pages&gt;869-887&lt;/pages&gt;&lt;volume&gt;248&lt;/volume&gt;&lt;number&gt;3&lt;/number&gt;&lt;keywords&gt;&lt;keyword&gt;Sensitivity analysis&lt;/keyword&gt;&lt;keyword&gt;Simulation&lt;/keyword&gt;&lt;keyword&gt;Computer experiments&lt;/keyword&gt;&lt;/keywords&gt;&lt;dates&gt;&lt;year&gt;2016&lt;/year&gt;&lt;pub-dates&gt;&lt;date&gt;2016/02/01/&lt;/date&gt;&lt;/pub-dates&gt;&lt;/dates&gt;&lt;isbn&gt;0377-2217&lt;/isbn&gt;&lt;urls&gt;&lt;related-urls&gt;&lt;url&gt;https://www.sciencedirect.com/science/article/pii/S0377221715005469&lt;/url&gt;&lt;/related-urls&gt;&lt;/urls&gt;&lt;electronic-resource-num&gt;https://doi.org/10.1016/j.ejor.2015.06.032&lt;/electronic-resource-num&gt;&lt;/record&gt;&lt;/Cite&gt;&lt;/EndNote&gt;</w:instrText>
      </w:r>
      <w:r>
        <w:fldChar w:fldCharType="separate"/>
      </w:r>
      <w:r>
        <w:rPr>
          <w:noProof/>
        </w:rPr>
        <w:t>[33]</w:t>
      </w:r>
      <w:r>
        <w:fldChar w:fldCharType="end"/>
      </w:r>
      <w:r>
        <w:t>.</w:t>
      </w:r>
      <w:r w:rsidRPr="00F55094">
        <w:t xml:space="preserve"> </w:t>
      </w:r>
      <w:r>
        <w:t xml:space="preserve">By determining the inputs of least influence towards provided </w:t>
      </w:r>
    </w:p>
    <w:p w14:paraId="57FCA303" w14:textId="040C8FB5" w:rsidR="00300718" w:rsidRDefault="00F55094" w:rsidP="00F22A75">
      <w:r>
        <w:t xml:space="preserve">outputs of interest, it provides justification for the inputs to be fixed throughout the sample space. </w:t>
      </w:r>
      <w:r w:rsidR="00EA226A">
        <w:t xml:space="preserve">This will be done using a screening method developed </w:t>
      </w:r>
      <w:r w:rsidR="00493E5A">
        <w:t>b</w:t>
      </w:r>
      <w:r w:rsidR="00EA226A">
        <w:t xml:space="preserve">y Morris </w:t>
      </w:r>
      <w:r w:rsidR="00EA226A">
        <w:fldChar w:fldCharType="begin"/>
      </w:r>
      <w:r w:rsidR="001457CB">
        <w:instrText xml:space="preserve"> ADDIN EN.CITE &lt;EndNote&gt;&lt;Cite&gt;&lt;Author&gt;Morris&lt;/Author&gt;&lt;Year&gt;1991&lt;/Year&gt;&lt;RecNum&gt;405&lt;/RecNum&gt;&lt;DisplayText&gt;[35]&lt;/DisplayText&gt;&lt;record&gt;&lt;rec-number&gt;405&lt;/rec-number&gt;&lt;foreign-keys&gt;&lt;key app="EN" db-id="eseee05sfe5vt6efvr0xapvq20vfdsfp5fvf" timestamp="1709061718"&gt;405&lt;/key&gt;&lt;/foreign-keys&gt;&lt;ref-type name="Journal Article"&gt;17&lt;/ref-type&gt;&lt;contributors&gt;&lt;authors&gt;&lt;author&gt;Morris, Max D.&lt;/author&gt;&lt;/authors&gt;&lt;/contributors&gt;&lt;titles&gt;&lt;title&gt;Factorial Sampling Plans for Preliminary Computational Experiments&lt;/title&gt;&lt;secondary-title&gt;Technometrics&lt;/secondary-title&gt;&lt;/titles&gt;&lt;periodical&gt;&lt;full-title&gt;Technometrics&lt;/full-title&gt;&lt;/periodical&gt;&lt;pages&gt;161-174&lt;/pages&gt;&lt;volume&gt;33&lt;/volume&gt;&lt;number&gt;2&lt;/number&gt;&lt;dates&gt;&lt;year&gt;1991&lt;/year&gt;&lt;pub-dates&gt;&lt;date&gt;1991/05/01&lt;/date&gt;&lt;/pub-dates&gt;&lt;/dates&gt;&lt;publisher&gt;Taylor &amp;amp; Francis&lt;/publisher&gt;&lt;isbn&gt;0040-1706&lt;/isbn&gt;&lt;urls&gt;&lt;related-urls&gt;&lt;url&gt;https://www.tandfonline.com/doi/abs/10.1080/00401706.1991.10484804&lt;/url&gt;&lt;/related-urls&gt;&lt;/urls&gt;&lt;electronic-resource-num&gt;10.1080/00401706.1991.10484804&lt;/electronic-resource-num&gt;&lt;/record&gt;&lt;/Cite&gt;&lt;/EndNote&gt;</w:instrText>
      </w:r>
      <w:r w:rsidR="00EA226A">
        <w:fldChar w:fldCharType="separate"/>
      </w:r>
      <w:r w:rsidR="001457CB">
        <w:rPr>
          <w:noProof/>
        </w:rPr>
        <w:t>[35]</w:t>
      </w:r>
      <w:r w:rsidR="00EA226A">
        <w:fldChar w:fldCharType="end"/>
      </w:r>
      <w:r w:rsidR="00EA226A">
        <w:t>. Th</w:t>
      </w:r>
      <w:r w:rsidR="00045BC9">
        <w:t>e</w:t>
      </w:r>
      <w:r w:rsidR="00EA226A">
        <w:t xml:space="preserve"> </w:t>
      </w:r>
      <w:r w:rsidR="00793E5D">
        <w:t xml:space="preserve">basis behind the Morris </w:t>
      </w:r>
      <w:r w:rsidR="00F770E6">
        <w:t xml:space="preserve">algorithm </w:t>
      </w:r>
      <w:r w:rsidR="00793E5D">
        <w:t xml:space="preserve">is the </w:t>
      </w:r>
      <w:r w:rsidR="00F770E6">
        <w:t>develop</w:t>
      </w:r>
      <w:r w:rsidR="00793E5D">
        <w:t xml:space="preserve">ment of an independent sample space of “elementary effects” for each input variable, x </w:t>
      </w:r>
      <w:r w:rsidR="00793E5D">
        <w:fldChar w:fldCharType="begin"/>
      </w:r>
      <w:r w:rsidR="001457CB">
        <w:instrText xml:space="preserve"> ADDIN EN.CITE &lt;EndNote&gt;&lt;Cite&gt;&lt;Author&gt;Morris&lt;/Author&gt;&lt;Year&gt;1991&lt;/Year&gt;&lt;RecNum&gt;405&lt;/RecNum&gt;&lt;DisplayText&gt;[35]&lt;/DisplayText&gt;&lt;record&gt;&lt;rec-number&gt;405&lt;/rec-number&gt;&lt;foreign-keys&gt;&lt;key app="EN" db-id="eseee05sfe5vt6efvr0xapvq20vfdsfp5fvf" timestamp="1709061718"&gt;405&lt;/key&gt;&lt;/foreign-keys&gt;&lt;ref-type name="Journal Article"&gt;17&lt;/ref-type&gt;&lt;contributors&gt;&lt;authors&gt;&lt;author&gt;Morris, Max D.&lt;/author&gt;&lt;/authors&gt;&lt;/contributors&gt;&lt;titles&gt;&lt;title&gt;Factorial Sampling Plans for Preliminary Computational Experiments&lt;/title&gt;&lt;secondary-title&gt;Technometrics&lt;/secondary-title&gt;&lt;/titles&gt;&lt;periodical&gt;&lt;full-title&gt;Technometrics&lt;/full-title&gt;&lt;/periodical&gt;&lt;pages&gt;161-174&lt;/pages&gt;&lt;volume&gt;33&lt;/volume&gt;&lt;number&gt;2&lt;/number&gt;&lt;dates&gt;&lt;year&gt;1991&lt;/year&gt;&lt;pub-dates&gt;&lt;date&gt;1991/05/01&lt;/date&gt;&lt;/pub-dates&gt;&lt;/dates&gt;&lt;publisher&gt;Taylor &amp;amp; Francis&lt;/publisher&gt;&lt;isbn&gt;0040-1706&lt;/isbn&gt;&lt;urls&gt;&lt;related-urls&gt;&lt;url&gt;https://www.tandfonline.com/doi/abs/10.1080/00401706.1991.10484804&lt;/url&gt;&lt;/related-urls&gt;&lt;/urls&gt;&lt;electronic-resource-num&gt;10.1080/00401706.1991.10484804&lt;/electronic-resource-num&gt;&lt;/record&gt;&lt;/Cite&gt;&lt;/EndNote&gt;</w:instrText>
      </w:r>
      <w:r w:rsidR="00793E5D">
        <w:fldChar w:fldCharType="separate"/>
      </w:r>
      <w:r w:rsidR="001457CB">
        <w:rPr>
          <w:noProof/>
        </w:rPr>
        <w:t>[35]</w:t>
      </w:r>
      <w:r w:rsidR="00793E5D">
        <w:fldChar w:fldCharType="end"/>
      </w:r>
      <w:r w:rsidR="00793E5D">
        <w:t>. If we assume that an output variable, y, is a function of k input variables, such that</w:t>
      </w:r>
    </w:p>
    <w:tbl>
      <w:tblPr>
        <w:tblStyle w:val="TableGrid"/>
        <w:tblW w:w="86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0"/>
        <w:gridCol w:w="7451"/>
        <w:gridCol w:w="561"/>
      </w:tblGrid>
      <w:tr w:rsidR="00767FDD" w:rsidRPr="003B3750" w14:paraId="12B4D782" w14:textId="77777777" w:rsidTr="00694572">
        <w:tc>
          <w:tcPr>
            <w:tcW w:w="590" w:type="dxa"/>
            <w:vAlign w:val="center"/>
          </w:tcPr>
          <w:p w14:paraId="607BDA3E" w14:textId="77777777" w:rsidR="00767FDD" w:rsidRPr="00E1335E" w:rsidRDefault="00767FDD" w:rsidP="00F22A75">
            <w:pPr>
              <w:pStyle w:val="Caption"/>
              <w:spacing w:line="480" w:lineRule="auto"/>
            </w:pPr>
          </w:p>
        </w:tc>
        <w:tc>
          <w:tcPr>
            <w:tcW w:w="7451" w:type="dxa"/>
            <w:vAlign w:val="center"/>
          </w:tcPr>
          <w:p w14:paraId="0A7058B0" w14:textId="655B9166" w:rsidR="00767FDD" w:rsidRPr="003B3750" w:rsidRDefault="00300718" w:rsidP="00F22A75">
            <w:pPr>
              <w:pStyle w:val="Caption"/>
              <w:spacing w:line="480" w:lineRule="auto"/>
            </w:pPr>
            <m:oMathPara>
              <m:oMath>
                <m:r>
                  <w:rPr>
                    <w:rFonts w:ascii="Cambria Math" w:hAnsi="Cambria Math"/>
                  </w:rPr>
                  <m:t>y</m:t>
                </m:r>
                <m:r>
                  <m:rPr>
                    <m:sty m:val="p"/>
                  </m:rPr>
                  <w:rPr>
                    <w:rFonts w:ascii="Cambria Math" w:hAnsi="Cambria Math"/>
                  </w:rPr>
                  <m:t>=</m:t>
                </m:r>
                <m:r>
                  <w:rPr>
                    <w:rFonts w:ascii="Cambria Math" w:hAnsi="Cambria Math"/>
                  </w:rPr>
                  <m:t>f</m:t>
                </m:r>
                <m:d>
                  <m:dPr>
                    <m:ctrlPr>
                      <w:rPr>
                        <w:rFonts w:ascii="Cambria Math" w:hAnsi="Cambria Math"/>
                      </w:rPr>
                    </m:ctrlPr>
                  </m:dPr>
                  <m:e>
                    <m:sSub>
                      <m:sSubPr>
                        <m:ctrlPr>
                          <w:rPr>
                            <w:rFonts w:ascii="Cambria Math" w:hAnsi="Cambria Math"/>
                          </w:rPr>
                        </m:ctrlPr>
                      </m:sSubPr>
                      <m:e>
                        <m:r>
                          <w:rPr>
                            <w:rFonts w:ascii="Cambria Math" w:hAnsi="Cambria Math"/>
                          </w:rPr>
                          <m:t>x</m:t>
                        </m:r>
                      </m:e>
                      <m:sub>
                        <m:r>
                          <w:rPr>
                            <w:rFonts w:ascii="Cambria Math" w:hAnsi="Cambria Math"/>
                          </w:rPr>
                          <m:t>j</m:t>
                        </m:r>
                      </m:sub>
                    </m:sSub>
                  </m:e>
                </m:d>
                <m:r>
                  <m:rPr>
                    <m:sty m:val="p"/>
                  </m:rPr>
                  <w:rPr>
                    <w:rFonts w:ascii="Cambria Math" w:hAnsi="Cambria Math"/>
                  </w:rPr>
                  <m:t xml:space="preserve"> :</m:t>
                </m:r>
                <m:r>
                  <w:rPr>
                    <w:rFonts w:ascii="Cambria Math" w:hAnsi="Cambria Math"/>
                  </w:rPr>
                  <m:t>j</m:t>
                </m:r>
                <m:r>
                  <m:rPr>
                    <m:sty m:val="p"/>
                  </m:rPr>
                  <w:rPr>
                    <w:rFonts w:ascii="Cambria Math" w:hAnsi="Cambria Math"/>
                  </w:rPr>
                  <m:t>=(1,2,3,…,</m:t>
                </m:r>
                <m:r>
                  <w:rPr>
                    <w:rFonts w:ascii="Cambria Math" w:hAnsi="Cambria Math"/>
                  </w:rPr>
                  <m:t>k</m:t>
                </m:r>
                <m:r>
                  <m:rPr>
                    <m:sty m:val="p"/>
                  </m:rPr>
                  <w:rPr>
                    <w:rFonts w:ascii="Cambria Math" w:hAnsi="Cambria Math"/>
                  </w:rPr>
                  <m:t>)</m:t>
                </m:r>
              </m:oMath>
            </m:oMathPara>
          </w:p>
        </w:tc>
        <w:tc>
          <w:tcPr>
            <w:tcW w:w="561" w:type="dxa"/>
            <w:vAlign w:val="center"/>
          </w:tcPr>
          <w:p w14:paraId="13071B73" w14:textId="2B2AB1D1" w:rsidR="00767FDD" w:rsidRPr="00300718" w:rsidRDefault="00BF7E93" w:rsidP="00F22A75">
            <w:pPr>
              <w:pStyle w:val="Caption"/>
              <w:spacing w:line="480" w:lineRule="auto"/>
            </w:pPr>
            <w:fldSimple w:instr=" SEQ Equation \* ARABIC ">
              <w:r>
                <w:rPr>
                  <w:noProof/>
                </w:rPr>
                <w:t>1</w:t>
              </w:r>
            </w:fldSimple>
          </w:p>
        </w:tc>
      </w:tr>
    </w:tbl>
    <w:p w14:paraId="0144F778" w14:textId="0EE81176" w:rsidR="00832ABA" w:rsidRDefault="00793E5D" w:rsidP="00F22A75">
      <w:r>
        <w:t>then we can define the functional influence of some input x</w:t>
      </w:r>
      <w:r>
        <w:rPr>
          <w:vertAlign w:val="subscript"/>
        </w:rPr>
        <w:t>i</w:t>
      </w:r>
      <w:r>
        <w:t xml:space="preserve"> on the output y as </w:t>
      </w:r>
      <w:r w:rsidR="003B3750">
        <w:t xml:space="preserve">the </w:t>
      </w:r>
      <w:r w:rsidR="00332B2E">
        <w:t>differential with respect to input i</w:t>
      </w:r>
      <w:r w:rsidR="003B3750">
        <w:t>:</w:t>
      </w:r>
    </w:p>
    <w:tbl>
      <w:tblPr>
        <w:tblStyle w:val="TableGrid"/>
        <w:tblW w:w="86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0"/>
        <w:gridCol w:w="7451"/>
        <w:gridCol w:w="561"/>
      </w:tblGrid>
      <w:tr w:rsidR="003B3750" w:rsidRPr="00E1335E" w14:paraId="66329C86" w14:textId="77777777" w:rsidTr="00694572">
        <w:tc>
          <w:tcPr>
            <w:tcW w:w="590" w:type="dxa"/>
            <w:vAlign w:val="center"/>
          </w:tcPr>
          <w:p w14:paraId="4F0FBFC5" w14:textId="77777777" w:rsidR="003B3750" w:rsidRPr="00E1335E" w:rsidRDefault="003B3750" w:rsidP="00F22A75">
            <w:pPr>
              <w:pStyle w:val="Caption"/>
              <w:spacing w:line="480" w:lineRule="auto"/>
            </w:pPr>
          </w:p>
        </w:tc>
        <w:tc>
          <w:tcPr>
            <w:tcW w:w="7451" w:type="dxa"/>
            <w:vAlign w:val="center"/>
          </w:tcPr>
          <w:p w14:paraId="2A3CD9B6" w14:textId="093FE316" w:rsidR="003B3750" w:rsidRPr="003B3750" w:rsidRDefault="00000000" w:rsidP="00F22A75">
            <w:pPr>
              <w:pStyle w:val="Caption"/>
              <w:spacing w:line="480" w:lineRule="auto"/>
            </w:pPr>
            <m:oMathPara>
              <m:oMath>
                <m:sSub>
                  <m:sSubPr>
                    <m:ctrlPr>
                      <w:rPr>
                        <w:rFonts w:ascii="Cambria Math" w:hAnsi="Cambria Math"/>
                      </w:rPr>
                    </m:ctrlPr>
                  </m:sSubPr>
                  <m:e>
                    <m:r>
                      <w:rPr>
                        <w:rFonts w:ascii="Cambria Math" w:hAnsi="Cambria Math"/>
                      </w:rPr>
                      <m:t>∂</m:t>
                    </m:r>
                  </m:e>
                  <m:sub>
                    <m:r>
                      <w:rPr>
                        <w:rFonts w:ascii="Cambria Math" w:hAnsi="Cambria Math"/>
                      </w:rPr>
                      <m:t>i</m:t>
                    </m:r>
                  </m:sub>
                </m:sSub>
                <m:d>
                  <m:dPr>
                    <m:ctrlPr>
                      <w:rPr>
                        <w:rFonts w:ascii="Cambria Math" w:hAnsi="Cambria Math"/>
                      </w:rPr>
                    </m:ctrlPr>
                  </m:dPr>
                  <m:e>
                    <m:r>
                      <w:rPr>
                        <w:rFonts w:ascii="Cambria Math" w:hAnsi="Cambria Math"/>
                      </w:rPr>
                      <m:t>x</m:t>
                    </m:r>
                  </m:e>
                </m:d>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m:t>
                        </m:r>
                      </m:e>
                      <m:sub>
                        <m:r>
                          <w:rPr>
                            <w:rFonts w:ascii="Cambria Math" w:hAnsi="Cambria Math"/>
                          </w:rPr>
                          <m:t>y</m:t>
                        </m:r>
                      </m:sub>
                    </m:sSub>
                  </m:num>
                  <m:den>
                    <m:sSub>
                      <m:sSubPr>
                        <m:ctrlPr>
                          <w:rPr>
                            <w:rFonts w:ascii="Cambria Math" w:hAnsi="Cambria Math"/>
                          </w:rPr>
                        </m:ctrlPr>
                      </m:sSubPr>
                      <m:e>
                        <m:r>
                          <w:rPr>
                            <w:rFonts w:ascii="Cambria Math" w:hAnsi="Cambria Math"/>
                          </w:rPr>
                          <m:t>∂</m:t>
                        </m:r>
                      </m:e>
                      <m:sub>
                        <m:sSub>
                          <m:sSubPr>
                            <m:ctrlPr>
                              <w:rPr>
                                <w:rFonts w:ascii="Cambria Math" w:hAnsi="Cambria Math"/>
                              </w:rPr>
                            </m:ctrlPr>
                          </m:sSubPr>
                          <m:e>
                            <m:r>
                              <w:rPr>
                                <w:rFonts w:ascii="Cambria Math" w:hAnsi="Cambria Math"/>
                              </w:rPr>
                              <m:t>x</m:t>
                            </m:r>
                          </m:e>
                          <m:sub>
                            <m:r>
                              <w:rPr>
                                <w:rFonts w:ascii="Cambria Math" w:hAnsi="Cambria Math"/>
                              </w:rPr>
                              <m:t>i</m:t>
                            </m:r>
                          </m:sub>
                        </m:sSub>
                      </m:sub>
                    </m:sSub>
                  </m:den>
                </m:f>
                <m:sSub>
                  <m:sSubPr>
                    <m:ctrlPr>
                      <w:rPr>
                        <w:rFonts w:ascii="Cambria Math" w:hAnsi="Cambria Math"/>
                      </w:rPr>
                    </m:ctrlPr>
                  </m:sSubPr>
                  <m:e>
                    <m:d>
                      <m:dPr>
                        <m:begChr m:val=""/>
                        <m:endChr m:val="|"/>
                        <m:ctrlPr>
                          <w:rPr>
                            <w:rFonts w:ascii="Cambria Math" w:hAnsi="Cambria Math"/>
                          </w:rPr>
                        </m:ctrlPr>
                      </m:dPr>
                      <m:e>
                        <m:r>
                          <m:rPr>
                            <m:sty m:val="p"/>
                          </m:rPr>
                          <w:rPr>
                            <w:rFonts w:ascii="Cambria Math" w:hAnsi="Cambria Math"/>
                          </w:rPr>
                          <m:t>​</m:t>
                        </m:r>
                      </m:e>
                    </m:d>
                  </m:e>
                  <m:sub>
                    <m:r>
                      <w:rPr>
                        <w:rFonts w:ascii="Cambria Math" w:hAnsi="Cambria Math"/>
                      </w:rPr>
                      <m:t>x</m:t>
                    </m:r>
                  </m:sub>
                </m:sSub>
              </m:oMath>
            </m:oMathPara>
          </w:p>
        </w:tc>
        <w:tc>
          <w:tcPr>
            <w:tcW w:w="561" w:type="dxa"/>
            <w:vAlign w:val="center"/>
          </w:tcPr>
          <w:p w14:paraId="7B78D93B" w14:textId="58B8CA10" w:rsidR="003B3750" w:rsidRPr="003B3750" w:rsidRDefault="00BF7E93" w:rsidP="00F22A75">
            <w:pPr>
              <w:pStyle w:val="Caption"/>
              <w:spacing w:line="480" w:lineRule="auto"/>
            </w:pPr>
            <w:fldSimple w:instr=" SEQ Equation \* ARABIC ">
              <w:r>
                <w:rPr>
                  <w:noProof/>
                </w:rPr>
                <w:t>2</w:t>
              </w:r>
            </w:fldSimple>
          </w:p>
        </w:tc>
      </w:tr>
    </w:tbl>
    <w:p w14:paraId="7E0354C7" w14:textId="68BA59CC" w:rsidR="00096CE7" w:rsidRDefault="003B3750" w:rsidP="00F22A75">
      <w:r>
        <w:t>This parameter can</w:t>
      </w:r>
      <w:r w:rsidR="00332B2E">
        <w:t xml:space="preserve"> </w:t>
      </w:r>
      <w:r>
        <w:t>have a value of</w:t>
      </w:r>
      <w:r w:rsidR="00096CE7">
        <w:t xml:space="preserve"> one of the following</w:t>
      </w:r>
      <w:r w:rsidR="00332B2E">
        <w:t xml:space="preserve"> </w:t>
      </w:r>
      <w:r w:rsidR="00332B2E">
        <w:fldChar w:fldCharType="begin"/>
      </w:r>
      <w:r w:rsidR="001457CB">
        <w:instrText xml:space="preserve"> ADDIN EN.CITE &lt;EndNote&gt;&lt;Cite&gt;&lt;Author&gt;Morris&lt;/Author&gt;&lt;Year&gt;1991&lt;/Year&gt;&lt;RecNum&gt;405&lt;/RecNum&gt;&lt;DisplayText&gt;[35]&lt;/DisplayText&gt;&lt;record&gt;&lt;rec-number&gt;405&lt;/rec-number&gt;&lt;foreign-keys&gt;&lt;key app="EN" db-id="eseee05sfe5vt6efvr0xapvq20vfdsfp5fvf" timestamp="1709061718"&gt;405&lt;/key&gt;&lt;/foreign-keys&gt;&lt;ref-type name="Journal Article"&gt;17&lt;/ref-type&gt;&lt;contributors&gt;&lt;authors&gt;&lt;author&gt;Morris, Max D.&lt;/author&gt;&lt;/authors&gt;&lt;/contributors&gt;&lt;titles&gt;&lt;title&gt;Factorial Sampling Plans for Preliminary Computational Experiments&lt;/title&gt;&lt;secondary-title&gt;Technometrics&lt;/secondary-title&gt;&lt;/titles&gt;&lt;periodical&gt;&lt;full-title&gt;Technometrics&lt;/full-title&gt;&lt;/periodical&gt;&lt;pages&gt;161-174&lt;/pages&gt;&lt;volume&gt;33&lt;/volume&gt;&lt;number&gt;2&lt;/number&gt;&lt;dates&gt;&lt;year&gt;1991&lt;/year&gt;&lt;pub-dates&gt;&lt;date&gt;1991/05/01&lt;/date&gt;&lt;/pub-dates&gt;&lt;/dates&gt;&lt;publisher&gt;Taylor &amp;amp; Francis&lt;/publisher&gt;&lt;isbn&gt;0040-1706&lt;/isbn&gt;&lt;urls&gt;&lt;related-urls&gt;&lt;url&gt;https://www.tandfonline.com/doi/abs/10.1080/00401706.1991.10484804&lt;/url&gt;&lt;/related-urls&gt;&lt;/urls&gt;&lt;electronic-resource-num&gt;10.1080/00401706.1991.10484804&lt;/electronic-resource-num&gt;&lt;/record&gt;&lt;/Cite&gt;&lt;/EndNote&gt;</w:instrText>
      </w:r>
      <w:r w:rsidR="00332B2E">
        <w:fldChar w:fldCharType="separate"/>
      </w:r>
      <w:r w:rsidR="001457CB">
        <w:rPr>
          <w:noProof/>
        </w:rPr>
        <w:t>[35]</w:t>
      </w:r>
      <w:r w:rsidR="00332B2E">
        <w:fldChar w:fldCharType="end"/>
      </w:r>
      <w:r w:rsidR="00096CE7">
        <w:t>:</w:t>
      </w:r>
    </w:p>
    <w:p w14:paraId="4600106A" w14:textId="5F774292" w:rsidR="00332B2E" w:rsidRDefault="00332B2E" w:rsidP="00F22A75">
      <w:pPr>
        <w:pStyle w:val="ListParagraph"/>
        <w:numPr>
          <w:ilvl w:val="0"/>
          <w:numId w:val="6"/>
        </w:numPr>
      </w:pPr>
      <w:r>
        <w:t>0</w:t>
      </w:r>
      <w:r w:rsidR="003B3750">
        <w:t>, suggesting negligible influence</w:t>
      </w:r>
    </w:p>
    <w:p w14:paraId="0A8CF454" w14:textId="77777777" w:rsidR="00332B2E" w:rsidRDefault="003B3750" w:rsidP="00F22A75">
      <w:pPr>
        <w:pStyle w:val="ListParagraph"/>
        <w:numPr>
          <w:ilvl w:val="0"/>
          <w:numId w:val="6"/>
        </w:numPr>
      </w:pPr>
      <w:r>
        <w:t>a non-zero constant, suggesting a linear and additive correlation</w:t>
      </w:r>
    </w:p>
    <w:p w14:paraId="411D22E5" w14:textId="0CAEB79A" w:rsidR="00332B2E" w:rsidRDefault="00332B2E" w:rsidP="00F22A75">
      <w:pPr>
        <w:pStyle w:val="ListParagraph"/>
        <w:numPr>
          <w:ilvl w:val="0"/>
          <w:numId w:val="6"/>
        </w:numPr>
      </w:pPr>
      <w:r>
        <w:t>f(</w:t>
      </w:r>
      <w:r w:rsidR="00E367AC">
        <w:t>x</w:t>
      </w:r>
      <w:r w:rsidR="00E367AC" w:rsidRPr="00332B2E">
        <w:rPr>
          <w:vertAlign w:val="subscript"/>
        </w:rPr>
        <w:t>i</w:t>
      </w:r>
      <w:r>
        <w:t>)</w:t>
      </w:r>
      <w:r w:rsidR="00E367AC">
        <w:t>, suggesting a non-linear correlation</w:t>
      </w:r>
    </w:p>
    <w:p w14:paraId="37FD4BB3" w14:textId="7DDA59B4" w:rsidR="00832ABA" w:rsidRDefault="00332B2E" w:rsidP="00F22A75">
      <w:pPr>
        <w:pStyle w:val="ListParagraph"/>
        <w:numPr>
          <w:ilvl w:val="0"/>
          <w:numId w:val="6"/>
        </w:numPr>
      </w:pPr>
      <w:r>
        <w:t>f(</w:t>
      </w:r>
      <w:r w:rsidR="00E367AC">
        <w:t>x</w:t>
      </w:r>
      <w:r>
        <w:rPr>
          <w:vertAlign w:val="subscript"/>
        </w:rPr>
        <w:t>1</w:t>
      </w:r>
      <w:r>
        <w:t>,x</w:t>
      </w:r>
      <w:r>
        <w:rPr>
          <w:vertAlign w:val="subscript"/>
        </w:rPr>
        <w:t>2</w:t>
      </w:r>
      <w:r>
        <w:t>,x</w:t>
      </w:r>
      <w:r>
        <w:rPr>
          <w:vertAlign w:val="subscript"/>
        </w:rPr>
        <w:t>3</w:t>
      </w:r>
      <w:r>
        <w:t>,…,x</w:t>
      </w:r>
      <w:r>
        <w:rPr>
          <w:vertAlign w:val="subscript"/>
        </w:rPr>
        <w:t>j</w:t>
      </w:r>
      <w:r>
        <w:t>)</w:t>
      </w:r>
      <w:r w:rsidR="00E367AC">
        <w:t xml:space="preserve"> such that</w:t>
      </w:r>
      <w:r>
        <w:t xml:space="preserve"> any</w:t>
      </w:r>
      <w:r w:rsidR="00E367AC">
        <w:t xml:space="preserve"> j</w:t>
      </w:r>
      <w:r>
        <w:t xml:space="preserve"> </w:t>
      </w:r>
      <w:r>
        <w:sym w:font="Symbol" w:char="F0B9"/>
      </w:r>
      <w:r w:rsidR="00E367AC">
        <w:t xml:space="preserve"> </w:t>
      </w:r>
      <w:r>
        <w:t>i</w:t>
      </w:r>
      <w:r w:rsidR="00E367AC">
        <w:t>, suggesting a coupled influence with another input</w:t>
      </w:r>
    </w:p>
    <w:p w14:paraId="6A4147AC" w14:textId="4E68E876" w:rsidR="002264A6" w:rsidRDefault="00332B2E" w:rsidP="00F22A75">
      <w:r>
        <w:t xml:space="preserve">The Morris approach takes the differential and evaluates it over a discretized space given by a k </w:t>
      </w:r>
      <w:r>
        <w:sym w:font="Symbol" w:char="F0B4"/>
      </w:r>
      <w:r>
        <w:t xml:space="preserve"> P matrix where P is the number of intervals across the sample distribution of any input</w:t>
      </w:r>
      <w:r w:rsidR="00300718">
        <w:t xml:space="preserve"> where P is any even number greater than 2 </w:t>
      </w:r>
      <w:r w:rsidR="00300718">
        <w:fldChar w:fldCharType="begin"/>
      </w:r>
      <w:r w:rsidR="001457CB">
        <w:instrText xml:space="preserve"> ADDIN EN.CITE &lt;EndNote&gt;&lt;Cite&gt;&lt;Author&gt;Morris&lt;/Author&gt;&lt;Year&gt;1991&lt;/Year&gt;&lt;RecNum&gt;405&lt;/RecNum&gt;&lt;DisplayText&gt;[35]&lt;/DisplayText&gt;&lt;record&gt;&lt;rec-number&gt;405&lt;/rec-number&gt;&lt;foreign-keys&gt;&lt;key app="EN" db-id="eseee05sfe5vt6efvr0xapvq20vfdsfp5fvf" timestamp="1709061718"&gt;405&lt;/key&gt;&lt;/foreign-keys&gt;&lt;ref-type name="Journal Article"&gt;17&lt;/ref-type&gt;&lt;contributors&gt;&lt;authors&gt;&lt;author&gt;Morris, Max D.&lt;/author&gt;&lt;/authors&gt;&lt;/contributors&gt;&lt;titles&gt;&lt;title&gt;Factorial Sampling Plans for Preliminary Computational Experiments&lt;/title&gt;&lt;secondary-title&gt;Technometrics&lt;/secondary-title&gt;&lt;/titles&gt;&lt;periodical&gt;&lt;full-title&gt;Technometrics&lt;/full-title&gt;&lt;/periodical&gt;&lt;pages&gt;161-174&lt;/pages&gt;&lt;volume&gt;33&lt;/volume&gt;&lt;number&gt;2&lt;/number&gt;&lt;dates&gt;&lt;year&gt;1991&lt;/year&gt;&lt;pub-dates&gt;&lt;date&gt;1991/05/01&lt;/date&gt;&lt;/pub-dates&gt;&lt;/dates&gt;&lt;publisher&gt;Taylor &amp;amp; Francis&lt;/publisher&gt;&lt;isbn&gt;0040-1706&lt;/isbn&gt;&lt;urls&gt;&lt;related-urls&gt;&lt;url&gt;https://www.tandfonline.com/doi/abs/10.1080/00401706.1991.10484804&lt;/url&gt;&lt;/related-urls&gt;&lt;/urls&gt;&lt;electronic-resource-num&gt;10.1080/00401706.1991.10484804&lt;/electronic-resource-num&gt;&lt;/record&gt;&lt;/Cite&gt;&lt;/EndNote&gt;</w:instrText>
      </w:r>
      <w:r w:rsidR="00300718">
        <w:fldChar w:fldCharType="separate"/>
      </w:r>
      <w:r w:rsidR="001457CB">
        <w:rPr>
          <w:noProof/>
        </w:rPr>
        <w:t>[35]</w:t>
      </w:r>
      <w:r w:rsidR="00300718">
        <w:fldChar w:fldCharType="end"/>
      </w:r>
      <w:r w:rsidR="00300718">
        <w:t xml:space="preserve">. Using a normalized sample range from 0 to 1, a P-level sample distribution can be defined as [0, 1/(P-1), 2/(P-1), …, 1]. Morris then goes on to describe that when evaluating the differential across a subset of the distribution using the discretization given by P, </w:t>
      </w:r>
      <w:r w:rsidR="00C87374">
        <w:t>we can calculate a subset of the output’s behavior with respect to the input,</w:t>
      </w:r>
      <w:r w:rsidR="00300718">
        <w:t xml:space="preserve"> which is referred to as an “elementary effect” </w:t>
      </w:r>
      <w:r w:rsidR="00300718">
        <w:fldChar w:fldCharType="begin"/>
      </w:r>
      <w:r w:rsidR="001457CB">
        <w:instrText xml:space="preserve"> ADDIN EN.CITE &lt;EndNote&gt;&lt;Cite&gt;&lt;Author&gt;Morris&lt;/Author&gt;&lt;Year&gt;1991&lt;/Year&gt;&lt;RecNum&gt;405&lt;/RecNum&gt;&lt;DisplayText&gt;[35]&lt;/DisplayText&gt;&lt;record&gt;&lt;rec-number&gt;405&lt;/rec-number&gt;&lt;foreign-keys&gt;&lt;key app="EN" db-id="eseee05sfe5vt6efvr0xapvq20vfdsfp5fvf" timestamp="1709061718"&gt;405&lt;/key&gt;&lt;/foreign-keys&gt;&lt;ref-type name="Journal Article"&gt;17&lt;/ref-type&gt;&lt;contributors&gt;&lt;authors&gt;&lt;author&gt;Morris, Max D.&lt;/author&gt;&lt;/authors&gt;&lt;/contributors&gt;&lt;titles&gt;&lt;title&gt;Factorial Sampling Plans for Preliminary Computational Experiments&lt;/title&gt;&lt;secondary-title&gt;Technometrics&lt;/secondary-title&gt;&lt;/titles&gt;&lt;periodical&gt;&lt;full-title&gt;Technometrics&lt;/full-title&gt;&lt;/periodical&gt;&lt;pages&gt;161-174&lt;/pages&gt;&lt;volume&gt;33&lt;/volume&gt;&lt;number&gt;2&lt;/number&gt;&lt;dates&gt;&lt;year&gt;1991&lt;/year&gt;&lt;pub-dates&gt;&lt;date&gt;1991/05/01&lt;/date&gt;&lt;/pub-dates&gt;&lt;/dates&gt;&lt;publisher&gt;Taylor &amp;amp; Francis&lt;/publisher&gt;&lt;isbn&gt;0040-1706&lt;/isbn&gt;&lt;urls&gt;&lt;related-urls&gt;&lt;url&gt;https://www.tandfonline.com/doi/abs/10.1080/00401706.1991.10484804&lt;/url&gt;&lt;/related-urls&gt;&lt;/urls&gt;&lt;electronic-resource-num&gt;10.1080/00401706.1991.10484804&lt;/electronic-resource-num&gt;&lt;/record&gt;&lt;/Cite&gt;&lt;/EndNote&gt;</w:instrText>
      </w:r>
      <w:r w:rsidR="00300718">
        <w:fldChar w:fldCharType="separate"/>
      </w:r>
      <w:r w:rsidR="001457CB">
        <w:rPr>
          <w:noProof/>
        </w:rPr>
        <w:t>[35]</w:t>
      </w:r>
      <w:r w:rsidR="00300718">
        <w:fldChar w:fldCharType="end"/>
      </w:r>
      <w:r w:rsidR="00300718">
        <w:t>.</w:t>
      </w:r>
      <w:r w:rsidR="002264A6">
        <w:t xml:space="preserve"> An elementary effect of the i</w:t>
      </w:r>
      <w:r w:rsidR="002264A6">
        <w:rPr>
          <w:vertAlign w:val="superscript"/>
        </w:rPr>
        <w:t>th</w:t>
      </w:r>
      <w:r w:rsidR="002264A6">
        <w:t xml:space="preserve"> input corresponding to any given value of x is given by the following equation:</w:t>
      </w:r>
      <w:r w:rsidR="00E4010D">
        <w:t xml:space="preserve"> </w:t>
      </w:r>
    </w:p>
    <w:tbl>
      <w:tblPr>
        <w:tblStyle w:val="TableGrid"/>
        <w:tblW w:w="86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0"/>
        <w:gridCol w:w="7451"/>
        <w:gridCol w:w="561"/>
      </w:tblGrid>
      <w:tr w:rsidR="002264A6" w:rsidRPr="003B3750" w14:paraId="16C16331" w14:textId="77777777" w:rsidTr="00694572">
        <w:tc>
          <w:tcPr>
            <w:tcW w:w="590" w:type="dxa"/>
            <w:vAlign w:val="center"/>
          </w:tcPr>
          <w:p w14:paraId="4B7B14D3" w14:textId="77777777" w:rsidR="002264A6" w:rsidRPr="00E1335E" w:rsidRDefault="002264A6" w:rsidP="00F22A75">
            <w:pPr>
              <w:pStyle w:val="Caption"/>
              <w:spacing w:line="480" w:lineRule="auto"/>
            </w:pPr>
          </w:p>
        </w:tc>
        <w:tc>
          <w:tcPr>
            <w:tcW w:w="7451" w:type="dxa"/>
            <w:vAlign w:val="center"/>
          </w:tcPr>
          <w:p w14:paraId="4BDAD179" w14:textId="6CF268ED" w:rsidR="002264A6" w:rsidRPr="003B3750" w:rsidRDefault="00000000" w:rsidP="00F22A75">
            <w:pPr>
              <w:pStyle w:val="Caption"/>
              <w:spacing w:line="480" w:lineRule="auto"/>
            </w:pPr>
            <m:oMathPara>
              <m:oMath>
                <m:sSub>
                  <m:sSubPr>
                    <m:ctrlPr>
                      <w:rPr>
                        <w:rFonts w:ascii="Cambria Math" w:hAnsi="Cambria Math"/>
                      </w:rPr>
                    </m:ctrlPr>
                  </m:sSubPr>
                  <m:e>
                    <m:r>
                      <m:rPr>
                        <m:sty m:val="p"/>
                      </m:rPr>
                      <w:rPr>
                        <w:rFonts w:ascii="Cambria Math" w:hAnsi="Cambria Math"/>
                      </w:rPr>
                      <m:t>d</m:t>
                    </m:r>
                  </m:e>
                  <m:sub>
                    <m:r>
                      <m:rPr>
                        <m:sty m:val="p"/>
                      </m:rPr>
                      <w:rPr>
                        <w:rFonts w:ascii="Cambria Math" w:hAnsi="Cambria Math"/>
                      </w:rPr>
                      <m:t>i</m:t>
                    </m:r>
                  </m:sub>
                </m:sSub>
                <m:r>
                  <m:rPr>
                    <m:sty m:val="p"/>
                  </m:rPr>
                  <w:rPr>
                    <w:rFonts w:ascii="Cambria Math" w:hAnsi="Cambria Math"/>
                  </w:rPr>
                  <m:t>=</m:t>
                </m:r>
                <m:f>
                  <m:fPr>
                    <m:ctrlPr>
                      <w:rPr>
                        <w:rFonts w:ascii="Cambria Math" w:hAnsi="Cambria Math"/>
                      </w:rPr>
                    </m:ctrlPr>
                  </m:fPr>
                  <m:num>
                    <m:d>
                      <m:dPr>
                        <m:begChr m:val="["/>
                        <m:endChr m:val="]"/>
                        <m:ctrlPr>
                          <w:rPr>
                            <w:rFonts w:ascii="Cambria Math" w:hAnsi="Cambria Math"/>
                          </w:rPr>
                        </m:ctrlPr>
                      </m:dPr>
                      <m:e>
                        <m:r>
                          <w:rPr>
                            <w:rFonts w:ascii="Cambria Math" w:hAnsi="Cambria Math"/>
                          </w:rPr>
                          <m:t>y</m:t>
                        </m:r>
                        <m:d>
                          <m:dPr>
                            <m:ctrlPr>
                              <w:rPr>
                                <w:rFonts w:ascii="Cambria Math" w:hAnsi="Cambria Math"/>
                              </w:rPr>
                            </m:ctrlPr>
                          </m:dPr>
                          <m:e>
                            <m:sSub>
                              <m:sSubPr>
                                <m:ctrlPr>
                                  <w:rPr>
                                    <w:rFonts w:ascii="Cambria Math" w:hAnsi="Cambria Math"/>
                                  </w:rPr>
                                </m:ctrlPr>
                              </m:sSubPr>
                              <m:e>
                                <m:r>
                                  <w:rPr>
                                    <w:rFonts w:ascii="Cambria Math" w:hAnsi="Cambria Math"/>
                                  </w:rPr>
                                  <m:t>x</m:t>
                                </m:r>
                              </m:e>
                              <m:sub>
                                <m:r>
                                  <m:rPr>
                                    <m:sty m:val="p"/>
                                  </m:rP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x</m:t>
                                </m:r>
                              </m:e>
                              <m:sub>
                                <m:r>
                                  <m:rPr>
                                    <m:sty m:val="p"/>
                                  </m:rPr>
                                  <w:rPr>
                                    <w:rFonts w:ascii="Cambria Math" w:hAnsi="Cambria Math"/>
                                  </w:rPr>
                                  <m:t>2</m:t>
                                </m:r>
                              </m:sub>
                            </m:sSub>
                            <m:r>
                              <m:rPr>
                                <m:sty m:val="p"/>
                              </m:rPr>
                              <w:rPr>
                                <w:rFonts w:ascii="Cambria Math" w:hAnsi="Cambria Math"/>
                              </w:rPr>
                              <m:t>,…,</m:t>
                            </m:r>
                            <m:sSub>
                              <m:sSubPr>
                                <m:ctrlPr>
                                  <w:rPr>
                                    <w:rFonts w:ascii="Cambria Math" w:hAnsi="Cambria Math"/>
                                  </w:rPr>
                                </m:ctrlPr>
                              </m:sSubPr>
                              <m:e>
                                <m:r>
                                  <w:rPr>
                                    <w:rFonts w:ascii="Cambria Math" w:hAnsi="Cambria Math"/>
                                  </w:rPr>
                                  <m:t>x</m:t>
                                </m:r>
                              </m:e>
                              <m:sub>
                                <m:r>
                                  <w:rPr>
                                    <w:rFonts w:ascii="Cambria Math" w:hAnsi="Cambria Math"/>
                                  </w:rPr>
                                  <m:t>i</m:t>
                                </m:r>
                                <m:r>
                                  <m:rPr>
                                    <m:sty m:val="p"/>
                                  </m:rPr>
                                  <w:rPr>
                                    <w:rFonts w:ascii="Cambria Math" w:hAnsi="Cambria Math"/>
                                  </w:rPr>
                                  <m:t>-1</m:t>
                                </m:r>
                              </m:sub>
                            </m:sSub>
                            <m:r>
                              <m:rPr>
                                <m:sty m:val="p"/>
                              </m:rPr>
                              <w:rPr>
                                <w:rFonts w:ascii="Cambria Math" w:hAnsi="Cambria Math"/>
                              </w:rPr>
                              <m:t xml:space="preserve">, </m:t>
                            </m:r>
                            <m:sSub>
                              <m:sSubPr>
                                <m:ctrlPr>
                                  <w:rPr>
                                    <w:rFonts w:ascii="Cambria Math" w:hAnsi="Cambria Math"/>
                                  </w:rPr>
                                </m:ctrlPr>
                              </m:sSubPr>
                              <m:e>
                                <m:r>
                                  <w:rPr>
                                    <w:rFonts w:ascii="Cambria Math" w:hAnsi="Cambria Math"/>
                                  </w:rPr>
                                  <m:t>x</m:t>
                                </m:r>
                              </m:e>
                              <m:sub>
                                <m:r>
                                  <w:rPr>
                                    <w:rFonts w:ascii="Cambria Math" w:hAnsi="Cambria Math"/>
                                  </w:rPr>
                                  <m:t>i</m:t>
                                </m:r>
                              </m:sub>
                            </m:sSub>
                            <m:r>
                              <m:rPr>
                                <m:sty m:val="p"/>
                              </m:rPr>
                              <w:rPr>
                                <w:rFonts w:ascii="Cambria Math" w:hAnsi="Cambria Math"/>
                              </w:rPr>
                              <m:t>+Δ,</m:t>
                            </m:r>
                            <m:sSub>
                              <m:sSubPr>
                                <m:ctrlPr>
                                  <w:rPr>
                                    <w:rFonts w:ascii="Cambria Math" w:hAnsi="Cambria Math"/>
                                  </w:rPr>
                                </m:ctrlPr>
                              </m:sSubPr>
                              <m:e>
                                <m:r>
                                  <w:rPr>
                                    <w:rFonts w:ascii="Cambria Math" w:hAnsi="Cambria Math"/>
                                  </w:rPr>
                                  <m:t>x</m:t>
                                </m:r>
                              </m:e>
                              <m:sub>
                                <m:r>
                                  <w:rPr>
                                    <w:rFonts w:ascii="Cambria Math" w:hAnsi="Cambria Math"/>
                                  </w:rPr>
                                  <m:t>i</m:t>
                                </m:r>
                                <m:r>
                                  <m:rPr>
                                    <m:sty m:val="p"/>
                                  </m:rP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x</m:t>
                                </m:r>
                              </m:e>
                              <m:sub>
                                <m:r>
                                  <w:rPr>
                                    <w:rFonts w:ascii="Cambria Math" w:hAnsi="Cambria Math"/>
                                  </w:rPr>
                                  <m:t>k</m:t>
                                </m:r>
                              </m:sub>
                            </m:sSub>
                          </m:e>
                        </m:d>
                        <m:r>
                          <m:rPr>
                            <m:sty m:val="p"/>
                          </m:rPr>
                          <w:rPr>
                            <w:rFonts w:ascii="Cambria Math" w:hAnsi="Cambria Math"/>
                          </w:rPr>
                          <m:t>-</m:t>
                        </m:r>
                        <m:r>
                          <w:rPr>
                            <w:rFonts w:ascii="Cambria Math" w:hAnsi="Cambria Math"/>
                          </w:rPr>
                          <m:t>y</m:t>
                        </m:r>
                        <m:d>
                          <m:dPr>
                            <m:ctrlPr>
                              <w:rPr>
                                <w:rFonts w:ascii="Cambria Math" w:hAnsi="Cambria Math"/>
                              </w:rPr>
                            </m:ctrlPr>
                          </m:dPr>
                          <m:e>
                            <m:r>
                              <w:rPr>
                                <w:rFonts w:ascii="Cambria Math" w:hAnsi="Cambria Math"/>
                              </w:rPr>
                              <m:t>x</m:t>
                            </m:r>
                          </m:e>
                        </m:d>
                      </m:e>
                    </m:d>
                  </m:num>
                  <m:den>
                    <m:r>
                      <m:rPr>
                        <m:sty m:val="p"/>
                      </m:rPr>
                      <w:rPr>
                        <w:rFonts w:ascii="Cambria Math" w:hAnsi="Cambria Math"/>
                      </w:rPr>
                      <m:t>Δ</m:t>
                    </m:r>
                  </m:den>
                </m:f>
              </m:oMath>
            </m:oMathPara>
          </w:p>
        </w:tc>
        <w:tc>
          <w:tcPr>
            <w:tcW w:w="561" w:type="dxa"/>
            <w:vAlign w:val="center"/>
          </w:tcPr>
          <w:p w14:paraId="24A2DB3C" w14:textId="7F42E8E9" w:rsidR="002264A6" w:rsidRPr="003B3750" w:rsidRDefault="00BF7E93" w:rsidP="00F22A75">
            <w:pPr>
              <w:pStyle w:val="Caption"/>
              <w:spacing w:line="480" w:lineRule="auto"/>
            </w:pPr>
            <w:fldSimple w:instr=" SEQ Equation \* ARABIC ">
              <w:r>
                <w:rPr>
                  <w:noProof/>
                </w:rPr>
                <w:t>3</w:t>
              </w:r>
            </w:fldSimple>
          </w:p>
        </w:tc>
      </w:tr>
    </w:tbl>
    <w:p w14:paraId="0032E897" w14:textId="39A88C71" w:rsidR="00300718" w:rsidRPr="00E367AC" w:rsidRDefault="00C87374" w:rsidP="00F22A75">
      <w:r>
        <w:t>The idea behind the calculation of elementary effects is to gain insight of the functional behavior without needing to inspect the full sample range. With</w:t>
      </w:r>
      <w:r w:rsidR="002264A6">
        <w:t xml:space="preserve"> calculation of</w:t>
      </w:r>
      <w:r>
        <w:t xml:space="preserve"> enough elementary effects, we are able to </w:t>
      </w:r>
      <w:r w:rsidR="002264A6">
        <w:t xml:space="preserve">approximate the mean and standard deviation of each distribution </w:t>
      </w:r>
      <w:r w:rsidR="009C6E07">
        <w:t xml:space="preserve">which are used </w:t>
      </w:r>
      <w:r w:rsidR="002264A6">
        <w:t xml:space="preserve">to gauge </w:t>
      </w:r>
      <w:r w:rsidR="00A00CCB">
        <w:t xml:space="preserve">overall </w:t>
      </w:r>
      <w:r w:rsidR="002264A6">
        <w:t>i</w:t>
      </w:r>
      <w:r w:rsidR="009C6E07">
        <w:t>nfluence and higher order effects</w:t>
      </w:r>
      <w:r w:rsidR="002264A6">
        <w:t xml:space="preserve"> of each input</w:t>
      </w:r>
      <w:r w:rsidR="009C6E07">
        <w:t>, respectively</w:t>
      </w:r>
      <w:r w:rsidR="00AE084A">
        <w:t xml:space="preserve"> </w:t>
      </w:r>
      <w:r w:rsidR="00AE084A">
        <w:fldChar w:fldCharType="begin">
          <w:fldData xml:space="preserve">PEVuZE5vdGU+PENpdGU+PEF1dGhvcj5Nb3JyaXM8L0F1dGhvcj48WWVhcj4xOTkxPC9ZZWFyPjxS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==
</w:fldData>
        </w:fldChar>
      </w:r>
      <w:r w:rsidR="001457CB">
        <w:instrText xml:space="preserve"> ADDIN EN.CITE </w:instrText>
      </w:r>
      <w:r w:rsidR="001457CB">
        <w:fldChar w:fldCharType="begin">
          <w:fldData xml:space="preserve">PEVuZE5vdGU+PENpdGU+PEF1dGhvcj5Nb3JyaXM8L0F1dGhvcj48WWVhcj4xOTkxPC9ZZWFyPjxS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==
</w:fldData>
        </w:fldChar>
      </w:r>
      <w:r w:rsidR="001457CB">
        <w:instrText xml:space="preserve"> ADDIN EN.CITE.DATA </w:instrText>
      </w:r>
      <w:r w:rsidR="001457CB">
        <w:fldChar w:fldCharType="end"/>
      </w:r>
      <w:r w:rsidR="00AE084A">
        <w:fldChar w:fldCharType="separate"/>
      </w:r>
      <w:r w:rsidR="001457CB">
        <w:rPr>
          <w:noProof/>
        </w:rPr>
        <w:t>[35, 36]</w:t>
      </w:r>
      <w:r w:rsidR="00AE084A">
        <w:fldChar w:fldCharType="end"/>
      </w:r>
      <w:r w:rsidR="002264A6">
        <w:t xml:space="preserve">. </w:t>
      </w:r>
      <w:r w:rsidR="00AE084A">
        <w:t xml:space="preserve">The total number of runs required for calculation of each elementary effect is 2, once for the given value of x, and one at some interval given by </w:t>
      </w:r>
      <w:r w:rsidR="00AE084A">
        <w:sym w:font="Symbol" w:char="F044"/>
      </w:r>
      <w:r w:rsidR="00AE084A">
        <w:t>. The total number of runs, n, assuming a set number of elementary effects, e, calculated for the total input parameters, k, is then</w:t>
      </w:r>
    </w:p>
    <w:tbl>
      <w:tblPr>
        <w:tblStyle w:val="TableGrid"/>
        <w:tblW w:w="86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0"/>
        <w:gridCol w:w="7451"/>
        <w:gridCol w:w="561"/>
      </w:tblGrid>
      <w:tr w:rsidR="00AE084A" w:rsidRPr="003B3750" w14:paraId="498A141F" w14:textId="77777777" w:rsidTr="005239F5">
        <w:tc>
          <w:tcPr>
            <w:tcW w:w="590" w:type="dxa"/>
            <w:vAlign w:val="center"/>
          </w:tcPr>
          <w:p w14:paraId="3A2A450D" w14:textId="77777777" w:rsidR="00AE084A" w:rsidRPr="00E1335E" w:rsidRDefault="00AE084A" w:rsidP="00F22A75">
            <w:pPr>
              <w:pStyle w:val="Caption"/>
              <w:spacing w:line="480" w:lineRule="auto"/>
            </w:pPr>
          </w:p>
        </w:tc>
        <w:tc>
          <w:tcPr>
            <w:tcW w:w="7451" w:type="dxa"/>
            <w:vAlign w:val="center"/>
          </w:tcPr>
          <w:p w14:paraId="02A7D746" w14:textId="07C57140" w:rsidR="00AE084A" w:rsidRPr="003B3750" w:rsidRDefault="00AE084A" w:rsidP="00F22A75">
            <w:pPr>
              <w:pStyle w:val="Caption"/>
              <w:spacing w:line="480" w:lineRule="auto"/>
            </w:pPr>
            <m:oMathPara>
              <m:oMath>
                <m:r>
                  <m:rPr>
                    <m:sty m:val="p"/>
                  </m:rPr>
                  <w:rPr>
                    <w:rFonts w:ascii="Cambria Math" w:hAnsi="Cambria Math"/>
                  </w:rPr>
                  <m:t>n=2ek</m:t>
                </m:r>
              </m:oMath>
            </m:oMathPara>
          </w:p>
        </w:tc>
        <w:tc>
          <w:tcPr>
            <w:tcW w:w="561" w:type="dxa"/>
            <w:vAlign w:val="center"/>
          </w:tcPr>
          <w:p w14:paraId="7BFA39D8" w14:textId="238711ED" w:rsidR="00AE084A" w:rsidRPr="003B3750" w:rsidRDefault="00BF7E93" w:rsidP="00F22A75">
            <w:pPr>
              <w:pStyle w:val="Caption"/>
              <w:spacing w:line="480" w:lineRule="auto"/>
            </w:pPr>
            <w:fldSimple w:instr=" SEQ Equation \* ARABIC ">
              <w:r>
                <w:rPr>
                  <w:noProof/>
                </w:rPr>
                <w:t>4</w:t>
              </w:r>
            </w:fldSimple>
          </w:p>
        </w:tc>
      </w:tr>
    </w:tbl>
    <w:p w14:paraId="7BCABB06" w14:textId="50ACFEB3" w:rsidR="00332B2E" w:rsidRDefault="00A00CCB" w:rsidP="00F22A75">
      <w:r>
        <w:t>O</w:t>
      </w:r>
      <w:r w:rsidR="00AE084A">
        <w:t xml:space="preserve">ptimizations to the method of Morris have been developed recently including </w:t>
      </w:r>
      <w:r>
        <w:t>enhanced sampling strategies that aim to maximize the efficiency of the sampled elementary effects</w:t>
      </w:r>
      <w:r w:rsidR="009C6E07">
        <w:t xml:space="preserve">, henceforth referred to as “trajectories” </w:t>
      </w:r>
      <w:r w:rsidR="009C6E07">
        <w:fldChar w:fldCharType="begin">
          <w:fldData xml:space="preserve">PEVuZE5vdGU+PENpdGU+PEF1dGhvcj5DYW1wb2xvbmdvPC9BdXRob3I+PFllYXI+MjAwNzwvWWVh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</w:fldData>
        </w:fldChar>
      </w:r>
      <w:r w:rsidR="001457CB">
        <w:instrText xml:space="preserve"> ADDIN EN.CITE </w:instrText>
      </w:r>
      <w:r w:rsidR="001457CB">
        <w:fldChar w:fldCharType="begin">
          <w:fldData xml:space="preserve">PEVuZE5vdGU+PENpdGU+PEF1dGhvcj5DYW1wb2xvbmdvPC9BdXRob3I+PFllYXI+MjAwNzwvWWVh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</w:fldData>
        </w:fldChar>
      </w:r>
      <w:r w:rsidR="001457CB">
        <w:instrText xml:space="preserve"> ADDIN EN.CITE.DATA </w:instrText>
      </w:r>
      <w:r w:rsidR="001457CB">
        <w:fldChar w:fldCharType="end"/>
      </w:r>
      <w:r w:rsidR="009C6E07">
        <w:fldChar w:fldCharType="separate"/>
      </w:r>
      <w:r w:rsidR="001457CB">
        <w:rPr>
          <w:noProof/>
        </w:rPr>
        <w:t>[36, 37]</w:t>
      </w:r>
      <w:r w:rsidR="009C6E07">
        <w:fldChar w:fldCharType="end"/>
      </w:r>
      <w:r>
        <w:t xml:space="preserve">. </w:t>
      </w:r>
      <w:r w:rsidR="009C6E07">
        <w:t xml:space="preserve">Since the method of Morris traditionally requires calculates trajectories with random starting points, there is no guarantee that a sufficient representation of the sample space will be produced </w:t>
      </w:r>
      <w:r w:rsidR="009C6E07">
        <w:fldChar w:fldCharType="begin"/>
      </w:r>
      <w:r w:rsidR="001457CB">
        <w:instrText xml:space="preserve"> ADDIN EN.CITE &lt;EndNote&gt;&lt;Cite&gt;&lt;Author&gt;Morris&lt;/Author&gt;&lt;Year&gt;1991&lt;/Year&gt;&lt;RecNum&gt;405&lt;/RecNum&gt;&lt;DisplayText&gt;[35]&lt;/DisplayText&gt;&lt;record&gt;&lt;rec-number&gt;405&lt;/rec-number&gt;&lt;foreign-keys&gt;&lt;key app="EN" db-id="eseee05sfe5vt6efvr0xapvq20vfdsfp5fvf" timestamp="1709061718"&gt;405&lt;/key&gt;&lt;/foreign-keys&gt;&lt;ref-type name="Journal Article"&gt;17&lt;/ref-type&gt;&lt;contributors&gt;&lt;authors&gt;&lt;author&gt;Morris, Max D.&lt;/author&gt;&lt;/authors&gt;&lt;/contributors&gt;&lt;titles&gt;&lt;title&gt;Factorial Sampling Plans for Preliminary Computational Experiments&lt;/title&gt;&lt;secondary-title&gt;Technometrics&lt;/secondary-title&gt;&lt;/titles&gt;&lt;periodical&gt;&lt;full-title&gt;Technometrics&lt;/full-title&gt;&lt;/periodical&gt;&lt;pages&gt;161-174&lt;/pages&gt;&lt;volume&gt;33&lt;/volume&gt;&lt;number&gt;2&lt;/number&gt;&lt;dates&gt;&lt;year&gt;1991&lt;/year&gt;&lt;pub-dates&gt;&lt;date&gt;1991/05/01&lt;/date&gt;&lt;/pub-dates&gt;&lt;/dates&gt;&lt;publisher&gt;Taylor &amp;amp; Francis&lt;/publisher&gt;&lt;isbn&gt;0040-1706&lt;/isbn&gt;&lt;urls&gt;&lt;related-urls&gt;&lt;url&gt;https://www.tandfonline.com/doi/abs/10.1080/00401706.1991.10484804&lt;/url&gt;&lt;/related-urls&gt;&lt;/urls&gt;&lt;electronic-resource-num&gt;10.1080/00401706.1991.10484804&lt;/electronic-resource-num&gt;&lt;/record&gt;&lt;/Cite&gt;&lt;/EndNote&gt;</w:instrText>
      </w:r>
      <w:r w:rsidR="009C6E07">
        <w:fldChar w:fldCharType="separate"/>
      </w:r>
      <w:r w:rsidR="001457CB">
        <w:rPr>
          <w:noProof/>
        </w:rPr>
        <w:t>[35]</w:t>
      </w:r>
      <w:r w:rsidR="009C6E07">
        <w:fldChar w:fldCharType="end"/>
      </w:r>
      <w:r w:rsidR="009C6E07">
        <w:t>. Campolongo et. al. developed an alternative sampling algorithm that first generates a large number of proposed trajectories to be calculated, typically ~500-1000, and then selects the 10 most optimal for use in the calculation</w:t>
      </w:r>
      <w:r w:rsidR="00E86F71">
        <w:t xml:space="preserve"> </w:t>
      </w:r>
      <w:r w:rsidR="00E86F71">
        <w:fldChar w:fldCharType="begin"/>
      </w:r>
      <w:r w:rsidR="001457CB">
        <w:instrText xml:space="preserve"> ADDIN EN.CITE &lt;EndNote&gt;&lt;Cite&gt;&lt;Author&gt;Campolongo&lt;/Author&gt;&lt;Year&gt;2007&lt;/Year&gt;&lt;RecNum&gt;406&lt;/RecNum&gt;&lt;DisplayText&gt;[36]&lt;/DisplayText&gt;&lt;record&gt;&lt;rec-number&gt;406&lt;/rec-number&gt;&lt;foreign-keys&gt;&lt;key app="EN" db-id="eseee05sfe5vt6efvr0xapvq20vfdsfp5fvf" timestamp="1709065790"&gt;406&lt;/key&gt;&lt;/foreign-keys&gt;&lt;ref-type name="Journal Article"&gt;17&lt;/ref-type&gt;&lt;contributors&gt;&lt;authors&gt;&lt;author&gt;Campolongo, Francesca&lt;/author&gt;&lt;author&gt;Cariboni, Jessica&lt;/author&gt;&lt;author&gt;Saltelli, Andrea&lt;/author&gt;&lt;/authors&gt;&lt;/contributors&gt;&lt;titles&gt;&lt;title&gt;An effective screening design for sensitivity analysis of large models&lt;/title&gt;&lt;secondary-title&gt;Environmental Modelling &amp;amp; Software&lt;/secondary-title&gt;&lt;/titles&gt;&lt;periodical&gt;&lt;full-title&gt;Environmental Modelling &amp;amp; Software&lt;/full-title&gt;&lt;/periodical&gt;&lt;pages&gt;1509-1518&lt;/pages&gt;&lt;volume&gt;22&lt;/volume&gt;&lt;number&gt;10&lt;/number&gt;&lt;keywords&gt;&lt;keyword&gt;Sensitivity analysis&lt;/keyword&gt;&lt;keyword&gt;Screening problem&lt;/keyword&gt;&lt;keyword&gt;Model-free methods&lt;/keyword&gt;&lt;keyword&gt;Effective sampling strategy&lt;/keyword&gt;&lt;keyword&gt;Dimethylsulphide (DMS)&lt;/keyword&gt;&lt;/keywords&gt;&lt;dates&gt;&lt;year&gt;2007&lt;/year&gt;&lt;pub-dates&gt;&lt;date&gt;2007/10/01/&lt;/date&gt;&lt;/pub-dates&gt;&lt;/dates&gt;&lt;isbn&gt;1364-8152&lt;/isbn&gt;&lt;urls&gt;&lt;related-urls&gt;&lt;url&gt;https://www.sciencedirect.com/science/article/pii/S1364815206002805&lt;/url&gt;&lt;/related-urls&gt;&lt;/urls&gt;&lt;electronic-resource-num&gt;https://doi.org/10.1016/j.envsoft.2006.10.004&lt;/electronic-resource-num&gt;&lt;/record&gt;&lt;/Cite&gt;&lt;/EndNote&gt;</w:instrText>
      </w:r>
      <w:r w:rsidR="00E86F71">
        <w:fldChar w:fldCharType="separate"/>
      </w:r>
      <w:r w:rsidR="001457CB">
        <w:rPr>
          <w:noProof/>
        </w:rPr>
        <w:t>[36]</w:t>
      </w:r>
      <w:r w:rsidR="00E86F71">
        <w:fldChar w:fldCharType="end"/>
      </w:r>
      <w:r w:rsidR="009C6E07">
        <w:t xml:space="preserve">. The optimal trajectories are those with the largest </w:t>
      </w:r>
      <w:r w:rsidR="00E86F71">
        <w:t xml:space="preserve">cumulative </w:t>
      </w:r>
      <w:r w:rsidR="009C6E07">
        <w:t>distance between them within the input space</w:t>
      </w:r>
      <w:r w:rsidR="00E86F71">
        <w:t xml:space="preserve"> calculated using a brute-force method</w:t>
      </w:r>
      <w:r w:rsidR="009C6E07">
        <w:t>. This guarantees a</w:t>
      </w:r>
      <w:r w:rsidR="00E86F71">
        <w:t xml:space="preserve"> </w:t>
      </w:r>
      <w:r w:rsidR="00BF3E7D">
        <w:t xml:space="preserve">more </w:t>
      </w:r>
      <w:r w:rsidR="00E86F71">
        <w:t>representative</w:t>
      </w:r>
      <w:r w:rsidR="009C6E07">
        <w:t xml:space="preserve"> coverage over the </w:t>
      </w:r>
      <w:r w:rsidR="00E86F71">
        <w:t xml:space="preserve">entire </w:t>
      </w:r>
      <w:r w:rsidR="009C6E07">
        <w:t xml:space="preserve">sample space </w:t>
      </w:r>
      <w:r w:rsidR="00E86F71">
        <w:t xml:space="preserve">rather than the Monte Carlo approach as suggested by Morris </w:t>
      </w:r>
      <w:r w:rsidR="00E86F71">
        <w:fldChar w:fldCharType="begin"/>
      </w:r>
      <w:r w:rsidR="001457CB">
        <w:instrText xml:space="preserve"> ADDIN EN.CITE &lt;EndNote&gt;&lt;Cite&gt;&lt;Author&gt;Morris&lt;/Author&gt;&lt;Year&gt;1991&lt;/Year&gt;&lt;RecNum&gt;405&lt;/RecNum&gt;&lt;DisplayText&gt;[35]&lt;/DisplayText&gt;&lt;record&gt;&lt;rec-number&gt;405&lt;/rec-number&gt;&lt;foreign-keys&gt;&lt;key app="EN" db-id="eseee05sfe5vt6efvr0xapvq20vfdsfp5fvf" timestamp="1709061718"&gt;405&lt;/key&gt;&lt;/foreign-keys&gt;&lt;ref-type name="Journal Article"&gt;17&lt;/ref-type&gt;&lt;contributors&gt;&lt;authors&gt;&lt;author&gt;Morris, Max D.&lt;/author&gt;&lt;/authors&gt;&lt;/contributors&gt;&lt;titles&gt;&lt;title&gt;Factorial Sampling Plans for Preliminary Computational Experiments&lt;/title&gt;&lt;secondary-title&gt;Technometrics&lt;/secondary-title&gt;&lt;/titles&gt;&lt;periodical&gt;&lt;full-title&gt;Technometrics&lt;/full-title&gt;&lt;/periodical&gt;&lt;pages&gt;161-174&lt;/pages&gt;&lt;volume&gt;33&lt;/volume&gt;&lt;number&gt;2&lt;/number&gt;&lt;dates&gt;&lt;year&gt;1991&lt;/year&gt;&lt;pub-dates&gt;&lt;date&gt;1991/05/01&lt;/date&gt;&lt;/pub-dates&gt;&lt;/dates&gt;&lt;publisher&gt;Taylor &amp;amp; Francis&lt;/publisher&gt;&lt;isbn&gt;0040-1706&lt;/isbn&gt;&lt;urls&gt;&lt;related-urls&gt;&lt;url&gt;https://www.tandfonline.com/doi/abs/10.1080/00401706.1991.10484804&lt;/url&gt;&lt;/related-urls&gt;&lt;/urls&gt;&lt;electronic-resource-num&gt;10.1080/00401706.1991.10484804&lt;/electronic-resource-num&gt;&lt;/record&gt;&lt;/Cite&gt;&lt;/EndNote&gt;</w:instrText>
      </w:r>
      <w:r w:rsidR="00E86F71">
        <w:fldChar w:fldCharType="separate"/>
      </w:r>
      <w:r w:rsidR="001457CB">
        <w:rPr>
          <w:noProof/>
        </w:rPr>
        <w:t>[35]</w:t>
      </w:r>
      <w:r w:rsidR="00E86F71">
        <w:fldChar w:fldCharType="end"/>
      </w:r>
      <w:r w:rsidR="00E86F71">
        <w:t>.</w:t>
      </w:r>
      <w:r w:rsidR="000C0483">
        <w:t xml:space="preserve"> </w:t>
      </w:r>
      <w:r w:rsidR="000C0483">
        <w:lastRenderedPageBreak/>
        <w:t xml:space="preserve">An additional improvement to this method was proposed by Ruano et. al. which </w:t>
      </w:r>
      <w:r w:rsidR="00FE136C">
        <w:t xml:space="preserve">optimizes the brute-force approach proposed by Campolongo to streamline the calculation of the optimal trajectories </w:t>
      </w:r>
      <w:r w:rsidR="00FE136C">
        <w:fldChar w:fldCharType="begin"/>
      </w:r>
      <w:r w:rsidR="001457CB">
        <w:instrText xml:space="preserve"> ADDIN EN.CITE &lt;EndNote&gt;&lt;Cite&gt;&lt;Author&gt;Ruano&lt;/Author&gt;&lt;Year&gt;2012&lt;/Year&gt;&lt;RecNum&gt;407&lt;/RecNum&gt;&lt;DisplayText&gt;[37]&lt;/DisplayText&gt;&lt;record&gt;&lt;rec-number&gt;407&lt;/rec-number&gt;&lt;foreign-keys&gt;&lt;key app="EN" db-id="eseee05sfe5vt6efvr0xapvq20vfdsfp5fvf" timestamp="1709065792"&gt;407&lt;/key&gt;&lt;/foreign-keys&gt;&lt;ref-type name="Journal Article"&gt;17&lt;/ref-type&gt;&lt;contributors&gt;&lt;authors&gt;&lt;author&gt;Ruano, M. V.&lt;/author&gt;&lt;author&gt;Ribes, J.&lt;/author&gt;&lt;author&gt;Seco, A.&lt;/author&gt;&lt;author&gt;Ferrer, J.&lt;/author&gt;&lt;/authors&gt;&lt;/contributors&gt;&lt;titles&gt;&lt;title&gt;An improved sampling strategy based on trajectory design for application of the Morris method to systems with many input factors&lt;/title&gt;&lt;secondary-title&gt;Environmental Modelling &amp;amp; Software&lt;/secondary-title&gt;&lt;/titles&gt;&lt;periodical&gt;&lt;full-title&gt;Environmental Modelling &amp;amp; Software&lt;/full-title&gt;&lt;/periodical&gt;&lt;pages&gt;103-109&lt;/pages&gt;&lt;volume&gt;37&lt;/volume&gt;&lt;keywords&gt;&lt;keyword&gt;Fuzzy controllers&lt;/keyword&gt;&lt;keyword&gt;Morris screening&lt;/keyword&gt;&lt;keyword&gt;Sampling strategy&lt;/keyword&gt;&lt;keyword&gt;Sensitivity analysis&lt;/keyword&gt;&lt;/keywords&gt;&lt;dates&gt;&lt;year&gt;2012&lt;/year&gt;&lt;pub-dates&gt;&lt;date&gt;2012/11/01/&lt;/date&gt;&lt;/pub-dates&gt;&lt;/dates&gt;&lt;isbn&gt;1364-8152&lt;/isbn&gt;&lt;urls&gt;&lt;related-urls&gt;&lt;url&gt;https://www.sciencedirect.com/science/article/pii/S1364815212000904&lt;/url&gt;&lt;/related-urls&gt;&lt;/urls&gt;&lt;electronic-resource-num&gt;https://doi.org/10.1016/j.envsoft.2012.03.008&lt;/electronic-resource-num&gt;&lt;/record&gt;&lt;/Cite&gt;&lt;/EndNote&gt;</w:instrText>
      </w:r>
      <w:r w:rsidR="00FE136C">
        <w:fldChar w:fldCharType="separate"/>
      </w:r>
      <w:r w:rsidR="001457CB">
        <w:rPr>
          <w:noProof/>
        </w:rPr>
        <w:t>[37]</w:t>
      </w:r>
      <w:r w:rsidR="00FE136C">
        <w:fldChar w:fldCharType="end"/>
      </w:r>
      <w:r w:rsidR="00FE136C">
        <w:t xml:space="preserve">. </w:t>
      </w:r>
    </w:p>
    <w:p w14:paraId="7E8E8A2D" w14:textId="2F89D076" w:rsidR="000259D8" w:rsidRDefault="000259D8" w:rsidP="00F22A75">
      <w:pPr>
        <w:pStyle w:val="Heading3"/>
        <w:spacing w:before="0" w:after="0"/>
      </w:pPr>
      <w:bookmarkStart w:id="20" w:name="_Toc202957446"/>
      <w:r>
        <w:t>Pearson Sensitivity Analysis</w:t>
      </w:r>
      <w:bookmarkEnd w:id="20"/>
    </w:p>
    <w:p w14:paraId="4DB867BA" w14:textId="27FE5E2B" w:rsidR="001774CF" w:rsidRDefault="00D165EF" w:rsidP="00F22A75">
      <w:r>
        <w:t xml:space="preserve">Variance reduction is a process that aims to assess the inputs and determine which input, if we knew the true value, would reduce the most variance in the output </w:t>
      </w:r>
      <w:r>
        <w:fldChar w:fldCharType="begin"/>
      </w:r>
      <w:r w:rsidR="001457CB">
        <w:instrText xml:space="preserve"> ADDIN EN.CITE &lt;EndNote&gt;&lt;Cite&gt;&lt;Author&gt;Borgonovo&lt;/Author&gt;&lt;Year&gt;2016&lt;/Year&gt;&lt;RecNum&gt;404&lt;/RecNum&gt;&lt;DisplayText&gt;[33]&lt;/DisplayText&gt;&lt;record&gt;&lt;rec-number&gt;404&lt;/rec-number&gt;&lt;foreign-keys&gt;&lt;key app="EN" db-id="eseee05sfe5vt6efvr0xapvq20vfdsfp5fvf" timestamp="1709060580"&gt;404&lt;/key&gt;&lt;/foreign-keys&gt;&lt;ref-type name="Journal Article"&gt;17&lt;/ref-type&gt;&lt;contributors&gt;&lt;authors&gt;&lt;author&gt;Borgonovo, Emanuele&lt;/author&gt;&lt;author&gt;Plischke, Elmar&lt;/author&gt;&lt;/authors&gt;&lt;/contributors&gt;&lt;titles&gt;&lt;title&gt;Sensitivity analysis: A review of recent advances&lt;/title&gt;&lt;secondary-title&gt;European Journal of Operational Research&lt;/secondary-title&gt;&lt;/titles&gt;&lt;periodical&gt;&lt;full-title&gt;European Journal of Operational Research&lt;/full-title&gt;&lt;/periodical&gt;&lt;pages&gt;869-887&lt;/pages&gt;&lt;volume&gt;248&lt;/volume&gt;&lt;number&gt;3&lt;/number&gt;&lt;keywords&gt;&lt;keyword&gt;Sensitivity analysis&lt;/keyword&gt;&lt;keyword&gt;Simulation&lt;/keyword&gt;&lt;keyword&gt;Computer experiments&lt;/keyword&gt;&lt;/keywords&gt;&lt;dates&gt;&lt;year&gt;2016&lt;/year&gt;&lt;pub-dates&gt;&lt;date&gt;2016/02/01/&lt;/date&gt;&lt;/pub-dates&gt;&lt;/dates&gt;&lt;isbn&gt;0377-2217&lt;/isbn&gt;&lt;urls&gt;&lt;related-urls&gt;&lt;url&gt;https://www.sciencedirect.com/science/article/pii/S0377221715005469&lt;/url&gt;&lt;/related-urls&gt;&lt;/urls&gt;&lt;electronic-resource-num&gt;https://doi.org/10.1016/j.ejor.2015.06.032&lt;/electronic-resource-num&gt;&lt;/record&gt;&lt;/Cite&gt;&lt;/EndNote&gt;</w:instrText>
      </w:r>
      <w:r>
        <w:fldChar w:fldCharType="separate"/>
      </w:r>
      <w:r w:rsidR="001457CB">
        <w:rPr>
          <w:noProof/>
        </w:rPr>
        <w:t>[33]</w:t>
      </w:r>
      <w:r>
        <w:fldChar w:fldCharType="end"/>
      </w:r>
      <w:r>
        <w:t xml:space="preserve">. One such method for performing global sensitivity analysis was developed by Pearson </w:t>
      </w:r>
      <w:r w:rsidR="00F20467">
        <w:fldChar w:fldCharType="begin"/>
      </w:r>
      <w:r w:rsidR="001457CB">
        <w:instrText xml:space="preserve"> ADDIN EN.CITE &lt;EndNote&gt;&lt;Cite&gt;&lt;Author&gt;Pearson&lt;/Author&gt;&lt;Year&gt;1907&lt;/Year&gt;&lt;RecNum&gt;409&lt;/RecNum&gt;&lt;DisplayText&gt;[38]&lt;/DisplayText&gt;&lt;record&gt;&lt;rec-number&gt;409&lt;/rec-number&gt;&lt;foreign-keys&gt;&lt;key app="EN" db-id="eseee05sfe5vt6efvr0xapvq20vfdsfp5fvf" timestamp="1709155341"&gt;409&lt;/key&gt;&lt;/foreign-keys&gt;&lt;ref-type name="Book"&gt;6&lt;/ref-type&gt;&lt;contributors&gt;&lt;authors&gt;&lt;author&gt;Pearson, Karl&lt;/author&gt;&lt;/authors&gt;&lt;/contributors&gt;&lt;titles&gt;&lt;title&gt;On further methods of determining correlation&lt;/title&gt;&lt;/titles&gt;&lt;volume&gt;16&lt;/volume&gt;&lt;dates&gt;&lt;year&gt;1907&lt;/year&gt;&lt;/dates&gt;&lt;publisher&gt;Dulau and Company&lt;/publisher&gt;&lt;urls&gt;&lt;/urls&gt;&lt;/record&gt;&lt;/Cite&gt;&lt;/EndNote&gt;</w:instrText>
      </w:r>
      <w:r w:rsidR="00F20467">
        <w:fldChar w:fldCharType="separate"/>
      </w:r>
      <w:r w:rsidR="001457CB">
        <w:rPr>
          <w:noProof/>
        </w:rPr>
        <w:t>[38]</w:t>
      </w:r>
      <w:r w:rsidR="00F20467">
        <w:fldChar w:fldCharType="end"/>
      </w:r>
      <w:r>
        <w:t xml:space="preserve">. </w:t>
      </w:r>
      <w:r w:rsidR="00587F0E">
        <w:t xml:space="preserve">The Pearson product-moment correlation coefficient (PPMCC) is a dimensionless measurement of the covariance of 2 continuous variables that is bounded between -1 and 1 </w:t>
      </w:r>
      <w:r w:rsidR="00587F0E">
        <w:fldChar w:fldCharType="begin">
          <w:fldData xml:space="preserve">PEVuZE5vdGU+PENpdGU+PEF1dGhvcj5TY2hvYmVyPC9BdXRob3I+PFllYXI+MjAxODwvWWVhcj48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</w:fldData>
        </w:fldChar>
      </w:r>
      <w:r w:rsidR="001457CB">
        <w:instrText xml:space="preserve"> ADDIN EN.CITE </w:instrText>
      </w:r>
      <w:r w:rsidR="001457CB">
        <w:fldChar w:fldCharType="begin">
          <w:fldData xml:space="preserve">PEVuZE5vdGU+PENpdGU+PEF1dGhvcj5TY2hvYmVyPC9BdXRob3I+PFllYXI+MjAxODwvWWVhcj48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</w:fldData>
        </w:fldChar>
      </w:r>
      <w:r w:rsidR="001457CB">
        <w:instrText xml:space="preserve"> ADDIN EN.CITE.DATA </w:instrText>
      </w:r>
      <w:r w:rsidR="001457CB">
        <w:fldChar w:fldCharType="end"/>
      </w:r>
      <w:r w:rsidR="00587F0E">
        <w:fldChar w:fldCharType="separate"/>
      </w:r>
      <w:r w:rsidR="001457CB">
        <w:rPr>
          <w:noProof/>
        </w:rPr>
        <w:t>[39, 40]</w:t>
      </w:r>
      <w:r w:rsidR="00587F0E">
        <w:fldChar w:fldCharType="end"/>
      </w:r>
      <w:r w:rsidR="00587F0E">
        <w:t xml:space="preserve">. </w:t>
      </w:r>
      <w:r w:rsidR="0097136C">
        <w:t>Assuming we have two continuous variables X and Y, the PPMCC, most commonly denoted as r, across N samples</w:t>
      </w:r>
      <w:r w:rsidR="005C154F">
        <w:t xml:space="preserve"> of X and Y</w:t>
      </w:r>
      <w:r w:rsidR="0097136C">
        <w:t xml:space="preserve"> can be defined using the following set of equations:</w:t>
      </w:r>
    </w:p>
    <w:tbl>
      <w:tblPr>
        <w:tblStyle w:val="TableGrid"/>
        <w:tblW w:w="86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0"/>
        <w:gridCol w:w="7451"/>
        <w:gridCol w:w="561"/>
      </w:tblGrid>
      <w:tr w:rsidR="0097136C" w:rsidRPr="003B3750" w14:paraId="447CAB64" w14:textId="77777777" w:rsidTr="00694572">
        <w:tc>
          <w:tcPr>
            <w:tcW w:w="590" w:type="dxa"/>
            <w:vAlign w:val="center"/>
          </w:tcPr>
          <w:p w14:paraId="44EABB3D" w14:textId="77777777" w:rsidR="0097136C" w:rsidRPr="00E1335E" w:rsidRDefault="0097136C" w:rsidP="00F22A75">
            <w:pPr>
              <w:pStyle w:val="Equation"/>
              <w:spacing w:before="0" w:after="0" w:line="480" w:lineRule="auto"/>
            </w:pPr>
          </w:p>
        </w:tc>
        <w:tc>
          <w:tcPr>
            <w:tcW w:w="7451" w:type="dxa"/>
            <w:vAlign w:val="center"/>
          </w:tcPr>
          <w:p w14:paraId="7C1DDB9D" w14:textId="4A9B8055" w:rsidR="0097136C" w:rsidRPr="003B3750" w:rsidRDefault="00000000" w:rsidP="00F22A75">
            <w:pPr>
              <w:pStyle w:val="Equation"/>
              <w:spacing w:before="0" w:after="0" w:line="480" w:lineRule="auto"/>
            </w:pPr>
            <m:oMathPara>
              <m:oMath>
                <m:acc>
                  <m:accPr>
                    <m:chr m:val="̅"/>
                    <m:ctrlPr>
                      <w:rPr>
                        <w:rFonts w:ascii="Cambria Math" w:hAnsi="Cambria Math"/>
                      </w:rPr>
                    </m:ctrlPr>
                  </m:accPr>
                  <m:e>
                    <m:r>
                      <w:rPr>
                        <w:rFonts w:ascii="Cambria Math" w:hAnsi="Cambria Math"/>
                      </w:rPr>
                      <m:t>X</m:t>
                    </m:r>
                  </m:e>
                </m:acc>
                <m:r>
                  <m:rPr>
                    <m:sty m:val="p"/>
                  </m:rPr>
                  <w:rPr>
                    <w:rFonts w:ascii="Cambria Math" w:hAnsi="Cambria Math"/>
                  </w:rPr>
                  <m:t>=</m:t>
                </m:r>
                <m:f>
                  <m:fPr>
                    <m:ctrlPr>
                      <w:rPr>
                        <w:rFonts w:ascii="Cambria Math" w:hAnsi="Cambria Math"/>
                      </w:rPr>
                    </m:ctrlPr>
                  </m:fPr>
                  <m:num>
                    <m:r>
                      <m:rPr>
                        <m:sty m:val="p"/>
                      </m:rPr>
                      <w:rPr>
                        <w:rFonts w:ascii="Cambria Math" w:hAnsi="Cambria Math"/>
                      </w:rPr>
                      <m:t>1</m:t>
                    </m:r>
                  </m:num>
                  <m:den>
                    <m:r>
                      <w:rPr>
                        <w:rFonts w:ascii="Cambria Math" w:hAnsi="Cambria Math"/>
                      </w:rPr>
                      <m:t>N</m:t>
                    </m:r>
                  </m:den>
                </m:f>
                <m:nary>
                  <m:naryPr>
                    <m:chr m:val="∑"/>
                    <m:limLoc m:val="undOvr"/>
                    <m:ctrlPr>
                      <w:rPr>
                        <w:rFonts w:ascii="Cambria Math" w:hAnsi="Cambria Math"/>
                      </w:rPr>
                    </m:ctrlPr>
                  </m:naryPr>
                  <m:sub>
                    <m:r>
                      <w:rPr>
                        <w:rFonts w:ascii="Cambria Math" w:hAnsi="Cambria Math"/>
                      </w:rPr>
                      <m:t>i</m:t>
                    </m:r>
                    <m:r>
                      <m:rPr>
                        <m:sty m:val="p"/>
                      </m:rPr>
                      <w:rPr>
                        <w:rFonts w:ascii="Cambria Math" w:hAnsi="Cambria Math"/>
                      </w:rPr>
                      <m:t>=1</m:t>
                    </m:r>
                  </m:sub>
                  <m:sup>
                    <m:r>
                      <w:rPr>
                        <w:rFonts w:ascii="Cambria Math" w:hAnsi="Cambria Math"/>
                      </w:rPr>
                      <m:t>N</m:t>
                    </m:r>
                  </m:sup>
                  <m:e>
                    <m:sSub>
                      <m:sSubPr>
                        <m:ctrlPr>
                          <w:rPr>
                            <w:rFonts w:ascii="Cambria Math" w:hAnsi="Cambria Math"/>
                          </w:rPr>
                        </m:ctrlPr>
                      </m:sSubPr>
                      <m:e>
                        <m:r>
                          <w:rPr>
                            <w:rFonts w:ascii="Cambria Math" w:hAnsi="Cambria Math"/>
                          </w:rPr>
                          <m:t>X</m:t>
                        </m:r>
                      </m:e>
                      <m:sub>
                        <m:r>
                          <w:rPr>
                            <w:rFonts w:ascii="Cambria Math" w:hAnsi="Cambria Math"/>
                          </w:rPr>
                          <m:t>i</m:t>
                        </m:r>
                      </m:sub>
                    </m:sSub>
                  </m:e>
                </m:nary>
              </m:oMath>
            </m:oMathPara>
          </w:p>
        </w:tc>
        <w:tc>
          <w:tcPr>
            <w:tcW w:w="561" w:type="dxa"/>
            <w:vAlign w:val="center"/>
          </w:tcPr>
          <w:p w14:paraId="207F08AD" w14:textId="312B48F1" w:rsidR="0097136C" w:rsidRPr="003B3750" w:rsidRDefault="00BF7E93" w:rsidP="00F22A75">
            <w:pPr>
              <w:pStyle w:val="Equation"/>
              <w:spacing w:before="0" w:after="0" w:line="480" w:lineRule="auto"/>
            </w:pPr>
            <w:fldSimple w:instr=" SEQ Equation \* ARABIC ">
              <w:r>
                <w:rPr>
                  <w:noProof/>
                </w:rPr>
                <w:t>5</w:t>
              </w:r>
            </w:fldSimple>
          </w:p>
        </w:tc>
      </w:tr>
      <w:tr w:rsidR="0097136C" w:rsidRPr="003B3750" w14:paraId="191C7B94" w14:textId="77777777" w:rsidTr="00694572">
        <w:tc>
          <w:tcPr>
            <w:tcW w:w="590" w:type="dxa"/>
            <w:vAlign w:val="center"/>
          </w:tcPr>
          <w:p w14:paraId="0B3CE214" w14:textId="77777777" w:rsidR="0097136C" w:rsidRPr="00E1335E" w:rsidRDefault="0097136C" w:rsidP="00F22A75">
            <w:pPr>
              <w:pStyle w:val="Equation"/>
              <w:spacing w:before="0" w:after="0" w:line="480" w:lineRule="auto"/>
            </w:pPr>
          </w:p>
        </w:tc>
        <w:tc>
          <w:tcPr>
            <w:tcW w:w="7451" w:type="dxa"/>
            <w:vAlign w:val="center"/>
          </w:tcPr>
          <w:p w14:paraId="39B9D968" w14:textId="004A147B" w:rsidR="0097136C" w:rsidRPr="003B3750" w:rsidRDefault="00000000" w:rsidP="00F22A75">
            <w:pPr>
              <w:pStyle w:val="Equation"/>
              <w:spacing w:before="0" w:after="0" w:line="480" w:lineRule="auto"/>
            </w:pPr>
            <m:oMathPara>
              <m:oMath>
                <m:acc>
                  <m:accPr>
                    <m:chr m:val="̅"/>
                    <m:ctrlPr>
                      <w:rPr>
                        <w:rFonts w:ascii="Cambria Math" w:hAnsi="Cambria Math"/>
                      </w:rPr>
                    </m:ctrlPr>
                  </m:accPr>
                  <m:e>
                    <m:r>
                      <w:rPr>
                        <w:rFonts w:ascii="Cambria Math" w:hAnsi="Cambria Math"/>
                      </w:rPr>
                      <m:t>Y</m:t>
                    </m:r>
                  </m:e>
                </m:acc>
                <m:r>
                  <m:rPr>
                    <m:sty m:val="p"/>
                  </m:rPr>
                  <w:rPr>
                    <w:rFonts w:ascii="Cambria Math" w:hAnsi="Cambria Math"/>
                  </w:rPr>
                  <m:t>=</m:t>
                </m:r>
                <m:f>
                  <m:fPr>
                    <m:ctrlPr>
                      <w:rPr>
                        <w:rFonts w:ascii="Cambria Math" w:hAnsi="Cambria Math"/>
                      </w:rPr>
                    </m:ctrlPr>
                  </m:fPr>
                  <m:num>
                    <m:r>
                      <m:rPr>
                        <m:sty m:val="p"/>
                      </m:rPr>
                      <w:rPr>
                        <w:rFonts w:ascii="Cambria Math" w:hAnsi="Cambria Math"/>
                      </w:rPr>
                      <m:t>1</m:t>
                    </m:r>
                  </m:num>
                  <m:den>
                    <m:r>
                      <w:rPr>
                        <w:rFonts w:ascii="Cambria Math" w:hAnsi="Cambria Math"/>
                      </w:rPr>
                      <m:t>N</m:t>
                    </m:r>
                  </m:den>
                </m:f>
                <m:nary>
                  <m:naryPr>
                    <m:chr m:val="∑"/>
                    <m:limLoc m:val="undOvr"/>
                    <m:ctrlPr>
                      <w:rPr>
                        <w:rFonts w:ascii="Cambria Math" w:hAnsi="Cambria Math"/>
                      </w:rPr>
                    </m:ctrlPr>
                  </m:naryPr>
                  <m:sub>
                    <m:r>
                      <w:rPr>
                        <w:rFonts w:ascii="Cambria Math" w:hAnsi="Cambria Math"/>
                      </w:rPr>
                      <m:t>i</m:t>
                    </m:r>
                    <m:r>
                      <m:rPr>
                        <m:sty m:val="p"/>
                      </m:rPr>
                      <w:rPr>
                        <w:rFonts w:ascii="Cambria Math" w:hAnsi="Cambria Math"/>
                      </w:rPr>
                      <m:t>=1</m:t>
                    </m:r>
                  </m:sub>
                  <m:sup>
                    <m:r>
                      <w:rPr>
                        <w:rFonts w:ascii="Cambria Math" w:hAnsi="Cambria Math"/>
                      </w:rPr>
                      <m:t>N</m:t>
                    </m:r>
                  </m:sup>
                  <m:e>
                    <m:sSub>
                      <m:sSubPr>
                        <m:ctrlPr>
                          <w:rPr>
                            <w:rFonts w:ascii="Cambria Math" w:hAnsi="Cambria Math"/>
                          </w:rPr>
                        </m:ctrlPr>
                      </m:sSubPr>
                      <m:e>
                        <m:r>
                          <w:rPr>
                            <w:rFonts w:ascii="Cambria Math" w:hAnsi="Cambria Math"/>
                          </w:rPr>
                          <m:t>Y</m:t>
                        </m:r>
                      </m:e>
                      <m:sub>
                        <m:r>
                          <w:rPr>
                            <w:rFonts w:ascii="Cambria Math" w:hAnsi="Cambria Math"/>
                          </w:rPr>
                          <m:t>i</m:t>
                        </m:r>
                      </m:sub>
                    </m:sSub>
                  </m:e>
                </m:nary>
              </m:oMath>
            </m:oMathPara>
          </w:p>
        </w:tc>
        <w:tc>
          <w:tcPr>
            <w:tcW w:w="561" w:type="dxa"/>
            <w:vAlign w:val="center"/>
          </w:tcPr>
          <w:p w14:paraId="29D630D7" w14:textId="7A8733B4" w:rsidR="0097136C" w:rsidRPr="003B3750" w:rsidRDefault="00BF7E93" w:rsidP="00F22A75">
            <w:pPr>
              <w:pStyle w:val="Equation"/>
              <w:spacing w:before="0" w:after="0" w:line="480" w:lineRule="auto"/>
            </w:pPr>
            <w:fldSimple w:instr=" SEQ Equation \* ARABIC ">
              <w:r>
                <w:rPr>
                  <w:noProof/>
                </w:rPr>
                <w:t>6</w:t>
              </w:r>
            </w:fldSimple>
          </w:p>
        </w:tc>
      </w:tr>
      <w:tr w:rsidR="0097136C" w:rsidRPr="003B3750" w14:paraId="4CBB40E7" w14:textId="77777777" w:rsidTr="00694572">
        <w:tc>
          <w:tcPr>
            <w:tcW w:w="590" w:type="dxa"/>
            <w:vAlign w:val="center"/>
          </w:tcPr>
          <w:p w14:paraId="74BD9D93" w14:textId="77777777" w:rsidR="0097136C" w:rsidRPr="00E1335E" w:rsidRDefault="0097136C" w:rsidP="00F22A75">
            <w:pPr>
              <w:pStyle w:val="Equation"/>
              <w:spacing w:before="0" w:after="0" w:line="480" w:lineRule="auto"/>
            </w:pPr>
          </w:p>
        </w:tc>
        <w:tc>
          <w:tcPr>
            <w:tcW w:w="7451" w:type="dxa"/>
            <w:vAlign w:val="center"/>
          </w:tcPr>
          <w:p w14:paraId="2953152D" w14:textId="38821982" w:rsidR="0097136C" w:rsidRPr="003B3750" w:rsidRDefault="005C154F" w:rsidP="00F22A75">
            <w:pPr>
              <w:pStyle w:val="Equation"/>
              <w:spacing w:before="0" w:after="0" w:line="480" w:lineRule="auto"/>
            </w:pPr>
            <m:oMathPara>
              <m:oMath>
                <m:r>
                  <m:rPr>
                    <m:sty m:val="p"/>
                  </m:rPr>
                  <w:rPr>
                    <w:rFonts w:ascii="Cambria Math" w:hAnsi="Cambria Math"/>
                  </w:rPr>
                  <m:t>r=</m:t>
                </m:r>
                <m:f>
                  <m:fPr>
                    <m:ctrlPr>
                      <w:rPr>
                        <w:rFonts w:ascii="Cambria Math" w:hAnsi="Cambria Math"/>
                      </w:rPr>
                    </m:ctrlPr>
                  </m:fPr>
                  <m:num>
                    <m:nary>
                      <m:naryPr>
                        <m:chr m:val="∑"/>
                        <m:limLoc m:val="subSup"/>
                        <m:ctrlPr>
                          <w:rPr>
                            <w:rFonts w:ascii="Cambria Math" w:hAnsi="Cambria Math"/>
                          </w:rPr>
                        </m:ctrlPr>
                      </m:naryPr>
                      <m:sub>
                        <m:r>
                          <w:rPr>
                            <w:rFonts w:ascii="Cambria Math" w:hAnsi="Cambria Math"/>
                          </w:rPr>
                          <m:t>i</m:t>
                        </m:r>
                        <m:r>
                          <m:rPr>
                            <m:sty m:val="p"/>
                          </m:rPr>
                          <w:rPr>
                            <w:rFonts w:ascii="Cambria Math" w:hAnsi="Cambria Math"/>
                          </w:rPr>
                          <m:t>=1</m:t>
                        </m:r>
                      </m:sub>
                      <m:sup>
                        <m:r>
                          <w:rPr>
                            <w:rFonts w:ascii="Cambria Math" w:hAnsi="Cambria Math"/>
                          </w:rPr>
                          <m:t>N</m:t>
                        </m:r>
                      </m:sup>
                      <m:e>
                        <m:d>
                          <m:dPr>
                            <m:begChr m:val="{"/>
                            <m:endChr m:val="}"/>
                            <m:ctrlPr>
                              <w:rPr>
                                <w:rFonts w:ascii="Cambria Math" w:hAnsi="Cambria Math"/>
                              </w:rPr>
                            </m:ctrlPr>
                          </m:dPr>
                          <m:e>
                            <m:d>
                              <m:dPr>
                                <m:ctrlPr>
                                  <w:rPr>
                                    <w:rFonts w:ascii="Cambria Math" w:hAnsi="Cambria Math"/>
                                  </w:rPr>
                                </m:ctrlPr>
                              </m:dPr>
                              <m:e>
                                <m:sSub>
                                  <m:sSubPr>
                                    <m:ctrlPr>
                                      <w:rPr>
                                        <w:rFonts w:ascii="Cambria Math" w:hAnsi="Cambria Math"/>
                                      </w:rPr>
                                    </m:ctrlPr>
                                  </m:sSubPr>
                                  <m:e>
                                    <m:r>
                                      <w:rPr>
                                        <w:rFonts w:ascii="Cambria Math" w:hAnsi="Cambria Math"/>
                                      </w:rPr>
                                      <m:t>X</m:t>
                                    </m:r>
                                  </m:e>
                                  <m:sub>
                                    <m:r>
                                      <w:rPr>
                                        <w:rFonts w:ascii="Cambria Math" w:hAnsi="Cambria Math"/>
                                      </w:rPr>
                                      <m:t>i</m:t>
                                    </m:r>
                                  </m:sub>
                                </m:sSub>
                                <m:r>
                                  <m:rPr>
                                    <m:sty m:val="p"/>
                                  </m:rPr>
                                  <w:rPr>
                                    <w:rFonts w:ascii="Cambria Math" w:hAnsi="Cambria Math"/>
                                  </w:rPr>
                                  <m:t>-</m:t>
                                </m:r>
                                <m:acc>
                                  <m:accPr>
                                    <m:chr m:val="̅"/>
                                    <m:ctrlPr>
                                      <w:rPr>
                                        <w:rFonts w:ascii="Cambria Math" w:hAnsi="Cambria Math"/>
                                      </w:rPr>
                                    </m:ctrlPr>
                                  </m:accPr>
                                  <m:e>
                                    <m:r>
                                      <w:rPr>
                                        <w:rFonts w:ascii="Cambria Math" w:hAnsi="Cambria Math"/>
                                      </w:rPr>
                                      <m:t>X</m:t>
                                    </m:r>
                                  </m:e>
                                </m:acc>
                              </m:e>
                            </m:d>
                            <m:d>
                              <m:dPr>
                                <m:ctrlPr>
                                  <w:rPr>
                                    <w:rFonts w:ascii="Cambria Math" w:hAnsi="Cambria Math"/>
                                  </w:rPr>
                                </m:ctrlPr>
                              </m:dPr>
                              <m:e>
                                <m:sSub>
                                  <m:sSubPr>
                                    <m:ctrlPr>
                                      <w:rPr>
                                        <w:rFonts w:ascii="Cambria Math" w:hAnsi="Cambria Math"/>
                                      </w:rPr>
                                    </m:ctrlPr>
                                  </m:sSubPr>
                                  <m:e>
                                    <m:r>
                                      <w:rPr>
                                        <w:rFonts w:ascii="Cambria Math" w:hAnsi="Cambria Math"/>
                                      </w:rPr>
                                      <m:t>Y</m:t>
                                    </m:r>
                                  </m:e>
                                  <m:sub>
                                    <m:r>
                                      <w:rPr>
                                        <w:rFonts w:ascii="Cambria Math" w:hAnsi="Cambria Math"/>
                                      </w:rPr>
                                      <m:t>i</m:t>
                                    </m:r>
                                  </m:sub>
                                </m:sSub>
                                <m:r>
                                  <m:rPr>
                                    <m:sty m:val="p"/>
                                  </m:rPr>
                                  <w:rPr>
                                    <w:rFonts w:ascii="Cambria Math" w:hAnsi="Cambria Math"/>
                                  </w:rPr>
                                  <m:t>-</m:t>
                                </m:r>
                                <m:acc>
                                  <m:accPr>
                                    <m:chr m:val="̅"/>
                                    <m:ctrlPr>
                                      <w:rPr>
                                        <w:rFonts w:ascii="Cambria Math" w:hAnsi="Cambria Math"/>
                                      </w:rPr>
                                    </m:ctrlPr>
                                  </m:accPr>
                                  <m:e>
                                    <m:r>
                                      <w:rPr>
                                        <w:rFonts w:ascii="Cambria Math" w:hAnsi="Cambria Math"/>
                                      </w:rPr>
                                      <m:t>Y</m:t>
                                    </m:r>
                                  </m:e>
                                </m:acc>
                              </m:e>
                            </m:d>
                          </m:e>
                        </m:d>
                      </m:e>
                    </m:nary>
                  </m:num>
                  <m:den>
                    <m:rad>
                      <m:radPr>
                        <m:degHide m:val="1"/>
                        <m:ctrlPr>
                          <w:rPr>
                            <w:rFonts w:ascii="Cambria Math" w:hAnsi="Cambria Math"/>
                          </w:rPr>
                        </m:ctrlPr>
                      </m:radPr>
                      <m:deg/>
                      <m:e>
                        <m:nary>
                          <m:naryPr>
                            <m:chr m:val="∑"/>
                            <m:limLoc m:val="subSup"/>
                            <m:ctrlPr>
                              <w:rPr>
                                <w:rFonts w:ascii="Cambria Math" w:hAnsi="Cambria Math"/>
                              </w:rPr>
                            </m:ctrlPr>
                          </m:naryPr>
                          <m:sub>
                            <m:r>
                              <w:rPr>
                                <w:rFonts w:ascii="Cambria Math" w:hAnsi="Cambria Math"/>
                              </w:rPr>
                              <m:t>i</m:t>
                            </m:r>
                            <m:r>
                              <m:rPr>
                                <m:sty m:val="p"/>
                              </m:rPr>
                              <w:rPr>
                                <w:rFonts w:ascii="Cambria Math" w:hAnsi="Cambria Math"/>
                              </w:rPr>
                              <m:t>=1</m:t>
                            </m:r>
                          </m:sub>
                          <m:sup>
                            <m:r>
                              <w:rPr>
                                <w:rFonts w:ascii="Cambria Math" w:hAnsi="Cambria Math"/>
                              </w:rPr>
                              <m:t>N</m:t>
                            </m:r>
                          </m:sup>
                          <m:e>
                            <m:sSup>
                              <m:sSupPr>
                                <m:ctrlPr>
                                  <w:rPr>
                                    <w:rFonts w:ascii="Cambria Math" w:hAnsi="Cambria Math"/>
                                  </w:rPr>
                                </m:ctrlPr>
                              </m:sSupPr>
                              <m:e>
                                <m:d>
                                  <m:dPr>
                                    <m:ctrlPr>
                                      <w:rPr>
                                        <w:rFonts w:ascii="Cambria Math" w:hAnsi="Cambria Math"/>
                                      </w:rPr>
                                    </m:ctrlPr>
                                  </m:dPr>
                                  <m:e>
                                    <m:sSub>
                                      <m:sSubPr>
                                        <m:ctrlPr>
                                          <w:rPr>
                                            <w:rFonts w:ascii="Cambria Math" w:hAnsi="Cambria Math"/>
                                          </w:rPr>
                                        </m:ctrlPr>
                                      </m:sSubPr>
                                      <m:e>
                                        <m:r>
                                          <w:rPr>
                                            <w:rFonts w:ascii="Cambria Math" w:hAnsi="Cambria Math"/>
                                          </w:rPr>
                                          <m:t>X</m:t>
                                        </m:r>
                                      </m:e>
                                      <m:sub>
                                        <m:r>
                                          <w:rPr>
                                            <w:rFonts w:ascii="Cambria Math" w:hAnsi="Cambria Math"/>
                                          </w:rPr>
                                          <m:t>i</m:t>
                                        </m:r>
                                      </m:sub>
                                    </m:sSub>
                                    <m:r>
                                      <m:rPr>
                                        <m:sty m:val="p"/>
                                      </m:rPr>
                                      <w:rPr>
                                        <w:rFonts w:ascii="Cambria Math" w:hAnsi="Cambria Math"/>
                                      </w:rPr>
                                      <m:t>-</m:t>
                                    </m:r>
                                    <m:acc>
                                      <m:accPr>
                                        <m:chr m:val="̅"/>
                                        <m:ctrlPr>
                                          <w:rPr>
                                            <w:rFonts w:ascii="Cambria Math" w:hAnsi="Cambria Math"/>
                                          </w:rPr>
                                        </m:ctrlPr>
                                      </m:accPr>
                                      <m:e>
                                        <m:r>
                                          <w:rPr>
                                            <w:rFonts w:ascii="Cambria Math" w:hAnsi="Cambria Math"/>
                                          </w:rPr>
                                          <m:t>X</m:t>
                                        </m:r>
                                      </m:e>
                                    </m:acc>
                                  </m:e>
                                </m:d>
                              </m:e>
                              <m:sup>
                                <m:r>
                                  <m:rPr>
                                    <m:sty m:val="p"/>
                                  </m:rPr>
                                  <w:rPr>
                                    <w:rFonts w:ascii="Cambria Math" w:hAnsi="Cambria Math"/>
                                  </w:rPr>
                                  <m:t>2</m:t>
                                </m:r>
                              </m:sup>
                            </m:sSup>
                          </m:e>
                        </m:nary>
                      </m:e>
                    </m:rad>
                    <m:rad>
                      <m:radPr>
                        <m:degHide m:val="1"/>
                        <m:ctrlPr>
                          <w:rPr>
                            <w:rFonts w:ascii="Cambria Math" w:hAnsi="Cambria Math"/>
                          </w:rPr>
                        </m:ctrlPr>
                      </m:radPr>
                      <m:deg/>
                      <m:e>
                        <m:nary>
                          <m:naryPr>
                            <m:chr m:val="∑"/>
                            <m:limLoc m:val="subSup"/>
                            <m:ctrlPr>
                              <w:rPr>
                                <w:rFonts w:ascii="Cambria Math" w:hAnsi="Cambria Math"/>
                              </w:rPr>
                            </m:ctrlPr>
                          </m:naryPr>
                          <m:sub>
                            <m:r>
                              <w:rPr>
                                <w:rFonts w:ascii="Cambria Math" w:hAnsi="Cambria Math"/>
                              </w:rPr>
                              <m:t>i</m:t>
                            </m:r>
                            <m:r>
                              <m:rPr>
                                <m:sty m:val="p"/>
                              </m:rPr>
                              <w:rPr>
                                <w:rFonts w:ascii="Cambria Math" w:hAnsi="Cambria Math"/>
                              </w:rPr>
                              <m:t>=1</m:t>
                            </m:r>
                          </m:sub>
                          <m:sup>
                            <m:r>
                              <w:rPr>
                                <w:rFonts w:ascii="Cambria Math" w:hAnsi="Cambria Math"/>
                              </w:rPr>
                              <m:t>N</m:t>
                            </m:r>
                          </m:sup>
                          <m:e>
                            <m:sSup>
                              <m:sSupPr>
                                <m:ctrlPr>
                                  <w:rPr>
                                    <w:rFonts w:ascii="Cambria Math" w:hAnsi="Cambria Math"/>
                                  </w:rPr>
                                </m:ctrlPr>
                              </m:sSupPr>
                              <m:e>
                                <m:d>
                                  <m:dPr>
                                    <m:ctrlPr>
                                      <w:rPr>
                                        <w:rFonts w:ascii="Cambria Math" w:hAnsi="Cambria Math"/>
                                      </w:rPr>
                                    </m:ctrlPr>
                                  </m:dPr>
                                  <m:e>
                                    <m:sSub>
                                      <m:sSubPr>
                                        <m:ctrlPr>
                                          <w:rPr>
                                            <w:rFonts w:ascii="Cambria Math" w:hAnsi="Cambria Math"/>
                                          </w:rPr>
                                        </m:ctrlPr>
                                      </m:sSubPr>
                                      <m:e>
                                        <m:r>
                                          <w:rPr>
                                            <w:rFonts w:ascii="Cambria Math" w:hAnsi="Cambria Math"/>
                                          </w:rPr>
                                          <m:t>Y</m:t>
                                        </m:r>
                                      </m:e>
                                      <m:sub>
                                        <m:r>
                                          <w:rPr>
                                            <w:rFonts w:ascii="Cambria Math" w:hAnsi="Cambria Math"/>
                                          </w:rPr>
                                          <m:t>i</m:t>
                                        </m:r>
                                      </m:sub>
                                    </m:sSub>
                                    <m:r>
                                      <m:rPr>
                                        <m:sty m:val="p"/>
                                      </m:rPr>
                                      <w:rPr>
                                        <w:rFonts w:ascii="Cambria Math" w:hAnsi="Cambria Math"/>
                                      </w:rPr>
                                      <m:t>-</m:t>
                                    </m:r>
                                    <m:acc>
                                      <m:accPr>
                                        <m:chr m:val="̅"/>
                                        <m:ctrlPr>
                                          <w:rPr>
                                            <w:rFonts w:ascii="Cambria Math" w:hAnsi="Cambria Math"/>
                                          </w:rPr>
                                        </m:ctrlPr>
                                      </m:accPr>
                                      <m:e>
                                        <m:r>
                                          <w:rPr>
                                            <w:rFonts w:ascii="Cambria Math" w:hAnsi="Cambria Math"/>
                                          </w:rPr>
                                          <m:t>Y</m:t>
                                        </m:r>
                                      </m:e>
                                    </m:acc>
                                  </m:e>
                                </m:d>
                              </m:e>
                              <m:sup>
                                <m:r>
                                  <m:rPr>
                                    <m:sty m:val="p"/>
                                  </m:rPr>
                                  <w:rPr>
                                    <w:rFonts w:ascii="Cambria Math" w:hAnsi="Cambria Math"/>
                                  </w:rPr>
                                  <m:t>2</m:t>
                                </m:r>
                              </m:sup>
                            </m:sSup>
                          </m:e>
                        </m:nary>
                      </m:e>
                    </m:rad>
                  </m:den>
                </m:f>
              </m:oMath>
            </m:oMathPara>
          </w:p>
        </w:tc>
        <w:tc>
          <w:tcPr>
            <w:tcW w:w="561" w:type="dxa"/>
            <w:vAlign w:val="center"/>
          </w:tcPr>
          <w:p w14:paraId="73603417" w14:textId="5D2F974F" w:rsidR="0097136C" w:rsidRPr="003B3750" w:rsidRDefault="00BF7E93" w:rsidP="00F22A75">
            <w:pPr>
              <w:pStyle w:val="Equation"/>
              <w:spacing w:before="0" w:after="0" w:line="480" w:lineRule="auto"/>
            </w:pPr>
            <w:fldSimple w:instr=" SEQ Equation \* ARABIC ">
              <w:r>
                <w:rPr>
                  <w:noProof/>
                </w:rPr>
                <w:t>7</w:t>
              </w:r>
            </w:fldSimple>
          </w:p>
        </w:tc>
      </w:tr>
    </w:tbl>
    <w:p w14:paraId="7C42F3D9" w14:textId="3F4C6B9C" w:rsidR="007731E5" w:rsidRDefault="00587F0E" w:rsidP="00F22A75">
      <w:r>
        <w:t xml:space="preserve">As the value of an input variable increases, the output will either increase, decrease, or stay constant, resulting in a PPMCC with a positive value, negative value, or a value of 0, respectfully. Values of the PPMCC are based on a relative scale of linearity between the </w:t>
      </w:r>
      <w:r>
        <w:lastRenderedPageBreak/>
        <w:t>input variable and output variable. More specifically, trends that approach a straight line will lie closer to 1 or -1, while less linear behavior, approaching random scatters</w:t>
      </w:r>
      <w:r w:rsidR="007731E5">
        <w:t xml:space="preserve"> surrounding the trend line</w:t>
      </w:r>
      <w:r>
        <w:t xml:space="preserve">, will fall closer to 0. </w:t>
      </w:r>
    </w:p>
    <w:p w14:paraId="789BC7D2" w14:textId="6A3B04A2" w:rsidR="00E6435D" w:rsidRDefault="007731E5" w:rsidP="00F22A75">
      <w:r>
        <w:t>Although the</w:t>
      </w:r>
      <w:r w:rsidR="00587F0E">
        <w:t xml:space="preserve"> PPMCC will allow us to determine if the</w:t>
      </w:r>
      <w:r>
        <w:t xml:space="preserve"> trend is linear, there</w:t>
      </w:r>
      <w:r w:rsidR="00587F0E">
        <w:t xml:space="preserve"> is </w:t>
      </w:r>
      <w:r>
        <w:t xml:space="preserve">no measure of magnitude of the distribution in the outputs. This can be better estimated using the value of </w:t>
      </w:r>
      <w:r w:rsidRPr="007731E5">
        <w:t>r</w:t>
      </w:r>
      <w:r>
        <w:rPr>
          <w:vertAlign w:val="superscript"/>
        </w:rPr>
        <w:t>2</w:t>
      </w:r>
      <w:r>
        <w:t xml:space="preserve"> which is known as the coefficient of determination although the magnitude of the Pearson coefficient is sufficient for determining sensitivity. </w:t>
      </w:r>
      <w:r w:rsidR="00587F0E">
        <w:t xml:space="preserve">We assume that to have at least weak linearity, the PPMCC of an input parameter must be above 0.2 or below -0.2 which is between the two bottom ranges presented in Schober et al. </w:t>
      </w:r>
      <w:r w:rsidR="00587F0E">
        <w:fldChar w:fldCharType="begin"/>
      </w:r>
      <w:r w:rsidR="001457CB">
        <w:instrText xml:space="preserve"> ADDIN EN.CITE &lt;EndNote&gt;&lt;Cite&gt;&lt;Author&gt;Schober&lt;/Author&gt;&lt;Year&gt;2018&lt;/Year&gt;&lt;RecNum&gt;256&lt;/RecNum&gt;&lt;DisplayText&gt;[39]&lt;/DisplayText&gt;&lt;record&gt;&lt;rec-number&gt;256&lt;/rec-number&gt;&lt;foreign-keys&gt;&lt;key app="EN" db-id="eseee05sfe5vt6efvr0xapvq20vfdsfp5fvf" timestamp="1672456485" guid="7e65127b-2f60-433c-9f50-4ea46064b53a"&gt;256&lt;/key&gt;&lt;/foreign-keys&gt;&lt;ref-type name="Journal Article"&gt;17&lt;/ref-type&gt;&lt;contributors&gt;&lt;authors&gt;&lt;author&gt;Patrick Schober&lt;/author&gt;&lt;author&gt;Christa Boer&lt;/author&gt;&lt;author&gt;Lothar A Schwarte&lt;/author&gt;&lt;/authors&gt;&lt;/contributors&gt;&lt;titles&gt;&lt;title&gt;Correlation Coefficients: Appropriate Use and Interpretation&lt;/title&gt;&lt;secondary-title&gt;Anesthesia &amp;amp; Analgesia&lt;/secondary-title&gt;&lt;/titles&gt;&lt;periodical&gt;&lt;full-title&gt;Anesthesia &amp;amp; Analgesia&lt;/full-title&gt;&lt;/periodical&gt;&lt;pages&gt;1763-1768&lt;/pages&gt;&lt;volume&gt;126&lt;/volume&gt;&lt;number&gt;5&lt;/number&gt;&lt;dates&gt;&lt;year&gt;2018&lt;/year&gt;&lt;/dates&gt;&lt;urls&gt;&lt;/urls&gt;&lt;electronic-resource-num&gt;https://doi.org/10.1213/ANE.0000000000002864&lt;/electronic-resource-num&gt;&lt;/record&gt;&lt;/Cite&gt;&lt;/EndNote&gt;</w:instrText>
      </w:r>
      <w:r w:rsidR="00587F0E">
        <w:fldChar w:fldCharType="separate"/>
      </w:r>
      <w:r w:rsidR="001457CB">
        <w:rPr>
          <w:noProof/>
        </w:rPr>
        <w:t>[39]</w:t>
      </w:r>
      <w:r w:rsidR="00587F0E">
        <w:fldChar w:fldCharType="end"/>
      </w:r>
      <w:r w:rsidR="00587F0E">
        <w:t xml:space="preserve">. It is important to note that a Pearson coefficient outside the threshold for linearity does not necessarily mean that the inputs and outputs are not correlated so it is important to also plot the sampled data for additional analysis </w:t>
      </w:r>
      <w:r w:rsidR="00587F0E">
        <w:fldChar w:fldCharType="begin"/>
      </w:r>
      <w:r w:rsidR="001457CB">
        <w:instrText xml:space="preserve"> ADDIN EN.CITE &lt;EndNote&gt;&lt;Cite&gt;&lt;Author&gt;Schober&lt;/Author&gt;&lt;Year&gt;2018&lt;/Year&gt;&lt;RecNum&gt;256&lt;/RecNum&gt;&lt;DisplayText&gt;[39]&lt;/DisplayText&gt;&lt;record&gt;&lt;rec-number&gt;256&lt;/rec-number&gt;&lt;foreign-keys&gt;&lt;key app="EN" db-id="eseee05sfe5vt6efvr0xapvq20vfdsfp5fvf" timestamp="1672456485" guid="7e65127b-2f60-433c-9f50-4ea46064b53a"&gt;256&lt;/key&gt;&lt;/foreign-keys&gt;&lt;ref-type name="Journal Article"&gt;17&lt;/ref-type&gt;&lt;contributors&gt;&lt;authors&gt;&lt;author&gt;Patrick Schober&lt;/author&gt;&lt;author&gt;Christa Boer&lt;/author&gt;&lt;author&gt;Lothar A Schwarte&lt;/author&gt;&lt;/authors&gt;&lt;/contributors&gt;&lt;titles&gt;&lt;title&gt;Correlation Coefficients: Appropriate Use and Interpretation&lt;/title&gt;&lt;secondary-title&gt;Anesthesia &amp;amp; Analgesia&lt;/secondary-title&gt;&lt;/titles&gt;&lt;periodical&gt;&lt;full-title&gt;Anesthesia &amp;amp; Analgesia&lt;/full-title&gt;&lt;/periodical&gt;&lt;pages&gt;1763-1768&lt;/pages&gt;&lt;volume&gt;126&lt;/volume&gt;&lt;number&gt;5&lt;/number&gt;&lt;dates&gt;&lt;year&gt;2018&lt;/year&gt;&lt;/dates&gt;&lt;urls&gt;&lt;/urls&gt;&lt;electronic-resource-num&gt;https://doi.org/10.1213/ANE.0000000000002864&lt;/electronic-resource-num&gt;&lt;/record&gt;&lt;/Cite&gt;&lt;/EndNote&gt;</w:instrText>
      </w:r>
      <w:r w:rsidR="00587F0E">
        <w:fldChar w:fldCharType="separate"/>
      </w:r>
      <w:r w:rsidR="001457CB">
        <w:rPr>
          <w:noProof/>
        </w:rPr>
        <w:t>[39]</w:t>
      </w:r>
      <w:r w:rsidR="00587F0E">
        <w:fldChar w:fldCharType="end"/>
      </w:r>
      <w:r w:rsidR="00587F0E">
        <w:t xml:space="preserve">. This is especially important since any trend that is periodic, exponential, discontinuous, etc. will give an unreliable PPMCC. </w:t>
      </w:r>
    </w:p>
    <w:p w14:paraId="1AE124E5" w14:textId="5426B38A" w:rsidR="00E6435D" w:rsidRDefault="00E6435D" w:rsidP="00F22A75">
      <w:pPr>
        <w:pStyle w:val="Heading3"/>
        <w:spacing w:before="0" w:after="0"/>
      </w:pPr>
      <w:bookmarkStart w:id="21" w:name="_Toc202957447"/>
      <w:r>
        <w:t>Sobol Sensitivity Analysis</w:t>
      </w:r>
      <w:bookmarkEnd w:id="21"/>
    </w:p>
    <w:p w14:paraId="51EC774A" w14:textId="519C2265" w:rsidR="008415D4" w:rsidRDefault="00B13529" w:rsidP="00F22A75">
      <w:r>
        <w:t>Another method for global sensitivity analysis is the</w:t>
      </w:r>
      <w:r w:rsidR="00B045C3" w:rsidRPr="00967E50">
        <w:t xml:space="preserve"> Sobol sensitivity method</w:t>
      </w:r>
      <w:r>
        <w:t xml:space="preserve"> </w:t>
      </w:r>
      <w:r>
        <w:fldChar w:fldCharType="begin"/>
      </w:r>
      <w:r w:rsidR="001457CB">
        <w:instrText xml:space="preserve"> ADDIN EN.CITE &lt;EndNote&gt;&lt;Cite&gt;&lt;Author&gt;Sobol&lt;/Author&gt;&lt;Year&gt;1993&lt;/Year&gt;&lt;RecNum&gt;250&lt;/RecNum&gt;&lt;DisplayText&gt;[41]&lt;/DisplayText&gt;&lt;record&gt;&lt;rec-number&gt;250&lt;/rec-number&gt;&lt;foreign-keys&gt;&lt;key app="EN" db-id="eseee05sfe5vt6efvr0xapvq20vfdsfp5fvf" timestamp="1671688347" guid="3b1673e5-940b-4477-9213-7c3d36ac5c24"&gt;250&lt;/key&gt;&lt;/foreign-keys&gt;&lt;ref-type name="Journal Article"&gt;17&lt;/ref-type&gt;&lt;contributors&gt;&lt;authors&gt;&lt;author&gt;I M Sobol&lt;/author&gt;&lt;/authors&gt;&lt;/contributors&gt;&lt;titles&gt;&lt;title&gt;Sensitivity Estimates for Nonlinear Mathematical Models&lt;/title&gt;&lt;secondary-title&gt;Mathematical Modelling and Computational Experiments&lt;/secondary-title&gt;&lt;/titles&gt;&lt;periodical&gt;&lt;full-title&gt;Mathematical Modelling and Computational Experiments&lt;/full-title&gt;&lt;/periodical&gt;&lt;pages&gt;407-414&lt;/pages&gt;&lt;volume&gt;4&lt;/volume&gt;&lt;section&gt;407&lt;/section&gt;&lt;dates&gt;&lt;year&gt;1993&lt;/year&gt;&lt;/dates&gt;&lt;urls&gt;&lt;/urls&gt;&lt;/record&gt;&lt;/Cite&gt;&lt;/EndNote&gt;</w:instrText>
      </w:r>
      <w:r>
        <w:fldChar w:fldCharType="separate"/>
      </w:r>
      <w:r w:rsidR="001457CB">
        <w:rPr>
          <w:noProof/>
        </w:rPr>
        <w:t>[41]</w:t>
      </w:r>
      <w:r>
        <w:fldChar w:fldCharType="end"/>
      </w:r>
      <w:r>
        <w:t>.</w:t>
      </w:r>
      <w:r w:rsidR="00B045C3" w:rsidRPr="00967E50">
        <w:t xml:space="preserve"> </w:t>
      </w:r>
      <w:r w:rsidR="00C10B1A">
        <w:t xml:space="preserve">This is a method focused on variance reduction which assesses how much the variance of the output would decrease if we can decrease the variance of an input parameter or group of input parameters </w:t>
      </w:r>
      <w:r w:rsidR="00C10B1A">
        <w:fldChar w:fldCharType="begin"/>
      </w:r>
      <w:r w:rsidR="001457CB">
        <w:instrText xml:space="preserve"> ADDIN EN.CITE &lt;EndNote&gt;&lt;Cite&gt;&lt;Author&gt;Borgonovo&lt;/Author&gt;&lt;Year&gt;2016&lt;/Year&gt;&lt;RecNum&gt;404&lt;/RecNum&gt;&lt;DisplayText&gt;[33]&lt;/DisplayText&gt;&lt;record&gt;&lt;rec-number&gt;404&lt;/rec-number&gt;&lt;foreign-keys&gt;&lt;key app="EN" db-id="eseee05sfe5vt6efvr0xapvq20vfdsfp5fvf" timestamp="1709060580"&gt;404&lt;/key&gt;&lt;/foreign-keys&gt;&lt;ref-type name="Journal Article"&gt;17&lt;/ref-type&gt;&lt;contributors&gt;&lt;authors&gt;&lt;author&gt;Borgonovo, Emanuele&lt;/author&gt;&lt;author&gt;Plischke, Elmar&lt;/author&gt;&lt;/authors&gt;&lt;/contributors&gt;&lt;titles&gt;&lt;title&gt;Sensitivity analysis: A review of recent advances&lt;/title&gt;&lt;secondary-title&gt;European Journal of Operational Research&lt;/secondary-title&gt;&lt;/titles&gt;&lt;periodical&gt;&lt;full-title&gt;European Journal of Operational Research&lt;/full-title&gt;&lt;/periodical&gt;&lt;pages&gt;869-887&lt;/pages&gt;&lt;volume&gt;248&lt;/volume&gt;&lt;number&gt;3&lt;/number&gt;&lt;keywords&gt;&lt;keyword&gt;Sensitivity analysis&lt;/keyword&gt;&lt;keyword&gt;Simulation&lt;/keyword&gt;&lt;keyword&gt;Computer experiments&lt;/keyword&gt;&lt;/keywords&gt;&lt;dates&gt;&lt;year&gt;2016&lt;/year&gt;&lt;pub-dates&gt;&lt;date&gt;2016/02/01/&lt;/date&gt;&lt;/pub-dates&gt;&lt;/dates&gt;&lt;isbn&gt;0377-2217&lt;/isbn&gt;&lt;urls&gt;&lt;related-urls&gt;&lt;url&gt;https://www.sciencedirect.com/science/article/pii/S0377221715005469&lt;/url&gt;&lt;/related-urls&gt;&lt;/urls&gt;&lt;electronic-resource-num&gt;https://doi.org/10.1016/j.ejor.2015.06.032&lt;/electronic-resource-num&gt;&lt;/record&gt;&lt;/Cite&gt;&lt;/EndNote&gt;</w:instrText>
      </w:r>
      <w:r w:rsidR="00C10B1A">
        <w:fldChar w:fldCharType="separate"/>
      </w:r>
      <w:r w:rsidR="001457CB">
        <w:rPr>
          <w:noProof/>
        </w:rPr>
        <w:t>[33]</w:t>
      </w:r>
      <w:r w:rsidR="00C10B1A">
        <w:fldChar w:fldCharType="end"/>
      </w:r>
      <w:r w:rsidR="00C10B1A">
        <w:t xml:space="preserve">. </w:t>
      </w:r>
      <w:r w:rsidR="00D97A8D">
        <w:t>Variance reduction methods</w:t>
      </w:r>
      <w:r w:rsidR="007C0DE1">
        <w:t xml:space="preserve"> such as the Sobol method</w:t>
      </w:r>
      <w:r w:rsidR="00D97A8D">
        <w:t xml:space="preserve"> typically </w:t>
      </w:r>
      <w:r w:rsidR="008415D4">
        <w:t>discretize the</w:t>
      </w:r>
      <w:r w:rsidR="00D97A8D">
        <w:t xml:space="preserve"> input space similar to the method of Morris and then approximate</w:t>
      </w:r>
      <w:r w:rsidR="008415D4">
        <w:t xml:space="preserve"> the variance of the output using a non-linear curve fit of the expected value of the output </w:t>
      </w:r>
      <w:r w:rsidR="008415D4">
        <w:fldChar w:fldCharType="begin"/>
      </w:r>
      <w:r w:rsidR="001457CB">
        <w:instrText xml:space="preserve"> ADDIN EN.CITE &lt;EndNote&gt;&lt;Cite&gt;&lt;Author&gt;Borgonovo&lt;/Author&gt;&lt;Year&gt;2016&lt;/Year&gt;&lt;RecNum&gt;404&lt;/RecNum&gt;&lt;DisplayText&gt;[33]&lt;/DisplayText&gt;&lt;record&gt;&lt;rec-number&gt;404&lt;/rec-number&gt;&lt;foreign-keys&gt;&lt;key app="EN" db-id="eseee05sfe5vt6efvr0xapvq20vfdsfp5fvf" timestamp="1709060580"&gt;404&lt;/key&gt;&lt;/foreign-keys&gt;&lt;ref-type name="Journal Article"&gt;17&lt;/ref-type&gt;&lt;contributors&gt;&lt;authors&gt;&lt;author&gt;Borgonovo, Emanuele&lt;/author&gt;&lt;author&gt;Plischke, Elmar&lt;/author&gt;&lt;/authors&gt;&lt;/contributors&gt;&lt;titles&gt;&lt;title&gt;Sensitivity analysis: A review of recent advances&lt;/title&gt;&lt;secondary-title&gt;European Journal of Operational Research&lt;/secondary-title&gt;&lt;/titles&gt;&lt;periodical&gt;&lt;full-title&gt;European Journal of Operational Research&lt;/full-title&gt;&lt;/periodical&gt;&lt;pages&gt;869-887&lt;/pages&gt;&lt;volume&gt;248&lt;/volume&gt;&lt;number&gt;3&lt;/number&gt;&lt;keywords&gt;&lt;keyword&gt;Sensitivity analysis&lt;/keyword&gt;&lt;keyword&gt;Simulation&lt;/keyword&gt;&lt;keyword&gt;Computer experiments&lt;/keyword&gt;&lt;/keywords&gt;&lt;dates&gt;&lt;year&gt;2016&lt;/year&gt;&lt;pub-dates&gt;&lt;date&gt;2016/02/01/&lt;/date&gt;&lt;/pub-dates&gt;&lt;/dates&gt;&lt;isbn&gt;0377-2217&lt;/isbn&gt;&lt;urls&gt;&lt;related-urls&gt;&lt;url&gt;https://www.sciencedirect.com/science/article/pii/S0377221715005469&lt;/url&gt;&lt;/related-urls&gt;&lt;/urls&gt;&lt;electronic-resource-num&gt;https://doi.org/10.1016/j.ejor.2015.06.032&lt;/electronic-resource-num&gt;&lt;/record&gt;&lt;/Cite&gt;&lt;/EndNote&gt;</w:instrText>
      </w:r>
      <w:r w:rsidR="008415D4">
        <w:fldChar w:fldCharType="separate"/>
      </w:r>
      <w:r w:rsidR="001457CB">
        <w:rPr>
          <w:noProof/>
        </w:rPr>
        <w:t>[33]</w:t>
      </w:r>
      <w:r w:rsidR="008415D4">
        <w:fldChar w:fldCharType="end"/>
      </w:r>
      <w:r w:rsidR="008415D4">
        <w:t>.</w:t>
      </w:r>
      <w:r w:rsidR="00D97A8D">
        <w:t xml:space="preserve"> </w:t>
      </w:r>
      <w:r w:rsidR="008415D4">
        <w:t xml:space="preserve">The </w:t>
      </w:r>
      <w:r w:rsidR="00741289">
        <w:t>curve fit</w:t>
      </w:r>
      <w:r w:rsidR="00694BBA">
        <w:t xml:space="preserve">, </w:t>
      </w:r>
      <w:r w:rsidR="00694BBA">
        <w:sym w:font="Symbol" w:char="F06A"/>
      </w:r>
      <w:r w:rsidR="00694BBA" w:rsidRPr="00694BBA">
        <w:rPr>
          <w:vertAlign w:val="subscript"/>
        </w:rPr>
        <w:sym w:font="Symbol" w:char="F061"/>
      </w:r>
      <w:r w:rsidR="00694BBA">
        <w:t>,</w:t>
      </w:r>
      <w:r w:rsidR="00741289">
        <w:t xml:space="preserve"> </w:t>
      </w:r>
      <w:r w:rsidR="008415D4">
        <w:t>is given by,</w:t>
      </w:r>
    </w:p>
    <w:tbl>
      <w:tblPr>
        <w:tblStyle w:val="TableGrid"/>
        <w:tblW w:w="86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0"/>
        <w:gridCol w:w="7451"/>
        <w:gridCol w:w="561"/>
      </w:tblGrid>
      <w:tr w:rsidR="008415D4" w:rsidRPr="003B3750" w14:paraId="1672F6C2" w14:textId="77777777" w:rsidTr="00694572">
        <w:tc>
          <w:tcPr>
            <w:tcW w:w="590" w:type="dxa"/>
            <w:vAlign w:val="center"/>
          </w:tcPr>
          <w:p w14:paraId="7B5EC08F" w14:textId="77777777" w:rsidR="008415D4" w:rsidRPr="00E1335E" w:rsidRDefault="008415D4" w:rsidP="00F22A75">
            <w:pPr>
              <w:pStyle w:val="Equation"/>
              <w:spacing w:before="0" w:after="0" w:line="480" w:lineRule="auto"/>
            </w:pPr>
          </w:p>
        </w:tc>
        <w:tc>
          <w:tcPr>
            <w:tcW w:w="7451" w:type="dxa"/>
            <w:vAlign w:val="center"/>
          </w:tcPr>
          <w:p w14:paraId="7D0E320B" w14:textId="64BD3B5E" w:rsidR="008415D4" w:rsidRPr="003B3750" w:rsidRDefault="00000000" w:rsidP="00F22A75">
            <w:pPr>
              <w:pStyle w:val="Equation"/>
              <w:spacing w:before="0" w:after="0" w:line="480" w:lineRule="auto"/>
            </w:pPr>
            <m:oMathPara>
              <m:oMath>
                <m:sSub>
                  <m:sSubPr>
                    <m:ctrlPr>
                      <w:rPr>
                        <w:rFonts w:ascii="Cambria Math" w:hAnsi="Cambria Math"/>
                      </w:rPr>
                    </m:ctrlPr>
                  </m:sSubPr>
                  <m:e>
                    <m:r>
                      <w:rPr>
                        <w:rFonts w:ascii="Cambria Math" w:hAnsi="Cambria Math"/>
                      </w:rPr>
                      <m:t>φ</m:t>
                    </m:r>
                  </m:e>
                  <m:sub>
                    <m:r>
                      <w:rPr>
                        <w:rFonts w:ascii="Cambria Math" w:hAnsi="Cambria Math"/>
                      </w:rPr>
                      <m:t>α</m:t>
                    </m:r>
                  </m:sub>
                </m:sSub>
                <m:r>
                  <m:rPr>
                    <m:sty m:val="p"/>
                  </m:rPr>
                  <w:rPr>
                    <w:rFonts w:ascii="Cambria Math" w:hAnsi="Cambria Math"/>
                  </w:rPr>
                  <m:t>(</m:t>
                </m:r>
                <m:sSub>
                  <m:sSubPr>
                    <m:ctrlPr>
                      <w:rPr>
                        <w:rFonts w:ascii="Cambria Math" w:hAnsi="Cambria Math"/>
                      </w:rPr>
                    </m:ctrlPr>
                  </m:sSubPr>
                  <m:e>
                    <m:r>
                      <w:rPr>
                        <w:rFonts w:ascii="Cambria Math" w:hAnsi="Cambria Math"/>
                      </w:rPr>
                      <m:t>x</m:t>
                    </m:r>
                  </m:e>
                  <m:sub>
                    <m:r>
                      <m:rPr>
                        <m:sty m:val="p"/>
                      </m:rPr>
                      <w:rPr>
                        <w:rFonts w:ascii="Cambria Math" w:hAnsi="Cambria Math"/>
                      </w:rPr>
                      <m:t>α</m:t>
                    </m:r>
                  </m:sub>
                </m:sSub>
                <m:r>
                  <m:rPr>
                    <m:sty m:val="p"/>
                  </m:rPr>
                  <w:rPr>
                    <w:rFonts w:ascii="Cambria Math" w:hAnsi="Cambria Math"/>
                  </w:rPr>
                  <m:t>)= E</m:t>
                </m:r>
                <m:d>
                  <m:dPr>
                    <m:begChr m:val="["/>
                    <m:endChr m:val="]"/>
                    <m:ctrlPr>
                      <w:rPr>
                        <w:rFonts w:ascii="Cambria Math" w:hAnsi="Cambria Math"/>
                      </w:rPr>
                    </m:ctrlPr>
                  </m:dPr>
                  <m:e>
                    <m:r>
                      <m:rPr>
                        <m:sty m:val="p"/>
                      </m:rPr>
                      <w:rPr>
                        <w:rFonts w:ascii="Cambria Math" w:hAnsi="Cambria Math"/>
                      </w:rPr>
                      <m:t>Y</m:t>
                    </m:r>
                  </m:e>
                  <m:e>
                    <m:sSub>
                      <m:sSubPr>
                        <m:ctrlPr>
                          <w:rPr>
                            <w:rFonts w:ascii="Cambria Math" w:hAnsi="Cambria Math"/>
                          </w:rPr>
                        </m:ctrlPr>
                      </m:sSubPr>
                      <m:e>
                        <m:r>
                          <w:rPr>
                            <w:rFonts w:ascii="Cambria Math" w:hAnsi="Cambria Math"/>
                          </w:rPr>
                          <m:t>X</m:t>
                        </m:r>
                      </m:e>
                      <m:sub>
                        <m:r>
                          <w:rPr>
                            <w:rFonts w:ascii="Cambria Math" w:hAnsi="Cambria Math"/>
                          </w:rPr>
                          <m:t>α</m:t>
                        </m:r>
                      </m:sub>
                    </m:sSub>
                    <m:r>
                      <m:rPr>
                        <m:sty m:val="p"/>
                      </m:rPr>
                      <w:rPr>
                        <w:rFonts w:ascii="Cambria Math" w:hAnsi="Cambria Math"/>
                      </w:rPr>
                      <m:t>=</m:t>
                    </m:r>
                    <m:sSub>
                      <m:sSubPr>
                        <m:ctrlPr>
                          <w:rPr>
                            <w:rFonts w:ascii="Cambria Math" w:hAnsi="Cambria Math"/>
                          </w:rPr>
                        </m:ctrlPr>
                      </m:sSubPr>
                      <m:e>
                        <m:r>
                          <w:rPr>
                            <w:rFonts w:ascii="Cambria Math" w:hAnsi="Cambria Math"/>
                          </w:rPr>
                          <m:t>x</m:t>
                        </m:r>
                      </m:e>
                      <m:sub>
                        <m:r>
                          <w:rPr>
                            <w:rFonts w:ascii="Cambria Math" w:hAnsi="Cambria Math"/>
                          </w:rPr>
                          <m:t>α</m:t>
                        </m:r>
                      </m:sub>
                    </m:sSub>
                  </m:e>
                </m:d>
              </m:oMath>
            </m:oMathPara>
          </w:p>
        </w:tc>
        <w:tc>
          <w:tcPr>
            <w:tcW w:w="561" w:type="dxa"/>
            <w:vAlign w:val="center"/>
          </w:tcPr>
          <w:p w14:paraId="24A2D931" w14:textId="7AACF04C" w:rsidR="008415D4" w:rsidRPr="003B3750" w:rsidRDefault="00BF7E93" w:rsidP="00F22A75">
            <w:pPr>
              <w:pStyle w:val="Equation"/>
              <w:spacing w:before="0" w:after="0" w:line="480" w:lineRule="auto"/>
            </w:pPr>
            <w:fldSimple w:instr=" SEQ Equation \* ARABIC ">
              <w:r>
                <w:rPr>
                  <w:noProof/>
                </w:rPr>
                <w:t>8</w:t>
              </w:r>
            </w:fldSimple>
          </w:p>
        </w:tc>
      </w:tr>
    </w:tbl>
    <w:p w14:paraId="2D0B11E3" w14:textId="1FD4A703" w:rsidR="00CC6A64" w:rsidRDefault="0018741E" w:rsidP="00F22A75">
      <w:r>
        <w:t>w</w:t>
      </w:r>
      <w:r w:rsidR="00741289">
        <w:t xml:space="preserve">here </w:t>
      </w:r>
      <w:r w:rsidR="009B1D42">
        <w:t xml:space="preserve">the output, Y, is evaluated with an input parameter, or group of input parameters, </w:t>
      </w:r>
      <w:r w:rsidR="00741289">
        <w:t>X</w:t>
      </w:r>
      <w:r w:rsidR="00741289">
        <w:rPr>
          <w:vertAlign w:val="subscript"/>
        </w:rPr>
        <w:sym w:font="Symbol" w:char="F061"/>
      </w:r>
      <w:r w:rsidR="009B1D42">
        <w:t>,</w:t>
      </w:r>
      <w:r w:rsidR="00741289">
        <w:t xml:space="preserve"> </w:t>
      </w:r>
      <w:r w:rsidR="009B1D42">
        <w:t>at a fixed</w:t>
      </w:r>
      <w:r w:rsidR="00694BBA">
        <w:t xml:space="preserve"> </w:t>
      </w:r>
      <w:r w:rsidR="00CC6A64">
        <w:fldChar w:fldCharType="begin"/>
      </w:r>
      <w:r w:rsidR="001457CB">
        <w:instrText xml:space="preserve"> ADDIN EN.CITE &lt;EndNote&gt;&lt;Cite&gt;&lt;Author&gt;Borgonovo&lt;/Author&gt;&lt;Year&gt;2016&lt;/Year&gt;&lt;RecNum&gt;404&lt;/RecNum&gt;&lt;DisplayText&gt;[33]&lt;/DisplayText&gt;&lt;record&gt;&lt;rec-number&gt;404&lt;/rec-number&gt;&lt;foreign-keys&gt;&lt;key app="EN" db-id="eseee05sfe5vt6efvr0xapvq20vfdsfp5fvf" timestamp="1709060580"&gt;404&lt;/key&gt;&lt;/foreign-keys&gt;&lt;ref-type name="Journal Article"&gt;17&lt;/ref-type&gt;&lt;contributors&gt;&lt;authors&gt;&lt;author&gt;Borgonovo, Emanuele&lt;/author&gt;&lt;author&gt;Plischke, Elmar&lt;/author&gt;&lt;/authors&gt;&lt;/contributors&gt;&lt;titles&gt;&lt;title&gt;Sensitivity analysis: A review of recent advances&lt;/title&gt;&lt;secondary-title&gt;European Journal of Operational Research&lt;/secondary-title&gt;&lt;/titles&gt;&lt;periodical&gt;&lt;full-title&gt;European Journal of Operational Research&lt;/full-title&gt;&lt;/periodical&gt;&lt;pages&gt;869-887&lt;/pages&gt;&lt;volume&gt;248&lt;/volume&gt;&lt;number&gt;3&lt;/number&gt;&lt;keywords&gt;&lt;keyword&gt;Sensitivity analysis&lt;/keyword&gt;&lt;keyword&gt;Simulation&lt;/keyword&gt;&lt;keyword&gt;Computer experiments&lt;/keyword&gt;&lt;/keywords&gt;&lt;dates&gt;&lt;year&gt;2016&lt;/year&gt;&lt;pub-dates&gt;&lt;date&gt;2016/02/01/&lt;/date&gt;&lt;/pub-dates&gt;&lt;/dates&gt;&lt;isbn&gt;0377-2217&lt;/isbn&gt;&lt;urls&gt;&lt;related-urls&gt;&lt;url&gt;https://www.sciencedirect.com/science/article/pii/S0377221715005469&lt;/url&gt;&lt;/related-urls&gt;&lt;/urls&gt;&lt;electronic-resource-num&gt;https://doi.org/10.1016/j.ejor.2015.06.032&lt;/electronic-resource-num&gt;&lt;/record&gt;&lt;/Cite&gt;&lt;/EndNote&gt;</w:instrText>
      </w:r>
      <w:r w:rsidR="00CC6A64">
        <w:fldChar w:fldCharType="separate"/>
      </w:r>
      <w:r w:rsidR="001457CB">
        <w:rPr>
          <w:noProof/>
        </w:rPr>
        <w:t>[33]</w:t>
      </w:r>
      <w:r w:rsidR="00CC6A64">
        <w:fldChar w:fldCharType="end"/>
      </w:r>
      <w:r w:rsidR="00741289">
        <w:t xml:space="preserve">. </w:t>
      </w:r>
      <w:r w:rsidR="00694BBA">
        <w:t xml:space="preserve">The fit is then measured </w:t>
      </w:r>
      <w:r w:rsidR="00CC6A64">
        <w:t>using the following</w:t>
      </w:r>
      <w:r>
        <w:t>,</w:t>
      </w:r>
    </w:p>
    <w:tbl>
      <w:tblPr>
        <w:tblStyle w:val="TableGrid"/>
        <w:tblW w:w="86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0"/>
        <w:gridCol w:w="7451"/>
        <w:gridCol w:w="561"/>
      </w:tblGrid>
      <w:tr w:rsidR="00CC6A64" w:rsidRPr="003B3750" w14:paraId="3DF39237" w14:textId="77777777" w:rsidTr="00694572">
        <w:tc>
          <w:tcPr>
            <w:tcW w:w="590" w:type="dxa"/>
            <w:vAlign w:val="center"/>
          </w:tcPr>
          <w:p w14:paraId="1B1C99B0" w14:textId="77777777" w:rsidR="00CC6A64" w:rsidRPr="00E1335E" w:rsidRDefault="00CC6A64" w:rsidP="00F22A75">
            <w:pPr>
              <w:pStyle w:val="Equation"/>
              <w:spacing w:before="0" w:after="0" w:line="480" w:lineRule="auto"/>
            </w:pPr>
          </w:p>
        </w:tc>
        <w:tc>
          <w:tcPr>
            <w:tcW w:w="7451" w:type="dxa"/>
            <w:vAlign w:val="center"/>
          </w:tcPr>
          <w:p w14:paraId="3340B1EE" w14:textId="5F69465D" w:rsidR="00CC6A64" w:rsidRPr="003B3750" w:rsidRDefault="00000000" w:rsidP="00F22A75">
            <w:pPr>
              <w:pStyle w:val="Equation"/>
              <w:spacing w:before="0" w:after="0" w:line="480" w:lineRule="auto"/>
            </w:pPr>
            <m:oMathPara>
              <m:oMath>
                <m:sSub>
                  <m:sSubPr>
                    <m:ctrlPr>
                      <w:rPr>
                        <w:rFonts w:ascii="Cambria Math" w:hAnsi="Cambria Math"/>
                      </w:rPr>
                    </m:ctrlPr>
                  </m:sSubPr>
                  <m:e>
                    <m:r>
                      <w:rPr>
                        <w:rFonts w:ascii="Cambria Math" w:hAnsi="Cambria Math"/>
                      </w:rPr>
                      <m:t>S</m:t>
                    </m:r>
                  </m:e>
                  <m:sub>
                    <m:r>
                      <w:rPr>
                        <w:rFonts w:ascii="Cambria Math" w:hAnsi="Cambria Math"/>
                      </w:rPr>
                      <m:t>α</m:t>
                    </m:r>
                  </m:sub>
                </m:sSub>
                <m:r>
                  <m:rPr>
                    <m:sty m:val="p"/>
                  </m:rPr>
                  <w:rPr>
                    <w:rFonts w:ascii="Cambria Math" w:hAnsi="Cambria Math"/>
                  </w:rPr>
                  <m:t>=</m:t>
                </m:r>
                <m:f>
                  <m:fPr>
                    <m:ctrlPr>
                      <w:rPr>
                        <w:rFonts w:ascii="Cambria Math" w:hAnsi="Cambria Math"/>
                      </w:rPr>
                    </m:ctrlPr>
                  </m:fPr>
                  <m:num>
                    <m:r>
                      <w:rPr>
                        <w:rFonts w:ascii="Cambria Math" w:hAnsi="Cambria Math"/>
                      </w:rPr>
                      <m:t>V</m:t>
                    </m:r>
                    <m:r>
                      <m:rPr>
                        <m:sty m:val="p"/>
                      </m:rPr>
                      <w:rPr>
                        <w:rFonts w:ascii="Cambria Math" w:hAnsi="Cambria Math"/>
                      </w:rPr>
                      <m:t>[</m:t>
                    </m:r>
                    <m:sSub>
                      <m:sSubPr>
                        <m:ctrlPr>
                          <w:rPr>
                            <w:rFonts w:ascii="Cambria Math" w:hAnsi="Cambria Math"/>
                          </w:rPr>
                        </m:ctrlPr>
                      </m:sSubPr>
                      <m:e>
                        <m:r>
                          <w:rPr>
                            <w:rFonts w:ascii="Cambria Math" w:hAnsi="Cambria Math"/>
                          </w:rPr>
                          <m:t>φ</m:t>
                        </m:r>
                      </m:e>
                      <m:sub>
                        <m:r>
                          <w:rPr>
                            <w:rFonts w:ascii="Cambria Math" w:hAnsi="Cambria Math"/>
                          </w:rPr>
                          <m:t>α</m:t>
                        </m:r>
                      </m:sub>
                    </m:sSub>
                    <m:d>
                      <m:dPr>
                        <m:ctrlPr>
                          <w:rPr>
                            <w:rFonts w:ascii="Cambria Math" w:hAnsi="Cambria Math"/>
                          </w:rPr>
                        </m:ctrlPr>
                      </m:dPr>
                      <m:e>
                        <m:sSub>
                          <m:sSubPr>
                            <m:ctrlPr>
                              <w:rPr>
                                <w:rFonts w:ascii="Cambria Math" w:hAnsi="Cambria Math"/>
                              </w:rPr>
                            </m:ctrlPr>
                          </m:sSubPr>
                          <m:e>
                            <m:r>
                              <w:rPr>
                                <w:rFonts w:ascii="Cambria Math" w:hAnsi="Cambria Math"/>
                              </w:rPr>
                              <m:t>x</m:t>
                            </m:r>
                          </m:e>
                          <m:sub>
                            <m:r>
                              <w:rPr>
                                <w:rFonts w:ascii="Cambria Math" w:hAnsi="Cambria Math"/>
                              </w:rPr>
                              <m:t>α</m:t>
                            </m:r>
                          </m:sub>
                        </m:sSub>
                      </m:e>
                    </m:d>
                    <m:r>
                      <m:rPr>
                        <m:sty m:val="p"/>
                      </m:rPr>
                      <w:rPr>
                        <w:rFonts w:ascii="Cambria Math" w:hAnsi="Cambria Math"/>
                      </w:rPr>
                      <m:t>]</m:t>
                    </m:r>
                  </m:num>
                  <m:den>
                    <m:r>
                      <w:rPr>
                        <w:rFonts w:ascii="Cambria Math" w:hAnsi="Cambria Math"/>
                      </w:rPr>
                      <m:t>V</m:t>
                    </m:r>
                    <m:r>
                      <m:rPr>
                        <m:sty m:val="p"/>
                      </m:rPr>
                      <w:rPr>
                        <w:rFonts w:ascii="Cambria Math" w:hAnsi="Cambria Math"/>
                      </w:rPr>
                      <m:t>[</m:t>
                    </m:r>
                    <m:r>
                      <w:rPr>
                        <w:rFonts w:ascii="Cambria Math" w:hAnsi="Cambria Math"/>
                      </w:rPr>
                      <m:t>Y</m:t>
                    </m:r>
                    <m:r>
                      <m:rPr>
                        <m:sty m:val="p"/>
                      </m:rPr>
                      <w:rPr>
                        <w:rFonts w:ascii="Cambria Math" w:hAnsi="Cambria Math"/>
                      </w:rPr>
                      <m:t>]</m:t>
                    </m:r>
                  </m:den>
                </m:f>
              </m:oMath>
            </m:oMathPara>
          </w:p>
        </w:tc>
        <w:tc>
          <w:tcPr>
            <w:tcW w:w="561" w:type="dxa"/>
            <w:vAlign w:val="center"/>
          </w:tcPr>
          <w:p w14:paraId="53F6CBC1" w14:textId="01259A22" w:rsidR="00CC6A64" w:rsidRPr="003B3750" w:rsidRDefault="00BF7E93" w:rsidP="00F22A75">
            <w:pPr>
              <w:pStyle w:val="Equation"/>
              <w:spacing w:before="0" w:after="0" w:line="480" w:lineRule="auto"/>
            </w:pPr>
            <w:fldSimple w:instr=" SEQ Equation \* ARABIC ">
              <w:r>
                <w:rPr>
                  <w:noProof/>
                </w:rPr>
                <w:t>9</w:t>
              </w:r>
            </w:fldSimple>
          </w:p>
        </w:tc>
      </w:tr>
    </w:tbl>
    <w:p w14:paraId="4B91A79F" w14:textId="22E41194" w:rsidR="00473A9C" w:rsidRDefault="0018741E" w:rsidP="00F22A75">
      <w:r>
        <w:t>w</w:t>
      </w:r>
      <w:r w:rsidR="00CC6A64">
        <w:t>here S</w:t>
      </w:r>
      <w:r w:rsidR="00CC6A64">
        <w:rPr>
          <w:vertAlign w:val="subscript"/>
        </w:rPr>
        <w:sym w:font="Symbol" w:char="F061"/>
      </w:r>
      <w:r w:rsidR="00A35512">
        <w:t xml:space="preserve">, </w:t>
      </w:r>
      <w:r w:rsidR="00FD0A73">
        <w:t>is</w:t>
      </w:r>
      <w:r w:rsidR="00A35512">
        <w:t xml:space="preserve"> known as the first order index</w:t>
      </w:r>
      <w:r w:rsidR="00FD0A73">
        <w:t xml:space="preserve"> </w:t>
      </w:r>
      <w:r w:rsidR="00CC6A64">
        <w:fldChar w:fldCharType="begin"/>
      </w:r>
      <w:r w:rsidR="001457CB">
        <w:instrText xml:space="preserve"> ADDIN EN.CITE &lt;EndNote&gt;&lt;Cite&gt;&lt;Author&gt;Borgonovo&lt;/Author&gt;&lt;Year&gt;2016&lt;/Year&gt;&lt;RecNum&gt;404&lt;/RecNum&gt;&lt;DisplayText&gt;[33]&lt;/DisplayText&gt;&lt;record&gt;&lt;rec-number&gt;404&lt;/rec-number&gt;&lt;foreign-keys&gt;&lt;key app="EN" db-id="eseee05sfe5vt6efvr0xapvq20vfdsfp5fvf" timestamp="1709060580"&gt;404&lt;/key&gt;&lt;/foreign-keys&gt;&lt;ref-type name="Journal Article"&gt;17&lt;/ref-type&gt;&lt;contributors&gt;&lt;authors&gt;&lt;author&gt;Borgonovo, Emanuele&lt;/author&gt;&lt;author&gt;Plischke, Elmar&lt;/author&gt;&lt;/authors&gt;&lt;/contributors&gt;&lt;titles&gt;&lt;title&gt;Sensitivity analysis: A review of recent advances&lt;/title&gt;&lt;secondary-title&gt;European Journal of Operational Research&lt;/secondary-title&gt;&lt;/titles&gt;&lt;periodical&gt;&lt;full-title&gt;European Journal of Operational Research&lt;/full-title&gt;&lt;/periodical&gt;&lt;pages&gt;869-887&lt;/pages&gt;&lt;volume&gt;248&lt;/volume&gt;&lt;number&gt;3&lt;/number&gt;&lt;keywords&gt;&lt;keyword&gt;Sensitivity analysis&lt;/keyword&gt;&lt;keyword&gt;Simulation&lt;/keyword&gt;&lt;keyword&gt;Computer experiments&lt;/keyword&gt;&lt;/keywords&gt;&lt;dates&gt;&lt;year&gt;2016&lt;/year&gt;&lt;pub-dates&gt;&lt;date&gt;2016/02/01/&lt;/date&gt;&lt;/pub-dates&gt;&lt;/dates&gt;&lt;isbn&gt;0377-2217&lt;/isbn&gt;&lt;urls&gt;&lt;related-urls&gt;&lt;url&gt;https://www.sciencedirect.com/science/article/pii/S0377221715005469&lt;/url&gt;&lt;/related-urls&gt;&lt;/urls&gt;&lt;electronic-resource-num&gt;https://doi.org/10.1016/j.ejor.2015.06.032&lt;/electronic-resource-num&gt;&lt;/record&gt;&lt;/Cite&gt;&lt;/EndNote&gt;</w:instrText>
      </w:r>
      <w:r w:rsidR="00CC6A64">
        <w:fldChar w:fldCharType="separate"/>
      </w:r>
      <w:r w:rsidR="001457CB">
        <w:rPr>
          <w:noProof/>
        </w:rPr>
        <w:t>[33]</w:t>
      </w:r>
      <w:r w:rsidR="00CC6A64">
        <w:fldChar w:fldCharType="end"/>
      </w:r>
      <w:r w:rsidR="00CC6A64">
        <w:t xml:space="preserve">. </w:t>
      </w:r>
      <w:r w:rsidR="00B045C3" w:rsidRPr="00B045C3">
        <w:t>The first order index,</w:t>
      </w:r>
      <w:r w:rsidR="00B771B0">
        <w:t xml:space="preserve"> he</w:t>
      </w:r>
      <w:r w:rsidR="00FD0A73">
        <w:t>reafter</w:t>
      </w:r>
      <w:r w:rsidR="007B1C57">
        <w:t xml:space="preserve"> denoted</w:t>
      </w:r>
      <w:r w:rsidR="00B045C3" w:rsidRPr="00B045C3">
        <w:t xml:space="preserve"> </w:t>
      </w:r>
      <w:r w:rsidR="00B045C3" w:rsidRPr="00B045C3">
        <w:rPr>
          <w:bCs/>
        </w:rPr>
        <w:t>S</w:t>
      </w:r>
      <w:r w:rsidR="00B045C3" w:rsidRPr="00B045C3">
        <w:rPr>
          <w:bCs/>
          <w:vertAlign w:val="subscript"/>
        </w:rPr>
        <w:t>1st,</w:t>
      </w:r>
      <w:r w:rsidR="00FD009F">
        <w:rPr>
          <w:bCs/>
          <w:vertAlign w:val="subscript"/>
        </w:rPr>
        <w:sym w:font="Symbol" w:char="F061"/>
      </w:r>
      <w:r w:rsidR="00B045C3" w:rsidRPr="00B045C3">
        <w:rPr>
          <w:bCs/>
        </w:rPr>
        <w:t>,</w:t>
      </w:r>
      <w:r w:rsidR="00B045C3" w:rsidRPr="00B045C3">
        <w:t xml:space="preserve"> </w:t>
      </w:r>
      <w:r w:rsidR="006703BD">
        <w:t>is</w:t>
      </w:r>
      <w:r w:rsidR="00B12D2A">
        <w:t xml:space="preserve"> </w:t>
      </w:r>
      <w:r w:rsidR="006703BD">
        <w:t xml:space="preserve">a measure of </w:t>
      </w:r>
      <w:r w:rsidR="00B045C3" w:rsidRPr="00B045C3">
        <w:t>the model output variance by fixing the model input, X</w:t>
      </w:r>
      <w:r w:rsidR="00FD009F">
        <w:rPr>
          <w:bCs/>
          <w:vertAlign w:val="subscript"/>
        </w:rPr>
        <w:sym w:font="Symbol" w:char="F061"/>
      </w:r>
      <w:r w:rsidR="00B045C3" w:rsidRPr="00B045C3">
        <w:rPr>
          <w:vertAlign w:val="subscript"/>
        </w:rPr>
        <w:t>,</w:t>
      </w:r>
      <w:r w:rsidR="00B045C3" w:rsidRPr="00B045C3">
        <w:t xml:space="preserve"> and</w:t>
      </w:r>
      <w:r w:rsidR="00473A9C">
        <w:t xml:space="preserve"> allowing the set of all other input parameters or parameter groups, denoted by </w:t>
      </w:r>
      <m:oMath>
        <m:sSub>
          <m:sSubPr>
            <m:ctrlPr>
              <w:rPr>
                <w:rFonts w:ascii="Cambria Math" w:hAnsi="Cambria Math"/>
                <w:i/>
              </w:rPr>
            </m:ctrlPr>
          </m:sSubPr>
          <m:e>
            <m:r>
              <w:rPr>
                <w:rFonts w:ascii="Cambria Math" w:hAnsi="Cambria Math"/>
              </w:rPr>
              <m:t>X</m:t>
            </m:r>
          </m:e>
          <m:sub>
            <m:r>
              <w:rPr>
                <w:rFonts w:ascii="Cambria Math" w:hAnsi="Cambria Math"/>
              </w:rPr>
              <m:t>~</m:t>
            </m:r>
            <m:r>
              <m:rPr>
                <m:sty m:val="p"/>
              </m:rPr>
              <w:rPr>
                <w:rFonts w:ascii="Cambria Math" w:hAnsi="Cambria Math"/>
                <w:bCs/>
                <w:vertAlign w:val="subscript"/>
              </w:rPr>
              <w:sym w:font="Symbol" w:char="F061"/>
            </m:r>
          </m:sub>
        </m:sSub>
      </m:oMath>
      <w:r w:rsidR="00473A9C">
        <w:t>, to vary. The first order index</w:t>
      </w:r>
      <w:r w:rsidR="00B045C3" w:rsidRPr="00B045C3">
        <w:t xml:space="preserve"> represents the direct impact of a</w:t>
      </w:r>
      <w:r w:rsidR="00B12D2A">
        <w:t>n</w:t>
      </w:r>
      <w:r w:rsidR="00B045C3" w:rsidRPr="00B045C3">
        <w:t xml:space="preserve"> </w:t>
      </w:r>
      <w:r w:rsidR="00B12D2A">
        <w:t>individual</w:t>
      </w:r>
      <w:r w:rsidR="00B045C3" w:rsidRPr="00B045C3">
        <w:t xml:space="preserve"> input</w:t>
      </w:r>
      <w:r w:rsidR="00B12D2A">
        <w:t xml:space="preserve"> or group of inputs</w:t>
      </w:r>
      <w:r w:rsidR="00B045C3" w:rsidRPr="00B045C3">
        <w:t xml:space="preserve"> on the output</w:t>
      </w:r>
      <w:r w:rsidR="006703BD">
        <w:t>, not accounting for any interactions between other inputs, and is</w:t>
      </w:r>
      <w:r w:rsidR="00FD0A73">
        <w:t xml:space="preserve"> evaluated </w:t>
      </w:r>
      <w:r>
        <w:t>as</w:t>
      </w:r>
      <w:r w:rsidR="006703BD">
        <w:t>:</w:t>
      </w:r>
      <w:r w:rsidR="00B045C3" w:rsidRPr="00B045C3">
        <w:t xml:space="preserve"> </w:t>
      </w:r>
    </w:p>
    <w:tbl>
      <w:tblPr>
        <w:tblStyle w:val="TableGrid"/>
        <w:tblW w:w="86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0"/>
        <w:gridCol w:w="7451"/>
        <w:gridCol w:w="561"/>
      </w:tblGrid>
      <w:tr w:rsidR="00473A9C" w:rsidRPr="003B3750" w14:paraId="76CAB96A" w14:textId="77777777" w:rsidTr="00694572">
        <w:tc>
          <w:tcPr>
            <w:tcW w:w="590" w:type="dxa"/>
            <w:vAlign w:val="center"/>
          </w:tcPr>
          <w:p w14:paraId="4A8816C6" w14:textId="77777777" w:rsidR="00473A9C" w:rsidRPr="00E1335E" w:rsidRDefault="00473A9C" w:rsidP="00F22A75">
            <w:pPr>
              <w:pStyle w:val="Equation"/>
              <w:spacing w:before="0" w:after="0" w:line="480" w:lineRule="auto"/>
            </w:pPr>
          </w:p>
        </w:tc>
        <w:tc>
          <w:tcPr>
            <w:tcW w:w="7451" w:type="dxa"/>
            <w:vAlign w:val="center"/>
          </w:tcPr>
          <w:p w14:paraId="61DE74C8" w14:textId="60F62EAB" w:rsidR="00473A9C" w:rsidRPr="003B3750" w:rsidRDefault="00000000" w:rsidP="00F22A75">
            <w:pPr>
              <w:pStyle w:val="Equation"/>
              <w:spacing w:before="0" w:after="0" w:line="480" w:lineRule="auto"/>
            </w:pPr>
            <m:oMathPara>
              <m:oMath>
                <m:sSub>
                  <m:sSubPr>
                    <m:ctrlPr>
                      <w:rPr>
                        <w:rFonts w:ascii="Cambria Math" w:hAnsi="Cambria Math"/>
                      </w:rPr>
                    </m:ctrlPr>
                  </m:sSubPr>
                  <m:e>
                    <m:r>
                      <w:rPr>
                        <w:rFonts w:ascii="Cambria Math" w:hAnsi="Cambria Math"/>
                      </w:rPr>
                      <m:t>S</m:t>
                    </m:r>
                  </m:e>
                  <m:sub>
                    <m:sSup>
                      <m:sSupPr>
                        <m:ctrlPr>
                          <w:rPr>
                            <w:rFonts w:ascii="Cambria Math" w:hAnsi="Cambria Math"/>
                          </w:rPr>
                        </m:ctrlPr>
                      </m:sSupPr>
                      <m:e>
                        <m:r>
                          <m:rPr>
                            <m:sty m:val="p"/>
                          </m:rPr>
                          <w:rPr>
                            <w:rFonts w:ascii="Cambria Math" w:hAnsi="Cambria Math"/>
                          </w:rPr>
                          <m:t>1</m:t>
                        </m:r>
                      </m:e>
                      <m:sup>
                        <m:r>
                          <w:rPr>
                            <w:rFonts w:ascii="Cambria Math" w:hAnsi="Cambria Math"/>
                          </w:rPr>
                          <m:t>st</m:t>
                        </m:r>
                      </m:sup>
                    </m:sSup>
                    <m:r>
                      <m:rPr>
                        <m:sty m:val="p"/>
                      </m:rPr>
                      <w:rPr>
                        <w:rFonts w:ascii="Cambria Math" w:hAnsi="Cambria Math"/>
                      </w:rPr>
                      <m:t>,</m:t>
                    </m:r>
                    <m:r>
                      <m:rPr>
                        <m:sty m:val="p"/>
                      </m:rPr>
                      <w:rPr>
                        <w:rFonts w:ascii="Cambria Math" w:hAnsi="Cambria Math"/>
                        <w:bCs/>
                        <w:vertAlign w:val="subscript"/>
                      </w:rPr>
                      <w:sym w:font="Symbol" w:char="F061"/>
                    </m:r>
                  </m:sub>
                </m:sSub>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V</m:t>
                        </m:r>
                      </m:e>
                      <m:sub>
                        <m:sSub>
                          <m:sSubPr>
                            <m:ctrlPr>
                              <w:rPr>
                                <w:rFonts w:ascii="Cambria Math" w:hAnsi="Cambria Math"/>
                              </w:rPr>
                            </m:ctrlPr>
                          </m:sSubPr>
                          <m:e>
                            <m:r>
                              <w:rPr>
                                <w:rFonts w:ascii="Cambria Math" w:hAnsi="Cambria Math"/>
                              </w:rPr>
                              <m:t>X</m:t>
                            </m:r>
                          </m:e>
                          <m:sub>
                            <m:r>
                              <m:rPr>
                                <m:sty m:val="p"/>
                              </m:rPr>
                              <w:rPr>
                                <w:rFonts w:ascii="Cambria Math" w:hAnsi="Cambria Math"/>
                                <w:bCs/>
                                <w:vertAlign w:val="subscript"/>
                              </w:rPr>
                              <w:sym w:font="Symbol" w:char="F061"/>
                            </m:r>
                          </m:sub>
                        </m:sSub>
                      </m:sub>
                    </m:sSub>
                    <m:r>
                      <m:rPr>
                        <m:sty m:val="p"/>
                      </m:rPr>
                      <w:rPr>
                        <w:rFonts w:ascii="Cambria Math" w:hAnsi="Cambria Math"/>
                      </w:rPr>
                      <m:t>[</m:t>
                    </m:r>
                    <m:sSub>
                      <m:sSubPr>
                        <m:ctrlPr>
                          <w:rPr>
                            <w:rFonts w:ascii="Cambria Math" w:hAnsi="Cambria Math"/>
                          </w:rPr>
                        </m:ctrlPr>
                      </m:sSubPr>
                      <m:e>
                        <m:r>
                          <w:rPr>
                            <w:rFonts w:ascii="Cambria Math" w:hAnsi="Cambria Math"/>
                          </w:rPr>
                          <m:t>E</m:t>
                        </m:r>
                      </m:e>
                      <m:sub>
                        <m:sSub>
                          <m:sSubPr>
                            <m:ctrlPr>
                              <w:rPr>
                                <w:rFonts w:ascii="Cambria Math" w:hAnsi="Cambria Math"/>
                              </w:rPr>
                            </m:ctrlPr>
                          </m:sSubPr>
                          <m:e>
                            <m:r>
                              <w:rPr>
                                <w:rFonts w:ascii="Cambria Math" w:hAnsi="Cambria Math"/>
                              </w:rPr>
                              <m:t>X</m:t>
                            </m:r>
                          </m:e>
                          <m:sub>
                            <m:r>
                              <m:rPr>
                                <m:sty m:val="p"/>
                              </m:rPr>
                              <w:rPr>
                                <w:rFonts w:ascii="Cambria Math" w:hAnsi="Cambria Math"/>
                              </w:rPr>
                              <m:t>~</m:t>
                            </m:r>
                            <m:r>
                              <m:rPr>
                                <m:sty m:val="p"/>
                              </m:rPr>
                              <w:rPr>
                                <w:rFonts w:ascii="Cambria Math" w:hAnsi="Cambria Math"/>
                                <w:bCs/>
                                <w:vertAlign w:val="subscript"/>
                              </w:rPr>
                              <w:sym w:font="Symbol" w:char="F061"/>
                            </m:r>
                          </m:sub>
                        </m:sSub>
                      </m:sub>
                    </m:sSub>
                    <m:r>
                      <m:rPr>
                        <m:sty m:val="p"/>
                      </m:rPr>
                      <w:rPr>
                        <w:rFonts w:ascii="Cambria Math" w:hAnsi="Cambria Math"/>
                      </w:rPr>
                      <m:t>[ Y|</m:t>
                    </m:r>
                    <m:sSub>
                      <m:sSubPr>
                        <m:ctrlPr>
                          <w:rPr>
                            <w:rFonts w:ascii="Cambria Math" w:hAnsi="Cambria Math"/>
                          </w:rPr>
                        </m:ctrlPr>
                      </m:sSubPr>
                      <m:e>
                        <m:r>
                          <w:rPr>
                            <w:rFonts w:ascii="Cambria Math" w:hAnsi="Cambria Math"/>
                          </w:rPr>
                          <m:t>X</m:t>
                        </m:r>
                      </m:e>
                      <m:sub>
                        <m:r>
                          <m:rPr>
                            <m:sty m:val="p"/>
                          </m:rPr>
                          <w:rPr>
                            <w:rFonts w:ascii="Cambria Math" w:hAnsi="Cambria Math"/>
                            <w:bCs/>
                            <w:vertAlign w:val="subscript"/>
                          </w:rPr>
                          <w:sym w:font="Symbol" w:char="F061"/>
                        </m:r>
                      </m:sub>
                    </m:sSub>
                    <m:r>
                      <m:rPr>
                        <m:sty m:val="p"/>
                      </m:rPr>
                      <w:rPr>
                        <w:rFonts w:ascii="Cambria Math" w:hAnsi="Cambria Math"/>
                      </w:rPr>
                      <m:t xml:space="preserve"> ]]</m:t>
                    </m:r>
                    <m:ctrlPr>
                      <w:rPr>
                        <w:rFonts w:ascii="Cambria Math" w:hAnsi="Cambria Math"/>
                        <w:bCs/>
                      </w:rPr>
                    </m:ctrlPr>
                  </m:num>
                  <m:den>
                    <m:r>
                      <w:rPr>
                        <w:rFonts w:ascii="Cambria Math" w:hAnsi="Cambria Math"/>
                      </w:rPr>
                      <m:t>V[ Y ]</m:t>
                    </m:r>
                  </m:den>
                </m:f>
              </m:oMath>
            </m:oMathPara>
          </w:p>
        </w:tc>
        <w:tc>
          <w:tcPr>
            <w:tcW w:w="561" w:type="dxa"/>
            <w:vAlign w:val="center"/>
          </w:tcPr>
          <w:p w14:paraId="2E33081B" w14:textId="45608814" w:rsidR="00473A9C" w:rsidRPr="003B3750" w:rsidRDefault="00BF7E93" w:rsidP="00F22A75">
            <w:pPr>
              <w:pStyle w:val="Equation"/>
              <w:spacing w:before="0" w:after="0" w:line="480" w:lineRule="auto"/>
            </w:pPr>
            <w:fldSimple w:instr=" SEQ Equation \* ARABIC ">
              <w:r>
                <w:rPr>
                  <w:noProof/>
                </w:rPr>
                <w:t>10</w:t>
              </w:r>
            </w:fldSimple>
          </w:p>
        </w:tc>
      </w:tr>
    </w:tbl>
    <w:p w14:paraId="7FE95309" w14:textId="56BDFBC2" w:rsidR="00B045C3" w:rsidRPr="00967E50" w:rsidRDefault="00474609" w:rsidP="00F22A75">
      <w:pPr>
        <w:rPr>
          <w:lang w:eastAsia="ko-KR"/>
        </w:rPr>
      </w:pPr>
      <w:r>
        <w:t xml:space="preserve">The sum of all the first and higher order effects, E.G. the fraction of variance stemming from any combination of 2 or more variable interactions, with respect to any input </w:t>
      </w:r>
      <w:r w:rsidRPr="00B045C3">
        <w:t>X</w:t>
      </w:r>
      <w:r>
        <w:rPr>
          <w:bCs/>
          <w:vertAlign w:val="subscript"/>
        </w:rPr>
        <w:sym w:font="Symbol" w:char="F061"/>
      </w:r>
      <w:r>
        <w:t xml:space="preserve"> is known as the total effect. </w:t>
      </w:r>
      <w:r w:rsidR="00B045C3" w:rsidRPr="00B045C3">
        <w:t xml:space="preserve">The Sobol index for total effect, </w:t>
      </w:r>
      <w:r w:rsidR="00B045C3" w:rsidRPr="00B045C3">
        <w:rPr>
          <w:bCs/>
        </w:rPr>
        <w:t>S</w:t>
      </w:r>
      <w:r w:rsidR="00B045C3" w:rsidRPr="00B045C3">
        <w:rPr>
          <w:bCs/>
          <w:vertAlign w:val="subscript"/>
        </w:rPr>
        <w:t>Total,</w:t>
      </w:r>
      <w:r w:rsidR="00FD009F">
        <w:rPr>
          <w:bCs/>
          <w:vertAlign w:val="subscript"/>
        </w:rPr>
        <w:sym w:font="Symbol" w:char="F061"/>
      </w:r>
      <w:r w:rsidR="00B045C3" w:rsidRPr="00B045C3">
        <w:t>, represents</w:t>
      </w:r>
      <w:r w:rsidR="00B045C3" w:rsidRPr="00967E50">
        <w:t xml:space="preserve"> the variance of a given input </w:t>
      </w:r>
      <w:r w:rsidR="00473A9C">
        <w:t xml:space="preserve">or group of inputs </w:t>
      </w:r>
      <w:r w:rsidR="00B045C3" w:rsidRPr="00967E50">
        <w:t>induced by</w:t>
      </w:r>
      <w:r w:rsidR="006703BD">
        <w:t xml:space="preserve"> both</w:t>
      </w:r>
      <w:r w:rsidR="00B045C3" w:rsidRPr="00967E50">
        <w:t xml:space="preserve"> its interactions with the other input parameters</w:t>
      </w:r>
      <w:r w:rsidR="006703BD">
        <w:t>, and its individual influence</w:t>
      </w:r>
      <w:r w:rsidR="00B045C3" w:rsidRPr="00967E50">
        <w:t>.</w:t>
      </w:r>
      <w:r w:rsidR="00D858D7">
        <w:t xml:space="preserve"> The</w:t>
      </w:r>
      <w:r w:rsidR="00A35512">
        <w:t xml:space="preserve"> </w:t>
      </w:r>
      <w:r>
        <w:t xml:space="preserve">total effect is </w:t>
      </w:r>
      <w:r w:rsidR="0018741E">
        <w:t>denoted</w:t>
      </w:r>
      <w:r>
        <w:t>:</w:t>
      </w:r>
    </w:p>
    <w:tbl>
      <w:tblPr>
        <w:tblStyle w:val="TableGrid"/>
        <w:tblW w:w="86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0"/>
        <w:gridCol w:w="7451"/>
        <w:gridCol w:w="561"/>
      </w:tblGrid>
      <w:tr w:rsidR="00B045C3" w:rsidRPr="003B3750" w14:paraId="4C85EC44" w14:textId="77777777" w:rsidTr="00694572">
        <w:tc>
          <w:tcPr>
            <w:tcW w:w="590" w:type="dxa"/>
            <w:vAlign w:val="center"/>
          </w:tcPr>
          <w:p w14:paraId="576DD05B" w14:textId="77777777" w:rsidR="00B045C3" w:rsidRPr="00E1335E" w:rsidRDefault="00B045C3" w:rsidP="00F22A75">
            <w:pPr>
              <w:pStyle w:val="Equation"/>
              <w:spacing w:before="0" w:after="0" w:line="480" w:lineRule="auto"/>
            </w:pPr>
          </w:p>
        </w:tc>
        <w:tc>
          <w:tcPr>
            <w:tcW w:w="7451" w:type="dxa"/>
            <w:vAlign w:val="center"/>
          </w:tcPr>
          <w:p w14:paraId="2ADF20E8" w14:textId="3290FC95" w:rsidR="00B045C3" w:rsidRPr="003B3750" w:rsidRDefault="00000000" w:rsidP="00F22A75">
            <w:pPr>
              <w:pStyle w:val="Equation"/>
              <w:spacing w:before="0" w:after="0" w:line="480" w:lineRule="auto"/>
            </w:pPr>
            <m:oMathPara>
              <m:oMath>
                <m:sSub>
                  <m:sSubPr>
                    <m:ctrlPr>
                      <w:rPr>
                        <w:rFonts w:ascii="Cambria Math" w:hAnsi="Cambria Math"/>
                      </w:rPr>
                    </m:ctrlPr>
                  </m:sSubPr>
                  <m:e>
                    <m:r>
                      <w:rPr>
                        <w:rFonts w:ascii="Cambria Math" w:hAnsi="Cambria Math"/>
                      </w:rPr>
                      <m:t>S</m:t>
                    </m:r>
                  </m:e>
                  <m:sub>
                    <m:r>
                      <w:rPr>
                        <w:rFonts w:ascii="Cambria Math" w:hAnsi="Cambria Math"/>
                      </w:rPr>
                      <m:t>Total</m:t>
                    </m:r>
                    <m:r>
                      <m:rPr>
                        <m:sty m:val="p"/>
                      </m:rPr>
                      <w:rPr>
                        <w:rFonts w:ascii="Cambria Math" w:hAnsi="Cambria Math"/>
                      </w:rPr>
                      <m:t>,</m:t>
                    </m:r>
                    <m:r>
                      <m:rPr>
                        <m:sty m:val="p"/>
                      </m:rPr>
                      <w:rPr>
                        <w:rFonts w:ascii="Cambria Math" w:hAnsi="Cambria Math"/>
                        <w:bCs/>
                        <w:vertAlign w:val="subscript"/>
                      </w:rPr>
                      <w:sym w:font="Symbol" w:char="F061"/>
                    </m:r>
                  </m:sub>
                </m:sSub>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E</m:t>
                        </m:r>
                      </m:e>
                      <m:sub>
                        <m:sSub>
                          <m:sSubPr>
                            <m:ctrlPr>
                              <w:rPr>
                                <w:rFonts w:ascii="Cambria Math" w:hAnsi="Cambria Math"/>
                              </w:rPr>
                            </m:ctrlPr>
                          </m:sSubPr>
                          <m:e>
                            <m:r>
                              <w:rPr>
                                <w:rFonts w:ascii="Cambria Math" w:hAnsi="Cambria Math"/>
                              </w:rPr>
                              <m:t>X</m:t>
                            </m:r>
                          </m:e>
                          <m:sub>
                            <m:r>
                              <m:rPr>
                                <m:sty m:val="p"/>
                              </m:rPr>
                              <w:rPr>
                                <w:rFonts w:ascii="Cambria Math" w:hAnsi="Cambria Math"/>
                              </w:rPr>
                              <m:t>~</m:t>
                            </m:r>
                            <m:r>
                              <m:rPr>
                                <m:sty m:val="p"/>
                              </m:rPr>
                              <w:rPr>
                                <w:rFonts w:ascii="Cambria Math" w:hAnsi="Cambria Math"/>
                                <w:bCs/>
                                <w:vertAlign w:val="subscript"/>
                              </w:rPr>
                              <w:sym w:font="Symbol" w:char="F061"/>
                            </m:r>
                          </m:sub>
                        </m:sSub>
                      </m:sub>
                    </m:sSub>
                    <m:r>
                      <m:rPr>
                        <m:sty m:val="p"/>
                      </m:rPr>
                      <w:rPr>
                        <w:rFonts w:ascii="Cambria Math" w:hAnsi="Cambria Math"/>
                      </w:rPr>
                      <m:t>[</m:t>
                    </m:r>
                    <m:sSub>
                      <m:sSubPr>
                        <m:ctrlPr>
                          <w:rPr>
                            <w:rFonts w:ascii="Cambria Math" w:hAnsi="Cambria Math"/>
                          </w:rPr>
                        </m:ctrlPr>
                      </m:sSubPr>
                      <m:e>
                        <m:r>
                          <w:rPr>
                            <w:rFonts w:ascii="Cambria Math" w:hAnsi="Cambria Math"/>
                          </w:rPr>
                          <m:t>V</m:t>
                        </m:r>
                      </m:e>
                      <m:sub>
                        <m:sSub>
                          <m:sSubPr>
                            <m:ctrlPr>
                              <w:rPr>
                                <w:rFonts w:ascii="Cambria Math" w:hAnsi="Cambria Math"/>
                              </w:rPr>
                            </m:ctrlPr>
                          </m:sSubPr>
                          <m:e>
                            <m:r>
                              <w:rPr>
                                <w:rFonts w:ascii="Cambria Math" w:hAnsi="Cambria Math"/>
                              </w:rPr>
                              <m:t>X</m:t>
                            </m:r>
                          </m:e>
                          <m:sub>
                            <m:r>
                              <m:rPr>
                                <m:sty m:val="p"/>
                              </m:rPr>
                              <w:rPr>
                                <w:rFonts w:ascii="Cambria Math" w:hAnsi="Cambria Math"/>
                                <w:bCs/>
                                <w:vertAlign w:val="subscript"/>
                              </w:rPr>
                              <w:sym w:font="Symbol" w:char="F061"/>
                            </m:r>
                          </m:sub>
                        </m:sSub>
                      </m:sub>
                    </m:sSub>
                    <m:r>
                      <m:rPr>
                        <m:sty m:val="p"/>
                      </m:rPr>
                      <w:rPr>
                        <w:rFonts w:ascii="Cambria Math" w:hAnsi="Cambria Math"/>
                      </w:rPr>
                      <m:t>[ Y|</m:t>
                    </m:r>
                    <m:sSub>
                      <m:sSubPr>
                        <m:ctrlPr>
                          <w:rPr>
                            <w:rFonts w:ascii="Cambria Math" w:hAnsi="Cambria Math"/>
                          </w:rPr>
                        </m:ctrlPr>
                      </m:sSubPr>
                      <m:e>
                        <m:r>
                          <w:rPr>
                            <w:rFonts w:ascii="Cambria Math" w:hAnsi="Cambria Math"/>
                          </w:rPr>
                          <m:t>X</m:t>
                        </m:r>
                      </m:e>
                      <m:sub>
                        <m:r>
                          <m:rPr>
                            <m:sty m:val="p"/>
                          </m:rPr>
                          <w:rPr>
                            <w:rFonts w:ascii="Cambria Math" w:hAnsi="Cambria Math"/>
                            <w:bCs/>
                            <w:vertAlign w:val="subscript"/>
                          </w:rPr>
                          <w:sym w:font="Symbol" w:char="F061"/>
                        </m:r>
                      </m:sub>
                    </m:sSub>
                    <m:r>
                      <m:rPr>
                        <m:sty m:val="p"/>
                      </m:rPr>
                      <w:rPr>
                        <w:rFonts w:ascii="Cambria Math" w:hAnsi="Cambria Math"/>
                      </w:rPr>
                      <m:t xml:space="preserve"> ]]</m:t>
                    </m:r>
                  </m:num>
                  <m:den>
                    <m:r>
                      <w:rPr>
                        <w:rFonts w:ascii="Cambria Math" w:hAnsi="Cambria Math"/>
                      </w:rPr>
                      <m:t>V[ Y ]</m:t>
                    </m:r>
                  </m:den>
                </m:f>
              </m:oMath>
            </m:oMathPara>
          </w:p>
        </w:tc>
        <w:tc>
          <w:tcPr>
            <w:tcW w:w="561" w:type="dxa"/>
            <w:vAlign w:val="center"/>
          </w:tcPr>
          <w:p w14:paraId="4CFE22B2" w14:textId="111AF5B0" w:rsidR="00B045C3" w:rsidRPr="003B3750" w:rsidRDefault="00BF7E93" w:rsidP="00F22A75">
            <w:pPr>
              <w:pStyle w:val="Equation"/>
              <w:spacing w:before="0" w:after="0" w:line="480" w:lineRule="auto"/>
            </w:pPr>
            <w:fldSimple w:instr=" SEQ Equation \* ARABIC ">
              <w:r>
                <w:rPr>
                  <w:noProof/>
                </w:rPr>
                <w:t>11</w:t>
              </w:r>
            </w:fldSimple>
          </w:p>
        </w:tc>
      </w:tr>
    </w:tbl>
    <w:p w14:paraId="25A18982" w14:textId="685D25BD" w:rsidR="00B045C3" w:rsidRDefault="00B771B0" w:rsidP="00F22A75">
      <w:r>
        <w:t>The sensitivity coefficients for the total effect</w:t>
      </w:r>
      <w:r w:rsidRPr="00967E50">
        <w:t xml:space="preserve"> of </w:t>
      </w:r>
      <w:r>
        <w:t>each</w:t>
      </w:r>
      <w:r w:rsidRPr="00967E50">
        <w:t xml:space="preserve"> </w:t>
      </w:r>
      <w:r>
        <w:t>input form a set of</w:t>
      </w:r>
      <w:r w:rsidRPr="00967E50">
        <w:t xml:space="preserve"> terms </w:t>
      </w:r>
      <w:r>
        <w:t>summing to a value of 1</w:t>
      </w:r>
      <w:r w:rsidRPr="00967E50">
        <w:t xml:space="preserve"> </w:t>
      </w:r>
      <w:r w:rsidRPr="00967E50">
        <w:fldChar w:fldCharType="begin"/>
      </w:r>
      <w:r w:rsidR="001457CB">
        <w:instrText xml:space="preserve"> ADDIN EN.CITE &lt;EndNote&gt;&lt;Cite&gt;&lt;Author&gt;Sobol&lt;/Author&gt;&lt;Year&gt;1993&lt;/Year&gt;&lt;RecNum&gt;250&lt;/RecNum&gt;&lt;DisplayText&gt;[41]&lt;/DisplayText&gt;&lt;record&gt;&lt;rec-number&gt;250&lt;/rec-number&gt;&lt;foreign-keys&gt;&lt;key app="EN" db-id="eseee05sfe5vt6efvr0xapvq20vfdsfp5fvf" timestamp="1671688347" guid="3b1673e5-940b-4477-9213-7c3d36ac5c24"&gt;250&lt;/key&gt;&lt;/foreign-keys&gt;&lt;ref-type name="Journal Article"&gt;17&lt;/ref-type&gt;&lt;contributors&gt;&lt;authors&gt;&lt;author&gt;I M Sobol&lt;/author&gt;&lt;/authors&gt;&lt;/contributors&gt;&lt;titles&gt;&lt;title&gt;Sensitivity Estimates for Nonlinear Mathematical Models&lt;/title&gt;&lt;secondary-title&gt;Mathematical Modelling and Computational Experiments&lt;/secondary-title&gt;&lt;/titles&gt;&lt;periodical&gt;&lt;full-title&gt;Mathematical Modelling and Computational Experiments&lt;/full-title&gt;&lt;/periodical&gt;&lt;pages&gt;407-414&lt;/pages&gt;&lt;volume&gt;4&lt;/volume&gt;&lt;section&gt;407&lt;/section&gt;&lt;dates&gt;&lt;year&gt;1993&lt;/year&gt;&lt;/dates&gt;&lt;urls&gt;&lt;/urls&gt;&lt;/record&gt;&lt;/Cite&gt;&lt;/EndNote&gt;</w:instrText>
      </w:r>
      <w:r w:rsidRPr="00967E50">
        <w:fldChar w:fldCharType="separate"/>
      </w:r>
      <w:r w:rsidR="001457CB">
        <w:rPr>
          <w:noProof/>
        </w:rPr>
        <w:t>[41]</w:t>
      </w:r>
      <w:r w:rsidRPr="00967E50">
        <w:fldChar w:fldCharType="end"/>
      </w:r>
      <w:r w:rsidRPr="00967E50">
        <w:t xml:space="preserve">. </w:t>
      </w:r>
      <w:r w:rsidR="00A60CF1">
        <w:t>T</w:t>
      </w:r>
      <w:r>
        <w:t>he main benefit of this method over the previous method developed by Pearson,</w:t>
      </w:r>
      <w:r w:rsidRPr="00967E50">
        <w:t xml:space="preserve"> is</w:t>
      </w:r>
      <w:r>
        <w:t xml:space="preserve"> that it is</w:t>
      </w:r>
      <w:r w:rsidRPr="00967E50">
        <w:t xml:space="preserve"> applicable to both linear and non-linear correlations </w:t>
      </w:r>
      <w:r w:rsidRPr="00967E50">
        <w:fldChar w:fldCharType="begin"/>
      </w:r>
      <w:r w:rsidR="001457CB">
        <w:instrText xml:space="preserve"> ADDIN EN.CITE &lt;EndNote&gt;&lt;Cite&gt;&lt;Author&gt;Ikonen&lt;/Author&gt;&lt;Year&gt;2016&lt;/Year&gt;&lt;RecNum&gt;251&lt;/RecNum&gt;&lt;DisplayText&gt;[42]&lt;/DisplayText&gt;&lt;record&gt;&lt;rec-number&gt;251&lt;/rec-number&gt;&lt;foreign-keys&gt;&lt;key app="EN" db-id="eseee05sfe5vt6efvr0xapvq20vfdsfp5fvf" timestamp="1671688447" guid="6b0aacea-b684-4a6d-b342-ed5c89c9bf06"&gt;251&lt;/key&gt;&lt;/foreign-keys&gt;&lt;ref-type name="Journal Article"&gt;17&lt;/ref-type&gt;&lt;contributors&gt;&lt;authors&gt;&lt;author&gt;Ikonen, Timo&lt;/author&gt;&lt;/authors&gt;&lt;/contributors&gt;&lt;titles&gt;&lt;title&gt;Comparison of global sensitivity analysis methods – Application to fuel behavior modeling&lt;/title&gt;&lt;secondary-title&gt;Nuclear Engineering and Design&lt;/secondary-title&gt;&lt;/titles&gt;&lt;periodical&gt;&lt;full-title&gt;Nuclear Engineering and Design&lt;/full-title&gt;&lt;/periodical&gt;&lt;pages&gt;72-80&lt;/pages&gt;&lt;volume&gt;297&lt;/volume&gt;&lt;dates&gt;&lt;year&gt;2016&lt;/year&gt;&lt;pub-dates&gt;&lt;date&gt;2016/02/01/&lt;/date&gt;&lt;/pub-dates&gt;&lt;/dates&gt;&lt;isbn&gt;0029-5493&lt;/isbn&gt;&lt;urls&gt;&lt;related-urls&gt;&lt;url&gt;https://www.sciencedirect.com/science/article/pii/S0029549315005579&lt;/url&gt;&lt;/related-urls&gt;&lt;/urls&gt;&lt;electronic-resource-num&gt;https://doi.org/10.1016/j.nucengdes.2015.11.025&lt;/electronic-resource-num&gt;&lt;/record&gt;&lt;/Cite&gt;&lt;/EndNote&gt;</w:instrText>
      </w:r>
      <w:r w:rsidRPr="00967E50">
        <w:fldChar w:fldCharType="separate"/>
      </w:r>
      <w:r w:rsidR="001457CB">
        <w:rPr>
          <w:noProof/>
        </w:rPr>
        <w:t>[42]</w:t>
      </w:r>
      <w:r w:rsidRPr="00967E50">
        <w:fldChar w:fldCharType="end"/>
      </w:r>
      <w:r w:rsidRPr="00967E50">
        <w:t>.</w:t>
      </w:r>
    </w:p>
    <w:p w14:paraId="587DAFEE" w14:textId="068D8AA1" w:rsidR="00172D01" w:rsidRDefault="00F81A0F" w:rsidP="00F22A75">
      <w:pPr>
        <w:pStyle w:val="Heading3"/>
        <w:spacing w:before="0" w:after="0"/>
      </w:pPr>
      <w:bookmarkStart w:id="22" w:name="_Toc202957448"/>
      <w:r>
        <w:t>Considerations for</w:t>
      </w:r>
      <w:r w:rsidR="00172D01">
        <w:t xml:space="preserve"> Sensitivity Analysis</w:t>
      </w:r>
      <w:bookmarkEnd w:id="22"/>
    </w:p>
    <w:p w14:paraId="22A0E17C" w14:textId="479C1BC6" w:rsidR="00172D01" w:rsidRDefault="00172D01" w:rsidP="00F22A75">
      <w:r>
        <w:t>While sensitivity analysis can be a powerful tool to gain insight on these expensive black box functions, there are several factors to consider that are imperative to the conclusions drawn. Sample ranges must be carefully considered and applied within realistic ranges. Improper selections of sample ranges can skew results and associate artificially high sensitivity to parameters.</w:t>
      </w:r>
      <w:r w:rsidR="003026BC">
        <w:t xml:space="preserve"> When considering the sensitivity of a model, it is often useful to consider the extremes of a sample range while uncertainty analysis usually looks at a subset of the full sampling range based on a parameter's associated uncertainty </w:t>
      </w:r>
      <w:r w:rsidR="003026BC">
        <w:fldChar w:fldCharType="begin"/>
      </w:r>
      <w:r w:rsidR="003026BC">
        <w:instrText xml:space="preserve"> ADDIN EN.CITE &lt;EndNote&gt;&lt;Cite&gt;&lt;Author&gt;Kleijnen&lt;/Author&gt;&lt;Year&gt;1997&lt;/Year&gt;&lt;RecNum&gt;582&lt;/RecNum&gt;&lt;DisplayText&gt;[43]&lt;/DisplayText&gt;&lt;record&gt;&lt;rec-number&gt;582&lt;/rec-number&gt;&lt;foreign-keys&gt;&lt;key app="EN" db-id="eseee05sfe5vt6efvr0xapvq20vfdsfp5fvf" timestamp="1750106927"&gt;582&lt;/key&gt;&lt;/foreign-keys&gt;&lt;ref-type name="Journal Article"&gt;17&lt;/ref-type&gt;&lt;contributors&gt;&lt;authors&gt;&lt;author&gt;Kleijnen, Jack P. C.&lt;/author&gt;&lt;/authors&gt;&lt;/contributors&gt;&lt;titles&gt;&lt;title&gt;Sensitivity analysis and related analyses: A review of some statistical techniques&lt;/title&gt;&lt;secondary-title&gt;Journal of Statistical Computation and Simulation&lt;/secondary-title&gt;&lt;/titles&gt;&lt;periodical&gt;&lt;full-title&gt;Journal of Statistical Computation and Simulation&lt;/full-title&gt;&lt;/periodical&gt;&lt;pages&gt;111-142&lt;/pages&gt;&lt;volume&gt;57&lt;/volume&gt;&lt;number&gt;1-4&lt;/number&gt;&lt;dates&gt;&lt;year&gt;1997&lt;/year&gt;&lt;pub-dates&gt;&lt;date&gt;1997/04/01&lt;/date&gt;&lt;/pub-dates&gt;&lt;/dates&gt;&lt;publisher&gt;Taylor &amp;amp; Francis&lt;/publisher&gt;&lt;isbn&gt;0094-9655&lt;/isbn&gt;&lt;urls&gt;&lt;related-urls&gt;&lt;url&gt;https://doi.org/10.1080/00949659708811805&lt;/url&gt;&lt;/related-urls&gt;&lt;/urls&gt;&lt;electronic-resource-num&gt;10.1080/00949659708811805&lt;/electronic-resource-num&gt;&lt;/record&gt;&lt;/Cite&gt;&lt;/EndNote&gt;</w:instrText>
      </w:r>
      <w:r w:rsidR="003026BC">
        <w:fldChar w:fldCharType="separate"/>
      </w:r>
      <w:r w:rsidR="003026BC">
        <w:rPr>
          <w:noProof/>
        </w:rPr>
        <w:t>[43]</w:t>
      </w:r>
      <w:r w:rsidR="003026BC">
        <w:fldChar w:fldCharType="end"/>
      </w:r>
      <w:r w:rsidR="003026BC">
        <w:t>.</w:t>
      </w:r>
      <w:r>
        <w:t xml:space="preserve"> Whether the variables within the analysis are dependent or independent can drastically change the sensitivity of inputs when using methods such as the Sobol analysis </w:t>
      </w:r>
      <w:r>
        <w:fldChar w:fldCharType="begin"/>
      </w:r>
      <w:r w:rsidR="003026BC">
        <w:instrText xml:space="preserve"> ADDIN EN.CITE &lt;EndNote&gt;&lt;Cite&gt;&lt;Author&gt;Hart&lt;/Author&gt;&lt;Year&gt;2018&lt;/Year&gt;&lt;RecNum&gt;581&lt;/RecNum&gt;&lt;DisplayText&gt;[44]&lt;/DisplayText&gt;&lt;record&gt;&lt;rec-number&gt;581&lt;/rec-number&gt;&lt;foreign-keys&gt;&lt;key app="EN" db-id="eseee05sfe5vt6efvr0xapvq20vfdsfp5fvf" timestamp="1750099215"&gt;581&lt;/key&gt;&lt;/foreign-keys&gt;&lt;ref-type name="Journal Article"&gt;17&lt;/ref-type&gt;&lt;contributors&gt;&lt;authors&gt;&lt;author&gt;Hart, Joseph&lt;/author&gt;&lt;author&gt;Gremaud, Pierre A&lt;/author&gt;&lt;/authors&gt;&lt;/contributors&gt;&lt;titles&gt;&lt;title&gt;An approximation theoretic perspective of Sobol&amp;apos;indices with dependent variables&lt;/title&gt;&lt;secondary-title&gt;International Journal for Uncertainty Quantification&lt;/secondary-title&gt;&lt;/titles&gt;&lt;periodical&gt;&lt;full-title&gt;International Journal for Uncertainty Quantification&lt;/full-title&gt;&lt;/periodical&gt;&lt;volume&gt;8&lt;/volume&gt;&lt;number&gt;6&lt;/number&gt;&lt;dates&gt;&lt;year&gt;2018&lt;/year&gt;&lt;/dates&gt;&lt;isbn&gt;2152-5080&lt;/isbn&gt;&lt;urls&gt;&lt;/urls&gt;&lt;/record&gt;&lt;/Cite&gt;&lt;/EndNote&gt;</w:instrText>
      </w:r>
      <w:r>
        <w:fldChar w:fldCharType="separate"/>
      </w:r>
      <w:r w:rsidR="003026BC">
        <w:rPr>
          <w:noProof/>
        </w:rPr>
        <w:t>[44]</w:t>
      </w:r>
      <w:r>
        <w:fldChar w:fldCharType="end"/>
      </w:r>
      <w:r>
        <w:t>.</w:t>
      </w:r>
      <w:r w:rsidR="003026BC">
        <w:t xml:space="preserve"> Dependent parameters may have a lower calculated sensitivity than their independent counterparts, and can alter conclusions of the analysis.</w:t>
      </w:r>
      <w:r w:rsidR="007A7469">
        <w:t xml:space="preserve"> Finally, if models are not representative of reality, the sensitivity of each parameter may not necessarily reflect the true sensitivity. With this in mind, it is important to compare model results to experimental data to ensure that the models are capable of capturing the fundamental mechanisms behind the tests that are being inspected.</w:t>
      </w:r>
      <w:r w:rsidR="00CD440A">
        <w:t xml:space="preserve"> Even if all these practices are </w:t>
      </w:r>
      <w:r w:rsidR="00CD440A">
        <w:lastRenderedPageBreak/>
        <w:t>followed, it is important to follow the sensitivity analysis by applying the results back to experiments to demonstrate the calculated sensitivity.</w:t>
      </w:r>
    </w:p>
    <w:p w14:paraId="4E3E36F1" w14:textId="77777777" w:rsidR="00172D01" w:rsidRPr="00172D01" w:rsidRDefault="00172D01" w:rsidP="00172D01"/>
    <w:p w14:paraId="7B5D656A" w14:textId="23A5A9DC" w:rsidR="00BF355D" w:rsidRPr="00BE4526" w:rsidRDefault="00BF355D" w:rsidP="00874CBB">
      <w:pPr>
        <w:pStyle w:val="Caption"/>
      </w:pPr>
      <w:r>
        <w:br w:type="page"/>
      </w:r>
    </w:p>
    <w:p w14:paraId="41CB6BA0" w14:textId="09F9A194" w:rsidR="00C61041" w:rsidRPr="00E75F87" w:rsidRDefault="00F634C6" w:rsidP="00324644">
      <w:pPr>
        <w:pStyle w:val="Heading1"/>
        <w:spacing w:line="480" w:lineRule="auto"/>
      </w:pPr>
      <w:bookmarkStart w:id="23" w:name="_Ref197859193"/>
      <w:bookmarkStart w:id="24" w:name="_Toc202957449"/>
      <w:bookmarkEnd w:id="14"/>
      <w:bookmarkEnd w:id="15"/>
      <w:r>
        <w:lastRenderedPageBreak/>
        <w:t>Case Study 1</w:t>
      </w:r>
      <w:bookmarkEnd w:id="23"/>
      <w:bookmarkEnd w:id="24"/>
    </w:p>
    <w:p w14:paraId="0FF810AD" w14:textId="4FC4143E" w:rsidR="006A062F" w:rsidRPr="00324644" w:rsidRDefault="006A062F" w:rsidP="00324644">
      <w:pPr>
        <w:pStyle w:val="Heading2"/>
      </w:pPr>
      <w:bookmarkStart w:id="25" w:name="_Toc202957450"/>
      <w:r w:rsidRPr="00324644">
        <w:t>Critical Heat Flux</w:t>
      </w:r>
      <w:bookmarkEnd w:id="25"/>
      <w:r w:rsidRPr="00324644">
        <w:t xml:space="preserve"> </w:t>
      </w:r>
    </w:p>
    <w:p w14:paraId="01532A91" w14:textId="613379CC" w:rsidR="00C255FB" w:rsidRDefault="00E07F3E" w:rsidP="00324644">
      <w:r>
        <w:t xml:space="preserve">The work associated with this case study has been published in </w:t>
      </w:r>
      <w:r>
        <w:fldChar w:fldCharType="begin">
          <w:fldData xml:space="preserve">PEVuZE5vdGU+PENpdGU+PEF1dGhvcj5NZWVoYW48L0F1dGhvcj48WWVhcj4yMDIzPC9ZZWFyPjxS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</w:fldData>
        </w:fldChar>
      </w:r>
      <w:r>
        <w:instrText xml:space="preserve"> ADDIN EN.CITE </w:instrText>
      </w:r>
      <w:r>
        <w:fldChar w:fldCharType="begin">
          <w:fldData xml:space="preserve">PEVuZE5vdGU+PENpdGU+PEF1dGhvcj5NZWVoYW48L0F1dGhvcj48WWVhcj4yMDIzPC9ZZWFyPjxS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</w:fldData>
        </w:fldChar>
      </w:r>
      <w:r>
        <w:instrText xml:space="preserve"> ADDIN EN.CITE.DATA </w:instrText>
      </w:r>
      <w:r>
        <w:fldChar w:fldCharType="end"/>
      </w:r>
      <w:r>
        <w:fldChar w:fldCharType="separate"/>
      </w:r>
      <w:r>
        <w:rPr>
          <w:noProof/>
        </w:rPr>
        <w:t>[23, 24]</w:t>
      </w:r>
      <w:r>
        <w:fldChar w:fldCharType="end"/>
      </w:r>
      <w:r>
        <w:t xml:space="preserve"> and is modified to give a cohesive overview of the work. </w:t>
      </w:r>
      <w:r w:rsidR="00C255FB">
        <w:t>Specifically:</w:t>
      </w:r>
    </w:p>
    <w:p w14:paraId="74290B4E" w14:textId="6848345B" w:rsidR="00C255FB" w:rsidRDefault="00C255FB" w:rsidP="002C73F8">
      <w:pPr>
        <w:ind w:left="720"/>
        <w:rPr>
          <w:noProof/>
        </w:rPr>
      </w:pPr>
      <w:r>
        <w:rPr>
          <w:noProof/>
        </w:rPr>
        <w:t xml:space="preserve">- </w:t>
      </w:r>
      <w:r w:rsidRPr="00921EA0">
        <w:rPr>
          <w:noProof/>
        </w:rPr>
        <w:t xml:space="preserve">N. A. MEEHAN, et al., “Sensitivity Analysis of Transient Critical Heat Flux by RIA Under High-Pressure Flow Boiling Conditions in TRTL,” Nuclear Technology, (2023); </w:t>
      </w:r>
      <w:hyperlink r:id="rId14" w:history="1">
        <w:r w:rsidRPr="002C73F8">
          <w:t>https://doi.org/10.1080/00295450.2023.2195355</w:t>
        </w:r>
      </w:hyperlink>
      <w:r w:rsidRPr="002C73F8">
        <w:t>.</w:t>
      </w:r>
    </w:p>
    <w:p w14:paraId="7493083A" w14:textId="31E1C692" w:rsidR="00C255FB" w:rsidRPr="00921EA0" w:rsidRDefault="00C255FB" w:rsidP="00C255FB">
      <w:pPr>
        <w:rPr>
          <w:noProof/>
        </w:rPr>
      </w:pPr>
      <w:r>
        <w:rPr>
          <w:noProof/>
        </w:rPr>
        <w:t>and</w:t>
      </w:r>
    </w:p>
    <w:p w14:paraId="65A39AB5" w14:textId="5EA139D6" w:rsidR="00C255FB" w:rsidRPr="00921EA0" w:rsidRDefault="00C255FB" w:rsidP="002C73F8">
      <w:pPr>
        <w:ind w:left="720"/>
        <w:rPr>
          <w:noProof/>
        </w:rPr>
      </w:pPr>
      <w:r>
        <w:rPr>
          <w:noProof/>
        </w:rPr>
        <w:t xml:space="preserve">- </w:t>
      </w:r>
      <w:r w:rsidRPr="00921EA0">
        <w:rPr>
          <w:noProof/>
        </w:rPr>
        <w:t>N. A. MEEHAN, C. P. FOLSOM and N. R. BROWN, “A knowledge gap analysis for transient CHF prediction within RELAP5-3D,” Nuclear Engineering and Design, 422, (</w:t>
      </w:r>
      <w:r w:rsidRPr="002C73F8">
        <w:t xml:space="preserve">2024); </w:t>
      </w:r>
      <w:hyperlink r:id="rId15" w:history="1">
        <w:r w:rsidRPr="002C73F8">
          <w:t>https://doi.org/10.1016/j.nucengdes.2024.113171</w:t>
        </w:r>
      </w:hyperlink>
      <w:r w:rsidRPr="002C73F8">
        <w:t>.</w:t>
      </w:r>
    </w:p>
    <w:p w14:paraId="34010A2E" w14:textId="2EE8BB67" w:rsidR="00E02C94" w:rsidRDefault="008D015F" w:rsidP="00F22A75">
      <w:r w:rsidRPr="009001DC">
        <w:t>Reactivity-initiated accidents (RIAs) are a design basis accident for LWRs which are characterized by a rapid insertion of reactivity and a corresponding localized increase in fuel temperature. This rapid increase in temperature and heat flux can initiate a boiling crisis if the CHF of the cladding-liquid interface is exceeded. The boiling crisis and resulting</w:t>
      </w:r>
      <w:r w:rsidRPr="000B2B76">
        <w:t xml:space="preserve"> </w:t>
      </w:r>
      <w:r w:rsidRPr="009001DC">
        <w:t xml:space="preserve">onset of CHF causes a localized degradation in heat transfer due to the formation of a vapor layer between the cladding and the coolant. Cladding under this condition </w:t>
      </w:r>
      <w:r>
        <w:t xml:space="preserve">is at </w:t>
      </w:r>
      <w:r w:rsidRPr="009001DC">
        <w:t>risk</w:t>
      </w:r>
      <w:r>
        <w:t xml:space="preserve"> of</w:t>
      </w:r>
      <w:r w:rsidRPr="009001DC">
        <w:t xml:space="preserve"> </w:t>
      </w:r>
      <w:r>
        <w:t xml:space="preserve">ballooning, which can compromise the coolable geometry of the subchannel and impede coolant flow, and subsequent </w:t>
      </w:r>
      <w:r w:rsidRPr="009001DC">
        <w:t xml:space="preserve">failure </w:t>
      </w:r>
      <w:r>
        <w:t>by rupture or exceeding the cladding melt temperature; both of which can</w:t>
      </w:r>
      <w:r w:rsidRPr="009001DC">
        <w:t xml:space="preserve"> release fission products into the system</w:t>
      </w:r>
      <w:r>
        <w:t>.</w:t>
      </w:r>
      <w:r w:rsidRPr="009001DC">
        <w:t xml:space="preserve"> </w:t>
      </w:r>
      <w:r>
        <w:t>T</w:t>
      </w:r>
      <w:r w:rsidRPr="009001DC">
        <w:t xml:space="preserve">o </w:t>
      </w:r>
      <w:r>
        <w:lastRenderedPageBreak/>
        <w:t>prevent</w:t>
      </w:r>
      <w:r w:rsidRPr="009001DC">
        <w:t xml:space="preserve"> th</w:t>
      </w:r>
      <w:r>
        <w:t>ese consequences</w:t>
      </w:r>
      <w:r w:rsidRPr="009001DC">
        <w:t xml:space="preserve">, operational margins are designed to avoid reaching CHF </w:t>
      </w:r>
      <w:r w:rsidRPr="009001DC">
        <w:fldChar w:fldCharType="begin"/>
      </w:r>
      <w:r w:rsidR="003026BC">
        <w:instrText xml:space="preserve"> ADDIN EN.CITE &lt;EndNote&gt;&lt;Cite&gt;&lt;Author&gt;Folsom&lt;/Author&gt;&lt;Year&gt;2022&lt;/Year&gt;&lt;RecNum&gt;199&lt;/RecNum&gt;&lt;DisplayText&gt;[45]&lt;/DisplayText&gt;&lt;record&gt;&lt;rec-number&gt;199&lt;/rec-number&gt;&lt;foreign-keys&gt;&lt;key app="EN" db-id="eseee05sfe5vt6efvr0xapvq20vfdsfp5fvf" timestamp="1665414997" guid="53a0dd99-22d5-40bc-b202-6314bbc4f200"&gt;199&lt;/key&gt;&lt;/foreign-keys&gt;&lt;ref-type name="Journal Article"&gt;17&lt;/ref-type&gt;&lt;contributors&gt;&lt;authors&gt;&lt;author&gt;Folsom, Charles P.&lt;/author&gt;&lt;author&gt;Armstrong, Robert J.&lt;/author&gt;&lt;author&gt;Woolstenhulme, Nicolas E.&lt;/author&gt;&lt;author&gt;Fleming, Austin D.&lt;/author&gt;&lt;author&gt;Hill, Connie M.&lt;/author&gt;&lt;author&gt;Jensen, Colby B.&lt;/author&gt;&lt;author&gt;Wachs, Daniel M.&lt;/author&gt;&lt;/authors&gt;&lt;/contributors&gt;&lt;titles&gt;&lt;title&gt;Design of separate-effects In-Pile transient boiling experiments at the TREAT Facility&lt;/title&gt;&lt;secondary-title&gt;Nuclear Engineering and Design&lt;/secondary-title&gt;&lt;/titles&gt;&lt;periodical&gt;&lt;full-title&gt;Nuclear Engineering and Design&lt;/full-title&gt;&lt;/periodical&gt;&lt;pages&gt;111919&lt;/pages&gt;&lt;volume&gt;397&lt;/volume&gt;&lt;keywords&gt;&lt;keyword&gt;Separate-effect testing&lt;/keyword&gt;&lt;keyword&gt;Transient boiling&lt;/keyword&gt;&lt;keyword&gt;Transient critical heat flux&lt;/keyword&gt;&lt;keyword&gt;Reactivity initiated accident&lt;/keyword&gt;&lt;keyword&gt;TREAT&lt;/keyword&gt;&lt;keyword&gt;LWR&lt;/keyword&gt;&lt;/keywords&gt;&lt;dates&gt;&lt;year&gt;2022&lt;/year&gt;&lt;pub-dates&gt;&lt;date&gt;2022/10/01/&lt;/date&gt;&lt;/pub-dates&gt;&lt;/dates&gt;&lt;isbn&gt;0029-5493&lt;/isbn&gt;&lt;urls&gt;&lt;related-urls&gt;&lt;url&gt;https://www.sciencedirect.com/science/article/pii/S0029549322002722&lt;/url&gt;&lt;/related-urls&gt;&lt;/urls&gt;&lt;electronic-resource-num&gt;https://doi.org/10.1016/j.nucengdes.2022.111919&lt;/electronic-resource-num&gt;&lt;/record&gt;&lt;/Cite&gt;&lt;/EndNote&gt;</w:instrText>
      </w:r>
      <w:r w:rsidRPr="009001DC">
        <w:fldChar w:fldCharType="separate"/>
      </w:r>
      <w:r w:rsidR="003026BC">
        <w:rPr>
          <w:noProof/>
        </w:rPr>
        <w:t>[45]</w:t>
      </w:r>
      <w:r w:rsidRPr="009001DC">
        <w:fldChar w:fldCharType="end"/>
      </w:r>
      <w:r w:rsidRPr="009001DC">
        <w:t xml:space="preserve">. </w:t>
      </w:r>
    </w:p>
    <w:p w14:paraId="240195C9" w14:textId="281FA899" w:rsidR="00BD2D6F" w:rsidRDefault="00BD2D6F" w:rsidP="00F22A75">
      <w:pPr>
        <w:rPr>
          <w:lang w:eastAsia="ko-KR"/>
        </w:rPr>
      </w:pPr>
      <w:bookmarkStart w:id="26" w:name="_Toc420995904"/>
      <w:bookmarkStart w:id="27" w:name="_Toc422997491"/>
      <w:bookmarkStart w:id="28" w:name="_Toc427156474"/>
      <w:r w:rsidRPr="00967E50">
        <w:rPr>
          <w:lang w:eastAsia="ko-KR"/>
        </w:rPr>
        <w:t xml:space="preserve">Early studies on the fundamentals of CHF phenomena based on the hydrodynamic instability model were limited to steady-state conditions </w:t>
      </w:r>
      <w:r w:rsidRPr="00967E50">
        <w:rPr>
          <w:lang w:eastAsia="ko-KR"/>
        </w:rPr>
        <w:fldChar w:fldCharType="begin">
          <w:fldData xml:space="preserve">PEVuZE5vdGU+PENpdGU+PEF1dGhvcj5adWJlcjwvQXV0aG9yPjxZZWFyPjE5NTk8L1llYXI+PFJl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</w:fldData>
        </w:fldChar>
      </w:r>
      <w:r w:rsidR="003026BC">
        <w:rPr>
          <w:lang w:eastAsia="ko-KR"/>
        </w:rPr>
        <w:instrText xml:space="preserve"> ADDIN EN.CITE </w:instrText>
      </w:r>
      <w:r w:rsidR="003026BC">
        <w:rPr>
          <w:lang w:eastAsia="ko-KR"/>
        </w:rPr>
        <w:fldChar w:fldCharType="begin">
          <w:fldData xml:space="preserve">PEVuZE5vdGU+PENpdGU+PEF1dGhvcj5adWJlcjwvQXV0aG9yPjxZZWFyPjE5NTk8L1llYXI+PFJl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</w:fldData>
        </w:fldChar>
      </w:r>
      <w:r w:rsidR="003026BC">
        <w:rPr>
          <w:lang w:eastAsia="ko-KR"/>
        </w:rPr>
        <w:instrText xml:space="preserve"> ADDIN EN.CITE.DATA </w:instrText>
      </w:r>
      <w:r w:rsidR="003026BC">
        <w:rPr>
          <w:lang w:eastAsia="ko-KR"/>
        </w:rPr>
      </w:r>
      <w:r w:rsidR="003026BC">
        <w:rPr>
          <w:lang w:eastAsia="ko-KR"/>
        </w:rPr>
        <w:fldChar w:fldCharType="end"/>
      </w:r>
      <w:r w:rsidRPr="00967E50">
        <w:rPr>
          <w:lang w:eastAsia="ko-KR"/>
        </w:rPr>
      </w:r>
      <w:r w:rsidRPr="00967E50">
        <w:rPr>
          <w:lang w:eastAsia="ko-KR"/>
        </w:rPr>
        <w:fldChar w:fldCharType="separate"/>
      </w:r>
      <w:r w:rsidR="003026BC">
        <w:rPr>
          <w:noProof/>
          <w:lang w:eastAsia="ko-KR"/>
        </w:rPr>
        <w:t>[46, 47]</w:t>
      </w:r>
      <w:r w:rsidRPr="00967E50">
        <w:rPr>
          <w:lang w:eastAsia="ko-KR"/>
        </w:rPr>
        <w:fldChar w:fldCharType="end"/>
      </w:r>
      <w:r w:rsidRPr="00967E50">
        <w:rPr>
          <w:lang w:eastAsia="ko-KR"/>
        </w:rPr>
        <w:t xml:space="preserve">. However, recent studies have shown discrepancies in predicting CHF under power-transient conditions using steady-state CHF models. Some reported that the transient heating resulted in similar or higher values of CHF </w:t>
      </w:r>
      <w:r w:rsidRPr="00967E50">
        <w:rPr>
          <w:lang w:eastAsia="ko-KR"/>
        </w:rPr>
        <w:fldChar w:fldCharType="begin">
          <w:fldData xml:space="preserve">PEVuZE5vdGU+PENpdGU+PEF1dGhvcj5Jbm91ZTwvQXV0aG9yPjxZZWFyPjIwMDA8L1llYXI+PFJl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</w:fldData>
        </w:fldChar>
      </w:r>
      <w:r w:rsidR="003026BC">
        <w:rPr>
          <w:lang w:eastAsia="ko-KR"/>
        </w:rPr>
        <w:instrText xml:space="preserve"> ADDIN EN.CITE </w:instrText>
      </w:r>
      <w:r w:rsidR="003026BC">
        <w:rPr>
          <w:lang w:eastAsia="ko-KR"/>
        </w:rPr>
        <w:fldChar w:fldCharType="begin">
          <w:fldData xml:space="preserve">PEVuZE5vdGU+PENpdGU+PEF1dGhvcj5Jbm91ZTwvQXV0aG9yPjxZZWFyPjIwMDA8L1llYXI+PFJl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</w:fldData>
        </w:fldChar>
      </w:r>
      <w:r w:rsidR="003026BC">
        <w:rPr>
          <w:lang w:eastAsia="ko-KR"/>
        </w:rPr>
        <w:instrText xml:space="preserve"> ADDIN EN.CITE.DATA </w:instrText>
      </w:r>
      <w:r w:rsidR="003026BC">
        <w:rPr>
          <w:lang w:eastAsia="ko-KR"/>
        </w:rPr>
      </w:r>
      <w:r w:rsidR="003026BC">
        <w:rPr>
          <w:lang w:eastAsia="ko-KR"/>
        </w:rPr>
        <w:fldChar w:fldCharType="end"/>
      </w:r>
      <w:r w:rsidRPr="00967E50">
        <w:rPr>
          <w:lang w:eastAsia="ko-KR"/>
        </w:rPr>
      </w:r>
      <w:r w:rsidRPr="00967E50">
        <w:rPr>
          <w:lang w:eastAsia="ko-KR"/>
        </w:rPr>
        <w:fldChar w:fldCharType="separate"/>
      </w:r>
      <w:r w:rsidR="003026BC">
        <w:rPr>
          <w:noProof/>
          <w:lang w:eastAsia="ko-KR"/>
        </w:rPr>
        <w:t>[48, 49]</w:t>
      </w:r>
      <w:r w:rsidRPr="00967E50">
        <w:rPr>
          <w:lang w:eastAsia="ko-KR"/>
        </w:rPr>
        <w:fldChar w:fldCharType="end"/>
      </w:r>
      <w:r w:rsidRPr="00967E50">
        <w:rPr>
          <w:lang w:eastAsia="ko-KR"/>
        </w:rPr>
        <w:t xml:space="preserve">, and even decreasing values of CHF under certain transient conditions </w:t>
      </w:r>
      <w:r w:rsidRPr="00967E50">
        <w:rPr>
          <w:lang w:eastAsia="ko-KR"/>
        </w:rPr>
        <w:fldChar w:fldCharType="begin"/>
      </w:r>
      <w:r w:rsidR="003026BC">
        <w:rPr>
          <w:lang w:eastAsia="ko-KR"/>
        </w:rPr>
        <w:instrText xml:space="preserve"> ADDIN EN.CITE &lt;EndNote&gt;&lt;Cite&gt;&lt;Author&gt;Sakurai&lt;/Author&gt;&lt;Year&gt;2000&lt;/Year&gt;&lt;RecNum&gt;196&lt;/RecNum&gt;&lt;DisplayText&gt;[50]&lt;/DisplayText&gt;&lt;record&gt;&lt;rec-number&gt;196&lt;/rec-number&gt;&lt;foreign-keys&gt;&lt;key app="EN" db-id="eseee05sfe5vt6efvr0xapvq20vfdsfp5fvf" timestamp="1663769128" guid="f3559ff4-46b9-4fff-80a6-b33a376a6afa"&gt;196&lt;/key&gt;&lt;/foreign-keys&gt;&lt;ref-type name="Journal Article"&gt;17&lt;/ref-type&gt;&lt;contributors&gt;&lt;authors&gt;&lt;author&gt;Sakurai, A.&lt;/author&gt;&lt;/authors&gt;&lt;/contributors&gt;&lt;titles&gt;&lt;title&gt;Mechanisms of transitions to film boiling at CHFs in subcooled and pressurized liquids due to steady and increasing heat inputs&lt;/title&gt;&lt;secondary-title&gt;Nuclear Engineering and Design&lt;/secondary-title&gt;&lt;/titles&gt;&lt;periodical&gt;&lt;full-title&gt;Nuclear Engineering and Design&lt;/full-title&gt;&lt;/periodical&gt;&lt;pages&gt;301-356&lt;/pages&gt;&lt;volume&gt;197&lt;/volume&gt;&lt;number&gt;3&lt;/number&gt;&lt;dates&gt;&lt;year&gt;2000&lt;/year&gt;&lt;pub-dates&gt;&lt;date&gt;2000/05/01/&lt;/date&gt;&lt;/pub-dates&gt;&lt;/dates&gt;&lt;isbn&gt;0029-5493&lt;/isbn&gt;&lt;urls&gt;&lt;related-urls&gt;&lt;url&gt;https://www.sciencedirect.com/science/article/pii/S0029549399003143&lt;/url&gt;&lt;/related-urls&gt;&lt;/urls&gt;&lt;electronic-resource-num&gt;https://doi.org/10.1016/S0029-5493(99)00314-3&lt;/electronic-resource-num&gt;&lt;/record&gt;&lt;/Cite&gt;&lt;/EndNote&gt;</w:instrText>
      </w:r>
      <w:r w:rsidRPr="00967E50">
        <w:rPr>
          <w:lang w:eastAsia="ko-KR"/>
        </w:rPr>
        <w:fldChar w:fldCharType="separate"/>
      </w:r>
      <w:r w:rsidR="003026BC">
        <w:rPr>
          <w:noProof/>
          <w:lang w:eastAsia="ko-KR"/>
        </w:rPr>
        <w:t>[50]</w:t>
      </w:r>
      <w:r w:rsidRPr="00967E50">
        <w:rPr>
          <w:lang w:eastAsia="ko-KR"/>
        </w:rPr>
        <w:fldChar w:fldCharType="end"/>
      </w:r>
      <w:r w:rsidRPr="00967E50">
        <w:rPr>
          <w:lang w:eastAsia="ko-KR"/>
        </w:rPr>
        <w:t>. Different tendencies with respect to power transients introduce</w:t>
      </w:r>
      <w:r w:rsidR="001545D1">
        <w:rPr>
          <w:lang w:eastAsia="ko-KR"/>
        </w:rPr>
        <w:t>d</w:t>
      </w:r>
      <w:r w:rsidRPr="00967E50">
        <w:rPr>
          <w:lang w:eastAsia="ko-KR"/>
        </w:rPr>
        <w:t xml:space="preserve"> challenges in explaining the fundamental mechanism beneath the occurrence of CHF </w:t>
      </w:r>
      <w:r w:rsidRPr="00967E50">
        <w:rPr>
          <w:lang w:eastAsia="ko-KR"/>
        </w:rPr>
        <w:fldChar w:fldCharType="begin"/>
      </w:r>
      <w:r w:rsidR="003026BC">
        <w:rPr>
          <w:lang w:eastAsia="ko-KR"/>
        </w:rPr>
        <w:instrText xml:space="preserve"> ADDIN EN.CITE &lt;EndNote&gt;&lt;Cite&gt;&lt;Author&gt;Kossolapov&lt;/Author&gt;&lt;Year&gt;2018&lt;/Year&gt;&lt;RecNum&gt;214&lt;/RecNum&gt;&lt;DisplayText&gt;[51]&lt;/DisplayText&gt;&lt;record&gt;&lt;rec-number&gt;214&lt;/rec-number&gt;&lt;foreign-keys&gt;&lt;key app="EN" db-id="eseee05sfe5vt6efvr0xapvq20vfdsfp5fvf" timestamp="1671069904" guid="a506491d-17df-41c6-ab36-43793cd14abd"&gt;214&lt;/key&gt;&lt;/foreign-keys&gt;&lt;ref-type name="Thesis"&gt;32&lt;/ref-type&gt;&lt;contributors&gt;&lt;authors&gt;&lt;author&gt;Artyom Kossolapov&lt;/author&gt;&lt;/authors&gt;&lt;/contributors&gt;&lt;titles&gt;&lt;title&gt;Transient flow boiling CHF under exponentially escalating heat inputs&lt;/title&gt;&lt;secondary-title&gt;Department of Nuclear Science and Engineering&lt;/secondary-title&gt;&lt;/titles&gt;&lt;dates&gt;&lt;year&gt;2018&lt;/year&gt;&lt;pub-dates&gt;&lt;date&gt;November&lt;/date&gt;&lt;/pub-dates&gt;&lt;/dates&gt;&lt;publisher&gt;Massachusetts Institute of Technology&lt;/publisher&gt;&lt;work-type&gt;Thesis&lt;/work-type&gt;&lt;urls&gt;&lt;/urls&gt;&lt;/record&gt;&lt;/Cite&gt;&lt;/EndNote&gt;</w:instrText>
      </w:r>
      <w:r w:rsidRPr="00967E50">
        <w:rPr>
          <w:lang w:eastAsia="ko-KR"/>
        </w:rPr>
        <w:fldChar w:fldCharType="separate"/>
      </w:r>
      <w:r w:rsidR="003026BC">
        <w:rPr>
          <w:noProof/>
          <w:lang w:eastAsia="ko-KR"/>
        </w:rPr>
        <w:t>[51]</w:t>
      </w:r>
      <w:r w:rsidRPr="00967E50">
        <w:rPr>
          <w:lang w:eastAsia="ko-KR"/>
        </w:rPr>
        <w:fldChar w:fldCharType="end"/>
      </w:r>
      <w:r w:rsidRPr="00967E50">
        <w:rPr>
          <w:lang w:eastAsia="ko-KR"/>
        </w:rPr>
        <w:t>, which</w:t>
      </w:r>
      <w:r w:rsidR="001545D1">
        <w:rPr>
          <w:lang w:eastAsia="ko-KR"/>
        </w:rPr>
        <w:t xml:space="preserve"> has</w:t>
      </w:r>
      <w:r w:rsidRPr="00967E50">
        <w:rPr>
          <w:lang w:eastAsia="ko-KR"/>
        </w:rPr>
        <w:t xml:space="preserve"> led to a substantial gap in prediction accuracy. The heterogeneous spontaneous nucleation (HSN) model was developed based on the observation of direct transition to film boiling without reaching nucleate boiling </w:t>
      </w:r>
      <w:r w:rsidRPr="00967E50">
        <w:rPr>
          <w:lang w:eastAsia="ko-KR"/>
        </w:rPr>
        <w:fldChar w:fldCharType="begin"/>
      </w:r>
      <w:r w:rsidR="003026BC">
        <w:rPr>
          <w:lang w:eastAsia="ko-KR"/>
        </w:rPr>
        <w:instrText xml:space="preserve"> ADDIN EN.CITE &lt;EndNote&gt;&lt;Cite&gt;&lt;Author&gt;Saito&lt;/Author&gt;&lt;Year&gt;1981&lt;/Year&gt;&lt;RecNum&gt;215&lt;/RecNum&gt;&lt;DisplayText&gt;[52]&lt;/DisplayText&gt;&lt;record&gt;&lt;rec-number&gt;215&lt;/rec-number&gt;&lt;foreign-keys&gt;&lt;key app="EN" db-id="eseee05sfe5vt6efvr0xapvq20vfdsfp5fvf" timestamp="1671069988" guid="6529276d-961d-40de-9036-3255654e275a"&gt;215&lt;/key&gt;&lt;/foreign-keys&gt;&lt;ref-type name="Journal Article"&gt;17&lt;/ref-type&gt;&lt;contributors&gt;&lt;authors&gt;&lt;author&gt;Saito, Shinzo&lt;/author&gt;&lt;author&gt;Sumita, Kenji&lt;/author&gt;&lt;author&gt;Emori, Yasufumi&lt;/author&gt;&lt;author&gt;Kawamura, Hiroshi&lt;/author&gt;&lt;/authors&gt;&lt;/contributors&gt;&lt;titles&gt;&lt;title&gt;Development of In-Reactor Fuel Behavior Observation System&lt;/title&gt;&lt;secondary-title&gt;Journal of Nuclear Science and Technology&lt;/secondary-title&gt;&lt;/titles&gt;&lt;periodical&gt;&lt;full-title&gt;Journal of Nuclear Science and Technology&lt;/full-title&gt;&lt;/periodical&gt;&lt;pages&gt;427-439&lt;/pages&gt;&lt;volume&gt;18&lt;/volume&gt;&lt;number&gt;6&lt;/number&gt;&lt;dates&gt;&lt;year&gt;1981&lt;/year&gt;&lt;pub-dates&gt;&lt;date&gt;1981/06/01&lt;/date&gt;&lt;/pub-dates&gt;&lt;/dates&gt;&lt;publisher&gt;Taylor &amp;amp; Francis&lt;/publisher&gt;&lt;isbn&gt;0022-3131&lt;/isbn&gt;&lt;urls&gt;&lt;related-urls&gt;&lt;url&gt;https://doi.org/10.1080/18811248.1981.9733275&lt;/url&gt;&lt;/related-urls&gt;&lt;/urls&gt;&lt;electronic-resource-num&gt;https://doi.org/10.1080/18811248.1981.9733275&lt;/electronic-resource-num&gt;&lt;/record&gt;&lt;/Cite&gt;&lt;/EndNote&gt;</w:instrText>
      </w:r>
      <w:r w:rsidRPr="00967E50">
        <w:rPr>
          <w:lang w:eastAsia="ko-KR"/>
        </w:rPr>
        <w:fldChar w:fldCharType="separate"/>
      </w:r>
      <w:r w:rsidR="003026BC">
        <w:rPr>
          <w:noProof/>
          <w:lang w:eastAsia="ko-KR"/>
        </w:rPr>
        <w:t>[52]</w:t>
      </w:r>
      <w:r w:rsidRPr="00967E50">
        <w:rPr>
          <w:lang w:eastAsia="ko-KR"/>
        </w:rPr>
        <w:fldChar w:fldCharType="end"/>
      </w:r>
      <w:r w:rsidRPr="00967E50">
        <w:rPr>
          <w:lang w:eastAsia="ko-KR"/>
        </w:rPr>
        <w:t xml:space="preserve">, and provided evidence that the mechanism of transient CHF is different from steady state CHF </w:t>
      </w:r>
      <w:r w:rsidRPr="00967E50">
        <w:rPr>
          <w:lang w:eastAsia="ko-KR"/>
        </w:rPr>
        <w:fldChar w:fldCharType="begin"/>
      </w:r>
      <w:r w:rsidR="003026BC">
        <w:rPr>
          <w:lang w:eastAsia="ko-KR"/>
        </w:rPr>
        <w:instrText xml:space="preserve"> ADDIN EN.CITE &lt;EndNote&gt;&lt;Cite&gt;&lt;Author&gt;Sakurai&lt;/Author&gt;&lt;Year&gt;2000&lt;/Year&gt;&lt;RecNum&gt;196&lt;/RecNum&gt;&lt;DisplayText&gt;[50]&lt;/DisplayText&gt;&lt;record&gt;&lt;rec-number&gt;196&lt;/rec-number&gt;&lt;foreign-keys&gt;&lt;key app="EN" db-id="eseee05sfe5vt6efvr0xapvq20vfdsfp5fvf" timestamp="1663769128" guid="f3559ff4-46b9-4fff-80a6-b33a376a6afa"&gt;196&lt;/key&gt;&lt;/foreign-keys&gt;&lt;ref-type name="Journal Article"&gt;17&lt;/ref-type&gt;&lt;contributors&gt;&lt;authors&gt;&lt;author&gt;Sakurai, A.&lt;/author&gt;&lt;/authors&gt;&lt;/contributors&gt;&lt;titles&gt;&lt;title&gt;Mechanisms of transitions to film boiling at CHFs in subcooled and pressurized liquids due to steady and increasing heat inputs&lt;/title&gt;&lt;secondary-title&gt;Nuclear Engineering and Design&lt;/secondary-title&gt;&lt;/titles&gt;&lt;periodical&gt;&lt;full-title&gt;Nuclear Engineering and Design&lt;/full-title&gt;&lt;/periodical&gt;&lt;pages&gt;301-356&lt;/pages&gt;&lt;volume&gt;197&lt;/volume&gt;&lt;number&gt;3&lt;/number&gt;&lt;dates&gt;&lt;year&gt;2000&lt;/year&gt;&lt;pub-dates&gt;&lt;date&gt;2000/05/01/&lt;/date&gt;&lt;/pub-dates&gt;&lt;/dates&gt;&lt;isbn&gt;0029-5493&lt;/isbn&gt;&lt;urls&gt;&lt;related-urls&gt;&lt;url&gt;https://www.sciencedirect.com/science/article/pii/S0029549399003143&lt;/url&gt;&lt;/related-urls&gt;&lt;/urls&gt;&lt;electronic-resource-num&gt;https://doi.org/10.1016/S0029-5493(99)00314-3&lt;/electronic-resource-num&gt;&lt;/record&gt;&lt;/Cite&gt;&lt;/EndNote&gt;</w:instrText>
      </w:r>
      <w:r w:rsidRPr="00967E50">
        <w:rPr>
          <w:lang w:eastAsia="ko-KR"/>
        </w:rPr>
        <w:fldChar w:fldCharType="separate"/>
      </w:r>
      <w:r w:rsidR="003026BC">
        <w:rPr>
          <w:noProof/>
          <w:lang w:eastAsia="ko-KR"/>
        </w:rPr>
        <w:t>[50]</w:t>
      </w:r>
      <w:r w:rsidRPr="00967E50">
        <w:rPr>
          <w:lang w:eastAsia="ko-KR"/>
        </w:rPr>
        <w:fldChar w:fldCharType="end"/>
      </w:r>
      <w:r w:rsidRPr="00967E50">
        <w:rPr>
          <w:lang w:eastAsia="ko-KR"/>
        </w:rPr>
        <w:t>. The HSN model elaborates that the manifestation of CHF is the result of rapid levitation of the liquid sublayer on a heated surface by explosive-like HSN in cavities</w:t>
      </w:r>
      <w:r>
        <w:rPr>
          <w:lang w:eastAsia="ko-KR"/>
        </w:rPr>
        <w:t xml:space="preserve"> on the cladding surface</w:t>
      </w:r>
      <w:r w:rsidRPr="00967E50">
        <w:rPr>
          <w:lang w:eastAsia="ko-KR"/>
        </w:rPr>
        <w:t>.</w:t>
      </w:r>
    </w:p>
    <w:p w14:paraId="754C04EE" w14:textId="28A77DB8" w:rsidR="00BD2D6F" w:rsidRDefault="00F25360" w:rsidP="00F22A75">
      <w:pPr>
        <w:pStyle w:val="Heading3"/>
        <w:spacing w:before="0" w:after="0"/>
      </w:pPr>
      <w:bookmarkStart w:id="29" w:name="_Toc202957451"/>
      <w:r>
        <w:t>Factors that Influence CHF</w:t>
      </w:r>
      <w:bookmarkEnd w:id="29"/>
    </w:p>
    <w:p w14:paraId="6A31AD7D" w14:textId="6A864EC0" w:rsidR="005E32F0" w:rsidRDefault="00B63703" w:rsidP="00F22A75">
      <w:pPr>
        <w:rPr>
          <w:lang w:eastAsia="ko-KR"/>
        </w:rPr>
      </w:pPr>
      <w:r>
        <w:t xml:space="preserve">The phenomenon of CHF is highly coupled to the surrounding environment with influence stemming from power distribution, coolant channel geometry, coolant conditions, irradiation dose, and energy deposition rate </w:t>
      </w:r>
      <w:r>
        <w:fldChar w:fldCharType="begin">
          <w:fldData xml:space="preserve">PEVuZE5vdGU+PENpdGU+PEF1dGhvcj5CZXJ0b2NjaGk8L0F1dGhvcj48WWVhcj4yMDI0PC9ZZWFy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</w:fldData>
        </w:fldChar>
      </w:r>
      <w:r w:rsidR="003026BC">
        <w:instrText xml:space="preserve"> ADDIN EN.CITE </w:instrText>
      </w:r>
      <w:r w:rsidR="003026BC">
        <w:fldChar w:fldCharType="begin">
          <w:fldData xml:space="preserve">PEVuZE5vdGU+PENpdGU+PEF1dGhvcj5CZXJ0b2NjaGk8L0F1dGhvcj48WWVhcj4yMDI0PC9ZZWFy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</w:fldData>
        </w:fldChar>
      </w:r>
      <w:r w:rsidR="003026BC">
        <w:instrText xml:space="preserve"> ADDIN EN.CITE.DATA </w:instrText>
      </w:r>
      <w:r w:rsidR="003026BC">
        <w:fldChar w:fldCharType="end"/>
      </w:r>
      <w:r>
        <w:fldChar w:fldCharType="separate"/>
      </w:r>
      <w:r w:rsidR="003026BC">
        <w:rPr>
          <w:noProof/>
        </w:rPr>
        <w:t>[53-59]</w:t>
      </w:r>
      <w:r>
        <w:fldChar w:fldCharType="end"/>
      </w:r>
      <w:r>
        <w:t xml:space="preserve">. In this work, </w:t>
      </w:r>
      <w:r w:rsidR="005425B9">
        <w:t>I</w:t>
      </w:r>
      <w:r>
        <w:t xml:space="preserve"> inspect several separate effects facilities that have attempted to isolate the rapid heating </w:t>
      </w:r>
      <w:r>
        <w:lastRenderedPageBreak/>
        <w:t>enhancement of CHF by using single, unfueled, cladding sample</w:t>
      </w:r>
      <w:r w:rsidR="007D6356">
        <w:t>s</w:t>
      </w:r>
      <w:r>
        <w:t xml:space="preserve"> under either pool or flow boiling conditions. </w:t>
      </w:r>
      <w:r w:rsidRPr="009001DC">
        <w:t>To determine the parameters of greatest importance to the prediction of CHF</w:t>
      </w:r>
      <w:r>
        <w:t xml:space="preserve"> under these simplified conditions</w:t>
      </w:r>
      <w:r w:rsidRPr="009001DC">
        <w:t xml:space="preserve">, we need to understand the mechanisms that </w:t>
      </w:r>
      <w:r>
        <w:t>affect</w:t>
      </w:r>
      <w:r w:rsidRPr="009001DC">
        <w:t xml:space="preserve"> the behavior of CHF. </w:t>
      </w:r>
      <w:r>
        <w:t xml:space="preserve">Several extensive reviews of the literature have been performed regarding the mechanisms behind and parameters of influence to transient CHF and the factors that would influence the separate effects systems of interest are summarized below </w:t>
      </w:r>
      <w:r>
        <w:fldChar w:fldCharType="begin">
          <w:fldData xml:space="preserve">PEVuZE5vdGU+PENpdGU+PEF1dGhvcj5Ccm93bjwvQXV0aG9yPjxZZWFyPjIwMjA8L1llYXI+PFJl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</w:fldData>
        </w:fldChar>
      </w:r>
      <w:r w:rsidR="003026BC">
        <w:instrText xml:space="preserve"> ADDIN EN.CITE </w:instrText>
      </w:r>
      <w:r w:rsidR="003026BC">
        <w:fldChar w:fldCharType="begin">
          <w:fldData xml:space="preserve">PEVuZE5vdGU+PENpdGU+PEF1dGhvcj5Ccm93bjwvQXV0aG9yPjxZZWFyPjIwMjA8L1llYXI+PFJl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</w:fldData>
        </w:fldChar>
      </w:r>
      <w:r w:rsidR="003026BC">
        <w:instrText xml:space="preserve"> ADDIN EN.CITE.DATA </w:instrText>
      </w:r>
      <w:r w:rsidR="003026BC">
        <w:fldChar w:fldCharType="end"/>
      </w:r>
      <w:r>
        <w:fldChar w:fldCharType="separate"/>
      </w:r>
      <w:r w:rsidR="003026BC">
        <w:rPr>
          <w:noProof/>
        </w:rPr>
        <w:t>[55, 60]</w:t>
      </w:r>
      <w:r>
        <w:fldChar w:fldCharType="end"/>
      </w:r>
      <w:r>
        <w:t>.</w:t>
      </w:r>
    </w:p>
    <w:p w14:paraId="022350FA" w14:textId="142783A4" w:rsidR="00BD2D6F" w:rsidRDefault="00BD2D6F" w:rsidP="00F22A75">
      <w:pPr>
        <w:rPr>
          <w:lang w:eastAsia="ko-KR"/>
        </w:rPr>
      </w:pPr>
      <w:r w:rsidRPr="00967E50">
        <w:rPr>
          <w:lang w:eastAsia="ko-KR"/>
        </w:rPr>
        <w:t xml:space="preserve">The exponential period is a key factor that accounts for the transient characteristics of boiling heat transfer and CHF. The importance of power-transient features in understanding CHF was previously demonstrated when conventional interfacial heat transfer models generated erroneous results in predicting thermal responses for fast transients where the transient exponential period was smaller than the exponential period of the representative phenomena </w:t>
      </w:r>
      <w:r w:rsidRPr="00967E50">
        <w:rPr>
          <w:lang w:eastAsia="ko-KR"/>
        </w:rPr>
        <w:fldChar w:fldCharType="begin"/>
      </w:r>
      <w:r w:rsidR="003026BC">
        <w:rPr>
          <w:lang w:eastAsia="ko-KR"/>
        </w:rPr>
        <w:instrText xml:space="preserve"> ADDIN EN.CITE &lt;EndNote&gt;&lt;Cite&gt;&lt;Author&gt;Pasamehmetoglu&lt;/Author&gt;&lt;Year&gt;1988&lt;/Year&gt;&lt;RecNum&gt;216&lt;/RecNum&gt;&lt;DisplayText&gt;[61]&lt;/DisplayText&gt;&lt;record&gt;&lt;rec-number&gt;216&lt;/rec-number&gt;&lt;foreign-keys&gt;&lt;key app="EN" db-id="eseee05sfe5vt6efvr0xapvq20vfdsfp5fvf" timestamp="1671679340" guid="41548385-5ce5-470b-bd04-856ff5ffd8db"&gt;216&lt;/key&gt;&lt;/foreign-keys&gt;&lt;ref-type name="Conference Paper"&gt;47&lt;/ref-type&gt;&lt;contributors&gt;&lt;authors&gt;&lt;author&gt;Pasamehmetoglu, K. O.&lt;/author&gt;&lt;author&gt;Nelson, R. A.&lt;/author&gt;&lt;/authors&gt;&lt;/contributors&gt;&lt;titles&gt;&lt;title&gt;Investigation of the quasi-steady approach used in transient two-phase flow analysis&lt;/title&gt;&lt;secondary-title&gt;American Nuclear Society National Heat Transfer Conference&lt;/secondary-title&gt;&lt;/titles&gt;&lt;keywords&gt;&lt;keyword&gt;22 GENERAL STUDIES OF NUCLEAR REACTORS&lt;/keyword&gt;&lt;keyword&gt;TRANSIENTS&lt;/keyword&gt;&lt;keyword&gt;TWO-PHASE FLOW&lt;/keyword&gt;&lt;keyword&gt;MATHEMATICAL MODELS&lt;/keyword&gt;&lt;keyword&gt;CALCULATION METHODS&lt;/keyword&gt;&lt;keyword&gt;HEAT TRANSFER&lt;/keyword&gt;&lt;keyword&gt;HYDRAULICS&lt;/keyword&gt;&lt;keyword&gt;STEADY-STATE CONDITIONS&lt;/keyword&gt;&lt;keyword&gt;ENERGY TRANSFER&lt;/keyword&gt;&lt;keyword&gt;FLUID FLOW&lt;/keyword&gt;&lt;keyword&gt;FLUID MECHANICS&lt;/keyword&gt;&lt;keyword&gt;MECHANICS&lt;/keyword&gt;&lt;keyword&gt;220900* - Nuclear Reactor Technology- Reactor Safety&lt;/keyword&gt;&lt;/keywords&gt;&lt;dates&gt;&lt;year&gt;1988&lt;/year&gt;&lt;pub-dates&gt;&lt;date&gt;July 24&lt;/date&gt;&lt;/pub-dates&gt;&lt;/dates&gt;&lt;pub-location&gt;Houston, TX&lt;/pub-location&gt;&lt;urls&gt;&lt;related-urls&gt;&lt;url&gt;https://www.osti.gov/biblio/5155466&lt;/url&gt;&lt;url&gt;https://www.osti.gov/servlets/purl/5155466&lt;/url&gt;&lt;/related-urls&gt;&lt;/urls&gt;&lt;custom1&gt;Research Org.: Los Alamos National Lab. (LANL), Los Alamos, NM (United States)&lt;/custom1&gt;&lt;custom2&gt;1988&lt;/custom2&gt;&lt;custom3&gt;Report Number: LA-UR-87-4161; CONF-880724-3&lt;/custom3&gt;&lt;custom4&gt;Contract Number: W-7405-ENG-36&lt;/custom4&gt;&lt;custom5&gt;Availability: NTIS, PC A03/MF A01 - 03/MF A01; 1.&lt;/custom5&gt;&lt;electronic-resource-num&gt;, USA, 24 Jul 1988&lt;/electronic-resource-num&gt;&lt;language&gt;English&lt;/language&gt;&lt;/record&gt;&lt;/Cite&gt;&lt;/EndNote&gt;</w:instrText>
      </w:r>
      <w:r w:rsidRPr="00967E50">
        <w:rPr>
          <w:lang w:eastAsia="ko-KR"/>
        </w:rPr>
        <w:fldChar w:fldCharType="separate"/>
      </w:r>
      <w:r w:rsidR="003026BC">
        <w:rPr>
          <w:noProof/>
          <w:lang w:eastAsia="ko-KR"/>
        </w:rPr>
        <w:t>[61]</w:t>
      </w:r>
      <w:r w:rsidRPr="00967E50">
        <w:rPr>
          <w:lang w:eastAsia="ko-KR"/>
        </w:rPr>
        <w:fldChar w:fldCharType="end"/>
      </w:r>
      <w:r w:rsidRPr="00967E50">
        <w:rPr>
          <w:lang w:eastAsia="ko-KR"/>
        </w:rPr>
        <w:t xml:space="preserve">. Additional research showed that the exponential period becomes more important when the heating surface has a relatively low heat capacity </w:t>
      </w:r>
      <w:r w:rsidRPr="00967E50">
        <w:rPr>
          <w:lang w:eastAsia="ko-KR"/>
        </w:rPr>
        <w:fldChar w:fldCharType="begin"/>
      </w:r>
      <w:r w:rsidR="003026BC">
        <w:rPr>
          <w:lang w:eastAsia="ko-KR"/>
        </w:rPr>
        <w:instrText xml:space="preserve"> ADDIN EN.CITE &lt;EndNote&gt;&lt;Cite&gt;&lt;Author&gt;Umekawa&lt;/Author&gt;&lt;Year&gt;1999&lt;/Year&gt;&lt;RecNum&gt;217&lt;/RecNum&gt;&lt;DisplayText&gt;[62]&lt;/DisplayText&gt;&lt;record&gt;&lt;rec-number&gt;217&lt;/rec-number&gt;&lt;foreign-keys&gt;&lt;key app="EN" db-id="eseee05sfe5vt6efvr0xapvq20vfdsfp5fvf" timestamp="1671681055" guid="ac7d2055-3149-441c-b407-1b3ad82de88a"&gt;217&lt;/key&gt;&lt;/foreign-keys&gt;&lt;ref-type name="Journal Article"&gt;17&lt;/ref-type&gt;&lt;contributors&gt;&lt;authors&gt;&lt;author&gt;Umekawa, Hisashi&lt;/author&gt;&lt;author&gt;Ozawa, Mamoru&lt;/author&gt;&lt;author&gt;Mitsunaga, Tamotsu&lt;/author&gt;&lt;author&gt;Mishima, Kaichiro&lt;/author&gt;&lt;author&gt;Hibiki, Takashi&lt;/author&gt;&lt;author&gt;Saito, Yasushi&lt;/author&gt;&lt;/authors&gt;&lt;/contributors&gt;&lt;titles&gt;&lt;title&gt;Scaling parameter of CHF under oscillatory flow conditions&lt;/title&gt;&lt;secondary-title&gt;Heat Transfer&lt;/secondary-title&gt;&lt;/titles&gt;&lt;periodical&gt;&lt;full-title&gt;Heat Transfer&lt;/full-title&gt;&lt;/periodical&gt;&lt;pages&gt;541-550&lt;/pages&gt;&lt;volume&gt;28&lt;/volume&gt;&lt;number&gt;6&lt;/number&gt;&lt;keywords&gt;&lt;keyword&gt;critical heat flux&lt;/keyword&gt;&lt;keyword&gt;boiling&lt;/keyword&gt;&lt;keyword&gt;heat transfer&lt;/keyword&gt;&lt;keyword&gt;flow oscillation&lt;/keyword&gt;&lt;keyword&gt;premature dryout&lt;/keyword&gt;&lt;keyword&gt;scaling parameter&lt;/keyword&gt;&lt;/keywords&gt;&lt;dates&gt;&lt;year&gt;1999&lt;/year&gt;&lt;pub-dates&gt;&lt;date&gt;1999/01/01&lt;/date&gt;&lt;/pub-dates&gt;&lt;/dates&gt;&lt;publisher&gt;John Wiley &amp;amp; Sons, Ltd&lt;/publisher&gt;&lt;isbn&gt;1099-2871&lt;/isbn&gt;&lt;work-type&gt;https://doi.org/10.1002/(SICI)1523-1496(1999)28:6&amp;lt;541::AID-HTJ10&amp;gt;3.0.CO;2-E&lt;/work-type&gt;&lt;urls&gt;&lt;related-urls&gt;&lt;url&gt;https://doi.org/10.1002/(SICI)1523-1496(1999)28:6&amp;lt;541::AID-HTJ10&amp;gt;3.0.CO;2-E&lt;/url&gt;&lt;/related-urls&gt;&lt;/urls&gt;&lt;electronic-resource-num&gt;https://doi.org/10.1002/(SICI)1523-1496(1999)28:6&amp;lt;541::AID-HTJ10&amp;gt;3.0.CO;2-E&lt;/electronic-resource-num&gt;&lt;access-date&gt;2022/12/21&lt;/access-date&gt;&lt;/record&gt;&lt;/Cite&gt;&lt;/EndNote&gt;</w:instrText>
      </w:r>
      <w:r w:rsidRPr="00967E50">
        <w:rPr>
          <w:lang w:eastAsia="ko-KR"/>
        </w:rPr>
        <w:fldChar w:fldCharType="separate"/>
      </w:r>
      <w:r w:rsidR="003026BC">
        <w:rPr>
          <w:noProof/>
          <w:lang w:eastAsia="ko-KR"/>
        </w:rPr>
        <w:t>[62]</w:t>
      </w:r>
      <w:r w:rsidRPr="00967E50">
        <w:rPr>
          <w:lang w:eastAsia="ko-KR"/>
        </w:rPr>
        <w:fldChar w:fldCharType="end"/>
      </w:r>
      <w:r w:rsidRPr="00967E50">
        <w:rPr>
          <w:lang w:eastAsia="ko-KR"/>
        </w:rPr>
        <w:t xml:space="preserve">. Su et al. </w:t>
      </w:r>
      <w:r w:rsidRPr="00967E50">
        <w:rPr>
          <w:lang w:eastAsia="ko-KR"/>
        </w:rPr>
        <w:fldChar w:fldCharType="begin"/>
      </w:r>
      <w:r w:rsidR="003026BC">
        <w:rPr>
          <w:lang w:eastAsia="ko-KR"/>
        </w:rPr>
        <w:instrText xml:space="preserve"> ADDIN EN.CITE &lt;EndNote&gt;&lt;Cite&gt;&lt;Author&gt;Su&lt;/Author&gt;&lt;Year&gt;2016&lt;/Year&gt;&lt;RecNum&gt;218&lt;/RecNum&gt;&lt;DisplayText&gt;[63]&lt;/DisplayText&gt;&lt;record&gt;&lt;rec-number&gt;218&lt;/rec-number&gt;&lt;foreign-keys&gt;&lt;key app="EN" db-id="eseee05sfe5vt6efvr0xapvq20vfdsfp5fvf" timestamp="1671681393" guid="988212f4-3c0e-4b2d-9835-9af3a7517a6d"&gt;218&lt;/key&gt;&lt;/foreign-keys&gt;&lt;ref-type name="Journal Article"&gt;17&lt;/ref-type&gt;&lt;contributors&gt;&lt;authors&gt;&lt;author&gt;Su, Guan-Yu&lt;/author&gt;&lt;author&gt;Bucci, Matteo&lt;/author&gt;&lt;author&gt;McKrell, Thomas&lt;/author&gt;&lt;author&gt;Buongiorno, Jacopo&lt;/author&gt;&lt;/authors&gt;&lt;/contributors&gt;&lt;titles&gt;&lt;title&gt;Transient boiling of water under exponentially escalating heat inputs. Part II: Flow boiling&lt;/title&gt;&lt;secondary-title&gt;International Journal of Heat and Mass Transfer&lt;/secondary-title&gt;&lt;/titles&gt;&lt;periodical&gt;&lt;full-title&gt;International journal of heat and mass transfer&lt;/full-title&gt;&lt;/periodical&gt;&lt;pages&gt;685-698&lt;/pages&gt;&lt;volume&gt;96&lt;/volume&gt;&lt;keywords&gt;&lt;keyword&gt;Exponential power escalation&lt;/keyword&gt;&lt;keyword&gt;Heat transfer mechanisms&lt;/keyword&gt;&lt;keyword&gt;Infrared thermometry&lt;/keyword&gt;&lt;keyword&gt;High speed video&lt;/keyword&gt;&lt;keyword&gt;Transient flow boiling&lt;/keyword&gt;&lt;/keywords&gt;&lt;dates&gt;&lt;year&gt;2016&lt;/year&gt;&lt;pub-dates&gt;&lt;date&gt;2016/05/01/&lt;/date&gt;&lt;/pub-dates&gt;&lt;/dates&gt;&lt;isbn&gt;0017-9310&lt;/isbn&gt;&lt;urls&gt;&lt;related-urls&gt;&lt;url&gt;https://www.sciencedirect.com/science/article/pii/S0017931015308139&lt;/url&gt;&lt;/related-urls&gt;&lt;/urls&gt;&lt;electronic-resource-num&gt;https://doi.org/10.1016/j.ijheatmasstransfer.2016.01.031&lt;/electronic-resource-num&gt;&lt;/record&gt;&lt;/Cite&gt;&lt;/EndNote&gt;</w:instrText>
      </w:r>
      <w:r w:rsidRPr="00967E50">
        <w:rPr>
          <w:lang w:eastAsia="ko-KR"/>
        </w:rPr>
        <w:fldChar w:fldCharType="separate"/>
      </w:r>
      <w:r w:rsidR="003026BC">
        <w:rPr>
          <w:noProof/>
          <w:lang w:eastAsia="ko-KR"/>
        </w:rPr>
        <w:t>[63]</w:t>
      </w:r>
      <w:r w:rsidRPr="00967E50">
        <w:rPr>
          <w:lang w:eastAsia="ko-KR"/>
        </w:rPr>
        <w:fldChar w:fldCharType="end"/>
      </w:r>
      <w:r w:rsidRPr="00967E50">
        <w:rPr>
          <w:lang w:eastAsia="ko-KR"/>
        </w:rPr>
        <w:t xml:space="preserve"> determined that the heat transfer coefficient is dependent on the exponential period of the heat generation rate. Recent studies introduced the exponential period into empirical correlations of CHF prediction and showed good agreement with experimental data of pool and flow boiling transient CHF </w:t>
      </w:r>
      <w:r w:rsidRPr="00967E50">
        <w:rPr>
          <w:lang w:eastAsia="ko-KR"/>
        </w:rPr>
        <w:fldChar w:fldCharType="begin">
          <w:fldData xml:space="preserve">PEVuZE5vdGU+PENpdGU+PEF1dGhvcj5TYWt1cmFpPC9BdXRob3I+PFllYXI+MjAwMDwvWWVhcj48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</w:fldData>
        </w:fldChar>
      </w:r>
      <w:r w:rsidR="003026BC">
        <w:rPr>
          <w:lang w:eastAsia="ko-KR"/>
        </w:rPr>
        <w:instrText xml:space="preserve"> ADDIN EN.CITE </w:instrText>
      </w:r>
      <w:r w:rsidR="003026BC">
        <w:rPr>
          <w:lang w:eastAsia="ko-KR"/>
        </w:rPr>
        <w:fldChar w:fldCharType="begin">
          <w:fldData xml:space="preserve">PEVuZE5vdGU+PENpdGU+PEF1dGhvcj5TYWt1cmFpPC9BdXRob3I+PFllYXI+MjAwMDwvWWVhcj48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</w:fldData>
        </w:fldChar>
      </w:r>
      <w:r w:rsidR="003026BC">
        <w:rPr>
          <w:lang w:eastAsia="ko-KR"/>
        </w:rPr>
        <w:instrText xml:space="preserve"> ADDIN EN.CITE.DATA </w:instrText>
      </w:r>
      <w:r w:rsidR="003026BC">
        <w:rPr>
          <w:lang w:eastAsia="ko-KR"/>
        </w:rPr>
      </w:r>
      <w:r w:rsidR="003026BC">
        <w:rPr>
          <w:lang w:eastAsia="ko-KR"/>
        </w:rPr>
        <w:fldChar w:fldCharType="end"/>
      </w:r>
      <w:r w:rsidRPr="00967E50">
        <w:rPr>
          <w:lang w:eastAsia="ko-KR"/>
        </w:rPr>
      </w:r>
      <w:r w:rsidRPr="00967E50">
        <w:rPr>
          <w:lang w:eastAsia="ko-KR"/>
        </w:rPr>
        <w:fldChar w:fldCharType="separate"/>
      </w:r>
      <w:r w:rsidR="003026BC">
        <w:rPr>
          <w:noProof/>
          <w:lang w:eastAsia="ko-KR"/>
        </w:rPr>
        <w:t>[50, 60, 64-69]</w:t>
      </w:r>
      <w:r w:rsidRPr="00967E50">
        <w:rPr>
          <w:lang w:eastAsia="ko-KR"/>
        </w:rPr>
        <w:fldChar w:fldCharType="end"/>
      </w:r>
      <w:r w:rsidRPr="00967E50">
        <w:rPr>
          <w:lang w:eastAsia="ko-KR"/>
        </w:rPr>
        <w:t xml:space="preserve">. Pasamehmetoglu et. al. </w:t>
      </w:r>
      <w:r w:rsidRPr="00967E50">
        <w:rPr>
          <w:lang w:eastAsia="ko-KR"/>
        </w:rPr>
        <w:fldChar w:fldCharType="begin"/>
      </w:r>
      <w:r w:rsidR="003026BC">
        <w:rPr>
          <w:lang w:eastAsia="ko-KR"/>
        </w:rPr>
        <w:instrText xml:space="preserve"> ADDIN EN.CITE &lt;EndNote&gt;&lt;Cite&gt;&lt;Author&gt;Pasamehmetoglu&lt;/Author&gt;&lt;Year&gt;1988&lt;/Year&gt;&lt;RecNum&gt;216&lt;/RecNum&gt;&lt;DisplayText&gt;[61]&lt;/DisplayText&gt;&lt;record&gt;&lt;rec-number&gt;216&lt;/rec-number&gt;&lt;foreign-keys&gt;&lt;key app="EN" db-id="eseee05sfe5vt6efvr0xapvq20vfdsfp5fvf" timestamp="1671679340" guid="41548385-5ce5-470b-bd04-856ff5ffd8db"&gt;216&lt;/key&gt;&lt;/foreign-keys&gt;&lt;ref-type name="Conference Paper"&gt;47&lt;/ref-type&gt;&lt;contributors&gt;&lt;authors&gt;&lt;author&gt;Pasamehmetoglu, K. O.&lt;/author&gt;&lt;author&gt;Nelson, R. A.&lt;/author&gt;&lt;/authors&gt;&lt;/contributors&gt;&lt;titles&gt;&lt;title&gt;Investigation of the quasi-steady approach used in transient two-phase flow analysis&lt;/title&gt;&lt;secondary-title&gt;American Nuclear Society National Heat Transfer Conference&lt;/secondary-title&gt;&lt;/titles&gt;&lt;keywords&gt;&lt;keyword&gt;22 GENERAL STUDIES OF NUCLEAR REACTORS&lt;/keyword&gt;&lt;keyword&gt;TRANSIENTS&lt;/keyword&gt;&lt;keyword&gt;TWO-PHASE FLOW&lt;/keyword&gt;&lt;keyword&gt;MATHEMATICAL MODELS&lt;/keyword&gt;&lt;keyword&gt;CALCULATION METHODS&lt;/keyword&gt;&lt;keyword&gt;HEAT TRANSFER&lt;/keyword&gt;&lt;keyword&gt;HYDRAULICS&lt;/keyword&gt;&lt;keyword&gt;STEADY-STATE CONDITIONS&lt;/keyword&gt;&lt;keyword&gt;ENERGY TRANSFER&lt;/keyword&gt;&lt;keyword&gt;FLUID FLOW&lt;/keyword&gt;&lt;keyword&gt;FLUID MECHANICS&lt;/keyword&gt;&lt;keyword&gt;MECHANICS&lt;/keyword&gt;&lt;keyword&gt;220900* - Nuclear Reactor Technology- Reactor Safety&lt;/keyword&gt;&lt;/keywords&gt;&lt;dates&gt;&lt;year&gt;1988&lt;/year&gt;&lt;pub-dates&gt;&lt;date&gt;July 24&lt;/date&gt;&lt;/pub-dates&gt;&lt;/dates&gt;&lt;pub-location&gt;Houston, TX&lt;/pub-location&gt;&lt;urls&gt;&lt;related-urls&gt;&lt;url&gt;https://www.osti.gov/biblio/5155466&lt;/url&gt;&lt;url&gt;https://www.osti.gov/servlets/purl/5155466&lt;/url&gt;&lt;/related-urls&gt;&lt;/urls&gt;&lt;custom1&gt;Research Org.: Los Alamos National Lab. (LANL), Los Alamos, NM (United States)&lt;/custom1&gt;&lt;custom2&gt;1988&lt;/custom2&gt;&lt;custom3&gt;Report Number: LA-UR-87-4161; CONF-880724-3&lt;/custom3&gt;&lt;custom4&gt;Contract Number: W-7405-ENG-36&lt;/custom4&gt;&lt;custom5&gt;Availability: NTIS, PC A03/MF A01 - 03/MF A01; 1.&lt;/custom5&gt;&lt;electronic-resource-num&gt;, USA, 24 Jul 1988&lt;/electronic-resource-num&gt;&lt;language&gt;English&lt;/language&gt;&lt;/record&gt;&lt;/Cite&gt;&lt;/EndNote&gt;</w:instrText>
      </w:r>
      <w:r w:rsidRPr="00967E50">
        <w:rPr>
          <w:lang w:eastAsia="ko-KR"/>
        </w:rPr>
        <w:fldChar w:fldCharType="separate"/>
      </w:r>
      <w:r w:rsidR="003026BC">
        <w:rPr>
          <w:noProof/>
          <w:lang w:eastAsia="ko-KR"/>
        </w:rPr>
        <w:t>[61]</w:t>
      </w:r>
      <w:r w:rsidRPr="00967E50">
        <w:rPr>
          <w:lang w:eastAsia="ko-KR"/>
        </w:rPr>
        <w:fldChar w:fldCharType="end"/>
      </w:r>
      <w:r w:rsidRPr="00967E50">
        <w:rPr>
          <w:lang w:eastAsia="ko-KR"/>
        </w:rPr>
        <w:t xml:space="preserve"> and Serizawa </w:t>
      </w:r>
      <w:r w:rsidRPr="00967E50">
        <w:rPr>
          <w:lang w:eastAsia="ko-KR"/>
        </w:rPr>
        <w:fldChar w:fldCharType="begin"/>
      </w:r>
      <w:r w:rsidR="003026BC">
        <w:rPr>
          <w:lang w:eastAsia="ko-KR"/>
        </w:rPr>
        <w:instrText xml:space="preserve"> ADDIN EN.CITE &lt;EndNote&gt;&lt;Cite&gt;&lt;Author&gt;Serizawa&lt;/Author&gt;&lt;Year&gt;1983&lt;/Year&gt;&lt;RecNum&gt;225&lt;/RecNum&gt;&lt;DisplayText&gt;[70]&lt;/DisplayText&gt;&lt;record&gt;&lt;rec-number&gt;225&lt;/rec-number&gt;&lt;foreign-keys&gt;&lt;key app="EN" db-id="eseee05sfe5vt6efvr0xapvq20vfdsfp5fvf" timestamp="1671682567" guid="5585b42e-e924-401b-955b-e93e8c9a2cb7"&gt;225&lt;/key&gt;&lt;/foreign-keys&gt;&lt;ref-type name="Journal Article"&gt;17&lt;/ref-type&gt;&lt;contributors&gt;&lt;authors&gt;&lt;author&gt;Serizawa, Akimi&lt;/author&gt;&lt;/authors&gt;&lt;/contributors&gt;&lt;titles&gt;&lt;title&gt;Theoretical prediction of maximum heat flux in power transients&lt;/title&gt;&lt;secondary-title&gt;International Journal of Heat and Mass Transfer&lt;/secondary-title&gt;&lt;/titles&gt;&lt;periodical&gt;&lt;full-title&gt;International journal of heat and mass transfer&lt;/full-title&gt;&lt;/periodical&gt;&lt;pages&gt;921-932&lt;/pages&gt;&lt;volume&gt;26&lt;/volume&gt;&lt;number&gt;6&lt;/number&gt;&lt;dates&gt;&lt;year&gt;1983&lt;/year&gt;&lt;pub-dates&gt;&lt;date&gt;1983/06/01/&lt;/date&gt;&lt;/pub-dates&gt;&lt;/dates&gt;&lt;isbn&gt;0017-9310&lt;/isbn&gt;&lt;urls&gt;&lt;related-urls&gt;&lt;url&gt;https://www.sciencedirect.com/science/article/pii/S0017931083801161&lt;/url&gt;&lt;/related-urls&gt;&lt;/urls&gt;&lt;electronic-resource-num&gt;https://doi.org/10.1016/S0017-9310(83)80116-1&lt;/electronic-resource-num&gt;&lt;/record&gt;&lt;/Cite&gt;&lt;/EndNote&gt;</w:instrText>
      </w:r>
      <w:r w:rsidRPr="00967E50">
        <w:rPr>
          <w:lang w:eastAsia="ko-KR"/>
        </w:rPr>
        <w:fldChar w:fldCharType="separate"/>
      </w:r>
      <w:r w:rsidR="003026BC">
        <w:rPr>
          <w:noProof/>
          <w:lang w:eastAsia="ko-KR"/>
        </w:rPr>
        <w:t>[70]</w:t>
      </w:r>
      <w:r w:rsidRPr="00967E50">
        <w:rPr>
          <w:lang w:eastAsia="ko-KR"/>
        </w:rPr>
        <w:fldChar w:fldCharType="end"/>
      </w:r>
      <w:r w:rsidRPr="00967E50">
        <w:rPr>
          <w:lang w:eastAsia="ko-KR"/>
        </w:rPr>
        <w:t xml:space="preserve"> derived a correction factor based on the exponential period term that accounts for a power transient in pool boiling and subcooled flow boiling, and Chang et al. </w:t>
      </w:r>
      <w:r w:rsidRPr="00967E50">
        <w:rPr>
          <w:lang w:eastAsia="ko-KR"/>
        </w:rPr>
        <w:fldChar w:fldCharType="begin"/>
      </w:r>
      <w:r w:rsidR="003026BC">
        <w:rPr>
          <w:lang w:eastAsia="ko-KR"/>
        </w:rPr>
        <w:instrText xml:space="preserve"> ADDIN EN.CITE &lt;EndNote&gt;&lt;Cite&gt;&lt;Author&gt;Chang&lt;/Author&gt;&lt;Year&gt;1989&lt;/Year&gt;&lt;RecNum&gt;226&lt;/RecNum&gt;&lt;DisplayText&gt;[71]&lt;/DisplayText&gt;&lt;record&gt;&lt;rec-number&gt;226&lt;/rec-number&gt;&lt;foreign-keys&gt;&lt;key app="EN" db-id="eseee05sfe5vt6efvr0xapvq20vfdsfp5fvf" timestamp="1671682656" guid="54c70770-6336-4a48-8af9-fef8335d5f16"&gt;226&lt;/key&gt;&lt;/foreign-keys&gt;&lt;ref-type name="Journal Article"&gt;17&lt;/ref-type&gt;&lt;contributors&gt;&lt;authors&gt;&lt;author&gt;Chang, S. H.&lt;/author&gt;&lt;author&gt;Lee, K. W.&lt;/author&gt;&lt;author&gt;Groeneveld, D. C.&lt;/author&gt;&lt;/authors&gt;&lt;/contributors&gt;&lt;titles&gt;&lt;title&gt;Transient-Effects modeling of critical heat flux&lt;/title&gt;&lt;secondary-title&gt;Nuclear Engineering and Design&lt;/secondary-title&gt;&lt;/titles&gt;&lt;periodical&gt;&lt;full-title&gt;Nuclear Engineering and Design&lt;/full-title&gt;&lt;/periodical&gt;&lt;pages&gt;51-57&lt;/pages&gt;&lt;volume&gt;113&lt;/volume&gt;&lt;number&gt;1&lt;/number&gt;&lt;dates&gt;&lt;year&gt;1989&lt;/year&gt;&lt;pub-dates&gt;&lt;date&gt;1989/04/01/&lt;/date&gt;&lt;/pub-dates&gt;&lt;/dates&gt;&lt;isbn&gt;0029-5493&lt;/isbn&gt;&lt;urls&gt;&lt;related-urls&gt;&lt;url&gt;https://www.sciencedirect.com/science/article/pii/0029549389902951&lt;/url&gt;&lt;/related-urls&gt;&lt;/urls&gt;&lt;electronic-resource-num&gt;https://doi.org/10.1016/0029-5493(89)90295-1&lt;/electronic-resource-num&gt;&lt;/record&gt;&lt;/Cite&gt;&lt;/EndNote&gt;</w:instrText>
      </w:r>
      <w:r w:rsidRPr="00967E50">
        <w:rPr>
          <w:lang w:eastAsia="ko-KR"/>
        </w:rPr>
        <w:fldChar w:fldCharType="separate"/>
      </w:r>
      <w:r w:rsidR="003026BC">
        <w:rPr>
          <w:noProof/>
          <w:lang w:eastAsia="ko-KR"/>
        </w:rPr>
        <w:t>[71]</w:t>
      </w:r>
      <w:r w:rsidRPr="00967E50">
        <w:rPr>
          <w:lang w:eastAsia="ko-KR"/>
        </w:rPr>
        <w:fldChar w:fldCharType="end"/>
      </w:r>
      <w:r w:rsidRPr="00967E50">
        <w:rPr>
          <w:lang w:eastAsia="ko-KR"/>
        </w:rPr>
        <w:t xml:space="preserve"> used this correction factor to validate transient CHF </w:t>
      </w:r>
      <w:r w:rsidRPr="00967E50">
        <w:rPr>
          <w:lang w:eastAsia="ko-KR"/>
        </w:rPr>
        <w:lastRenderedPageBreak/>
        <w:t xml:space="preserve">mechanisms against experimental data. Research done by our group at UTK </w:t>
      </w:r>
      <w:r w:rsidRPr="00967E50">
        <w:rPr>
          <w:lang w:eastAsia="ko-KR"/>
        </w:rPr>
        <w:fldChar w:fldCharType="begin"/>
      </w:r>
      <w:r w:rsidR="003026BC">
        <w:rPr>
          <w:lang w:eastAsia="ko-KR"/>
        </w:rPr>
        <w:instrText xml:space="preserve"> ADDIN EN.CITE &lt;EndNote&gt;&lt;Cite&gt;&lt;Author&gt;Seo&lt;/Author&gt;&lt;Year&gt;2021&lt;/Year&gt;&lt;RecNum&gt;174&lt;/RecNum&gt;&lt;DisplayText&gt;[72]&lt;/DisplayText&gt;&lt;record&gt;&lt;rec-number&gt;174&lt;/rec-number&gt;&lt;foreign-keys&gt;&lt;key app="EN" db-id="eseee05sfe5vt6efvr0xapvq20vfdsfp5fvf" timestamp="1652058315" guid="c64fa7a2-108d-4cbb-abf3-0b745de08286"&gt;174&lt;/key&gt;&lt;/foreign-keys&gt;&lt;ref-type name="Journal Article"&gt;17&lt;/ref-type&gt;&lt;contributors&gt;&lt;authors&gt;&lt;author&gt;Seo, Seok Bin&lt;/author&gt;&lt;author&gt;Armstrong, Robert J.&lt;/author&gt;&lt;author&gt;Hernandez, Richard&lt;/author&gt;&lt;author&gt;Folsom, Charles P.&lt;/author&gt;&lt;author&gt;Jensen, Colby B.&lt;/author&gt;&lt;author&gt;Brown, Nicholas R.&lt;/author&gt;&lt;/authors&gt;&lt;/contributors&gt;&lt;titles&gt;&lt;title&gt;Sensitivity analysis of in-pile critical heat flux experiments in TREAT for characterization of RIA power-transient effects&lt;/title&gt;&lt;secondary-title&gt;Annals of Nuclear Energy&lt;/secondary-title&gt;&lt;/titles&gt;&lt;periodical&gt;&lt;full-title&gt;Annals of Nuclear Energy&lt;/full-title&gt;&lt;/periodical&gt;&lt;pages&gt;108448&lt;/pages&gt;&lt;volume&gt;161&lt;/volume&gt;&lt;keywords&gt;&lt;keyword&gt;RIA&lt;/keyword&gt;&lt;keyword&gt;TREAT&lt;/keyword&gt;&lt;keyword&gt;Sobol sensitivity analysis&lt;/keyword&gt;&lt;keyword&gt;Power transients&lt;/keyword&gt;&lt;keyword&gt;In-pile CHF&lt;/keyword&gt;&lt;/keywords&gt;&lt;dates&gt;&lt;year&gt;2021&lt;/year&gt;&lt;pub-dates&gt;&lt;date&gt;2021/10/01/&lt;/date&gt;&lt;/pub-dates&gt;&lt;/dates&gt;&lt;isbn&gt;0306-4549&lt;/isbn&gt;&lt;urls&gt;&lt;related-urls&gt;&lt;url&gt;https://www.sciencedirect.com/science/article/pii/S0306454921003248&lt;/url&gt;&lt;/related-urls&gt;&lt;/urls&gt;&lt;electronic-resource-num&gt;https://doi.org/10.1016/j.anucene.2021.108448&lt;/electronic-resource-num&gt;&lt;/record&gt;&lt;/Cite&gt;&lt;/EndNote&gt;</w:instrText>
      </w:r>
      <w:r w:rsidRPr="00967E50">
        <w:rPr>
          <w:lang w:eastAsia="ko-KR"/>
        </w:rPr>
        <w:fldChar w:fldCharType="separate"/>
      </w:r>
      <w:r w:rsidR="003026BC">
        <w:rPr>
          <w:noProof/>
          <w:lang w:eastAsia="ko-KR"/>
        </w:rPr>
        <w:t>[72]</w:t>
      </w:r>
      <w:r w:rsidRPr="00967E50">
        <w:rPr>
          <w:lang w:eastAsia="ko-KR"/>
        </w:rPr>
        <w:fldChar w:fldCharType="end"/>
      </w:r>
      <w:r w:rsidRPr="00967E50">
        <w:rPr>
          <w:lang w:eastAsia="ko-KR"/>
        </w:rPr>
        <w:t xml:space="preserve"> characterized the significant impacts of power-transient features on the peak fuel and outer cladding temperatures, as well as the time occurrence of CHF. </w:t>
      </w:r>
      <w:r w:rsidR="00BD2D12">
        <w:rPr>
          <w:lang w:eastAsia="ko-KR"/>
        </w:rPr>
        <w:t>Pervious work in our research group</w:t>
      </w:r>
      <w:r w:rsidRPr="00967E50">
        <w:rPr>
          <w:lang w:eastAsia="ko-KR"/>
        </w:rPr>
        <w:t xml:space="preserve"> developed a modification of the CHF model to mechanistically account for transient effects which enhanced the capability of RELAP5-3D to predict the thermal response of fuel under an RIA-type event </w:t>
      </w:r>
      <w:r w:rsidRPr="00967E50">
        <w:rPr>
          <w:lang w:eastAsia="ko-KR"/>
        </w:rPr>
        <w:fldChar w:fldCharType="begin"/>
      </w:r>
      <w:r w:rsidR="003026BC">
        <w:rPr>
          <w:lang w:eastAsia="ko-KR"/>
        </w:rPr>
        <w:instrText xml:space="preserve"> ADDIN EN.CITE &lt;EndNote&gt;&lt;Cite&gt;&lt;Author&gt;Lee&lt;/Author&gt;&lt;Year&gt;2021&lt;/Year&gt;&lt;RecNum&gt;173&lt;/RecNum&gt;&lt;DisplayText&gt;[73]&lt;/DisplayText&gt;&lt;record&gt;&lt;rec-number&gt;173&lt;/rec-number&gt;&lt;foreign-keys&gt;&lt;key app="EN" db-id="eseee05sfe5vt6efvr0xapvq20vfdsfp5fvf" timestamp="1652058313" guid="a5f22b3c-0887-4df6-92d5-3906a4eaaddc"&gt;173&lt;/key&gt;&lt;/foreign-keys&gt;&lt;ref-type name="Journal Article"&gt;17&lt;/ref-type&gt;&lt;contributors&gt;&lt;authors&gt;&lt;author&gt;Lee, Soon K.&lt;/author&gt;&lt;author&gt;Brown, Nicholas R.&lt;/author&gt;&lt;/authors&gt;&lt;/contributors&gt;&lt;titles&gt;&lt;title&gt;Flow boiling transient critical heat flux tests with stainless steel and FeCrAl: Transient correlation implementation, model calibration, and sensitivity analysis&lt;/title&gt;&lt;secondary-title&gt;International Journal of Heat and Mass Transfer&lt;/secondary-title&gt;&lt;/titles&gt;&lt;periodical&gt;&lt;full-title&gt;International journal of heat and mass transfer&lt;/full-title&gt;&lt;/periodical&gt;&lt;pages&gt;121730&lt;/pages&gt;&lt;volume&gt;179&lt;/volume&gt;&lt;keywords&gt;&lt;keyword&gt;Accident-Tolerant Fuel&lt;/keyword&gt;&lt;keyword&gt;Transient Critical Heat Flux&lt;/keyword&gt;&lt;keyword&gt;Reactivity-Initiated Accident&lt;/keyword&gt;&lt;/keywords&gt;&lt;dates&gt;&lt;year&gt;2021&lt;/year&gt;&lt;pub-dates&gt;&lt;date&gt;2021/11/01/&lt;/date&gt;&lt;/pub-dates&gt;&lt;/dates&gt;&lt;isbn&gt;0017-9310&lt;/isbn&gt;&lt;urls&gt;&lt;related-urls&gt;&lt;url&gt;https://www.sciencedirect.com/science/article/pii/S001793102100836X&lt;/url&gt;&lt;/related-urls&gt;&lt;/urls&gt;&lt;electronic-resource-num&gt;https://doi.org/10.1016/j.ijheatmasstransfer.2021.121730&lt;/electronic-resource-num&gt;&lt;/record&gt;&lt;/Cite&gt;&lt;/EndNote&gt;</w:instrText>
      </w:r>
      <w:r w:rsidRPr="00967E50">
        <w:rPr>
          <w:lang w:eastAsia="ko-KR"/>
        </w:rPr>
        <w:fldChar w:fldCharType="separate"/>
      </w:r>
      <w:r w:rsidR="003026BC">
        <w:rPr>
          <w:noProof/>
          <w:lang w:eastAsia="ko-KR"/>
        </w:rPr>
        <w:t>[73]</w:t>
      </w:r>
      <w:r w:rsidRPr="00967E50">
        <w:rPr>
          <w:lang w:eastAsia="ko-KR"/>
        </w:rPr>
        <w:fldChar w:fldCharType="end"/>
      </w:r>
      <w:r w:rsidRPr="00967E50">
        <w:rPr>
          <w:lang w:eastAsia="ko-KR"/>
        </w:rPr>
        <w:t>.</w:t>
      </w:r>
    </w:p>
    <w:p w14:paraId="35728BDE" w14:textId="72AA5392" w:rsidR="00BD2D6F" w:rsidRDefault="00BD2D6F" w:rsidP="00F22A75">
      <w:pPr>
        <w:rPr>
          <w:lang w:eastAsia="ko-KR"/>
        </w:rPr>
      </w:pPr>
      <w:r w:rsidRPr="00967E50">
        <w:rPr>
          <w:lang w:eastAsia="ko-KR"/>
        </w:rPr>
        <w:t>Thermal properties of heater materials are key parameters for estimating CHF under both steady state</w:t>
      </w:r>
      <w:r w:rsidR="00D62C23">
        <w:rPr>
          <w:lang w:eastAsia="ko-KR"/>
        </w:rPr>
        <w:t xml:space="preserve"> and</w:t>
      </w:r>
      <w:r w:rsidRPr="00967E50">
        <w:rPr>
          <w:lang w:eastAsia="ko-KR"/>
        </w:rPr>
        <w:t xml:space="preserve"> transient conditions. Early studies on pool boiling experiments using various heater materials reported strong evidence that material properties effect transient CHF </w:t>
      </w:r>
      <w:r w:rsidRPr="00967E50">
        <w:rPr>
          <w:lang w:eastAsia="ko-KR"/>
        </w:rPr>
        <w:fldChar w:fldCharType="begin">
          <w:fldData xml:space="preserve">PEVuZE5vdGU+PENpdGU+PEF1dGhvcj5UYWNoaWJhbmE8L0F1dGhvcj48WWVhcj4xOTY3PC9ZZWFy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</w:fldData>
        </w:fldChar>
      </w:r>
      <w:r w:rsidR="003026BC">
        <w:rPr>
          <w:lang w:eastAsia="ko-KR"/>
        </w:rPr>
        <w:instrText xml:space="preserve"> ADDIN EN.CITE </w:instrText>
      </w:r>
      <w:r w:rsidR="003026BC">
        <w:rPr>
          <w:lang w:eastAsia="ko-KR"/>
        </w:rPr>
        <w:fldChar w:fldCharType="begin">
          <w:fldData xml:space="preserve">PEVuZE5vdGU+PENpdGU+PEF1dGhvcj5UYWNoaWJhbmE8L0F1dGhvcj48WWVhcj4xOTY3PC9ZZWFy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</w:fldData>
        </w:fldChar>
      </w:r>
      <w:r w:rsidR="003026BC">
        <w:rPr>
          <w:lang w:eastAsia="ko-KR"/>
        </w:rPr>
        <w:instrText xml:space="preserve"> ADDIN EN.CITE.DATA </w:instrText>
      </w:r>
      <w:r w:rsidR="003026BC">
        <w:rPr>
          <w:lang w:eastAsia="ko-KR"/>
        </w:rPr>
      </w:r>
      <w:r w:rsidR="003026BC">
        <w:rPr>
          <w:lang w:eastAsia="ko-KR"/>
        </w:rPr>
        <w:fldChar w:fldCharType="end"/>
      </w:r>
      <w:r w:rsidRPr="00967E50">
        <w:rPr>
          <w:lang w:eastAsia="ko-KR"/>
        </w:rPr>
      </w:r>
      <w:r w:rsidRPr="00967E50">
        <w:rPr>
          <w:lang w:eastAsia="ko-KR"/>
        </w:rPr>
        <w:fldChar w:fldCharType="separate"/>
      </w:r>
      <w:r w:rsidR="003026BC">
        <w:rPr>
          <w:noProof/>
          <w:lang w:eastAsia="ko-KR"/>
        </w:rPr>
        <w:t>[74-76]</w:t>
      </w:r>
      <w:r w:rsidRPr="00967E50">
        <w:rPr>
          <w:lang w:eastAsia="ko-KR"/>
        </w:rPr>
        <w:fldChar w:fldCharType="end"/>
      </w:r>
      <w:r w:rsidRPr="00967E50">
        <w:rPr>
          <w:lang w:eastAsia="ko-KR"/>
        </w:rPr>
        <w:t xml:space="preserve">. Thermal properties including density, specific heat capacity, as well as thermal conductivity are often investigated in the combination of other parameters, such as thermal effusivity, thermal diffusivity, thermal activity, and heat transfer time constant (HTTC). One previous study </w:t>
      </w:r>
      <w:r w:rsidRPr="00967E50">
        <w:rPr>
          <w:lang w:eastAsia="ko-KR"/>
        </w:rPr>
        <w:fldChar w:fldCharType="begin"/>
      </w:r>
      <w:r w:rsidR="003026BC">
        <w:rPr>
          <w:lang w:eastAsia="ko-KR"/>
        </w:rPr>
        <w:instrText xml:space="preserve"> ADDIN EN.CITE &lt;EndNote&gt;&lt;Cite&gt;&lt;Author&gt;Raghupathi&lt;/Author&gt;&lt;Year&gt;2017&lt;/Year&gt;&lt;RecNum&gt;230&lt;/RecNum&gt;&lt;DisplayText&gt;[77]&lt;/DisplayText&gt;&lt;record&gt;&lt;rec-number&gt;230&lt;/rec-number&gt;&lt;foreign-keys&gt;&lt;key app="EN" db-id="eseee05sfe5vt6efvr0xapvq20vfdsfp5fvf" timestamp="1671683280" guid="d82956e6-c24f-411e-9322-6f1d8d3946f9"&gt;230&lt;/key&gt;&lt;/foreign-keys&gt;&lt;ref-type name="Journal Article"&gt;17&lt;/ref-type&gt;&lt;contributors&gt;&lt;authors&gt;&lt;author&gt;Raghupathi, Pruthvik A.&lt;/author&gt;&lt;author&gt;Kandlikar, Satish G.&lt;/author&gt;&lt;/authors&gt;&lt;/contributors&gt;&lt;titles&gt;&lt;title&gt;Effect of Thermophysical Properties of the Heater Substrate on Critical Heat Flux in Pool Boiling&lt;/title&gt;&lt;secondary-title&gt;Journal of Heat Transfer&lt;/secondary-title&gt;&lt;/titles&gt;&lt;periodical&gt;&lt;full-title&gt;Journal of Heat Transfer&lt;/full-title&gt;&lt;/periodical&gt;&lt;volume&gt;139&lt;/volume&gt;&lt;number&gt;11&lt;/number&gt;&lt;dates&gt;&lt;year&gt;2017&lt;/year&gt;&lt;/dates&gt;&lt;isbn&gt;0022-1481&lt;/isbn&gt;&lt;urls&gt;&lt;related-urls&gt;&lt;url&gt;https://doi.org/10.1115/1.4036653&lt;/url&gt;&lt;/related-urls&gt;&lt;/urls&gt;&lt;electronic-resource-num&gt;https://doi.org/10.1115/1.4036653&lt;/electronic-resource-num&gt;&lt;access-date&gt;12/22/2022&lt;/access-date&gt;&lt;/record&gt;&lt;/Cite&gt;&lt;/EndNote&gt;</w:instrText>
      </w:r>
      <w:r w:rsidRPr="00967E50">
        <w:rPr>
          <w:lang w:eastAsia="ko-KR"/>
        </w:rPr>
        <w:fldChar w:fldCharType="separate"/>
      </w:r>
      <w:r w:rsidR="003026BC">
        <w:rPr>
          <w:noProof/>
          <w:lang w:eastAsia="ko-KR"/>
        </w:rPr>
        <w:t>[77]</w:t>
      </w:r>
      <w:r w:rsidRPr="00967E50">
        <w:rPr>
          <w:lang w:eastAsia="ko-KR"/>
        </w:rPr>
        <w:fldChar w:fldCharType="end"/>
      </w:r>
      <w:r w:rsidRPr="00967E50">
        <w:rPr>
          <w:lang w:eastAsia="ko-KR"/>
        </w:rPr>
        <w:t xml:space="preserve"> reported a strong correlation between the thermal effusivity of heater and CHF, while another </w:t>
      </w:r>
      <w:r w:rsidRPr="00967E50">
        <w:rPr>
          <w:lang w:eastAsia="ko-KR"/>
        </w:rPr>
        <w:fldChar w:fldCharType="begin"/>
      </w:r>
      <w:r w:rsidR="003026BC">
        <w:rPr>
          <w:lang w:eastAsia="ko-KR"/>
        </w:rPr>
        <w:instrText xml:space="preserve"> ADDIN EN.CITE &lt;EndNote&gt;&lt;Cite&gt;&lt;Author&gt;Staszel&lt;/Author&gt;&lt;Year&gt;2018&lt;/Year&gt;&lt;RecNum&gt;231&lt;/RecNum&gt;&lt;DisplayText&gt;[78]&lt;/DisplayText&gt;&lt;record&gt;&lt;rec-number&gt;231&lt;/rec-number&gt;&lt;foreign-keys&gt;&lt;key app="EN" db-id="eseee05sfe5vt6efvr0xapvq20vfdsfp5fvf" timestamp="1671683406" guid="0f5bc207-585d-4799-a8a6-2e6e1f59c901"&gt;231&lt;/key&gt;&lt;/foreign-keys&gt;&lt;ref-type name="Journal Article"&gt;17&lt;/ref-type&gt;&lt;contributors&gt;&lt;authors&gt;&lt;author&gt;Staszel, C.&lt;/author&gt;&lt;author&gt;Yarin, A. L.&lt;/author&gt;&lt;/authors&gt;&lt;/contributors&gt;&lt;titles&gt;&lt;title&gt;Exponential vaporization fronts and critical heat flux in pool boiling&lt;/title&gt;&lt;secondary-title&gt;International Communications in Heat and Mass Transfer&lt;/secondary-title&gt;&lt;/titles&gt;&lt;periodical&gt;&lt;full-title&gt;International Communications in Heat and Mass Transfer&lt;/full-title&gt;&lt;/periodical&gt;&lt;pages&gt;171-176&lt;/pages&gt;&lt;volume&gt;98&lt;/volume&gt;&lt;keywords&gt;&lt;keyword&gt;Heat transfer&lt;/keyword&gt;&lt;keyword&gt;Boiling crisis&lt;/keyword&gt;&lt;keyword&gt;Critical heat flux&lt;/keyword&gt;&lt;keyword&gt;Incipient boiling&lt;/keyword&gt;&lt;keyword&gt;Vaporization front&lt;/keyword&gt;&lt;/keywords&gt;&lt;dates&gt;&lt;year&gt;2018&lt;/year&gt;&lt;pub-dates&gt;&lt;date&gt;2018/11/01/&lt;/date&gt;&lt;/pub-dates&gt;&lt;/dates&gt;&lt;isbn&gt;0735-1933&lt;/isbn&gt;&lt;urls&gt;&lt;related-urls&gt;&lt;url&gt;https://www.sciencedirect.com/science/article/pii/S0735193318302161&lt;/url&gt;&lt;/related-urls&gt;&lt;/urls&gt;&lt;electronic-resource-num&gt;https://doi.org/10.1016/j.icheatmasstransfer.2018.08.019&lt;/electronic-resource-num&gt;&lt;/record&gt;&lt;/Cite&gt;&lt;/EndNote&gt;</w:instrText>
      </w:r>
      <w:r w:rsidRPr="00967E50">
        <w:rPr>
          <w:lang w:eastAsia="ko-KR"/>
        </w:rPr>
        <w:fldChar w:fldCharType="separate"/>
      </w:r>
      <w:r w:rsidR="003026BC">
        <w:rPr>
          <w:noProof/>
          <w:lang w:eastAsia="ko-KR"/>
        </w:rPr>
        <w:t>[78]</w:t>
      </w:r>
      <w:r w:rsidRPr="00967E50">
        <w:rPr>
          <w:lang w:eastAsia="ko-KR"/>
        </w:rPr>
        <w:fldChar w:fldCharType="end"/>
      </w:r>
      <w:r w:rsidRPr="00967E50">
        <w:rPr>
          <w:lang w:eastAsia="ko-KR"/>
        </w:rPr>
        <w:t xml:space="preserve"> described the occurrence of CHF using thermal diffusivity of heater materials. The thermal activity-based correlations could account for the pool boiling CHF for some heater materials </w:t>
      </w:r>
      <w:r w:rsidRPr="00967E50">
        <w:rPr>
          <w:lang w:eastAsia="ko-KR"/>
        </w:rPr>
        <w:fldChar w:fldCharType="begin">
          <w:fldData xml:space="preserve">PEVuZE5vdGU+PENpdGU+PEF1dGhvcj5TYXlsb3I8L0F1dGhvcj48WWVhcj4xOTg5PC9ZZWFyPjxS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</w:fldData>
        </w:fldChar>
      </w:r>
      <w:r w:rsidR="003026BC">
        <w:rPr>
          <w:lang w:eastAsia="ko-KR"/>
        </w:rPr>
        <w:instrText xml:space="preserve"> ADDIN EN.CITE </w:instrText>
      </w:r>
      <w:r w:rsidR="003026BC">
        <w:rPr>
          <w:lang w:eastAsia="ko-KR"/>
        </w:rPr>
        <w:fldChar w:fldCharType="begin">
          <w:fldData xml:space="preserve">PEVuZE5vdGU+PENpdGU+PEF1dGhvcj5TYXlsb3I8L0F1dGhvcj48WWVhcj4xOTg5PC9ZZWFyPjxS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</w:fldData>
        </w:fldChar>
      </w:r>
      <w:r w:rsidR="003026BC">
        <w:rPr>
          <w:lang w:eastAsia="ko-KR"/>
        </w:rPr>
        <w:instrText xml:space="preserve"> ADDIN EN.CITE.DATA </w:instrText>
      </w:r>
      <w:r w:rsidR="003026BC">
        <w:rPr>
          <w:lang w:eastAsia="ko-KR"/>
        </w:rPr>
      </w:r>
      <w:r w:rsidR="003026BC">
        <w:rPr>
          <w:lang w:eastAsia="ko-KR"/>
        </w:rPr>
        <w:fldChar w:fldCharType="end"/>
      </w:r>
      <w:r w:rsidRPr="00967E50">
        <w:rPr>
          <w:lang w:eastAsia="ko-KR"/>
        </w:rPr>
      </w:r>
      <w:r w:rsidRPr="00967E50">
        <w:rPr>
          <w:lang w:eastAsia="ko-KR"/>
        </w:rPr>
        <w:fldChar w:fldCharType="separate"/>
      </w:r>
      <w:r w:rsidR="003026BC">
        <w:rPr>
          <w:noProof/>
          <w:lang w:eastAsia="ko-KR"/>
        </w:rPr>
        <w:t>[79-81]</w:t>
      </w:r>
      <w:r w:rsidRPr="00967E50">
        <w:rPr>
          <w:lang w:eastAsia="ko-KR"/>
        </w:rPr>
        <w:fldChar w:fldCharType="end"/>
      </w:r>
      <w:r w:rsidRPr="00967E50">
        <w:rPr>
          <w:lang w:eastAsia="ko-KR"/>
        </w:rPr>
        <w:t xml:space="preserve">, although it has yet to be applied for aluminum-based heat surfaces </w:t>
      </w:r>
      <w:r w:rsidRPr="00967E50">
        <w:rPr>
          <w:lang w:eastAsia="ko-KR"/>
        </w:rPr>
        <w:fldChar w:fldCharType="begin"/>
      </w:r>
      <w:r w:rsidR="003026BC">
        <w:rPr>
          <w:lang w:eastAsia="ko-KR"/>
        </w:rPr>
        <w:instrText xml:space="preserve"> ADDIN EN.CITE &lt;EndNote&gt;&lt;Cite&gt;&lt;Author&gt;Ho&lt;/Author&gt;&lt;Year&gt;2016&lt;/Year&gt;&lt;RecNum&gt;235&lt;/RecNum&gt;&lt;DisplayText&gt;[82]&lt;/DisplayText&gt;&lt;record&gt;&lt;rec-number&gt;235&lt;/rec-number&gt;&lt;foreign-keys&gt;&lt;key app="EN" db-id="eseee05sfe5vt6efvr0xapvq20vfdsfp5fvf" timestamp="1671684493" guid="aaea7382-3b2c-4f22-878f-3ef78f81e054"&gt;235&lt;/key&gt;&lt;/foreign-keys&gt;&lt;ref-type name="Journal Article"&gt;17&lt;/ref-type&gt;&lt;contributors&gt;&lt;authors&gt;&lt;author&gt;Ho, J. Y.&lt;/author&gt;&lt;author&gt;Wong, K. K.&lt;/author&gt;&lt;author&gt;Leong, K. C.&lt;/author&gt;&lt;/authors&gt;&lt;/contributors&gt;&lt;titles&gt;&lt;title&gt;Saturated pool boiling of FC-72 from enhanced surfaces produced by Selective Laser Melting&lt;/title&gt;&lt;secondary-title&gt;International Journal of Heat and Mass Transfer&lt;/secondary-title&gt;&lt;/titles&gt;&lt;periodical&gt;&lt;full-title&gt;International journal of heat and mass transfer&lt;/full-title&gt;&lt;/periodical&gt;&lt;pages&gt;107-121&lt;/pages&gt;&lt;volume&gt;99&lt;/volume&gt;&lt;keywords&gt;&lt;keyword&gt;Nucleate pool boiling&lt;/keyword&gt;&lt;keyword&gt;Critical heat flux&lt;/keyword&gt;&lt;keyword&gt;Selective Laser Melting&lt;/keyword&gt;&lt;keyword&gt;FC-72&lt;/keyword&gt;&lt;/keywords&gt;&lt;dates&gt;&lt;year&gt;2016&lt;/year&gt;&lt;pub-dates&gt;&lt;date&gt;2016/08/01/&lt;/date&gt;&lt;/pub-dates&gt;&lt;/dates&gt;&lt;isbn&gt;0017-9310&lt;/isbn&gt;&lt;urls&gt;&lt;related-urls&gt;&lt;url&gt;https://www.sciencedirect.com/science/article/pii/S0017931015314563&lt;/url&gt;&lt;/related-urls&gt;&lt;/urls&gt;&lt;electronic-resource-num&gt;https://doi.org/10.1016/j.ijheatmasstransfer.2016.03.073&lt;/electronic-resource-num&gt;&lt;/record&gt;&lt;/Cite&gt;&lt;/EndNote&gt;</w:instrText>
      </w:r>
      <w:r w:rsidRPr="00967E50">
        <w:rPr>
          <w:lang w:eastAsia="ko-KR"/>
        </w:rPr>
        <w:fldChar w:fldCharType="separate"/>
      </w:r>
      <w:r w:rsidR="003026BC">
        <w:rPr>
          <w:noProof/>
          <w:lang w:eastAsia="ko-KR"/>
        </w:rPr>
        <w:t>[82]</w:t>
      </w:r>
      <w:r w:rsidRPr="00967E50">
        <w:rPr>
          <w:lang w:eastAsia="ko-KR"/>
        </w:rPr>
        <w:fldChar w:fldCharType="end"/>
      </w:r>
      <w:r w:rsidRPr="00967E50">
        <w:rPr>
          <w:lang w:eastAsia="ko-KR"/>
        </w:rPr>
        <w:t xml:space="preserve">. A recent study at UTK used HTTC to account for the effect of thermal properties under transient conditions and yielded the exact characterization of the contribution of HTTC on the peak fuel and outer cladding temperatures, as well as the time occurrence of CHF using sensitivity and uncertainty analysis </w:t>
      </w:r>
      <w:r w:rsidRPr="00967E50">
        <w:rPr>
          <w:lang w:eastAsia="ko-KR"/>
        </w:rPr>
        <w:fldChar w:fldCharType="begin"/>
      </w:r>
      <w:r w:rsidR="00CA457A">
        <w:rPr>
          <w:lang w:eastAsia="ko-KR"/>
        </w:rPr>
        <w:instrText xml:space="preserve"> ADDIN EN.CITE &lt;EndNote&gt;&lt;Cite&gt;&lt;Author&gt;Hernandez&lt;/Author&gt;&lt;Year&gt;2022&lt;/Year&gt;&lt;RecNum&gt;172&lt;/RecNum&gt;&lt;DisplayText&gt;[18]&lt;/DisplayText&gt;&lt;record&gt;&lt;rec-number&gt;172&lt;/rec-number&gt;&lt;foreign-keys&gt;&lt;key app="EN" db-id="eseee05sfe5vt6efvr0xapvq20vfdsfp5fvf" timestamp="1652058310" guid="f5a354d8-caab-448f-97f1-911870721504"&gt;172&lt;/key&gt;&lt;/foreign-keys&gt;&lt;ref-type name="Journal Article"&gt;17&lt;/ref-type&gt;&lt;contributors&gt;&lt;authors&gt;&lt;author&gt;Hernandez, Richard&lt;/author&gt;&lt;author&gt;Armstrong, Robert J.&lt;/author&gt;&lt;author&gt;Bin Seo, Seok&lt;/author&gt;&lt;author&gt;Folsom, Charles P.&lt;/author&gt;&lt;author&gt;Jensen, Colby B.&lt;/author&gt;&lt;author&gt;Brown, Nicholas R.&lt;/author&gt;&lt;/authors&gt;&lt;/contributors&gt;&lt;titles&gt;&lt;title&gt;Sensitivity analysis of in-pile CHF experiments in the TREAT facility: Characterization of impacts of fuel system thermal properties&lt;/title&gt;&lt;secondary-title&gt;Annals of Nuclear Energy&lt;/secondary-title&gt;&lt;/titles&gt;&lt;periodical&gt;&lt;full-title&gt;Annals of Nuclear Energy&lt;/full-title&gt;&lt;/periodical&gt;&lt;pages&gt;108645&lt;/pages&gt;&lt;volume&gt;165&lt;/volume&gt;&lt;keywords&gt;&lt;keyword&gt;Heat transfer time constant&lt;/keyword&gt;&lt;keyword&gt;Transient reactor test facility&lt;/keyword&gt;&lt;keyword&gt;Pool and flow boiling&lt;/keyword&gt;&lt;keyword&gt;Thermal hydraulics&lt;/keyword&gt;&lt;keyword&gt;RELAP5-3D&lt;/keyword&gt;&lt;keyword&gt;Peak outer cladding temperature&lt;/keyword&gt;&lt;keyword&gt;Reactivity initiated accident&lt;/keyword&gt;&lt;/keywords&gt;&lt;dates&gt;&lt;year&gt;2022&lt;/year&gt;&lt;pub-dates&gt;&lt;date&gt;2022/01/01/&lt;/date&gt;&lt;/pub-dates&gt;&lt;/dates&gt;&lt;isbn&gt;0306-4549&lt;/isbn&gt;&lt;urls&gt;&lt;related-urls&gt;&lt;url&gt;https://www.sciencedirect.com/science/article/pii/S0306454921005211&lt;/url&gt;&lt;/related-urls&gt;&lt;/urls&gt;&lt;electronic-resource-num&gt;https://doi.org/10.1016/j.anucene.2021.108645&lt;/electronic-resource-num&gt;&lt;/record&gt;&lt;/Cite&gt;&lt;/EndNote&gt;</w:instrText>
      </w:r>
      <w:r w:rsidRPr="00967E50">
        <w:rPr>
          <w:lang w:eastAsia="ko-KR"/>
        </w:rPr>
        <w:fldChar w:fldCharType="separate"/>
      </w:r>
      <w:r w:rsidR="00CA457A">
        <w:rPr>
          <w:noProof/>
          <w:lang w:eastAsia="ko-KR"/>
        </w:rPr>
        <w:t>[18]</w:t>
      </w:r>
      <w:r w:rsidRPr="00967E50">
        <w:rPr>
          <w:lang w:eastAsia="ko-KR"/>
        </w:rPr>
        <w:fldChar w:fldCharType="end"/>
      </w:r>
      <w:r w:rsidRPr="00967E50">
        <w:rPr>
          <w:lang w:eastAsia="ko-KR"/>
        </w:rPr>
        <w:t>.</w:t>
      </w:r>
    </w:p>
    <w:p w14:paraId="753EB7EF" w14:textId="4F1FBB4B" w:rsidR="00BD2D6F" w:rsidRPr="00BD2D6F" w:rsidRDefault="00BD2D6F" w:rsidP="00F22A75">
      <w:pPr>
        <w:rPr>
          <w:lang w:eastAsia="ko-KR"/>
        </w:rPr>
      </w:pPr>
      <w:r w:rsidRPr="00967E50">
        <w:rPr>
          <w:lang w:eastAsia="ko-KR"/>
        </w:rPr>
        <w:lastRenderedPageBreak/>
        <w:t xml:space="preserve">Radiation-induced surface activation (RISA) has been known to influence the wettability of metallic heating surfaces. Following early observation of enhanced quenching performance within in-pile reactor experiments </w:t>
      </w:r>
      <w:r w:rsidRPr="00967E50">
        <w:rPr>
          <w:lang w:eastAsia="ko-KR"/>
        </w:rPr>
        <w:fldChar w:fldCharType="begin"/>
      </w:r>
      <w:r w:rsidR="003026BC">
        <w:rPr>
          <w:lang w:eastAsia="ko-KR"/>
        </w:rPr>
        <w:instrText xml:space="preserve"> ADDIN EN.CITE &lt;EndNote&gt;&lt;Cite&gt;&lt;Author&gt;Svanholm&lt;/Author&gt;&lt;Year&gt;1995&lt;/Year&gt;&lt;RecNum&gt;236&lt;/RecNum&gt;&lt;DisplayText&gt;[83]&lt;/DisplayText&gt;&lt;record&gt;&lt;rec-number&gt;236&lt;/rec-number&gt;&lt;foreign-keys&gt;&lt;key app="EN" db-id="eseee05sfe5vt6efvr0xapvq20vfdsfp5fvf" timestamp="1671684608" guid="72bb5a15-a46e-4cac-8b27-d996fd12ca73"&gt;236&lt;/key&gt;&lt;/foreign-keys&gt;&lt;ref-type name="Journal Article"&gt;17&lt;/ref-type&gt;&lt;contributors&gt;&lt;authors&gt;&lt;author&gt;Svanholm, K.&lt;/author&gt;&lt;author&gt;Breghi, M. P.&lt;/author&gt;&lt;author&gt;D&amp;apos;Auria, F.&lt;/author&gt;&lt;author&gt;Ianiri, R.&lt;/author&gt;&lt;/authors&gt;&lt;/contributors&gt;&lt;titles&gt;&lt;title&gt;Halden reactors IFA-511.2 and IFA-54x: Experimental series under adverse core cooling conditions&lt;/title&gt;&lt;secondary-title&gt;Experimental Thermal and Fluid Science&lt;/secondary-title&gt;&lt;/titles&gt;&lt;periodical&gt;&lt;full-title&gt;Experimental Thermal and Fluid Science&lt;/full-title&gt;&lt;/periodical&gt;&lt;pages&gt;77-100&lt;/pages&gt;&lt;volume&gt;11&lt;/volume&gt;&lt;number&gt;1&lt;/number&gt;&lt;keywords&gt;&lt;keyword&gt;heavy water reactor&lt;/keyword&gt;&lt;keyword&gt;core cooling&lt;/keyword&gt;&lt;keyword&gt;reflood&lt;/keyword&gt;&lt;keyword&gt;quench temperature&lt;/keyword&gt;&lt;keyword&gt;fuel rod simulators&lt;/keyword&gt;&lt;/keywords&gt;&lt;dates&gt;&lt;year&gt;1995&lt;/year&gt;&lt;pub-dates&gt;&lt;date&gt;1995/07/01/&lt;/date&gt;&lt;/pub-dates&gt;&lt;/dates&gt;&lt;isbn&gt;0894-1777&lt;/isbn&gt;&lt;urls&gt;&lt;related-urls&gt;&lt;url&gt;https://www.sciencedirect.com/science/article/pii/089417779400138X&lt;/url&gt;&lt;/related-urls&gt;&lt;/urls&gt;&lt;electronic-resource-num&gt;https://doi.org/10.1016/0894-1777(94)00138-X&lt;/electronic-resource-num&gt;&lt;/record&gt;&lt;/Cite&gt;&lt;/EndNote&gt;</w:instrText>
      </w:r>
      <w:r w:rsidRPr="00967E50">
        <w:rPr>
          <w:lang w:eastAsia="ko-KR"/>
        </w:rPr>
        <w:fldChar w:fldCharType="separate"/>
      </w:r>
      <w:r w:rsidR="003026BC">
        <w:rPr>
          <w:noProof/>
          <w:lang w:eastAsia="ko-KR"/>
        </w:rPr>
        <w:t>[83]</w:t>
      </w:r>
      <w:r w:rsidRPr="00967E50">
        <w:rPr>
          <w:lang w:eastAsia="ko-KR"/>
        </w:rPr>
        <w:fldChar w:fldCharType="end"/>
      </w:r>
      <w:r w:rsidRPr="00967E50">
        <w:rPr>
          <w:lang w:eastAsia="ko-KR"/>
        </w:rPr>
        <w:t xml:space="preserve">, several studies have reported that gamma-ray irradiation increases the wettability of metal oxides </w:t>
      </w:r>
      <w:r w:rsidRPr="00967E50">
        <w:rPr>
          <w:lang w:eastAsia="ko-KR"/>
        </w:rPr>
        <w:fldChar w:fldCharType="begin"/>
      </w:r>
      <w:r w:rsidR="003026BC">
        <w:rPr>
          <w:lang w:eastAsia="ko-KR"/>
        </w:rPr>
        <w:instrText xml:space="preserve"> ADDIN EN.CITE &lt;EndNote&gt;&lt;Cite&gt;&lt;Author&gt;Imai&lt;/Author&gt;&lt;Year&gt;2009&lt;/Year&gt;&lt;RecNum&gt;237&lt;/RecNum&gt;&lt;DisplayText&gt;[84]&lt;/DisplayText&gt;&lt;record&gt;&lt;rec-number&gt;237&lt;/rec-number&gt;&lt;foreign-keys&gt;&lt;key app="EN" db-id="eseee05sfe5vt6efvr0xapvq20vfdsfp5fvf" timestamp="1671684707" guid="e6849030-5549-4680-814a-154355f10960"&gt;237&lt;/key&gt;&lt;/foreign-keys&gt;&lt;ref-type name="Conference Paper"&gt;47&lt;/ref-type&gt;&lt;contributors&gt;&lt;authors&gt;&lt;author&gt;Imai, Yasuyuki&lt;/author&gt;&lt;author&gt;Koga, Tatsuya&lt;/author&gt;&lt;author&gt;Takamasa, Tomoji&lt;/author&gt;&lt;author&gt;Okamoto, Koji&lt;/author&gt;&lt;author&gt;Uematsu, Susumu&lt;/author&gt;&lt;/authors&gt;&lt;/contributors&gt;&lt;titles&gt;&lt;title&gt;Radiation Induced Surface Activity Phenomenon: 1st Report — Surface Wettability on Metal Oxides&lt;/title&gt;&lt;secondary-title&gt;10th International Conference on Nuclear Engineering&lt;/secondary-title&gt;&lt;/titles&gt;&lt;pages&gt;979-982&lt;/pages&gt;&lt;dates&gt;&lt;year&gt;2009&lt;/year&gt;&lt;pub-dates&gt;&lt;date&gt;March 4&lt;/date&gt;&lt;/pub-dates&gt;&lt;/dates&gt;&lt;urls&gt;&lt;related-urls&gt;&lt;url&gt;https://doi.org/10.1115/ICONE10-22747&lt;/url&gt;&lt;/related-urls&gt;&lt;/urls&gt;&lt;custom1&gt;10th International Conference on Nuclear Engineering, Volume 4&lt;/custom1&gt;&lt;custom2&gt;10th International Conference on Nuclear Engineering&lt;/custom2&gt;&lt;custom3&gt;ICONE10&lt;/custom3&gt;&lt;custom4&gt;International Conference on Nuclear Engineering&lt;/custom4&gt;&lt;electronic-resource-num&gt;https://doi.org/10.1115/ICONE10-22747&lt;/electronic-resource-num&gt;&lt;access-date&gt;12/22/2022&lt;/access-date&gt;&lt;/record&gt;&lt;/Cite&gt;&lt;/EndNote&gt;</w:instrText>
      </w:r>
      <w:r w:rsidRPr="00967E50">
        <w:rPr>
          <w:lang w:eastAsia="ko-KR"/>
        </w:rPr>
        <w:fldChar w:fldCharType="separate"/>
      </w:r>
      <w:r w:rsidR="003026BC">
        <w:rPr>
          <w:noProof/>
          <w:lang w:eastAsia="ko-KR"/>
        </w:rPr>
        <w:t>[84]</w:t>
      </w:r>
      <w:r w:rsidRPr="00967E50">
        <w:rPr>
          <w:lang w:eastAsia="ko-KR"/>
        </w:rPr>
        <w:fldChar w:fldCharType="end"/>
      </w:r>
      <w:r w:rsidRPr="00967E50">
        <w:rPr>
          <w:lang w:eastAsia="ko-KR"/>
        </w:rPr>
        <w:t xml:space="preserve">, and non-oxidized metallic surfaces including titanium, Zircaloy-4, stainless steel 304, and copper </w:t>
      </w:r>
      <w:r w:rsidRPr="00967E50">
        <w:rPr>
          <w:lang w:eastAsia="ko-KR"/>
        </w:rPr>
        <w:fldChar w:fldCharType="begin">
          <w:fldData xml:space="preserve">PEVuZE5vdGU+PENpdGU+PEF1dGhvcj5Lb2dhPC9BdXRob3I+PFllYXI+MjAwOTwvWWVhcj48UmVj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</w:fldData>
        </w:fldChar>
      </w:r>
      <w:r w:rsidR="003026BC">
        <w:rPr>
          <w:lang w:eastAsia="ko-KR"/>
        </w:rPr>
        <w:instrText xml:space="preserve"> ADDIN EN.CITE </w:instrText>
      </w:r>
      <w:r w:rsidR="003026BC">
        <w:rPr>
          <w:lang w:eastAsia="ko-KR"/>
        </w:rPr>
        <w:fldChar w:fldCharType="begin">
          <w:fldData xml:space="preserve">PEVuZE5vdGU+PENpdGU+PEF1dGhvcj5Lb2dhPC9BdXRob3I+PFllYXI+MjAwOTwvWWVhcj48UmVj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</w:fldData>
        </w:fldChar>
      </w:r>
      <w:r w:rsidR="003026BC">
        <w:rPr>
          <w:lang w:eastAsia="ko-KR"/>
        </w:rPr>
        <w:instrText xml:space="preserve"> ADDIN EN.CITE.DATA </w:instrText>
      </w:r>
      <w:r w:rsidR="003026BC">
        <w:rPr>
          <w:lang w:eastAsia="ko-KR"/>
        </w:rPr>
      </w:r>
      <w:r w:rsidR="003026BC">
        <w:rPr>
          <w:lang w:eastAsia="ko-KR"/>
        </w:rPr>
        <w:fldChar w:fldCharType="end"/>
      </w:r>
      <w:r w:rsidRPr="00967E50">
        <w:rPr>
          <w:lang w:eastAsia="ko-KR"/>
        </w:rPr>
      </w:r>
      <w:r w:rsidRPr="00967E50">
        <w:rPr>
          <w:lang w:eastAsia="ko-KR"/>
        </w:rPr>
        <w:fldChar w:fldCharType="separate"/>
      </w:r>
      <w:r w:rsidR="003026BC">
        <w:rPr>
          <w:noProof/>
          <w:lang w:eastAsia="ko-KR"/>
        </w:rPr>
        <w:t>[57, 85-87]</w:t>
      </w:r>
      <w:r w:rsidRPr="00967E50">
        <w:rPr>
          <w:lang w:eastAsia="ko-KR"/>
        </w:rPr>
        <w:fldChar w:fldCharType="end"/>
      </w:r>
      <w:r w:rsidRPr="00967E50">
        <w:rPr>
          <w:lang w:eastAsia="ko-KR"/>
        </w:rPr>
        <w:t xml:space="preserve">. Interestingly, an irradiated and oxidized Zircaloy-4 surface coated in chromium was able to achieve super-hydrophilicity due to its high surface conductivity, which demonstrated that RISA effects are dependent on surface chemistry and material properties </w:t>
      </w:r>
      <w:r w:rsidRPr="00967E50">
        <w:rPr>
          <w:lang w:eastAsia="ko-KR"/>
        </w:rPr>
        <w:fldChar w:fldCharType="begin"/>
      </w:r>
      <w:r w:rsidR="003026BC">
        <w:rPr>
          <w:lang w:eastAsia="ko-KR"/>
        </w:rPr>
        <w:instrText xml:space="preserve"> ADDIN EN.CITE &lt;EndNote&gt;&lt;Cite&gt;&lt;Author&gt;Seshadri&lt;/Author&gt;&lt;Year&gt;2018&lt;/Year&gt;&lt;RecNum&gt;241&lt;/RecNum&gt;&lt;DisplayText&gt;[87]&lt;/DisplayText&gt;&lt;record&gt;&lt;rec-number&gt;241&lt;/rec-number&gt;&lt;foreign-keys&gt;&lt;key app="EN" db-id="eseee05sfe5vt6efvr0xapvq20vfdsfp5fvf" timestamp="1671685274" guid="e42940ff-dfb5-45ad-a373-8366e5423efd"&gt;241&lt;/key&gt;&lt;/foreign-keys&gt;&lt;ref-type name="Journal Article"&gt;17&lt;/ref-type&gt;&lt;contributors&gt;&lt;authors&gt;&lt;author&gt;Seshadri, Arunkumar&lt;/author&gt;&lt;author&gt;Phillips, Bren&lt;/author&gt;&lt;author&gt;Shirvan, Koroush&lt;/author&gt;&lt;/authors&gt;&lt;/contributors&gt;&lt;titles&gt;&lt;title&gt;Towards understanding the effects of irradiation on quenching heat transfer&lt;/title&gt;&lt;secondary-title&gt;International Journal of Heat and Mass Transfer&lt;/secondary-title&gt;&lt;/titles&gt;&lt;periodical&gt;&lt;full-title&gt;International journal of heat and mass transfer&lt;/full-title&gt;&lt;/periodical&gt;&lt;pages&gt;1087-1095&lt;/pages&gt;&lt;volume&gt;127&lt;/volume&gt;&lt;keywords&gt;&lt;keyword&gt;Quenching&lt;/keyword&gt;&lt;keyword&gt;Boiling heat transfer&lt;/keyword&gt;&lt;keyword&gt;Irradiation&lt;/keyword&gt;&lt;/keywords&gt;&lt;dates&gt;&lt;year&gt;2018&lt;/year&gt;&lt;pub-dates&gt;&lt;date&gt;2018/12/01/&lt;/date&gt;&lt;/pub-dates&gt;&lt;/dates&gt;&lt;isbn&gt;0017-9310&lt;/isbn&gt;&lt;urls&gt;&lt;related-urls&gt;&lt;url&gt;https://www.sciencedirect.com/science/article/pii/S0017931018303193&lt;/url&gt;&lt;/related-urls&gt;&lt;/urls&gt;&lt;electronic-resource-num&gt;https://doi.org/10.1016/j.ijheatmasstransfer.2018.07.144&lt;/electronic-resource-num&gt;&lt;/record&gt;&lt;/Cite&gt;&lt;/EndNote&gt;</w:instrText>
      </w:r>
      <w:r w:rsidRPr="00967E50">
        <w:rPr>
          <w:lang w:eastAsia="ko-KR"/>
        </w:rPr>
        <w:fldChar w:fldCharType="separate"/>
      </w:r>
      <w:r w:rsidR="003026BC">
        <w:rPr>
          <w:noProof/>
          <w:lang w:eastAsia="ko-KR"/>
        </w:rPr>
        <w:t>[87]</w:t>
      </w:r>
      <w:r w:rsidRPr="00967E50">
        <w:rPr>
          <w:lang w:eastAsia="ko-KR"/>
        </w:rPr>
        <w:fldChar w:fldCharType="end"/>
      </w:r>
      <w:r w:rsidRPr="00967E50">
        <w:rPr>
          <w:lang w:eastAsia="ko-KR"/>
        </w:rPr>
        <w:t xml:space="preserve">. The mechanism of RISA is assumed to be a result of water radiolysis on the surface induced by gamma-ray irradiation that produces the hydroxyl group </w:t>
      </w:r>
      <w:r w:rsidRPr="00967E50">
        <w:rPr>
          <w:lang w:eastAsia="ko-KR"/>
        </w:rPr>
        <w:fldChar w:fldCharType="begin">
          <w:fldData xml:space="preserve">PEVuZE5vdGU+PENpdGU+PEF1dGhvcj5UYWthbWFzYTwvQXV0aG9yPjxZZWFyPjIwMDU8L1llYXI+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</w:fldData>
        </w:fldChar>
      </w:r>
      <w:r w:rsidR="003026BC">
        <w:rPr>
          <w:lang w:eastAsia="ko-KR"/>
        </w:rPr>
        <w:instrText xml:space="preserve"> ADDIN EN.CITE </w:instrText>
      </w:r>
      <w:r w:rsidR="003026BC">
        <w:rPr>
          <w:lang w:eastAsia="ko-KR"/>
        </w:rPr>
        <w:fldChar w:fldCharType="begin">
          <w:fldData xml:space="preserve">PEVuZE5vdGU+PENpdGU+PEF1dGhvcj5UYWthbWFzYTwvQXV0aG9yPjxZZWFyPjIwMDU8L1llYXI+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</w:fldData>
        </w:fldChar>
      </w:r>
      <w:r w:rsidR="003026BC">
        <w:rPr>
          <w:lang w:eastAsia="ko-KR"/>
        </w:rPr>
        <w:instrText xml:space="preserve"> ADDIN EN.CITE.DATA </w:instrText>
      </w:r>
      <w:r w:rsidR="003026BC">
        <w:rPr>
          <w:lang w:eastAsia="ko-KR"/>
        </w:rPr>
      </w:r>
      <w:r w:rsidR="003026BC">
        <w:rPr>
          <w:lang w:eastAsia="ko-KR"/>
        </w:rPr>
        <w:fldChar w:fldCharType="end"/>
      </w:r>
      <w:r w:rsidRPr="00967E50">
        <w:rPr>
          <w:lang w:eastAsia="ko-KR"/>
        </w:rPr>
      </w:r>
      <w:r w:rsidRPr="00967E50">
        <w:rPr>
          <w:lang w:eastAsia="ko-KR"/>
        </w:rPr>
        <w:fldChar w:fldCharType="separate"/>
      </w:r>
      <w:r w:rsidR="003026BC">
        <w:rPr>
          <w:noProof/>
          <w:lang w:eastAsia="ko-KR"/>
        </w:rPr>
        <w:t>[86, 88]</w:t>
      </w:r>
      <w:r w:rsidRPr="00967E50">
        <w:rPr>
          <w:lang w:eastAsia="ko-KR"/>
        </w:rPr>
        <w:fldChar w:fldCharType="end"/>
      </w:r>
      <w:r w:rsidRPr="00967E50">
        <w:rPr>
          <w:lang w:eastAsia="ko-KR"/>
        </w:rPr>
        <w:t xml:space="preserve">. Since the wettability of the heating surface plays an important role in the manifestation of CHF, the CHF enhancement by RISA effects has been investigated using various materials. Okamoto et al. </w:t>
      </w:r>
      <w:r w:rsidRPr="00967E50">
        <w:rPr>
          <w:lang w:eastAsia="ko-KR"/>
        </w:rPr>
        <w:fldChar w:fldCharType="begin"/>
      </w:r>
      <w:r w:rsidR="003026BC">
        <w:rPr>
          <w:lang w:eastAsia="ko-KR"/>
        </w:rPr>
        <w:instrText xml:space="preserve"> ADDIN EN.CITE &lt;EndNote&gt;&lt;Cite&gt;&lt;Author&gt;Okamoto&lt;/Author&gt;&lt;Year&gt;2002&lt;/Year&gt;&lt;RecNum&gt;244&lt;/RecNum&gt;&lt;DisplayText&gt;[89]&lt;/DisplayText&gt;&lt;record&gt;&lt;rec-number&gt;244&lt;/rec-number&gt;&lt;foreign-keys&gt;&lt;key app="EN" db-id="eseee05sfe5vt6efvr0xapvq20vfdsfp5fvf" timestamp="1671685534" guid="08a0413e-5df8-4e70-9d26-a2ae3ab89412"&gt;244&lt;/key&gt;&lt;/foreign-keys&gt;&lt;ref-type name="Conference Paper"&gt;47&lt;/ref-type&gt;&lt;contributors&gt;&lt;authors&gt;&lt;author&gt;Okamoto, Koji&lt;/author&gt;&lt;author&gt;Akiyama, Hiroshi&lt;/author&gt;&lt;author&gt;Madarame, Haruki&lt;/author&gt;&lt;author&gt;Takamasa, Tomoji&lt;/author&gt;&lt;/authors&gt;&lt;/contributors&gt;&lt;titles&gt;&lt;title&gt;Experimental Study on Radiation Induced Boiling Enhancement for Stainless Steel Plate&lt;/title&gt;&lt;secondary-title&gt;ICONE-10&lt;/secondary-title&gt;&lt;/titles&gt;&lt;keywords&gt;&lt;keyword&gt;42 ENGINEERING&lt;/keyword&gt;&lt;keyword&gt;BOILING&lt;/keyword&gt;&lt;keyword&gt;FOILS&lt;/keyword&gt;&lt;keyword&gt;PLATES&lt;/keyword&gt;&lt;keyword&gt;STAINLESS STEEL-304&lt;/keyword&gt;&lt;keyword&gt;SURFACES&lt;/keyword&gt;&lt;/keywords&gt;&lt;dates&gt;&lt;year&gt;2002&lt;/year&gt;&lt;pub-dates&gt;&lt;date&gt;April 14-18&lt;/date&gt;&lt;/pub-dates&gt;&lt;/dates&gt;&lt;pub-location&gt;Arlington, Virginia&lt;/pub-location&gt;&lt;publisher&gt;American Society of Mechanical Engineers - ASME, New York (United States)&lt;/publisher&gt;&lt;urls&gt;&lt;related-urls&gt;&lt;url&gt;https://www.osti.gov/biblio/21072846&lt;/url&gt;&lt;/related-urls&gt;&lt;/urls&gt;&lt;custom1&gt;Research Org.: The ASME Foundation, Inc., Three Park Avenue, New York, NY 10016-5990 (United States)&lt;/custom1&gt;&lt;electronic-resource-num&gt;Conference: ICONE-10: 10. international conference on nuclear engineering, Arlington - Virginia (United States), 14-18 Apr 2002; Other Information: Country of input: France&lt;/electronic-resource-num&gt;&lt;language&gt;English&lt;/language&gt;&lt;/record&gt;&lt;/Cite&gt;&lt;/EndNote&gt;</w:instrText>
      </w:r>
      <w:r w:rsidRPr="00967E50">
        <w:rPr>
          <w:lang w:eastAsia="ko-KR"/>
        </w:rPr>
        <w:fldChar w:fldCharType="separate"/>
      </w:r>
      <w:r w:rsidR="003026BC">
        <w:rPr>
          <w:noProof/>
          <w:lang w:eastAsia="ko-KR"/>
        </w:rPr>
        <w:t>[89]</w:t>
      </w:r>
      <w:r w:rsidRPr="00967E50">
        <w:rPr>
          <w:lang w:eastAsia="ko-KR"/>
        </w:rPr>
        <w:fldChar w:fldCharType="end"/>
      </w:r>
      <w:r w:rsidRPr="00967E50">
        <w:rPr>
          <w:lang w:eastAsia="ko-KR"/>
        </w:rPr>
        <w:t xml:space="preserve"> conducted pool boiling experiments using oxidized SS304, which yielded a CHF enhancement up to about 20 % following surface irradiation. Georgenthum et al. </w:t>
      </w:r>
      <w:r w:rsidRPr="00967E50">
        <w:rPr>
          <w:lang w:eastAsia="ko-KR"/>
        </w:rPr>
        <w:fldChar w:fldCharType="begin"/>
      </w:r>
      <w:r w:rsidR="003026BC">
        <w:rPr>
          <w:lang w:eastAsia="ko-KR"/>
        </w:rPr>
        <w:instrText xml:space="preserve"> ADDIN EN.CITE &lt;EndNote&gt;&lt;Cite&gt;&lt;Author&gt;Georgenthum&lt;/Author&gt;&lt;Year&gt;2014&lt;/Year&gt;&lt;RecNum&gt;245&lt;/RecNum&gt;&lt;DisplayText&gt;[90]&lt;/DisplayText&gt;&lt;record&gt;&lt;rec-number&gt;245&lt;/rec-number&gt;&lt;foreign-keys&gt;&lt;key app="EN" db-id="eseee05sfe5vt6efvr0xapvq20vfdsfp5fvf" timestamp="1671685669" guid="1cf4a5fa-a644-48e0-8ff1-950773863001"&gt;245&lt;/key&gt;&lt;/foreign-keys&gt;&lt;ref-type name="Conference Paper"&gt;47&lt;/ref-type&gt;&lt;contributors&gt;&lt;authors&gt;&lt;author&gt;Georgenthum, Vincent&lt;/author&gt;&lt;author&gt;Tregoures, Nicolas&lt;/author&gt;&lt;author&gt;Udagawa, Yutaka&lt;/author&gt;&lt;/authors&gt;&lt;/contributors&gt;&lt;titles&gt;&lt;title&gt;Synthesis and interpretation of fuel cladding temperature evolution under reactivity initiated accident in NSRR reactor&lt;/title&gt;&lt;secondary-title&gt;Proceedings of 2014 water reactor fuel performance meeting (WRFPM 2014)&lt;/secondary-title&gt;&lt;/titles&gt;&lt;pages&gt;784&lt;/pages&gt;&lt;dates&gt;&lt;year&gt;2014&lt;/year&gt;&lt;pub-dates&gt;&lt;date&gt;Sept 14-17&lt;/date&gt;&lt;/pub-dates&gt;&lt;/dates&gt;&lt;pub-location&gt;Sendai, Miyagi, Japan&lt;/pub-location&gt;&lt;urls&gt;&lt;related-urls&gt;&lt;url&gt;http://inis.iaea.org/search/search.aspx?orig_q=RN:47079922&lt;/url&gt;&lt;/related-urls&gt;&lt;/urls&gt;&lt;/record&gt;&lt;/Cite&gt;&lt;/EndNote&gt;</w:instrText>
      </w:r>
      <w:r w:rsidRPr="00967E50">
        <w:rPr>
          <w:lang w:eastAsia="ko-KR"/>
        </w:rPr>
        <w:fldChar w:fldCharType="separate"/>
      </w:r>
      <w:r w:rsidR="003026BC">
        <w:rPr>
          <w:noProof/>
          <w:lang w:eastAsia="ko-KR"/>
        </w:rPr>
        <w:t>[90]</w:t>
      </w:r>
      <w:r w:rsidRPr="00967E50">
        <w:rPr>
          <w:lang w:eastAsia="ko-KR"/>
        </w:rPr>
        <w:fldChar w:fldCharType="end"/>
      </w:r>
      <w:r w:rsidRPr="00967E50">
        <w:rPr>
          <w:lang w:eastAsia="ko-KR"/>
        </w:rPr>
        <w:t xml:space="preserve"> also noted that an irradiated heating surface allows for high heat fluxes, which lowered the maximum cladding surface temperature and delayed the occurrence of CHF. More recently, Gong et al. </w:t>
      </w:r>
      <w:r w:rsidRPr="00967E50">
        <w:rPr>
          <w:lang w:eastAsia="ko-KR"/>
        </w:rPr>
        <w:fldChar w:fldCharType="begin"/>
      </w:r>
      <w:r w:rsidR="003026BC">
        <w:rPr>
          <w:lang w:eastAsia="ko-KR"/>
        </w:rPr>
        <w:instrText xml:space="preserve"> ADDIN EN.CITE &lt;EndNote&gt;&lt;Cite&gt;&lt;Author&gt;Gong&lt;/Author&gt;&lt;Year&gt;2017&lt;/Year&gt;&lt;RecNum&gt;246&lt;/RecNum&gt;&lt;DisplayText&gt;[91]&lt;/DisplayText&gt;&lt;record&gt;&lt;rec-number&gt;246&lt;/rec-number&gt;&lt;foreign-keys&gt;&lt;key app="EN" db-id="eseee05sfe5vt6efvr0xapvq20vfdsfp5fvf" timestamp="1671685851" guid="ffe1ef3e-b707-4720-83ec-4ad6b5c328ef"&gt;246&lt;/key&gt;&lt;/foreign-keys&gt;&lt;ref-type name="Journal Article"&gt;17&lt;/ref-type&gt;&lt;contributors&gt;&lt;authors&gt;&lt;author&gt;Gong, Haiguang&lt;/author&gt;&lt;author&gt;Khan, Abdul R.&lt;/author&gt;&lt;author&gt;Erkan, Nejdet&lt;/author&gt;&lt;author&gt;Wang, Laishun&lt;/author&gt;&lt;author&gt;Okamoto, Koji&lt;/author&gt;&lt;/authors&gt;&lt;/contributors&gt;&lt;titles&gt;&lt;title&gt;Critical heat flux enhancement in downward-facing pool boiling with radiation induced surface activation effect&lt;/title&gt;&lt;secondary-title&gt;International Journal of Heat and Mass Transfer&lt;/secondary-title&gt;&lt;/titles&gt;&lt;periodical&gt;&lt;full-title&gt;International journal of heat and mass transfer&lt;/full-title&gt;&lt;/periodical&gt;&lt;pages&gt;93-102&lt;/pages&gt;&lt;volume&gt;109&lt;/volume&gt;&lt;keywords&gt;&lt;keyword&gt;Critical heat flux&lt;/keyword&gt;&lt;keyword&gt;Pool boiling&lt;/keyword&gt;&lt;keyword&gt;Heat transfer&lt;/keyword&gt;&lt;keyword&gt;Honeycomb&lt;/keyword&gt;&lt;keyword&gt;Radiation induced surface activation&lt;/keyword&gt;&lt;keyword&gt;Irradiation&lt;/keyword&gt;&lt;/keywords&gt;&lt;dates&gt;&lt;year&gt;2017&lt;/year&gt;&lt;pub-dates&gt;&lt;date&gt;2017/06/01/&lt;/date&gt;&lt;/pub-dates&gt;&lt;/dates&gt;&lt;isbn&gt;0017-9310&lt;/isbn&gt;&lt;urls&gt;&lt;related-urls&gt;&lt;url&gt;https://www.sciencedirect.com/science/article/pii/S001793101631451X&lt;/url&gt;&lt;/related-urls&gt;&lt;/urls&gt;&lt;electronic-resource-num&gt;https://doi.org/10.1016/j.ijheatmasstransfer.2017.01.112&lt;/electronic-resource-num&gt;&lt;/record&gt;&lt;/Cite&gt;&lt;/EndNote&gt;</w:instrText>
      </w:r>
      <w:r w:rsidRPr="00967E50">
        <w:rPr>
          <w:lang w:eastAsia="ko-KR"/>
        </w:rPr>
        <w:fldChar w:fldCharType="separate"/>
      </w:r>
      <w:r w:rsidR="003026BC">
        <w:rPr>
          <w:noProof/>
          <w:lang w:eastAsia="ko-KR"/>
        </w:rPr>
        <w:t>[91]</w:t>
      </w:r>
      <w:r w:rsidRPr="00967E50">
        <w:rPr>
          <w:lang w:eastAsia="ko-KR"/>
        </w:rPr>
        <w:fldChar w:fldCharType="end"/>
      </w:r>
      <w:r w:rsidRPr="00967E50">
        <w:rPr>
          <w:lang w:eastAsia="ko-KR"/>
        </w:rPr>
        <w:t xml:space="preserve"> presented large increases of the surface wettability, as well as CHF enhancement of 64 % after gamma-ray irradiation in their downward-facing pool boiling experiments. One should note that the enhancement of surface wettability was reduced once the samples were removed from the irradiation </w:t>
      </w:r>
      <w:r w:rsidRPr="00967E50">
        <w:rPr>
          <w:lang w:eastAsia="ko-KR"/>
        </w:rPr>
        <w:lastRenderedPageBreak/>
        <w:t xml:space="preserve">environment </w:t>
      </w:r>
      <w:r w:rsidRPr="00967E50">
        <w:rPr>
          <w:lang w:eastAsia="ko-KR"/>
        </w:rPr>
        <w:fldChar w:fldCharType="begin">
          <w:fldData xml:space="preserve">PEVuZE5vdGU+PENpdGU+PEF1dGhvcj5UYWthbWFzYTwvQXV0aG9yPjxZZWFyPjIwMDU8L1llYXI+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</w:fldData>
        </w:fldChar>
      </w:r>
      <w:r w:rsidR="003026BC">
        <w:rPr>
          <w:lang w:eastAsia="ko-KR"/>
        </w:rPr>
        <w:instrText xml:space="preserve"> ADDIN EN.CITE </w:instrText>
      </w:r>
      <w:r w:rsidR="003026BC">
        <w:rPr>
          <w:lang w:eastAsia="ko-KR"/>
        </w:rPr>
        <w:fldChar w:fldCharType="begin">
          <w:fldData xml:space="preserve">PEVuZE5vdGU+PENpdGU+PEF1dGhvcj5UYWthbWFzYTwvQXV0aG9yPjxZZWFyPjIwMDU8L1llYXI+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</w:fldData>
        </w:fldChar>
      </w:r>
      <w:r w:rsidR="003026BC">
        <w:rPr>
          <w:lang w:eastAsia="ko-KR"/>
        </w:rPr>
        <w:instrText xml:space="preserve"> ADDIN EN.CITE.DATA </w:instrText>
      </w:r>
      <w:r w:rsidR="003026BC">
        <w:rPr>
          <w:lang w:eastAsia="ko-KR"/>
        </w:rPr>
      </w:r>
      <w:r w:rsidR="003026BC">
        <w:rPr>
          <w:lang w:eastAsia="ko-KR"/>
        </w:rPr>
        <w:fldChar w:fldCharType="end"/>
      </w:r>
      <w:r w:rsidRPr="00967E50">
        <w:rPr>
          <w:lang w:eastAsia="ko-KR"/>
        </w:rPr>
      </w:r>
      <w:r w:rsidRPr="00967E50">
        <w:rPr>
          <w:lang w:eastAsia="ko-KR"/>
        </w:rPr>
        <w:fldChar w:fldCharType="separate"/>
      </w:r>
      <w:r w:rsidR="003026BC">
        <w:rPr>
          <w:noProof/>
          <w:lang w:eastAsia="ko-KR"/>
        </w:rPr>
        <w:t>[57, 86, 88]</w:t>
      </w:r>
      <w:r w:rsidRPr="00967E50">
        <w:rPr>
          <w:lang w:eastAsia="ko-KR"/>
        </w:rPr>
        <w:fldChar w:fldCharType="end"/>
      </w:r>
      <w:r w:rsidRPr="00967E50">
        <w:rPr>
          <w:lang w:eastAsia="ko-KR"/>
        </w:rPr>
        <w:t xml:space="preserve">, and the CHF of irradiated surfaces can decrease under certain experimental conditions </w:t>
      </w:r>
      <w:r w:rsidRPr="00967E50">
        <w:rPr>
          <w:lang w:eastAsia="ko-KR"/>
        </w:rPr>
        <w:fldChar w:fldCharType="begin"/>
      </w:r>
      <w:r w:rsidR="003026BC">
        <w:rPr>
          <w:lang w:eastAsia="ko-KR"/>
        </w:rPr>
        <w:instrText xml:space="preserve"> ADDIN EN.CITE &lt;EndNote&gt;&lt;Cite&gt;&lt;Author&gt;Wang&lt;/Author&gt;&lt;Year&gt;2020&lt;/Year&gt;&lt;RecNum&gt;247&lt;/RecNum&gt;&lt;DisplayText&gt;[92]&lt;/DisplayText&gt;&lt;record&gt;&lt;rec-number&gt;247&lt;/rec-number&gt;&lt;foreign-keys&gt;&lt;key app="EN" db-id="eseee05sfe5vt6efvr0xapvq20vfdsfp5fvf" timestamp="1671687251" guid="bfbaa58e-2308-4542-8f42-5914cb4fe4ba"&gt;247&lt;/key&gt;&lt;/foreign-keys&gt;&lt;ref-type name="Journal Article"&gt;17&lt;/ref-type&gt;&lt;contributors&gt;&lt;authors&gt;&lt;author&gt;Wang, Laishun&lt;/author&gt;&lt;author&gt;Yuan, Yuan&lt;/author&gt;&lt;author&gt;Erkan, Nejdet&lt;/author&gt;&lt;author&gt;Gong, Haiguang&lt;/author&gt;&lt;author&gt;Abdul, Khan R.&lt;/author&gt;&lt;author&gt;Li, Fengchen&lt;/author&gt;&lt;author&gt;Okamoto, Koji&lt;/author&gt;&lt;/authors&gt;&lt;/contributors&gt;&lt;titles&gt;&lt;title&gt;Influence of surface wettability increase induced by Gamma-ray irradiation on critical heat flux in downward-facing flow boiling&lt;/title&gt;&lt;secondary-title&gt;Annals of Nuclear Energy&lt;/secondary-title&gt;&lt;/titles&gt;&lt;periodical&gt;&lt;full-title&gt;Annals of Nuclear Energy&lt;/full-title&gt;&lt;/periodical&gt;&lt;pages&gt;107420&lt;/pages&gt;&lt;volume&gt;142&lt;/volume&gt;&lt;keywords&gt;&lt;keyword&gt;CHF&lt;/keyword&gt;&lt;keyword&gt;Flow boiling&lt;/keyword&gt;&lt;keyword&gt;Gamma-ray irradiation&lt;/keyword&gt;&lt;keyword&gt;Surface wettability&lt;/keyword&gt;&lt;keyword&gt;Porous plate&lt;/keyword&gt;&lt;/keywords&gt;&lt;dates&gt;&lt;year&gt;2020&lt;/year&gt;&lt;pub-dates&gt;&lt;date&gt;2020/07/01/&lt;/date&gt;&lt;/pub-dates&gt;&lt;/dates&gt;&lt;isbn&gt;0306-4549&lt;/isbn&gt;&lt;urls&gt;&lt;related-urls&gt;&lt;url&gt;https://www.sciencedirect.com/science/article/pii/S0306454920301183&lt;/url&gt;&lt;/related-urls&gt;&lt;/urls&gt;&lt;electronic-resource-num&gt;https://doi.org/10.1016/j.anucene.2020.107420&lt;/electronic-resource-num&gt;&lt;/record&gt;&lt;/Cite&gt;&lt;/EndNote&gt;</w:instrText>
      </w:r>
      <w:r w:rsidRPr="00967E50">
        <w:rPr>
          <w:lang w:eastAsia="ko-KR"/>
        </w:rPr>
        <w:fldChar w:fldCharType="separate"/>
      </w:r>
      <w:r w:rsidR="003026BC">
        <w:rPr>
          <w:noProof/>
          <w:lang w:eastAsia="ko-KR"/>
        </w:rPr>
        <w:t>[92]</w:t>
      </w:r>
      <w:r w:rsidRPr="00967E50">
        <w:rPr>
          <w:lang w:eastAsia="ko-KR"/>
        </w:rPr>
        <w:fldChar w:fldCharType="end"/>
      </w:r>
      <w:r w:rsidRPr="00967E50">
        <w:rPr>
          <w:lang w:eastAsia="ko-KR"/>
        </w:rPr>
        <w:t>.</w:t>
      </w:r>
    </w:p>
    <w:p w14:paraId="554D7A93" w14:textId="12CB33DA" w:rsidR="006A062F" w:rsidRDefault="00F25360" w:rsidP="00F22A75">
      <w:pPr>
        <w:pStyle w:val="Heading3"/>
        <w:spacing w:before="0" w:after="0"/>
      </w:pPr>
      <w:bookmarkStart w:id="30" w:name="_Toc202957452"/>
      <w:r>
        <w:t>Modeling CHF</w:t>
      </w:r>
      <w:bookmarkEnd w:id="30"/>
    </w:p>
    <w:p w14:paraId="44A30046" w14:textId="5C122D01" w:rsidR="00F25360" w:rsidRDefault="00F25360" w:rsidP="00F22A75">
      <w:r w:rsidRPr="009001DC">
        <w:t xml:space="preserve">Traditionally, model estimates for CHF within widely used thermal hydraulic systems codes, such as </w:t>
      </w:r>
      <w:r>
        <w:t>the Reactor Excursion and Leak Analysis Program - Three Dimensional (</w:t>
      </w:r>
      <w:r w:rsidRPr="009001DC">
        <w:t>RELAP5-3D</w:t>
      </w:r>
      <w:r>
        <w:t>)</w:t>
      </w:r>
      <w:r w:rsidRPr="009001DC">
        <w:t xml:space="preserve"> and </w:t>
      </w:r>
      <w:r>
        <w:t>the Trac/RELAP Advanced Computational Engine</w:t>
      </w:r>
      <w:r w:rsidRPr="009001DC">
        <w:t xml:space="preserve"> </w:t>
      </w:r>
      <w:r>
        <w:t>(</w:t>
      </w:r>
      <w:r w:rsidRPr="009001DC">
        <w:t>TRACE</w:t>
      </w:r>
      <w:r>
        <w:t>)</w:t>
      </w:r>
      <w:r w:rsidRPr="009001DC">
        <w:t>, utilize steady-state look-up tables</w:t>
      </w:r>
      <w:r>
        <w:t xml:space="preserve"> </w:t>
      </w:r>
      <w:r w:rsidRPr="009001DC">
        <w:t>developed by Groenveld et al</w:t>
      </w:r>
      <w:r>
        <w:t>.</w:t>
      </w:r>
      <w:r w:rsidRPr="009001DC">
        <w:t xml:space="preserve"> </w:t>
      </w:r>
      <w:r w:rsidRPr="009001DC">
        <w:fldChar w:fldCharType="begin">
          <w:fldData xml:space="preserve">PEVuZE5vdGU+PENpdGU+PEF1dGhvcj5Hcm9lbmV2ZWxkPC9BdXRob3I+PFllYXI+MTk4NjwvWWVh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</w:fldData>
        </w:fldChar>
      </w:r>
      <w:r w:rsidR="003026BC">
        <w:instrText xml:space="preserve"> ADDIN EN.CITE </w:instrText>
      </w:r>
      <w:r w:rsidR="003026BC">
        <w:fldChar w:fldCharType="begin">
          <w:fldData xml:space="preserve">PEVuZE5vdGU+PENpdGU+PEF1dGhvcj5Hcm9lbmV2ZWxkPC9BdXRob3I+PFllYXI+MTk4NjwvWWVh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</w:fldData>
        </w:fldChar>
      </w:r>
      <w:r w:rsidR="003026BC">
        <w:instrText xml:space="preserve"> ADDIN EN.CITE.DATA </w:instrText>
      </w:r>
      <w:r w:rsidR="003026BC">
        <w:fldChar w:fldCharType="end"/>
      </w:r>
      <w:r w:rsidRPr="009001DC">
        <w:fldChar w:fldCharType="separate"/>
      </w:r>
      <w:r w:rsidR="003026BC">
        <w:rPr>
          <w:noProof/>
        </w:rPr>
        <w:t>[93-96]</w:t>
      </w:r>
      <w:r w:rsidRPr="009001DC">
        <w:fldChar w:fldCharType="end"/>
      </w:r>
      <w:r w:rsidRPr="009001DC">
        <w:t xml:space="preserve">. </w:t>
      </w:r>
      <w:r>
        <w:t>However, the</w:t>
      </w:r>
      <w:r w:rsidRPr="00967E50">
        <w:t xml:space="preserve"> use of conservative models for RIA scenarios have contributed to large uncertainties in predicting the value of CHF as well as the cladding temperature </w:t>
      </w:r>
      <w:r w:rsidRPr="00967E50">
        <w:fldChar w:fldCharType="begin"/>
      </w:r>
      <w:r w:rsidR="003026BC">
        <w:instrText xml:space="preserve"> ADDIN EN.CITE &lt;EndNote&gt;&lt;Cite&gt;&lt;Author&gt;NEA&lt;/Author&gt;&lt;Year&gt;2013&lt;/Year&gt;&lt;RecNum&gt;202&lt;/RecNum&gt;&lt;DisplayText&gt;[97, 98]&lt;/DisplayText&gt;&lt;record&gt;&lt;rec-number&gt;202&lt;/rec-number&gt;&lt;foreign-keys&gt;&lt;key app="EN" db-id="eseee05sfe5vt6efvr0xapvq20vfdsfp5fvf" timestamp="1671038265" guid="f896f748-85a4-42f6-a1cd-1d68b3108212"&gt;202&lt;/key&gt;&lt;/foreign-keys&gt;&lt;ref-type name="Book"&gt;6&lt;/ref-type&gt;&lt;contributors&gt;&lt;authors&gt;&lt;author&gt;NEA&lt;/author&gt;&lt;/authors&gt;&lt;/contributors&gt;&lt;titles&gt;&lt;title&gt;RIA Fuel Codes Benchmark&lt;/title&gt;&lt;short-title&gt;Nuclear Energy Agency&lt;/short-title&gt;&lt;/titles&gt;&lt;pages&gt;15&lt;/pages&gt;&lt;volume&gt;1&lt;/volume&gt;&lt;section&gt;15&lt;/section&gt;&lt;dates&gt;&lt;year&gt;2013&lt;/year&gt;&lt;/dates&gt;&lt;pub-location&gt;Paris&lt;/pub-location&gt;&lt;publisher&gt;OECD Publishing&lt;/publisher&gt;&lt;urls&gt;&lt;/urls&gt;&lt;/record&gt;&lt;/Cite&gt;&lt;Cite&gt;&lt;Author&gt;NEA&lt;/Author&gt;&lt;Year&gt;2017&lt;/Year&gt;&lt;RecNum&gt;203&lt;/RecNum&gt;&lt;record&gt;&lt;rec-number&gt;203&lt;/rec-number&gt;&lt;foreign-keys&gt;&lt;key app="EN" db-id="eseee05sfe5vt6efvr0xapvq20vfdsfp5fvf" timestamp="1671045978" guid="90bc5847-b11d-456c-8ee6-2a971fd092c0"&gt;203&lt;/key&gt;&lt;/foreign-keys&gt;&lt;ref-type name="Book"&gt;6&lt;/ref-type&gt;&lt;contributors&gt;&lt;authors&gt;&lt;author&gt;NEA&lt;/author&gt;&lt;/authors&gt;&lt;/contributors&gt;&lt;titles&gt;&lt;title&gt;Reactivity-initiated Accident Fuel-rod-code Benchmark Phase II: Uncertainty and Sensitivity Analyses&lt;/title&gt;&lt;short-title&gt;Nuclear Energy Agency&lt;/short-title&gt;&lt;/titles&gt;&lt;volume&gt;2&lt;/volume&gt;&lt;section&gt;11&lt;/section&gt;&lt;dates&gt;&lt;year&gt;2017&lt;/year&gt;&lt;/dates&gt;&lt;pub-location&gt;Paris&lt;/pub-location&gt;&lt;publisher&gt;OECD Publishing&lt;/publisher&gt;&lt;urls&gt;&lt;/urls&gt;&lt;/record&gt;&lt;/Cite&gt;&lt;/EndNote&gt;</w:instrText>
      </w:r>
      <w:r w:rsidRPr="00967E50">
        <w:fldChar w:fldCharType="separate"/>
      </w:r>
      <w:r w:rsidR="003026BC">
        <w:rPr>
          <w:noProof/>
        </w:rPr>
        <w:t>[97, 98]</w:t>
      </w:r>
      <w:r w:rsidRPr="00967E50">
        <w:fldChar w:fldCharType="end"/>
      </w:r>
      <w:r w:rsidRPr="00967E50">
        <w:t xml:space="preserve">. Nuclear Energy Agency (NEA) reports stated the need to further assess additional influential parameters to improve the prediction of transient CHF and post-CHF phenomena through both code-to-code comparison and comparison to experimental data </w:t>
      </w:r>
      <w:r w:rsidRPr="00967E50">
        <w:fldChar w:fldCharType="begin"/>
      </w:r>
      <w:r w:rsidR="003026BC">
        <w:instrText xml:space="preserve"> ADDIN EN.CITE &lt;EndNote&gt;&lt;Cite&gt;&lt;Author&gt;NEA&lt;/Author&gt;&lt;Year&gt;2013&lt;/Year&gt;&lt;RecNum&gt;202&lt;/RecNum&gt;&lt;DisplayText&gt;[97, 98]&lt;/DisplayText&gt;&lt;record&gt;&lt;rec-number&gt;202&lt;/rec-number&gt;&lt;foreign-keys&gt;&lt;key app="EN" db-id="eseee05sfe5vt6efvr0xapvq20vfdsfp5fvf" timestamp="1671038265" guid="f896f748-85a4-42f6-a1cd-1d68b3108212"&gt;202&lt;/key&gt;&lt;/foreign-keys&gt;&lt;ref-type name="Book"&gt;6&lt;/ref-type&gt;&lt;contributors&gt;&lt;authors&gt;&lt;author&gt;NEA&lt;/author&gt;&lt;/authors&gt;&lt;/contributors&gt;&lt;titles&gt;&lt;title&gt;RIA Fuel Codes Benchmark&lt;/title&gt;&lt;short-title&gt;Nuclear Energy Agency&lt;/short-title&gt;&lt;/titles&gt;&lt;pages&gt;15&lt;/pages&gt;&lt;volume&gt;1&lt;/volume&gt;&lt;section&gt;15&lt;/section&gt;&lt;dates&gt;&lt;year&gt;2013&lt;/year&gt;&lt;/dates&gt;&lt;pub-location&gt;Paris&lt;/pub-location&gt;&lt;publisher&gt;OECD Publishing&lt;/publisher&gt;&lt;urls&gt;&lt;/urls&gt;&lt;/record&gt;&lt;/Cite&gt;&lt;Cite&gt;&lt;Author&gt;NEA&lt;/Author&gt;&lt;Year&gt;2017&lt;/Year&gt;&lt;RecNum&gt;203&lt;/RecNum&gt;&lt;record&gt;&lt;rec-number&gt;203&lt;/rec-number&gt;&lt;foreign-keys&gt;&lt;key app="EN" db-id="eseee05sfe5vt6efvr0xapvq20vfdsfp5fvf" timestamp="1671045978" guid="90bc5847-b11d-456c-8ee6-2a971fd092c0"&gt;203&lt;/key&gt;&lt;/foreign-keys&gt;&lt;ref-type name="Book"&gt;6&lt;/ref-type&gt;&lt;contributors&gt;&lt;authors&gt;&lt;author&gt;NEA&lt;/author&gt;&lt;/authors&gt;&lt;/contributors&gt;&lt;titles&gt;&lt;title&gt;Reactivity-initiated Accident Fuel-rod-code Benchmark Phase II: Uncertainty and Sensitivity Analyses&lt;/title&gt;&lt;short-title&gt;Nuclear Energy Agency&lt;/short-title&gt;&lt;/titles&gt;&lt;volume&gt;2&lt;/volume&gt;&lt;section&gt;11&lt;/section&gt;&lt;dates&gt;&lt;year&gt;2017&lt;/year&gt;&lt;/dates&gt;&lt;pub-location&gt;Paris&lt;/pub-location&gt;&lt;publisher&gt;OECD Publishing&lt;/publisher&gt;&lt;urls&gt;&lt;/urls&gt;&lt;/record&gt;&lt;/Cite&gt;&lt;/EndNote&gt;</w:instrText>
      </w:r>
      <w:r w:rsidRPr="00967E50">
        <w:fldChar w:fldCharType="separate"/>
      </w:r>
      <w:r w:rsidR="003026BC">
        <w:rPr>
          <w:noProof/>
        </w:rPr>
        <w:t>[97, 98]</w:t>
      </w:r>
      <w:r w:rsidRPr="00967E50">
        <w:fldChar w:fldCharType="end"/>
      </w:r>
      <w:r w:rsidRPr="00967E50">
        <w:t xml:space="preserve">. </w:t>
      </w:r>
    </w:p>
    <w:p w14:paraId="6C17BA5A" w14:textId="742207D7" w:rsidR="00E02C94" w:rsidRDefault="00E02C94" w:rsidP="00F22A75">
      <w:pPr>
        <w:pStyle w:val="Heading2"/>
      </w:pPr>
      <w:bookmarkStart w:id="31" w:name="_Toc202957453"/>
      <w:r>
        <w:t>Project Overview</w:t>
      </w:r>
      <w:bookmarkEnd w:id="31"/>
    </w:p>
    <w:p w14:paraId="19A5CF63" w14:textId="1FF378E5" w:rsidR="00E02C94" w:rsidRDefault="00E02C94" w:rsidP="00F22A75">
      <w:r w:rsidRPr="009001DC">
        <w:t>The overarching objective of this work is to improve the current</w:t>
      </w:r>
      <w:r>
        <w:t>ly implemented</w:t>
      </w:r>
      <w:r w:rsidRPr="009001DC">
        <w:t xml:space="preserve"> CHF model to mechanistically account for transient, material and RISA effects, and to validate the model using a database acquired from experiments. To support this goal, </w:t>
      </w:r>
      <w:r w:rsidR="00C730AE">
        <w:t>I</w:t>
      </w:r>
      <w:r w:rsidRPr="009001DC">
        <w:t xml:space="preserve"> have investigated experimental results from several facilities including the Transient Reactor Test Loop (TRTL) Facility at Oregon State University (OSU), the Critical Heat Flux Static Environment Rodlet Transient Test Apparatus (CHF-SERTTA) </w:t>
      </w:r>
      <w:r>
        <w:t>c</w:t>
      </w:r>
      <w:r w:rsidRPr="009001DC">
        <w:t xml:space="preserve">apsule within the Transient Reactor Test (TREAT) </w:t>
      </w:r>
      <w:r>
        <w:t>f</w:t>
      </w:r>
      <w:r w:rsidRPr="009001DC">
        <w:t>acility at Idaho National Laboratory (INL)</w:t>
      </w:r>
      <w:r>
        <w:t>,</w:t>
      </w:r>
      <w:r w:rsidRPr="009001DC">
        <w:t xml:space="preserve"> and a pool boiling chamber at the University of New Mexico (UNM).</w:t>
      </w:r>
      <w:r w:rsidR="001819CB">
        <w:t xml:space="preserve"> My work focuses specifically </w:t>
      </w:r>
      <w:r w:rsidR="001819CB">
        <w:lastRenderedPageBreak/>
        <w:t>on the</w:t>
      </w:r>
      <w:r w:rsidR="001848E0">
        <w:t xml:space="preserve"> power</w:t>
      </w:r>
      <w:r w:rsidR="001819CB">
        <w:t xml:space="preserve"> transient effect.</w:t>
      </w:r>
      <w:r w:rsidRPr="009001DC">
        <w:t xml:space="preserve"> </w:t>
      </w:r>
      <w:r w:rsidRPr="002D1DE9">
        <w:t xml:space="preserve">Included in the present work are the corresponding models of each facility within RELAP5-3D with an implemented transient CHF correlation, sensitivity analysis of the CHF prediction parameters, comparison with the available experimental results, and a proposed campaign of experiments to address </w:t>
      </w:r>
      <w:r w:rsidR="002D1DE9" w:rsidRPr="002D1DE9">
        <w:t xml:space="preserve">discovered </w:t>
      </w:r>
      <w:r w:rsidRPr="002D1DE9">
        <w:t>modelling gaps.</w:t>
      </w:r>
    </w:p>
    <w:p w14:paraId="6164A3E9" w14:textId="08CFA6E8" w:rsidR="006A062F" w:rsidRPr="00CB09EA" w:rsidRDefault="00B513D9" w:rsidP="00F22A75">
      <w:pPr>
        <w:pStyle w:val="Heading2"/>
      </w:pPr>
      <w:bookmarkStart w:id="32" w:name="_Toc202957454"/>
      <w:r>
        <w:t>The TRTL Facility (OSU)</w:t>
      </w:r>
      <w:bookmarkEnd w:id="32"/>
    </w:p>
    <w:p w14:paraId="4F522232" w14:textId="52575C39" w:rsidR="00440655" w:rsidRPr="00CB09EA" w:rsidRDefault="00440655" w:rsidP="00F22A75">
      <w:pPr>
        <w:pStyle w:val="Heading3"/>
        <w:spacing w:before="0" w:after="0"/>
      </w:pPr>
      <w:bookmarkStart w:id="33" w:name="_Toc202957455"/>
      <w:r w:rsidRPr="00CB09EA">
        <w:t>Ba</w:t>
      </w:r>
      <w:r>
        <w:t>ckground and Capabilities</w:t>
      </w:r>
      <w:bookmarkEnd w:id="33"/>
    </w:p>
    <w:p w14:paraId="33EEA451" w14:textId="74C0A0CB" w:rsidR="00051667" w:rsidRDefault="00BD2D6F" w:rsidP="00F22A75">
      <w:r w:rsidRPr="00967E50">
        <w:t xml:space="preserve">The original design of TRTL was to perform rapid transient tests in a flow loop for the purposes of replicating experiments </w:t>
      </w:r>
      <w:r w:rsidR="0054238E">
        <w:t xml:space="preserve">to be performed </w:t>
      </w:r>
      <w:r w:rsidRPr="00967E50">
        <w:t xml:space="preserve">in </w:t>
      </w:r>
      <w:r w:rsidR="0054238E">
        <w:t xml:space="preserve">an in-pile flow loop designed for use in </w:t>
      </w:r>
      <w:r w:rsidRPr="00967E50">
        <w:t xml:space="preserve">the TREAT facility at INL </w:t>
      </w:r>
      <w:r w:rsidRPr="00967E50">
        <w:fldChar w:fldCharType="begin"/>
      </w:r>
      <w:r w:rsidR="003026BC">
        <w:instrText xml:space="preserve"> ADDIN EN.CITE &lt;EndNote&gt;&lt;Cite&gt;&lt;Author&gt;LaBrier&lt;/Author&gt;&lt;Year&gt;2018&lt;/Year&gt;&lt;RecNum&gt;248&lt;/RecNum&gt;&lt;DisplayText&gt;[99]&lt;/DisplayText&gt;&lt;record&gt;&lt;rec-number&gt;248&lt;/rec-number&gt;&lt;foreign-keys&gt;&lt;key app="EN" db-id="eseee05sfe5vt6efvr0xapvq20vfdsfp5fvf" timestamp="1671687635" guid="d72f7643-b3ac-43f2-a7d7-838fa67856cf"&gt;248&lt;/key&gt;&lt;/foreign-keys&gt;&lt;ref-type name="Report"&gt;27&lt;/ref-type&gt;&lt;contributors&gt;&lt;authors&gt;&lt;author&gt;D LaBrier&lt;/author&gt;&lt;author&gt;A Weiss&lt;/author&gt;&lt;author&gt;W Marcum&lt;/author&gt;&lt;/authors&gt;&lt;/contributors&gt;&lt;titles&gt;&lt;title&gt;Task 2.2 Summary for IRP-15-8761&lt;/title&gt;&lt;/titles&gt;&lt;dates&gt;&lt;year&gt;2018&lt;/year&gt;&lt;pub-dates&gt;&lt;date&gt;December&lt;/date&gt;&lt;/pub-dates&gt;&lt;/dates&gt;&lt;publisher&gt;Oregon State University&lt;/publisher&gt;&lt;urls&gt;&lt;/urls&gt;&lt;/record&gt;&lt;/Cite&gt;&lt;/EndNote&gt;</w:instrText>
      </w:r>
      <w:r w:rsidRPr="00967E50">
        <w:fldChar w:fldCharType="separate"/>
      </w:r>
      <w:r w:rsidR="003026BC">
        <w:rPr>
          <w:noProof/>
        </w:rPr>
        <w:t>[99]</w:t>
      </w:r>
      <w:r w:rsidRPr="00967E50">
        <w:fldChar w:fldCharType="end"/>
      </w:r>
      <w:r w:rsidRPr="00967E50">
        <w:t>. These experiments w</w:t>
      </w:r>
      <w:r w:rsidR="0054238E">
        <w:t>ould support the ATF campaign by</w:t>
      </w:r>
      <w:r w:rsidRPr="00967E50">
        <w:t xml:space="preserve"> emulat</w:t>
      </w:r>
      <w:r w:rsidR="0054238E">
        <w:t>ing</w:t>
      </w:r>
      <w:r w:rsidRPr="00967E50">
        <w:t xml:space="preserve"> PWR RIAs</w:t>
      </w:r>
      <w:r w:rsidR="0054238E">
        <w:t>,</w:t>
      </w:r>
      <w:r w:rsidRPr="00967E50">
        <w:t xml:space="preserve"> so TRTL was designed to operate at PWR pressures, temperature, and flow conditions and to support rapid transient testing. The</w:t>
      </w:r>
      <w:r w:rsidR="00051667">
        <w:t xml:space="preserve"> primary loop of the</w:t>
      </w:r>
      <w:r w:rsidRPr="00967E50">
        <w:t xml:space="preserve"> TRTL facility consists of a</w:t>
      </w:r>
      <w:r w:rsidR="00051667">
        <w:t>n instrumented,</w:t>
      </w:r>
      <w:r w:rsidR="00D01A13">
        <w:t xml:space="preserve"> heated</w:t>
      </w:r>
      <w:r w:rsidRPr="00967E50">
        <w:t xml:space="preserve"> test section </w:t>
      </w:r>
      <w:r w:rsidR="00D01A13">
        <w:t>inserted in</w:t>
      </w:r>
      <w:r w:rsidRPr="00967E50">
        <w:t xml:space="preserve"> a flow loop with support</w:t>
      </w:r>
      <w:r w:rsidR="00D01A13">
        <w:t>ing</w:t>
      </w:r>
      <w:r w:rsidRPr="00967E50">
        <w:t xml:space="preserve"> infrastructure and instrumentation</w:t>
      </w:r>
      <w:r w:rsidR="00D01A13">
        <w:t xml:space="preserve"> built-in</w:t>
      </w:r>
      <w:r w:rsidR="00051667">
        <w:t xml:space="preserve"> </w:t>
      </w:r>
      <w:r w:rsidR="00051667">
        <w:fldChar w:fldCharType="begin"/>
      </w:r>
      <w:r w:rsidR="003026BC">
        <w:instrText xml:space="preserve"> ADDIN EN.CITE &lt;EndNote&gt;&lt;Cite&gt;&lt;Author&gt;Marcum&lt;/Author&gt;&lt;Year&gt;2018&lt;/Year&gt;&lt;RecNum&gt;195&lt;/RecNum&gt;&lt;DisplayText&gt;[100]&lt;/DisplayText&gt;&lt;record&gt;&lt;rec-number&gt;195&lt;/rec-number&gt;&lt;foreign-keys&gt;&lt;key app="EN" db-id="eseee05sfe5vt6efvr0xapvq20vfdsfp5fvf" timestamp="1663700033" guid="5c4b1a20-1c6a-4647-9db2-24b663315f0f"&gt;195&lt;/key&gt;&lt;/foreign-keys&gt;&lt;ref-type name="Journal Article"&gt;17&lt;/ref-type&gt;&lt;contributors&gt;&lt;authors&gt;&lt;author&gt;Wade Marcum&lt;/author&gt;&lt;/authors&gt;&lt;/contributors&gt;&lt;titles&gt;&lt;title&gt;OSU-TRTL-991000-TECH-003&lt;/title&gt;&lt;/titles&gt;&lt;dates&gt;&lt;year&gt;2018&lt;/year&gt;&lt;/dates&gt;&lt;urls&gt;&lt;/urls&gt;&lt;/record&gt;&lt;/Cite&gt;&lt;/EndNote&gt;</w:instrText>
      </w:r>
      <w:r w:rsidR="00051667">
        <w:fldChar w:fldCharType="separate"/>
      </w:r>
      <w:r w:rsidR="003026BC">
        <w:rPr>
          <w:noProof/>
        </w:rPr>
        <w:t>[100]</w:t>
      </w:r>
      <w:r w:rsidR="00051667">
        <w:fldChar w:fldCharType="end"/>
      </w:r>
      <w:r w:rsidRPr="00967E50">
        <w:t>. A simple schematic and operational parameters are presented in</w:t>
      </w:r>
      <w:r w:rsidR="00C832C1">
        <w:t xml:space="preserve"> </w:t>
      </w:r>
      <w:r w:rsidR="00C832C1" w:rsidRPr="00377123">
        <w:rPr>
          <w:b/>
          <w:bCs/>
        </w:rPr>
        <w:fldChar w:fldCharType="begin"/>
      </w:r>
      <w:r w:rsidR="00C832C1" w:rsidRPr="00377123">
        <w:rPr>
          <w:b/>
          <w:bCs/>
        </w:rPr>
        <w:instrText xml:space="preserve"> REF _Ref160551614 \h </w:instrText>
      </w:r>
      <w:r w:rsidR="00377123">
        <w:rPr>
          <w:b/>
          <w:bCs/>
        </w:rPr>
        <w:instrText xml:space="preserve"> \* MERGEFORMAT </w:instrText>
      </w:r>
      <w:r w:rsidR="00C832C1" w:rsidRPr="00377123">
        <w:rPr>
          <w:b/>
          <w:bCs/>
        </w:rPr>
      </w:r>
      <w:r w:rsidR="00C832C1" w:rsidRPr="00377123">
        <w:rPr>
          <w:b/>
          <w:bCs/>
        </w:rPr>
        <w:fldChar w:fldCharType="separate"/>
      </w:r>
      <w:r w:rsidR="00BF7E93" w:rsidRPr="00BF7E93">
        <w:rPr>
          <w:b/>
          <w:bCs/>
        </w:rPr>
        <w:t xml:space="preserve">Figure </w:t>
      </w:r>
      <w:r w:rsidR="00BF7E93" w:rsidRPr="00BF7E93">
        <w:rPr>
          <w:b/>
          <w:bCs/>
          <w:noProof/>
        </w:rPr>
        <w:t>3.1</w:t>
      </w:r>
      <w:r w:rsidR="00C832C1" w:rsidRPr="00377123">
        <w:rPr>
          <w:b/>
          <w:bCs/>
        </w:rPr>
        <w:fldChar w:fldCharType="end"/>
      </w:r>
      <w:r w:rsidR="00C832C1">
        <w:t xml:space="preserve"> and </w:t>
      </w:r>
      <w:r w:rsidR="00C832C1" w:rsidRPr="00377123">
        <w:rPr>
          <w:b/>
          <w:bCs/>
        </w:rPr>
        <w:fldChar w:fldCharType="begin"/>
      </w:r>
      <w:r w:rsidR="00C832C1" w:rsidRPr="00377123">
        <w:rPr>
          <w:b/>
          <w:bCs/>
        </w:rPr>
        <w:instrText xml:space="preserve"> REF _Ref160551632 \h </w:instrText>
      </w:r>
      <w:r w:rsidR="00377123">
        <w:rPr>
          <w:b/>
          <w:bCs/>
        </w:rPr>
        <w:instrText xml:space="preserve"> \* MERGEFORMAT </w:instrText>
      </w:r>
      <w:r w:rsidR="00C832C1" w:rsidRPr="00377123">
        <w:rPr>
          <w:b/>
          <w:bCs/>
        </w:rPr>
      </w:r>
      <w:r w:rsidR="00C832C1" w:rsidRPr="00377123">
        <w:rPr>
          <w:b/>
          <w:bCs/>
        </w:rPr>
        <w:fldChar w:fldCharType="separate"/>
      </w:r>
      <w:r w:rsidR="00BF7E93" w:rsidRPr="00BF7E93">
        <w:rPr>
          <w:b/>
          <w:bCs/>
        </w:rPr>
        <w:t xml:space="preserve">Table </w:t>
      </w:r>
      <w:r w:rsidR="00BF7E93" w:rsidRPr="00BF7E93">
        <w:rPr>
          <w:b/>
          <w:bCs/>
          <w:noProof/>
        </w:rPr>
        <w:t>3.1</w:t>
      </w:r>
      <w:r w:rsidR="00C832C1" w:rsidRPr="00377123">
        <w:rPr>
          <w:b/>
          <w:bCs/>
        </w:rPr>
        <w:fldChar w:fldCharType="end"/>
      </w:r>
      <w:r w:rsidRPr="00967E50">
        <w:t>, respectively.</w:t>
      </w:r>
      <w:r w:rsidR="002D1DE9">
        <w:t xml:space="preserve"> </w:t>
      </w:r>
      <w:r w:rsidRPr="00967E50">
        <w:t xml:space="preserve">The TRTL facility is shown </w:t>
      </w:r>
      <w:r w:rsidR="00AB5F10">
        <w:t>as-built within the OSU Advanced Thermal Hydraulics Research Laboratory</w:t>
      </w:r>
      <w:r w:rsidRPr="00967E50">
        <w:t xml:space="preserve"> with a corresponding instrument diagram</w:t>
      </w:r>
      <w:r w:rsidR="00AB5F10">
        <w:t xml:space="preserve"> of the primary flow loop</w:t>
      </w:r>
      <w:r w:rsidRPr="00967E50">
        <w:t xml:space="preserve"> in</w:t>
      </w:r>
      <w:r w:rsidR="00AB5F10">
        <w:t xml:space="preserve"> </w:t>
      </w:r>
      <w:r w:rsidR="00AB5F10" w:rsidRPr="00377123">
        <w:rPr>
          <w:b/>
          <w:bCs/>
        </w:rPr>
        <w:fldChar w:fldCharType="begin"/>
      </w:r>
      <w:r w:rsidR="00AB5F10" w:rsidRPr="00377123">
        <w:rPr>
          <w:b/>
          <w:bCs/>
        </w:rPr>
        <w:instrText xml:space="preserve"> REF _Ref160551715 \h </w:instrText>
      </w:r>
      <w:r w:rsidR="00377123">
        <w:rPr>
          <w:b/>
          <w:bCs/>
        </w:rPr>
        <w:instrText xml:space="preserve"> \* MERGEFORMAT </w:instrText>
      </w:r>
      <w:r w:rsidR="00AB5F10" w:rsidRPr="00377123">
        <w:rPr>
          <w:b/>
          <w:bCs/>
        </w:rPr>
      </w:r>
      <w:r w:rsidR="00AB5F10" w:rsidRPr="00377123">
        <w:rPr>
          <w:b/>
          <w:bCs/>
        </w:rPr>
        <w:fldChar w:fldCharType="separate"/>
      </w:r>
      <w:r w:rsidR="00BF7E93" w:rsidRPr="00BF7E93">
        <w:rPr>
          <w:b/>
          <w:bCs/>
        </w:rPr>
        <w:t xml:space="preserve">Figure </w:t>
      </w:r>
      <w:r w:rsidR="00BF7E93" w:rsidRPr="00BF7E93">
        <w:rPr>
          <w:b/>
          <w:bCs/>
          <w:noProof/>
        </w:rPr>
        <w:t>3.2</w:t>
      </w:r>
      <w:r w:rsidR="00AB5F10" w:rsidRPr="00377123">
        <w:rPr>
          <w:b/>
          <w:bCs/>
        </w:rPr>
        <w:fldChar w:fldCharType="end"/>
      </w:r>
      <w:r w:rsidRPr="00967E50">
        <w:t xml:space="preserve">. The instrumentation map shows the locations of the </w:t>
      </w:r>
      <w:r w:rsidR="00835592">
        <w:t xml:space="preserve">instruments that will be used for the CHF analysis including </w:t>
      </w:r>
      <w:r w:rsidRPr="00967E50">
        <w:t>fluid thermocouples, TF’s, pressure transducers, PT’s</w:t>
      </w:r>
      <w:r w:rsidR="00835592">
        <w:t>,</w:t>
      </w:r>
      <w:r w:rsidRPr="00967E50">
        <w:t xml:space="preserve"> the installed venturi meter, FT-401, and turbine flow meter, FT-402.</w:t>
      </w:r>
    </w:p>
    <w:p w14:paraId="08AAE66B" w14:textId="3296EAA8" w:rsidR="009E5CA0" w:rsidRDefault="002F13A8" w:rsidP="00AC1F36">
      <w:pPr>
        <w:jc w:val="center"/>
      </w:pPr>
      <w:r w:rsidRPr="00967E50">
        <w:rPr>
          <w:noProof/>
        </w:rPr>
        <w:lastRenderedPageBreak/>
        <w:drawing>
          <wp:inline distT="0" distB="0" distL="0" distR="0" wp14:anchorId="7324147B" wp14:editId="4A32A1BA">
            <wp:extent cx="4464805" cy="3636458"/>
            <wp:effectExtent l="0" t="0" r="0" b="2540"/>
            <wp:docPr id="31" name="Picture 3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Diagram&#10;&#10;Description automatically generated"/>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491510" cy="3658209"/>
                    </a:xfrm>
                    <a:prstGeom prst="rect">
                      <a:avLst/>
                    </a:prstGeom>
                    <a:noFill/>
                  </pic:spPr>
                </pic:pic>
              </a:graphicData>
            </a:graphic>
          </wp:inline>
        </w:drawing>
      </w:r>
    </w:p>
    <w:p w14:paraId="302D61E3" w14:textId="03F2B83D" w:rsidR="009E5CA0" w:rsidRDefault="009E5CA0" w:rsidP="00874CBB">
      <w:pPr>
        <w:pStyle w:val="Caption"/>
      </w:pPr>
      <w:bookmarkStart w:id="34" w:name="_Ref160551614"/>
      <w:bookmarkStart w:id="35" w:name="_Toc101784878"/>
      <w:bookmarkStart w:id="36" w:name="_Toc202957536"/>
      <w:r w:rsidRPr="009D2AA9">
        <w:t xml:space="preserve">Figure </w:t>
      </w:r>
      <w:fldSimple w:instr=" STYLEREF 1 \s ">
        <w:r w:rsidR="00BF7E93">
          <w:rPr>
            <w:noProof/>
          </w:rPr>
          <w:t>3</w:t>
        </w:r>
      </w:fldSimple>
      <w:r w:rsidRPr="009D2AA9">
        <w:t>.</w:t>
      </w:r>
      <w:fldSimple w:instr=" SEQ Figure \* ARABIC \s 1 ">
        <w:r w:rsidR="00BF7E93">
          <w:rPr>
            <w:noProof/>
          </w:rPr>
          <w:t>1</w:t>
        </w:r>
      </w:fldSimple>
      <w:bookmarkEnd w:id="34"/>
      <w:r w:rsidRPr="009D2AA9">
        <w:t xml:space="preserve">. </w:t>
      </w:r>
      <w:bookmarkEnd w:id="35"/>
      <w:r>
        <w:t>TRTL Primary Loop Schematic</w:t>
      </w:r>
      <w:r w:rsidR="00DD3B16">
        <w:t xml:space="preserve"> </w:t>
      </w:r>
      <w:r w:rsidR="00DD3B16">
        <w:fldChar w:fldCharType="begin"/>
      </w:r>
      <w:r w:rsidR="003026BC">
        <w:instrText xml:space="preserve"> ADDIN EN.CITE &lt;EndNote&gt;&lt;Cite&gt;&lt;Author&gt;Marcum&lt;/Author&gt;&lt;Year&gt;2018&lt;/Year&gt;&lt;RecNum&gt;195&lt;/RecNum&gt;&lt;DisplayText&gt;[100]&lt;/DisplayText&gt;&lt;record&gt;&lt;rec-number&gt;195&lt;/rec-number&gt;&lt;foreign-keys&gt;&lt;key app="EN" db-id="eseee05sfe5vt6efvr0xapvq20vfdsfp5fvf" timestamp="1663700033" guid="5c4b1a20-1c6a-4647-9db2-24b663315f0f"&gt;195&lt;/key&gt;&lt;/foreign-keys&gt;&lt;ref-type name="Journal Article"&gt;17&lt;/ref-type&gt;&lt;contributors&gt;&lt;authors&gt;&lt;author&gt;Wade Marcum&lt;/author&gt;&lt;/authors&gt;&lt;/contributors&gt;&lt;titles&gt;&lt;title&gt;OSU-TRTL-991000-TECH-003&lt;/title&gt;&lt;/titles&gt;&lt;dates&gt;&lt;year&gt;2018&lt;/year&gt;&lt;/dates&gt;&lt;urls&gt;&lt;/urls&gt;&lt;/record&gt;&lt;/Cite&gt;&lt;/EndNote&gt;</w:instrText>
      </w:r>
      <w:r w:rsidR="00DD3B16">
        <w:fldChar w:fldCharType="separate"/>
      </w:r>
      <w:r w:rsidR="003026BC">
        <w:rPr>
          <w:noProof/>
        </w:rPr>
        <w:t>[100]</w:t>
      </w:r>
      <w:r w:rsidR="00DD3B16">
        <w:fldChar w:fldCharType="end"/>
      </w:r>
      <w:r w:rsidR="00DD3B16">
        <w:t>.</w:t>
      </w:r>
      <w:bookmarkEnd w:id="36"/>
    </w:p>
    <w:p w14:paraId="443CD5EE" w14:textId="6CE7EFCA" w:rsidR="009E5CA0" w:rsidRDefault="009E5CA0" w:rsidP="009E5CA0"/>
    <w:p w14:paraId="18E6FA8B" w14:textId="7026582C" w:rsidR="009E5CA0" w:rsidRDefault="009E5CA0" w:rsidP="009E5CA0"/>
    <w:p w14:paraId="0A117A3C" w14:textId="5B8B1926" w:rsidR="009E5CA0" w:rsidRDefault="009E5CA0" w:rsidP="009E5CA0"/>
    <w:p w14:paraId="0250C058" w14:textId="6CE481F3" w:rsidR="009E5CA0" w:rsidRDefault="009E5CA0" w:rsidP="009E5CA0"/>
    <w:p w14:paraId="155A4888" w14:textId="439D499F" w:rsidR="0082204A" w:rsidRDefault="0082204A" w:rsidP="009E5CA0"/>
    <w:p w14:paraId="041E25CB" w14:textId="139C85BC" w:rsidR="0082204A" w:rsidRDefault="0082204A" w:rsidP="009E5CA0"/>
    <w:p w14:paraId="76C33E7B" w14:textId="3B40F5EF" w:rsidR="0082204A" w:rsidRDefault="0082204A" w:rsidP="009E5CA0"/>
    <w:p w14:paraId="4627B867" w14:textId="7CDA1471" w:rsidR="0082204A" w:rsidRDefault="0082204A" w:rsidP="009E5CA0"/>
    <w:p w14:paraId="554F28C3" w14:textId="58DBA877" w:rsidR="0082204A" w:rsidRDefault="0082204A" w:rsidP="009E5CA0"/>
    <w:p w14:paraId="7DDABF15" w14:textId="4BE1915F" w:rsidR="0082204A" w:rsidRDefault="0082204A" w:rsidP="009E5CA0"/>
    <w:p w14:paraId="2D697A37" w14:textId="5111D3B1" w:rsidR="009E5CA0" w:rsidRPr="009E5CA0" w:rsidRDefault="009E5CA0" w:rsidP="00874CBB">
      <w:pPr>
        <w:pStyle w:val="Caption"/>
      </w:pPr>
      <w:bookmarkStart w:id="37" w:name="_Ref160551632"/>
      <w:bookmarkStart w:id="38" w:name="_Toc101784857"/>
      <w:bookmarkStart w:id="39" w:name="_Toc202957516"/>
      <w:r w:rsidRPr="009D2AA9">
        <w:lastRenderedPageBreak/>
        <w:t xml:space="preserve">Table </w:t>
      </w:r>
      <w:fldSimple w:instr=" STYLEREF 1 \s ">
        <w:r w:rsidR="00BF7E93">
          <w:rPr>
            <w:noProof/>
          </w:rPr>
          <w:t>3</w:t>
        </w:r>
      </w:fldSimple>
      <w:r w:rsidRPr="009D2AA9">
        <w:t>.</w:t>
      </w:r>
      <w:fldSimple w:instr=" SEQ Table \* ARABIC \s 1 ">
        <w:r w:rsidR="00BF7E93">
          <w:rPr>
            <w:noProof/>
          </w:rPr>
          <w:t>1</w:t>
        </w:r>
      </w:fldSimple>
      <w:bookmarkEnd w:id="37"/>
      <w:r w:rsidRPr="009D2AA9">
        <w:t xml:space="preserve">. </w:t>
      </w:r>
      <w:bookmarkEnd w:id="38"/>
      <w:r>
        <w:t xml:space="preserve">TRTL Loop Design Parameters for Operation </w:t>
      </w:r>
      <w:r>
        <w:fldChar w:fldCharType="begin"/>
      </w:r>
      <w:r w:rsidR="003026BC">
        <w:instrText xml:space="preserve"> ADDIN EN.CITE &lt;EndNote&gt;&lt;Cite&gt;&lt;Author&gt;Marcum&lt;/Author&gt;&lt;Year&gt;2018&lt;/Year&gt;&lt;RecNum&gt;195&lt;/RecNum&gt;&lt;DisplayText&gt;[19, 100]&lt;/DisplayText&gt;&lt;record&gt;&lt;rec-number&gt;195&lt;/rec-number&gt;&lt;foreign-keys&gt;&lt;key app="EN" db-id="eseee05sfe5vt6efvr0xapvq20vfdsfp5fvf" timestamp="1663700033" guid="5c4b1a20-1c6a-4647-9db2-24b663315f0f"&gt;195&lt;/key&gt;&lt;/foreign-keys&gt;&lt;ref-type name="Journal Article"&gt;17&lt;/ref-type&gt;&lt;contributors&gt;&lt;authors&gt;&lt;author&gt;Wade Marcum&lt;/author&gt;&lt;/authors&gt;&lt;/contributors&gt;&lt;titles&gt;&lt;title&gt;OSU-TRTL-991000-TECH-003&lt;/title&gt;&lt;/titles&gt;&lt;dates&gt;&lt;year&gt;2018&lt;/year&gt;&lt;/dates&gt;&lt;urls&gt;&lt;/urls&gt;&lt;/record&gt;&lt;/Cite&gt;&lt;Cite&gt;&lt;Author&gt;Marcum&lt;/Author&gt;&lt;Year&gt;2020&lt;/Year&gt;&lt;RecNum&gt;207&lt;/RecNum&gt;&lt;record&gt;&lt;rec-number&gt;207&lt;/rec-number&gt;&lt;foreign-keys&gt;&lt;key app="EN" db-id="eseee05sfe5vt6efvr0xapvq20vfdsfp5fvf" timestamp="1671046812" guid="e6af9f81-caeb-4af5-bde5-99ae1cb264da"&gt;207&lt;/key&gt;&lt;/foreign-keys&gt;&lt;ref-type name="Journal Article"&gt;17&lt;/ref-type&gt;&lt;contributors&gt;&lt;authors&gt;&lt;author&gt;Marcum, Wade&lt;/author&gt;&lt;author&gt;LaBrier, Daniel&lt;/author&gt;&lt;author&gt;Brown, Emory&lt;/author&gt;&lt;author&gt;Yan, Yikuan&lt;/author&gt;&lt;author&gt;Woolstenhulme, Nicolas&lt;/author&gt;&lt;/authors&gt;&lt;/contributors&gt;&lt;titles&gt;&lt;title&gt;Developing Separate Effects Transient Test Experiments Using an Out-of-Pile Flowing Water Loop&lt;/title&gt;&lt;secondary-title&gt;Nuclear Technology&lt;/secondary-title&gt;&lt;/titles&gt;&lt;periodical&gt;&lt;full-title&gt;Nuclear Technology&lt;/full-title&gt;&lt;/periodical&gt;&lt;pages&gt;895-910&lt;/pages&gt;&lt;volume&gt;206&lt;/volume&gt;&lt;number&gt;6&lt;/number&gt;&lt;dates&gt;&lt;year&gt;2020&lt;/year&gt;&lt;pub-dates&gt;&lt;date&gt;2020/06/02&lt;/date&gt;&lt;/pub-dates&gt;&lt;/dates&gt;&lt;publisher&gt;Taylor &amp;amp; Francis&lt;/publisher&gt;&lt;isbn&gt;0029-5450&lt;/isbn&gt;&lt;urls&gt;&lt;related-urls&gt;&lt;url&gt;https://doi.org/10.1080/00295450.2020.1720559&lt;/url&gt;&lt;/related-urls&gt;&lt;/urls&gt;&lt;electronic-resource-num&gt;10.1080/00295450.2020.1720559&lt;/electronic-resource-num&gt;&lt;/record&gt;&lt;/Cite&gt;&lt;/EndNote&gt;</w:instrText>
      </w:r>
      <w:r>
        <w:fldChar w:fldCharType="separate"/>
      </w:r>
      <w:r w:rsidR="003026BC">
        <w:rPr>
          <w:noProof/>
        </w:rPr>
        <w:t>[19, 100]</w:t>
      </w:r>
      <w:r>
        <w:fldChar w:fldCharType="end"/>
      </w:r>
      <w:r>
        <w:t>.</w:t>
      </w:r>
      <w:bookmarkEnd w:id="39"/>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3136"/>
        <w:gridCol w:w="1169"/>
        <w:gridCol w:w="1473"/>
        <w:gridCol w:w="1321"/>
      </w:tblGrid>
      <w:tr w:rsidR="002F13A8" w:rsidRPr="00857514" w14:paraId="4DD60A1C" w14:textId="77777777" w:rsidTr="00AF1C15">
        <w:trPr>
          <w:jc w:val="center"/>
        </w:trPr>
        <w:tc>
          <w:tcPr>
            <w:tcW w:w="4305" w:type="dxa"/>
            <w:gridSpan w:val="2"/>
            <w:tcBorders>
              <w:top w:val="double" w:sz="4" w:space="0" w:color="auto"/>
              <w:left w:val="double" w:sz="4" w:space="0" w:color="auto"/>
              <w:bottom w:val="double" w:sz="4" w:space="0" w:color="auto"/>
              <w:right w:val="double" w:sz="4" w:space="0" w:color="auto"/>
            </w:tcBorders>
            <w:vAlign w:val="center"/>
          </w:tcPr>
          <w:p w14:paraId="751AC276" w14:textId="77777777" w:rsidR="002F13A8" w:rsidRPr="00857514" w:rsidRDefault="002F13A8" w:rsidP="00AF1C15">
            <w:pPr>
              <w:rPr>
                <w:b/>
                <w:bCs/>
              </w:rPr>
            </w:pPr>
            <w:r w:rsidRPr="00857514">
              <w:rPr>
                <w:b/>
                <w:bCs/>
              </w:rPr>
              <w:t>Parameter</w:t>
            </w:r>
          </w:p>
        </w:tc>
        <w:tc>
          <w:tcPr>
            <w:tcW w:w="1473" w:type="dxa"/>
            <w:tcBorders>
              <w:top w:val="double" w:sz="4" w:space="0" w:color="auto"/>
              <w:left w:val="double" w:sz="4" w:space="0" w:color="auto"/>
              <w:bottom w:val="double" w:sz="4" w:space="0" w:color="auto"/>
            </w:tcBorders>
            <w:vAlign w:val="center"/>
          </w:tcPr>
          <w:p w14:paraId="1EA32A32" w14:textId="77777777" w:rsidR="002F13A8" w:rsidRPr="00857514" w:rsidRDefault="002F13A8" w:rsidP="00AF1C15">
            <w:pPr>
              <w:rPr>
                <w:b/>
                <w:bCs/>
              </w:rPr>
            </w:pPr>
            <w:r w:rsidRPr="00857514">
              <w:rPr>
                <w:b/>
                <w:bCs/>
              </w:rPr>
              <w:t>Value</w:t>
            </w:r>
          </w:p>
        </w:tc>
        <w:tc>
          <w:tcPr>
            <w:tcW w:w="1321" w:type="dxa"/>
            <w:tcBorders>
              <w:top w:val="double" w:sz="4" w:space="0" w:color="auto"/>
              <w:left w:val="double" w:sz="4" w:space="0" w:color="auto"/>
              <w:bottom w:val="double" w:sz="4" w:space="0" w:color="auto"/>
            </w:tcBorders>
            <w:vAlign w:val="center"/>
          </w:tcPr>
          <w:p w14:paraId="7496876B" w14:textId="77777777" w:rsidR="002F13A8" w:rsidRPr="00857514" w:rsidRDefault="002F13A8" w:rsidP="00AF1C15">
            <w:pPr>
              <w:rPr>
                <w:b/>
                <w:bCs/>
              </w:rPr>
            </w:pPr>
            <w:r w:rsidRPr="00857514">
              <w:rPr>
                <w:b/>
                <w:bCs/>
              </w:rPr>
              <w:t>Units</w:t>
            </w:r>
          </w:p>
        </w:tc>
      </w:tr>
      <w:tr w:rsidR="002F13A8" w:rsidRPr="008120CD" w14:paraId="0B556AC8" w14:textId="77777777" w:rsidTr="00AF1C15">
        <w:trPr>
          <w:jc w:val="center"/>
        </w:trPr>
        <w:tc>
          <w:tcPr>
            <w:tcW w:w="3136" w:type="dxa"/>
            <w:tcBorders>
              <w:left w:val="double" w:sz="4" w:space="0" w:color="auto"/>
              <w:right w:val="double" w:sz="4" w:space="0" w:color="auto"/>
            </w:tcBorders>
            <w:vAlign w:val="center"/>
          </w:tcPr>
          <w:p w14:paraId="274E9FED" w14:textId="68649398" w:rsidR="002F13A8" w:rsidRPr="008120CD" w:rsidRDefault="002F13A8" w:rsidP="00AF1C15">
            <w:r>
              <w:t>System Design Pressure</w:t>
            </w:r>
          </w:p>
        </w:tc>
        <w:tc>
          <w:tcPr>
            <w:tcW w:w="1169" w:type="dxa"/>
            <w:tcBorders>
              <w:left w:val="double" w:sz="4" w:space="0" w:color="auto"/>
              <w:right w:val="double" w:sz="4" w:space="0" w:color="auto"/>
            </w:tcBorders>
          </w:tcPr>
          <w:p w14:paraId="0E5A1314" w14:textId="2B4ED3AB" w:rsidR="002F13A8" w:rsidRPr="008120CD" w:rsidRDefault="002F13A8" w:rsidP="00AF1C15">
            <w:pPr>
              <w:jc w:val="center"/>
            </w:pPr>
            <w:r>
              <w:t>P</w:t>
            </w:r>
          </w:p>
        </w:tc>
        <w:tc>
          <w:tcPr>
            <w:tcW w:w="1473" w:type="dxa"/>
            <w:tcBorders>
              <w:left w:val="double" w:sz="4" w:space="0" w:color="auto"/>
            </w:tcBorders>
            <w:vAlign w:val="center"/>
          </w:tcPr>
          <w:p w14:paraId="309AA0C9" w14:textId="703E7E5D" w:rsidR="002F13A8" w:rsidRPr="008120CD" w:rsidRDefault="002F13A8" w:rsidP="00AF1C15">
            <w:r>
              <w:t>0-20.7</w:t>
            </w:r>
          </w:p>
        </w:tc>
        <w:tc>
          <w:tcPr>
            <w:tcW w:w="1321" w:type="dxa"/>
            <w:tcBorders>
              <w:left w:val="double" w:sz="4" w:space="0" w:color="auto"/>
            </w:tcBorders>
          </w:tcPr>
          <w:p w14:paraId="3717138A" w14:textId="699BC611" w:rsidR="002F13A8" w:rsidRPr="008120CD" w:rsidRDefault="002F13A8" w:rsidP="00AF1C15">
            <w:r>
              <w:t>MPaG</w:t>
            </w:r>
          </w:p>
        </w:tc>
      </w:tr>
      <w:tr w:rsidR="002F13A8" w:rsidRPr="00560A5E" w14:paraId="68D1EAC3" w14:textId="77777777" w:rsidTr="00AF1C15">
        <w:trPr>
          <w:jc w:val="center"/>
        </w:trPr>
        <w:tc>
          <w:tcPr>
            <w:tcW w:w="3136" w:type="dxa"/>
            <w:tcBorders>
              <w:left w:val="double" w:sz="4" w:space="0" w:color="auto"/>
              <w:right w:val="double" w:sz="4" w:space="0" w:color="auto"/>
            </w:tcBorders>
            <w:vAlign w:val="center"/>
          </w:tcPr>
          <w:p w14:paraId="66EE1F5E" w14:textId="6701FCC2" w:rsidR="002F13A8" w:rsidRPr="008120CD" w:rsidRDefault="002F13A8" w:rsidP="00AF1C15">
            <w:r>
              <w:t>System Fluid Temperature</w:t>
            </w:r>
          </w:p>
        </w:tc>
        <w:tc>
          <w:tcPr>
            <w:tcW w:w="1169" w:type="dxa"/>
            <w:tcBorders>
              <w:left w:val="double" w:sz="4" w:space="0" w:color="auto"/>
              <w:right w:val="double" w:sz="4" w:space="0" w:color="auto"/>
            </w:tcBorders>
          </w:tcPr>
          <w:p w14:paraId="58365980" w14:textId="0DAC4897" w:rsidR="002F13A8" w:rsidRPr="002F13A8" w:rsidRDefault="002F13A8" w:rsidP="00AF1C15">
            <w:pPr>
              <w:jc w:val="center"/>
            </w:pPr>
            <w:r>
              <w:t>T</w:t>
            </w:r>
            <w:r>
              <w:rPr>
                <w:vertAlign w:val="subscript"/>
              </w:rPr>
              <w:t>F</w:t>
            </w:r>
          </w:p>
        </w:tc>
        <w:tc>
          <w:tcPr>
            <w:tcW w:w="1473" w:type="dxa"/>
            <w:tcBorders>
              <w:left w:val="double" w:sz="4" w:space="0" w:color="auto"/>
            </w:tcBorders>
            <w:vAlign w:val="center"/>
          </w:tcPr>
          <w:p w14:paraId="3814631C" w14:textId="6CF46A51" w:rsidR="002F13A8" w:rsidRPr="008120CD" w:rsidRDefault="002F13A8" w:rsidP="00AF1C15">
            <w:r>
              <w:t>300-600</w:t>
            </w:r>
          </w:p>
        </w:tc>
        <w:tc>
          <w:tcPr>
            <w:tcW w:w="1321" w:type="dxa"/>
            <w:tcBorders>
              <w:left w:val="double" w:sz="4" w:space="0" w:color="auto"/>
            </w:tcBorders>
          </w:tcPr>
          <w:p w14:paraId="012AFA53" w14:textId="7A5AD25D" w:rsidR="002F13A8" w:rsidRPr="00560A5E" w:rsidRDefault="002F13A8" w:rsidP="00AF1C15">
            <w:r>
              <w:t>K</w:t>
            </w:r>
          </w:p>
        </w:tc>
      </w:tr>
      <w:tr w:rsidR="002F13A8" w:rsidRPr="008120CD" w14:paraId="633CA0A5" w14:textId="77777777" w:rsidTr="00AF1C15">
        <w:trPr>
          <w:jc w:val="center"/>
        </w:trPr>
        <w:tc>
          <w:tcPr>
            <w:tcW w:w="3136" w:type="dxa"/>
            <w:tcBorders>
              <w:left w:val="double" w:sz="4" w:space="0" w:color="auto"/>
              <w:right w:val="double" w:sz="4" w:space="0" w:color="auto"/>
            </w:tcBorders>
            <w:vAlign w:val="center"/>
          </w:tcPr>
          <w:p w14:paraId="582825EA" w14:textId="5F92CF0A" w:rsidR="002F13A8" w:rsidRPr="008120CD" w:rsidRDefault="002F13A8" w:rsidP="00AF1C15">
            <w:r>
              <w:t>Volumetric Flow Rate</w:t>
            </w:r>
          </w:p>
        </w:tc>
        <w:tc>
          <w:tcPr>
            <w:tcW w:w="1169" w:type="dxa"/>
            <w:tcBorders>
              <w:left w:val="double" w:sz="4" w:space="0" w:color="auto"/>
              <w:right w:val="double" w:sz="4" w:space="0" w:color="auto"/>
            </w:tcBorders>
          </w:tcPr>
          <w:p w14:paraId="1743569B" w14:textId="1E1D94B7" w:rsidR="002F13A8" w:rsidRPr="008120CD" w:rsidRDefault="002F13A8" w:rsidP="00AF1C15">
            <w:pPr>
              <w:jc w:val="center"/>
            </w:pPr>
            <w:r>
              <w:t>Q</w:t>
            </w:r>
          </w:p>
        </w:tc>
        <w:tc>
          <w:tcPr>
            <w:tcW w:w="1473" w:type="dxa"/>
            <w:tcBorders>
              <w:left w:val="double" w:sz="4" w:space="0" w:color="auto"/>
            </w:tcBorders>
            <w:vAlign w:val="center"/>
          </w:tcPr>
          <w:p w14:paraId="0D5E2E8F" w14:textId="792630B8" w:rsidR="002F13A8" w:rsidRPr="008120CD" w:rsidRDefault="002F13A8" w:rsidP="00AF1C15">
            <w:r>
              <w:t>0-10.2</w:t>
            </w:r>
          </w:p>
        </w:tc>
        <w:tc>
          <w:tcPr>
            <w:tcW w:w="1321" w:type="dxa"/>
            <w:tcBorders>
              <w:left w:val="double" w:sz="4" w:space="0" w:color="auto"/>
            </w:tcBorders>
          </w:tcPr>
          <w:p w14:paraId="712CEAE7" w14:textId="107C62C7" w:rsidR="002F13A8" w:rsidRPr="008120CD" w:rsidRDefault="002F13A8" w:rsidP="00AF1C15">
            <w:r>
              <w:t>m</w:t>
            </w:r>
            <w:r>
              <w:rPr>
                <w:vertAlign w:val="superscript"/>
              </w:rPr>
              <w:t>3</w:t>
            </w:r>
            <w:r w:rsidRPr="008120CD">
              <w:t>/</w:t>
            </w:r>
            <w:r>
              <w:t>hr</w:t>
            </w:r>
          </w:p>
        </w:tc>
      </w:tr>
      <w:tr w:rsidR="002F13A8" w:rsidRPr="008120CD" w14:paraId="7E3278C9" w14:textId="77777777" w:rsidTr="00AF1C15">
        <w:trPr>
          <w:jc w:val="center"/>
        </w:trPr>
        <w:tc>
          <w:tcPr>
            <w:tcW w:w="3136" w:type="dxa"/>
            <w:tcBorders>
              <w:left w:val="double" w:sz="4" w:space="0" w:color="auto"/>
              <w:right w:val="double" w:sz="4" w:space="0" w:color="auto"/>
            </w:tcBorders>
            <w:vAlign w:val="center"/>
          </w:tcPr>
          <w:p w14:paraId="27EBB62E" w14:textId="23363E8B" w:rsidR="002F13A8" w:rsidRPr="008120CD" w:rsidRDefault="002F13A8" w:rsidP="00AF1C15">
            <w:r>
              <w:t>Power Transient Length</w:t>
            </w:r>
          </w:p>
        </w:tc>
        <w:tc>
          <w:tcPr>
            <w:tcW w:w="1169" w:type="dxa"/>
            <w:tcBorders>
              <w:left w:val="double" w:sz="4" w:space="0" w:color="auto"/>
              <w:right w:val="double" w:sz="4" w:space="0" w:color="auto"/>
            </w:tcBorders>
          </w:tcPr>
          <w:p w14:paraId="18B8CD31" w14:textId="3A8BB871" w:rsidR="002F13A8" w:rsidRPr="003369D9" w:rsidRDefault="009E5CA0" w:rsidP="00AF1C15">
            <w:pPr>
              <w:jc w:val="center"/>
            </w:pPr>
            <w:r>
              <w:sym w:font="Symbol" w:char="F074"/>
            </w:r>
          </w:p>
        </w:tc>
        <w:tc>
          <w:tcPr>
            <w:tcW w:w="1473" w:type="dxa"/>
            <w:tcBorders>
              <w:left w:val="double" w:sz="4" w:space="0" w:color="auto"/>
            </w:tcBorders>
            <w:vAlign w:val="center"/>
          </w:tcPr>
          <w:p w14:paraId="04A49969" w14:textId="7FC6C0EB" w:rsidR="002F13A8" w:rsidRPr="008120CD" w:rsidRDefault="009E5CA0" w:rsidP="00AF1C15">
            <w:r>
              <w:t>~10-</w:t>
            </w:r>
            <w:r>
              <w:sym w:font="Symbol" w:char="F0A5"/>
            </w:r>
          </w:p>
        </w:tc>
        <w:tc>
          <w:tcPr>
            <w:tcW w:w="1321" w:type="dxa"/>
            <w:tcBorders>
              <w:left w:val="double" w:sz="4" w:space="0" w:color="auto"/>
            </w:tcBorders>
          </w:tcPr>
          <w:p w14:paraId="399E04FF" w14:textId="12319B02" w:rsidR="002F13A8" w:rsidRPr="009E5CA0" w:rsidRDefault="009E5CA0" w:rsidP="00AF1C15">
            <w:r>
              <w:t>s</w:t>
            </w:r>
            <w:r>
              <w:rPr>
                <w:vertAlign w:val="superscript"/>
              </w:rPr>
              <w:t>-3</w:t>
            </w:r>
          </w:p>
        </w:tc>
      </w:tr>
    </w:tbl>
    <w:p w14:paraId="28AC048F" w14:textId="060878E4" w:rsidR="002F13A8" w:rsidRDefault="002F13A8">
      <w:pPr>
        <w:rPr>
          <w:b/>
          <w:bCs/>
          <w:i/>
          <w:szCs w:val="26"/>
        </w:rPr>
      </w:pPr>
    </w:p>
    <w:p w14:paraId="7F39F477" w14:textId="77777777" w:rsidR="009E5CA0" w:rsidRDefault="009E5CA0">
      <w:pPr>
        <w:rPr>
          <w:b/>
          <w:bCs/>
          <w:i/>
          <w:szCs w:val="26"/>
        </w:rPr>
      </w:pPr>
      <w:r>
        <w:br w:type="page"/>
      </w:r>
    </w:p>
    <w:p w14:paraId="462BDB29" w14:textId="77777777" w:rsidR="00AB5F10" w:rsidRDefault="007270A9" w:rsidP="0066419A">
      <w:pPr>
        <w:jc w:val="center"/>
      </w:pPr>
      <w:r w:rsidRPr="00967E50">
        <w:rPr>
          <w:noProof/>
        </w:rPr>
        <w:lastRenderedPageBreak/>
        <w:drawing>
          <wp:inline distT="0" distB="0" distL="0" distR="0" wp14:anchorId="75B54506" wp14:editId="4625E733">
            <wp:extent cx="2216321" cy="5007061"/>
            <wp:effectExtent l="0" t="0" r="6350" b="0"/>
            <wp:docPr id="41" name="Picture 41" descr="\\depot.engr.oregonstate.edu\users\labrierd\Windows.Documents\Desktop\TRTL\Equipment Photos\20170426_0823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pot.engr.oregonstate.edu\users\labrierd\Windows.Documents\Desktop\TRTL\Equipment Photos\20170426_082339.jpg"/>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22014" t="4029" r="2465"/>
                    <a:stretch/>
                  </pic:blipFill>
                  <pic:spPr bwMode="auto">
                    <a:xfrm>
                      <a:off x="0" y="0"/>
                      <a:ext cx="2268257" cy="5124394"/>
                    </a:xfrm>
                    <a:prstGeom prst="rect">
                      <a:avLst/>
                    </a:prstGeom>
                    <a:noFill/>
                    <a:ln>
                      <a:noFill/>
                    </a:ln>
                    <a:extLst>
                      <a:ext uri="{53640926-AAD7-44D8-BBD7-CCE9431645EC}">
                        <a14:shadowObscured xmlns:a14="http://schemas.microsoft.com/office/drawing/2010/main"/>
                      </a:ext>
                    </a:extLst>
                  </pic:spPr>
                </pic:pic>
              </a:graphicData>
            </a:graphic>
          </wp:inline>
        </w:drawing>
      </w:r>
      <w:r w:rsidRPr="00967E50">
        <w:rPr>
          <w:rFonts w:eastAsiaTheme="minorEastAsia"/>
          <w:noProof/>
        </w:rPr>
        <w:drawing>
          <wp:inline distT="0" distB="0" distL="0" distR="0" wp14:anchorId="37235849" wp14:editId="7D08D25C">
            <wp:extent cx="3160771" cy="4027297"/>
            <wp:effectExtent l="0" t="0" r="190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160771" cy="4027297"/>
                    </a:xfrm>
                    <a:prstGeom prst="rect">
                      <a:avLst/>
                    </a:prstGeom>
                  </pic:spPr>
                </pic:pic>
              </a:graphicData>
            </a:graphic>
          </wp:inline>
        </w:drawing>
      </w:r>
    </w:p>
    <w:p w14:paraId="166B454C" w14:textId="0BCFDA27" w:rsidR="002B2A23" w:rsidRDefault="002B2A23" w:rsidP="00874CBB">
      <w:pPr>
        <w:pStyle w:val="Caption"/>
      </w:pPr>
      <w:bookmarkStart w:id="40" w:name="_Ref160551715"/>
      <w:bookmarkStart w:id="41" w:name="_Toc202957537"/>
      <w:r w:rsidRPr="009D2AA9">
        <w:t xml:space="preserve">Figure </w:t>
      </w:r>
      <w:fldSimple w:instr=" STYLEREF 1 \s ">
        <w:r w:rsidR="00BF7E93">
          <w:rPr>
            <w:noProof/>
          </w:rPr>
          <w:t>3</w:t>
        </w:r>
      </w:fldSimple>
      <w:r w:rsidRPr="009D2AA9">
        <w:t>.</w:t>
      </w:r>
      <w:fldSimple w:instr=" SEQ Figure \* ARABIC \s 1 ">
        <w:r w:rsidR="00BF7E93">
          <w:rPr>
            <w:noProof/>
          </w:rPr>
          <w:t>2</w:t>
        </w:r>
      </w:fldSimple>
      <w:bookmarkEnd w:id="40"/>
      <w:r w:rsidRPr="009D2AA9">
        <w:t xml:space="preserve">. </w:t>
      </w:r>
      <w:r>
        <w:t>TRTL Facility (Left) Within the OSU Advanced Thermal Hydraulics Research Laboratory (Right) Instrumentation Diagram of the Primary Loop</w:t>
      </w:r>
      <w:r w:rsidR="00792375">
        <w:t xml:space="preserve"> </w:t>
      </w:r>
      <w:r w:rsidR="00792375">
        <w:fldChar w:fldCharType="begin"/>
      </w:r>
      <w:r w:rsidR="003026BC">
        <w:instrText xml:space="preserve"> ADDIN EN.CITE &lt;EndNote&gt;&lt;Cite&gt;&lt;Author&gt;Marcum&lt;/Author&gt;&lt;Year&gt;2018&lt;/Year&gt;&lt;RecNum&gt;195&lt;/RecNum&gt;&lt;DisplayText&gt;[100]&lt;/DisplayText&gt;&lt;record&gt;&lt;rec-number&gt;195&lt;/rec-number&gt;&lt;foreign-keys&gt;&lt;key app="EN" db-id="eseee05sfe5vt6efvr0xapvq20vfdsfp5fvf" timestamp="1663700033" guid="5c4b1a20-1c6a-4647-9db2-24b663315f0f"&gt;195&lt;/key&gt;&lt;/foreign-keys&gt;&lt;ref-type name="Journal Article"&gt;17&lt;/ref-type&gt;&lt;contributors&gt;&lt;authors&gt;&lt;author&gt;Wade Marcum&lt;/author&gt;&lt;/authors&gt;&lt;/contributors&gt;&lt;titles&gt;&lt;title&gt;OSU-TRTL-991000-TECH-003&lt;/title&gt;&lt;/titles&gt;&lt;dates&gt;&lt;year&gt;2018&lt;/year&gt;&lt;/dates&gt;&lt;urls&gt;&lt;/urls&gt;&lt;/record&gt;&lt;/Cite&gt;&lt;/EndNote&gt;</w:instrText>
      </w:r>
      <w:r w:rsidR="00792375">
        <w:fldChar w:fldCharType="separate"/>
      </w:r>
      <w:r w:rsidR="003026BC">
        <w:rPr>
          <w:noProof/>
        </w:rPr>
        <w:t>[100]</w:t>
      </w:r>
      <w:r w:rsidR="00792375">
        <w:fldChar w:fldCharType="end"/>
      </w:r>
      <w:r w:rsidR="003C40BF">
        <w:t>.</w:t>
      </w:r>
      <w:bookmarkEnd w:id="41"/>
    </w:p>
    <w:p w14:paraId="740B6F2F" w14:textId="2C4E41C9" w:rsidR="007270A9" w:rsidRPr="00967E50" w:rsidRDefault="007270A9" w:rsidP="0082204A">
      <w:pPr>
        <w:rPr>
          <w:rFonts w:eastAsiaTheme="minorEastAsia"/>
          <w:lang w:eastAsia="ko-KR"/>
        </w:rPr>
      </w:pPr>
    </w:p>
    <w:p w14:paraId="217DD303" w14:textId="3F712E56" w:rsidR="009E5CA0" w:rsidRPr="00967E50" w:rsidRDefault="009E5CA0" w:rsidP="0082204A">
      <w:pPr>
        <w:rPr>
          <w:rFonts w:eastAsiaTheme="minorEastAsia"/>
          <w:lang w:eastAsia="ko-KR"/>
        </w:rPr>
      </w:pPr>
    </w:p>
    <w:p w14:paraId="6E0EBE0A" w14:textId="77777777" w:rsidR="009E5CA0" w:rsidRDefault="009E5CA0">
      <w:pPr>
        <w:rPr>
          <w:b/>
          <w:bCs/>
          <w:i/>
          <w:szCs w:val="26"/>
        </w:rPr>
      </w:pPr>
      <w:r>
        <w:br w:type="page"/>
      </w:r>
    </w:p>
    <w:p w14:paraId="2FECB45A" w14:textId="77777777" w:rsidR="007D0FB9" w:rsidRDefault="007D0FB9" w:rsidP="00F22A75">
      <w:r w:rsidRPr="00967E50">
        <w:lastRenderedPageBreak/>
        <w:t>Coolant flow is circulated throughout the primary test loop by a magnetic</w:t>
      </w:r>
      <w:r>
        <w:t xml:space="preserve"> drive centrifugal pump</w:t>
      </w:r>
      <w:r w:rsidRPr="00967E50">
        <w:t xml:space="preserve"> that is </w:t>
      </w:r>
      <w:r>
        <w:t xml:space="preserve">capable of providing a test section flow rate of </w:t>
      </w:r>
      <w:r w:rsidRPr="00967E50">
        <w:t>~ 4 m/s</w:t>
      </w:r>
      <w:r>
        <w:t xml:space="preserve"> when operating at 95-100% capacity </w:t>
      </w:r>
      <w:r>
        <w:fldChar w:fldCharType="begin"/>
      </w:r>
      <w:r>
        <w:instrText xml:space="preserve"> ADDIN EN.CITE &lt;EndNote&gt;&lt;Cite&gt;&lt;Author&gt;LaBRIER&lt;/Author&gt;&lt;Year&gt;2018&lt;/Year&gt;&lt;RecNum&gt;420&lt;/RecNum&gt;&lt;DisplayText&gt;[19, 101]&lt;/DisplayText&gt;&lt;record&gt;&lt;rec-number&gt;420&lt;/rec-number&gt;&lt;foreign-keys&gt;&lt;key app="EN" db-id="eseee05sfe5vt6efvr0xapvq20vfdsfp5fvf" timestamp="1709673225"&gt;420&lt;/key&gt;&lt;/foreign-keys&gt;&lt;ref-type name="Journal Article"&gt;17&lt;/ref-type&gt;&lt;contributors&gt;&lt;authors&gt;&lt;author&gt;LaBRIER, DP&lt;/author&gt;&lt;/authors&gt;&lt;/contributors&gt;&lt;titles&gt;&lt;title&gt;On the Performance of the Transient Reactor Test Loop (TRTL)&lt;/title&gt;&lt;secondary-title&gt;Trans. Am. Nucl. Soc&lt;/secondary-title&gt;&lt;/titles&gt;&lt;periodical&gt;&lt;full-title&gt;Trans. Am. Nucl. Soc&lt;/full-title&gt;&lt;/periodical&gt;&lt;pages&gt;1113&lt;/pages&gt;&lt;volume&gt;118&lt;/volume&gt;&lt;dates&gt;&lt;year&gt;2018&lt;/year&gt;&lt;/dates&gt;&lt;urls&gt;&lt;/urls&gt;&lt;/record&gt;&lt;/Cite&gt;&lt;Cite&gt;&lt;Author&gt;Marcum&lt;/Author&gt;&lt;Year&gt;2020&lt;/Year&gt;&lt;RecNum&gt;207&lt;/RecNum&gt;&lt;record&gt;&lt;rec-number&gt;207&lt;/rec-number&gt;&lt;foreign-keys&gt;&lt;key app="EN" db-id="eseee05sfe5vt6efvr0xapvq20vfdsfp5fvf" timestamp="1671046812" guid="e6af9f81-caeb-4af5-bde5-99ae1cb264da"&gt;207&lt;/key&gt;&lt;/foreign-keys&gt;&lt;ref-type name="Journal Article"&gt;17&lt;/ref-type&gt;&lt;contributors&gt;&lt;authors&gt;&lt;author&gt;Marcum, Wade&lt;/author&gt;&lt;author&gt;LaBrier, Daniel&lt;/author&gt;&lt;author&gt;Brown, Emory&lt;/author&gt;&lt;author&gt;Yan, Yikuan&lt;/author&gt;&lt;author&gt;Woolstenhulme, Nicolas&lt;/author&gt;&lt;/authors&gt;&lt;/contributors&gt;&lt;titles&gt;&lt;title&gt;Developing Separate Effects Transient Test Experiments Using an Out-of-Pile Flowing Water Loop&lt;/title&gt;&lt;secondary-title&gt;Nuclear Technology&lt;/secondary-title&gt;&lt;/titles&gt;&lt;periodical&gt;&lt;full-title&gt;Nuclear Technology&lt;/full-title&gt;&lt;/periodical&gt;&lt;pages&gt;895-910&lt;/pages&gt;&lt;volume&gt;206&lt;/volume&gt;&lt;number&gt;6&lt;/number&gt;&lt;dates&gt;&lt;year&gt;2020&lt;/year&gt;&lt;pub-dates&gt;&lt;date&gt;2020/06/02&lt;/date&gt;&lt;/pub-dates&gt;&lt;/dates&gt;&lt;publisher&gt;Taylor &amp;amp; Francis&lt;/publisher&gt;&lt;isbn&gt;0029-5450&lt;/isbn&gt;&lt;urls&gt;&lt;related-urls&gt;&lt;url&gt;https://doi.org/10.1080/00295450.2020.1720559&lt;/url&gt;&lt;/related-urls&gt;&lt;/urls&gt;&lt;electronic-resource-num&gt;10.1080/00295450.2020.1720559&lt;/electronic-resource-num&gt;&lt;/record&gt;&lt;/Cite&gt;&lt;/EndNote&gt;</w:instrText>
      </w:r>
      <w:r>
        <w:fldChar w:fldCharType="separate"/>
      </w:r>
      <w:r>
        <w:rPr>
          <w:noProof/>
        </w:rPr>
        <w:t>[19, 101]</w:t>
      </w:r>
      <w:r>
        <w:fldChar w:fldCharType="end"/>
      </w:r>
      <w:r w:rsidRPr="00967E50">
        <w:t>. A secondary heat removal system is used to cool the fluid following rapid transients</w:t>
      </w:r>
      <w:r w:rsidRPr="00967E50" w:rsidDel="0095192B">
        <w:t xml:space="preserve"> </w:t>
      </w:r>
      <w:r w:rsidRPr="00967E50">
        <w:t>and during longer or higher power transients.</w:t>
      </w:r>
      <w:r>
        <w:t xml:space="preserve"> </w:t>
      </w:r>
      <w:r w:rsidRPr="00967E50">
        <w:t xml:space="preserve">It also allows the loop to stabilize at higher temperatures and pressures. The primary loop may be heated with the heater rod present in the test section or utilize the preconditioning heaters if an initially “cold” test is desired. </w:t>
      </w:r>
    </w:p>
    <w:p w14:paraId="305D5BE1" w14:textId="73ACB27D" w:rsidR="00324644" w:rsidRDefault="007D0FB9" w:rsidP="00F22A75">
      <w:r w:rsidRPr="00967E50">
        <w:t>The heater rod and associated measuring devices are secured inside of a stainless-steel test section, made up of an annular flow channel connected to the flowing water source. The test section consists of a Greyloc hub with three Conax ports for instrumentation and a central heater rod for conducting CHF or RIA tests. The rod is heated indirectly by</w:t>
      </w:r>
      <w:r>
        <w:t xml:space="preserve"> </w:t>
      </w:r>
      <w:r w:rsidR="00324644" w:rsidRPr="00967E50">
        <w:t>three resistance heater wires running the length of the rod and back</w:t>
      </w:r>
      <w:r w:rsidR="00324644">
        <w:t xml:space="preserve"> and controlled through an external power supply</w:t>
      </w:r>
      <w:r w:rsidR="00324644" w:rsidRPr="00967E50">
        <w:t>.</w:t>
      </w:r>
    </w:p>
    <w:p w14:paraId="089A8588" w14:textId="77777777" w:rsidR="00324644" w:rsidRPr="006A062F" w:rsidRDefault="00324644" w:rsidP="00F22A75">
      <w:pPr>
        <w:pStyle w:val="Heading3"/>
        <w:spacing w:before="0" w:after="0"/>
      </w:pPr>
      <w:bookmarkStart w:id="42" w:name="_Ref160656367"/>
      <w:bookmarkStart w:id="43" w:name="_Toc202957456"/>
      <w:r>
        <w:t>Model Development and Verification</w:t>
      </w:r>
      <w:bookmarkEnd w:id="42"/>
      <w:bookmarkEnd w:id="43"/>
    </w:p>
    <w:p w14:paraId="2B016E20" w14:textId="12E8AE64" w:rsidR="00324644" w:rsidRDefault="00324644" w:rsidP="00F22A75">
      <w:r w:rsidRPr="00967E50">
        <w:t xml:space="preserve">Two sets of tests were devised for transient benchmarking tests </w:t>
      </w:r>
      <w:r>
        <w:t>of</w:t>
      </w:r>
      <w:r w:rsidRPr="00967E50">
        <w:t xml:space="preserve"> TRTL</w:t>
      </w:r>
      <w:r>
        <w:t>;</w:t>
      </w:r>
      <w:r w:rsidRPr="00967E50">
        <w:t xml:space="preserve"> those performed at lower temperatures and low pressure with use of the low-wattage transient rod</w:t>
      </w:r>
      <w:r>
        <w:t>,</w:t>
      </w:r>
      <w:r w:rsidRPr="00967E50">
        <w:t xml:space="preserve"> and those utilizing the high-wattage transient rod at prototypical conditions </w:t>
      </w:r>
      <w:r w:rsidRPr="00967E50">
        <w:fldChar w:fldCharType="begin"/>
      </w:r>
      <w:r w:rsidR="003026BC">
        <w:instrText xml:space="preserve"> ADDIN EN.CITE &lt;EndNote&gt;&lt;Cite&gt;&lt;Author&gt;LaBrier&lt;/Author&gt;&lt;Year&gt;2018&lt;/Year&gt;&lt;RecNum&gt;248&lt;/RecNum&gt;&lt;DisplayText&gt;[99, 102]&lt;/DisplayText&gt;&lt;record&gt;&lt;rec-number&gt;248&lt;/rec-number&gt;&lt;foreign-keys&gt;&lt;key app="EN" db-id="eseee05sfe5vt6efvr0xapvq20vfdsfp5fvf" timestamp="1671687635" guid="d72f7643-b3ac-43f2-a7d7-838fa67856cf"&gt;248&lt;/key&gt;&lt;/foreign-keys&gt;&lt;ref-type name="Report"&gt;27&lt;/ref-type&gt;&lt;contributors&gt;&lt;authors&gt;&lt;author&gt;D LaBrier&lt;/author&gt;&lt;author&gt;A Weiss&lt;/author&gt;&lt;author&gt;W Marcum&lt;/author&gt;&lt;/authors&gt;&lt;/contributors&gt;&lt;titles&gt;&lt;title&gt;Task 2.2 Summary for IRP-15-8761&lt;/title&gt;&lt;/titles&gt;&lt;dates&gt;&lt;year&gt;2018&lt;/year&gt;&lt;pub-dates&gt;&lt;date&gt;December&lt;/date&gt;&lt;/pub-dates&gt;&lt;/dates&gt;&lt;publisher&gt;Oregon State University&lt;/publisher&gt;&lt;urls&gt;&lt;/urls&gt;&lt;/record&gt;&lt;/Cite&gt;&lt;Cite&gt;&lt;Author&gt;Marcum&lt;/Author&gt;&lt;Year&gt;2020&lt;/Year&gt;&lt;RecNum&gt;262&lt;/RecNum&gt;&lt;record&gt;&lt;rec-number&gt;262&lt;/rec-number&gt;&lt;foreign-keys&gt;&lt;key app="EN" db-id="eseee05sfe5vt6efvr0xapvq20vfdsfp5fvf" timestamp="1676918079" guid="ef7e3278-c137-4836-9b46-0964e4d75346"&gt;262&lt;/key&gt;&lt;/foreign-keys&gt;&lt;ref-type name="Journal Article"&gt;17&lt;/ref-type&gt;&lt;contributors&gt;&lt;authors&gt;&lt;author&gt;Marcum, Wade&lt;/author&gt;&lt;author&gt;La Brier, Daniel&lt;/author&gt;&lt;author&gt;Brown, Emory&lt;/author&gt;&lt;author&gt;Jensen, Colby&lt;/author&gt;&lt;author&gt;Choi, Yong-Joon&lt;/author&gt;&lt;/authors&gt;&lt;/contributors&gt;&lt;titles&gt;&lt;title&gt;Benchmark Comparison of Experimental Data with Thermal-Hydraulic Codes RELAP5-3D and TRACE for a RIA Transient Scenario&lt;/title&gt;&lt;secondary-title&gt;Nuclear Technology&lt;/secondary-title&gt;&lt;/titles&gt;&lt;periodical&gt;&lt;full-title&gt;Nuclear Technology&lt;/full-title&gt;&lt;/periodical&gt;&lt;pages&gt;1-13&lt;/pages&gt;&lt;volume&gt;206&lt;/volume&gt;&lt;dates&gt;&lt;year&gt;2020&lt;/year&gt;&lt;pub-dates&gt;&lt;date&gt;03/02&lt;/date&gt;&lt;/pub-dates&gt;&lt;/dates&gt;&lt;urls&gt;&lt;/urls&gt;&lt;electronic-resource-num&gt;10.1080/00295450.2020.1713673&lt;/electronic-resource-num&gt;&lt;/record&gt;&lt;/Cite&gt;&lt;/EndNote&gt;</w:instrText>
      </w:r>
      <w:r w:rsidRPr="00967E50">
        <w:fldChar w:fldCharType="separate"/>
      </w:r>
      <w:r w:rsidR="003026BC">
        <w:rPr>
          <w:noProof/>
        </w:rPr>
        <w:t>[99, 102]</w:t>
      </w:r>
      <w:r w:rsidRPr="00967E50">
        <w:fldChar w:fldCharType="end"/>
      </w:r>
      <w:r w:rsidRPr="00967E50">
        <w:t>. Low-power tests at steady state were conducted using the same initial temperature</w:t>
      </w:r>
      <w:r>
        <w:t>, T</w:t>
      </w:r>
      <w:r w:rsidRPr="0053157A">
        <w:rPr>
          <w:vertAlign w:val="subscript"/>
        </w:rPr>
        <w:t>0</w:t>
      </w:r>
      <w:r>
        <w:t>,</w:t>
      </w:r>
      <w:r w:rsidRPr="00967E50">
        <w:t xml:space="preserve"> loop pressures</w:t>
      </w:r>
      <w:r>
        <w:t>, P,</w:t>
      </w:r>
      <w:r w:rsidRPr="00967E50">
        <w:t xml:space="preserve"> of 3.5, 7.0, and 10.5 MPa</w:t>
      </w:r>
      <w:r>
        <w:t>, and</w:t>
      </w:r>
      <w:r w:rsidRPr="00967E50">
        <w:t xml:space="preserve"> a constant </w:t>
      </w:r>
      <w:r>
        <w:t>linear heat rate, q’</w:t>
      </w:r>
      <w:r w:rsidRPr="0053157A">
        <w:rPr>
          <w:vertAlign w:val="subscript"/>
        </w:rPr>
        <w:t>SS</w:t>
      </w:r>
      <w:r>
        <w:t>,</w:t>
      </w:r>
      <w:r w:rsidRPr="00967E50">
        <w:t xml:space="preserve"> of 0.5 kW</w:t>
      </w:r>
      <w:r>
        <w:t>/m</w:t>
      </w:r>
      <w:r w:rsidRPr="00967E50">
        <w:t xml:space="preserve">. Subsequent high-power steady-state tests were conducted using the same initial pressure conditions with initial temperatures of 523, 538, and 553 K </w:t>
      </w:r>
      <w:r>
        <w:t>and</w:t>
      </w:r>
      <w:r w:rsidRPr="00967E50">
        <w:t xml:space="preserve"> a constant </w:t>
      </w:r>
      <w:r>
        <w:lastRenderedPageBreak/>
        <w:t>linear heat rate</w:t>
      </w:r>
      <w:r w:rsidRPr="00967E50">
        <w:t xml:space="preserve"> of 5.0 kW</w:t>
      </w:r>
      <w:r>
        <w:t>/m</w:t>
      </w:r>
      <w:r w:rsidRPr="00967E50">
        <w:t xml:space="preserve">. All steady-state simulations were run for up to 10000 seconds to ensure steady-state. </w:t>
      </w:r>
    </w:p>
    <w:p w14:paraId="7204E54A" w14:textId="40DD3F65" w:rsidR="00324644" w:rsidRDefault="00324644" w:rsidP="00F22A75">
      <w:r>
        <w:t>Following these initial steady state tests, low</w:t>
      </w:r>
      <w:r w:rsidRPr="00967E50">
        <w:t xml:space="preserve"> and </w:t>
      </w:r>
      <w:r>
        <w:t>high</w:t>
      </w:r>
      <w:r w:rsidRPr="00967E50">
        <w:t>-power transient tests were also</w:t>
      </w:r>
    </w:p>
    <w:p w14:paraId="1DCE7773" w14:textId="17CF06F0" w:rsidR="00693C5B" w:rsidRDefault="00AC1F36" w:rsidP="00F22A75">
      <w:r>
        <w:t>proposed</w:t>
      </w:r>
      <w:r w:rsidRPr="00967E50">
        <w:t xml:space="preserve"> to evaluate the TRTL response during periods of sudden spikes in the linear heat rate representative of a</w:t>
      </w:r>
      <w:r>
        <w:t>n</w:t>
      </w:r>
      <w:r w:rsidRPr="00967E50">
        <w:t xml:space="preserve"> </w:t>
      </w:r>
      <w:r>
        <w:t>RIA</w:t>
      </w:r>
      <w:r w:rsidRPr="00967E50">
        <w:t xml:space="preserve">. </w:t>
      </w:r>
      <w:r w:rsidR="00BD2D6F" w:rsidRPr="00967E50">
        <w:t>Initial testing conditions for low-power transient tests</w:t>
      </w:r>
      <w:r w:rsidR="0033204D">
        <w:t>, TRa-TRd,</w:t>
      </w:r>
      <w:r w:rsidR="00BD2D6F" w:rsidRPr="00967E50">
        <w:t xml:space="preserve"> </w:t>
      </w:r>
      <w:r w:rsidR="00873985">
        <w:t>include</w:t>
      </w:r>
      <w:r w:rsidR="00BD2D6F" w:rsidRPr="00967E50">
        <w:t xml:space="preserve"> a pressure of 6.9 MPa, a temperature of 373 K, and a flow rate of ~ 4 m/s. Four sets of transient pulses (i.e., 1.0, 2.0, 5.0, and 10.0 s) were used for low-power transient test. </w:t>
      </w:r>
      <w:r w:rsidR="00BD2D6F" w:rsidRPr="003E7985">
        <w:t>The transient power pulse was assumed to reach its maximum</w:t>
      </w:r>
      <w:r w:rsidR="00873985">
        <w:t xml:space="preserve"> linear heat rate of 2 kW/m</w:t>
      </w:r>
      <w:r w:rsidR="00BD2D6F" w:rsidRPr="003E7985">
        <w:t xml:space="preserve"> at the end of the pulse period before abruptly returning to its pre-transient power level. It was assumed that the power profile would return to its pre-transient power level within 1.0 µs.</w:t>
      </w:r>
      <w:r w:rsidR="00BD2D6F">
        <w:t xml:space="preserve"> </w:t>
      </w:r>
      <w:r w:rsidR="00873985">
        <w:t xml:space="preserve">A table summarizing the conditions of each of the low temperature transient tests is shown in </w:t>
      </w:r>
      <w:r w:rsidR="00873985" w:rsidRPr="007258A1">
        <w:rPr>
          <w:b/>
          <w:bCs/>
        </w:rPr>
        <w:fldChar w:fldCharType="begin"/>
      </w:r>
      <w:r w:rsidR="00873985" w:rsidRPr="007258A1">
        <w:rPr>
          <w:b/>
          <w:bCs/>
        </w:rPr>
        <w:instrText xml:space="preserve"> REF _Ref160653876 \h </w:instrText>
      </w:r>
      <w:r w:rsidR="007258A1">
        <w:rPr>
          <w:b/>
          <w:bCs/>
        </w:rPr>
        <w:instrText xml:space="preserve"> \* MERGEFORMAT </w:instrText>
      </w:r>
      <w:r w:rsidR="00873985" w:rsidRPr="007258A1">
        <w:rPr>
          <w:b/>
          <w:bCs/>
        </w:rPr>
      </w:r>
      <w:r w:rsidR="00873985" w:rsidRPr="007258A1">
        <w:rPr>
          <w:b/>
          <w:bCs/>
        </w:rPr>
        <w:fldChar w:fldCharType="separate"/>
      </w:r>
      <w:r w:rsidR="00BF7E93" w:rsidRPr="00BF7E93">
        <w:rPr>
          <w:b/>
          <w:bCs/>
        </w:rPr>
        <w:t xml:space="preserve">Table </w:t>
      </w:r>
      <w:r w:rsidR="00BF7E93" w:rsidRPr="00BF7E93">
        <w:rPr>
          <w:b/>
          <w:bCs/>
          <w:noProof/>
        </w:rPr>
        <w:t>3.2</w:t>
      </w:r>
      <w:r w:rsidR="00873985" w:rsidRPr="007258A1">
        <w:rPr>
          <w:b/>
          <w:bCs/>
        </w:rPr>
        <w:fldChar w:fldCharType="end"/>
      </w:r>
      <w:r w:rsidR="00873985">
        <w:t xml:space="preserve">. </w:t>
      </w:r>
    </w:p>
    <w:p w14:paraId="5CA498A0" w14:textId="0C9CBF20" w:rsidR="00AC1F36" w:rsidRDefault="00BD2D6F" w:rsidP="00F22A75">
      <w:r w:rsidRPr="00967E50">
        <w:t xml:space="preserve">The </w:t>
      </w:r>
      <w:r>
        <w:t xml:space="preserve">experimentally </w:t>
      </w:r>
      <w:r w:rsidRPr="00967E50">
        <w:t xml:space="preserve">measured fluid temperatures during a 10s low-power transient test </w:t>
      </w:r>
      <w:r w:rsidR="005C706E">
        <w:t>and</w:t>
      </w:r>
      <w:r w:rsidRPr="00967E50">
        <w:t xml:space="preserve"> </w:t>
      </w:r>
      <w:r w:rsidR="005C706E">
        <w:t>a</w:t>
      </w:r>
      <w:r w:rsidRPr="00967E50">
        <w:t xml:space="preserve"> corresponding transient power pulse for this case is shown in</w:t>
      </w:r>
      <w:r w:rsidR="005C706E">
        <w:t xml:space="preserve"> </w:t>
      </w:r>
      <w:r w:rsidR="005C706E" w:rsidRPr="00377123">
        <w:rPr>
          <w:b/>
          <w:bCs/>
        </w:rPr>
        <w:fldChar w:fldCharType="begin"/>
      </w:r>
      <w:r w:rsidR="005C706E" w:rsidRPr="00377123">
        <w:rPr>
          <w:b/>
          <w:bCs/>
        </w:rPr>
        <w:instrText xml:space="preserve"> REF _Ref160656320 \h </w:instrText>
      </w:r>
      <w:r w:rsidR="00377123">
        <w:rPr>
          <w:b/>
          <w:bCs/>
        </w:rPr>
        <w:instrText xml:space="preserve"> \* MERGEFORMAT </w:instrText>
      </w:r>
      <w:r w:rsidR="005C706E" w:rsidRPr="00377123">
        <w:rPr>
          <w:b/>
          <w:bCs/>
        </w:rPr>
      </w:r>
      <w:r w:rsidR="005C706E" w:rsidRPr="00377123">
        <w:rPr>
          <w:b/>
          <w:bCs/>
        </w:rPr>
        <w:fldChar w:fldCharType="separate"/>
      </w:r>
      <w:r w:rsidR="00BF7E93" w:rsidRPr="00BF7E93">
        <w:rPr>
          <w:b/>
          <w:bCs/>
        </w:rPr>
        <w:t xml:space="preserve">Figure </w:t>
      </w:r>
      <w:r w:rsidR="00BF7E93" w:rsidRPr="00BF7E93">
        <w:rPr>
          <w:b/>
          <w:bCs/>
          <w:noProof/>
        </w:rPr>
        <w:t>3.3</w:t>
      </w:r>
      <w:r w:rsidR="005C706E" w:rsidRPr="00377123">
        <w:rPr>
          <w:b/>
          <w:bCs/>
        </w:rPr>
        <w:fldChar w:fldCharType="end"/>
      </w:r>
      <w:r w:rsidRPr="00967E50">
        <w:t>. The experimental uncertainty of the thermocouple measurements is 3 degrees Kelvi</w:t>
      </w:r>
      <w:r>
        <w:t>n</w:t>
      </w:r>
      <w:r w:rsidRPr="00967E50">
        <w:t>.</w:t>
      </w:r>
      <w:r>
        <w:t xml:space="preserve"> Results of the low power experimental transients have been compared to previously developed TRACE and RELAP5-3D code predictions and had seen discrepancies between the initial and transient temperature distributions </w:t>
      </w:r>
      <w:r>
        <w:fldChar w:fldCharType="begin"/>
      </w:r>
      <w:r w:rsidR="003026BC">
        <w:instrText xml:space="preserve"> ADDIN EN.CITE &lt;EndNote&gt;&lt;Cite&gt;&lt;Author&gt;Marcum&lt;/Author&gt;&lt;Year&gt;2020&lt;/Year&gt;&lt;RecNum&gt;262&lt;/RecNum&gt;&lt;DisplayText&gt;[102]&lt;/DisplayText&gt;&lt;record&gt;&lt;rec-number&gt;262&lt;/rec-number&gt;&lt;foreign-keys&gt;&lt;key app="EN" db-id="eseee05sfe5vt6efvr0xapvq20vfdsfp5fvf" timestamp="1676918079" guid="ef7e3278-c137-4836-9b46-0964e4d75346"&gt;262&lt;/key&gt;&lt;/foreign-keys&gt;&lt;ref-type name="Journal Article"&gt;17&lt;/ref-type&gt;&lt;contributors&gt;&lt;authors&gt;&lt;author&gt;Marcum, Wade&lt;/author&gt;&lt;author&gt;La Brier, Daniel&lt;/author&gt;&lt;author&gt;Brown, Emory&lt;/author&gt;&lt;author&gt;Jensen, Colby&lt;/author&gt;&lt;author&gt;Choi, Yong-Joon&lt;/author&gt;&lt;/authors&gt;&lt;/contributors&gt;&lt;titles&gt;&lt;title&gt;Benchmark Comparison of Experimental Data with Thermal-Hydraulic Codes RELAP5-3D and TRACE for a RIA Transient Scenario&lt;/title&gt;&lt;secondary-title&gt;Nuclear Technology&lt;/secondary-title&gt;&lt;/titles&gt;&lt;periodical&gt;&lt;full-title&gt;Nuclear Technology&lt;/full-title&gt;&lt;/periodical&gt;&lt;pages&gt;1-13&lt;/pages&gt;&lt;volume&gt;206&lt;/volume&gt;&lt;dates&gt;&lt;year&gt;2020&lt;/year&gt;&lt;pub-dates&gt;&lt;date&gt;03/02&lt;/date&gt;&lt;/pub-dates&gt;&lt;/dates&gt;&lt;urls&gt;&lt;/urls&gt;&lt;electronic-resource-num&gt;10.1080/00295450.2020.1713673&lt;/electronic-resource-num&gt;&lt;/record&gt;&lt;/Cite&gt;&lt;/EndNote&gt;</w:instrText>
      </w:r>
      <w:r>
        <w:fldChar w:fldCharType="separate"/>
      </w:r>
      <w:r w:rsidR="003026BC">
        <w:rPr>
          <w:noProof/>
        </w:rPr>
        <w:t>[102]</w:t>
      </w:r>
      <w:r>
        <w:fldChar w:fldCharType="end"/>
      </w:r>
      <w:r>
        <w:t xml:space="preserve">. </w:t>
      </w:r>
      <w:r w:rsidR="00CF56AC">
        <w:t>I</w:t>
      </w:r>
      <w:r>
        <w:t xml:space="preserve"> have found that the discrepancies reported </w:t>
      </w:r>
      <w:r>
        <w:fldChar w:fldCharType="begin"/>
      </w:r>
      <w:r w:rsidR="003026BC">
        <w:instrText xml:space="preserve"> ADDIN EN.CITE &lt;EndNote&gt;&lt;Cite&gt;&lt;Author&gt;Marcum&lt;/Author&gt;&lt;Year&gt;2020&lt;/Year&gt;&lt;RecNum&gt;262&lt;/RecNum&gt;&lt;DisplayText&gt;[102]&lt;/DisplayText&gt;&lt;record&gt;&lt;rec-number&gt;262&lt;/rec-number&gt;&lt;foreign-keys&gt;&lt;key app="EN" db-id="eseee05sfe5vt6efvr0xapvq20vfdsfp5fvf" timestamp="1676918079" guid="ef7e3278-c137-4836-9b46-0964e4d75346"&gt;262&lt;/key&gt;&lt;/foreign-keys&gt;&lt;ref-type name="Journal Article"&gt;17&lt;/ref-type&gt;&lt;contributors&gt;&lt;authors&gt;&lt;author&gt;Marcum, Wade&lt;/author&gt;&lt;author&gt;La Brier, Daniel&lt;/author&gt;&lt;author&gt;Brown, Emory&lt;/author&gt;&lt;author&gt;Jensen, Colby&lt;/author&gt;&lt;author&gt;Choi, Yong-Joon&lt;/author&gt;&lt;/authors&gt;&lt;/contributors&gt;&lt;titles&gt;&lt;title&gt;Benchmark Comparison of Experimental Data with Thermal-Hydraulic Codes RELAP5-3D and TRACE for a RIA Transient Scenario&lt;/title&gt;&lt;secondary-title&gt;Nuclear Technology&lt;/secondary-title&gt;&lt;/titles&gt;&lt;periodical&gt;&lt;full-title&gt;Nuclear Technology&lt;/full-title&gt;&lt;/periodical&gt;&lt;pages&gt;1-13&lt;/pages&gt;&lt;volume&gt;206&lt;/volume&gt;&lt;dates&gt;&lt;year&gt;2020&lt;/year&gt;&lt;pub-dates&gt;&lt;date&gt;03/02&lt;/date&gt;&lt;/pub-dates&gt;&lt;/dates&gt;&lt;urls&gt;&lt;/urls&gt;&lt;electronic-resource-num&gt;10.1080/00295450.2020.1713673&lt;/electronic-resource-num&gt;&lt;/record&gt;&lt;/Cite&gt;&lt;/EndNote&gt;</w:instrText>
      </w:r>
      <w:r>
        <w:fldChar w:fldCharType="separate"/>
      </w:r>
      <w:r w:rsidR="003026BC">
        <w:rPr>
          <w:noProof/>
        </w:rPr>
        <w:t>[102]</w:t>
      </w:r>
      <w:r>
        <w:fldChar w:fldCharType="end"/>
      </w:r>
      <w:r>
        <w:t xml:space="preserve"> were due to inaccuracies in the boundary conditions of the heater rod. The TRACE model has since been updated and will be validated against the experimental data </w:t>
      </w:r>
      <w:r w:rsidR="00B66937">
        <w:t>to be</w:t>
      </w:r>
      <w:r>
        <w:t xml:space="preserve"> used for code-to-code comparison.</w:t>
      </w:r>
      <w:r w:rsidR="00AC1F36">
        <w:br w:type="page"/>
      </w:r>
    </w:p>
    <w:p w14:paraId="4876ADCC" w14:textId="766FA2C4" w:rsidR="003369D9" w:rsidRPr="009E5CA0" w:rsidRDefault="003369D9" w:rsidP="00874CBB">
      <w:pPr>
        <w:pStyle w:val="Caption"/>
      </w:pPr>
      <w:bookmarkStart w:id="44" w:name="_Ref160653876"/>
      <w:bookmarkStart w:id="45" w:name="_Toc202957517"/>
      <w:r w:rsidRPr="009D2AA9">
        <w:lastRenderedPageBreak/>
        <w:t xml:space="preserve">Table </w:t>
      </w:r>
      <w:fldSimple w:instr=" STYLEREF 1 \s ">
        <w:r w:rsidR="00BF7E93">
          <w:rPr>
            <w:noProof/>
          </w:rPr>
          <w:t>3</w:t>
        </w:r>
      </w:fldSimple>
      <w:r w:rsidRPr="009D2AA9">
        <w:t>.</w:t>
      </w:r>
      <w:fldSimple w:instr=" SEQ Table \* ARABIC \s 1 ">
        <w:r w:rsidR="00BF7E93">
          <w:rPr>
            <w:noProof/>
          </w:rPr>
          <w:t>2</w:t>
        </w:r>
      </w:fldSimple>
      <w:bookmarkEnd w:id="44"/>
      <w:r w:rsidRPr="009D2AA9">
        <w:t xml:space="preserve">. </w:t>
      </w:r>
      <w:r>
        <w:t xml:space="preserve">TRTL </w:t>
      </w:r>
      <w:r w:rsidR="00445C91">
        <w:t xml:space="preserve">Low Power Transient Test Matrix Parameters </w:t>
      </w:r>
      <w:r w:rsidR="00445C91">
        <w:fldChar w:fldCharType="begin"/>
      </w:r>
      <w:r w:rsidR="003026BC">
        <w:instrText xml:space="preserve"> ADDIN EN.CITE &lt;EndNote&gt;&lt;Cite&gt;&lt;Author&gt;Marcum&lt;/Author&gt;&lt;Year&gt;2020&lt;/Year&gt;&lt;RecNum&gt;262&lt;/RecNum&gt;&lt;DisplayText&gt;[102]&lt;/DisplayText&gt;&lt;record&gt;&lt;rec-number&gt;262&lt;/rec-number&gt;&lt;foreign-keys&gt;&lt;key app="EN" db-id="eseee05sfe5vt6efvr0xapvq20vfdsfp5fvf" timestamp="1676918079" guid="ef7e3278-c137-4836-9b46-0964e4d75346"&gt;262&lt;/key&gt;&lt;/foreign-keys&gt;&lt;ref-type name="Journal Article"&gt;17&lt;/ref-type&gt;&lt;contributors&gt;&lt;authors&gt;&lt;author&gt;Marcum, Wade&lt;/author&gt;&lt;author&gt;La Brier, Daniel&lt;/author&gt;&lt;author&gt;Brown, Emory&lt;/author&gt;&lt;author&gt;Jensen, Colby&lt;/author&gt;&lt;author&gt;Choi, Yong-Joon&lt;/author&gt;&lt;/authors&gt;&lt;/contributors&gt;&lt;titles&gt;&lt;title&gt;Benchmark Comparison of Experimental Data with Thermal-Hydraulic Codes RELAP5-3D and TRACE for a RIA Transient Scenario&lt;/title&gt;&lt;secondary-title&gt;Nuclear Technology&lt;/secondary-title&gt;&lt;/titles&gt;&lt;periodical&gt;&lt;full-title&gt;Nuclear Technology&lt;/full-title&gt;&lt;/periodical&gt;&lt;pages&gt;1-13&lt;/pages&gt;&lt;volume&gt;206&lt;/volume&gt;&lt;dates&gt;&lt;year&gt;2020&lt;/year&gt;&lt;pub-dates&gt;&lt;date&gt;03/02&lt;/date&gt;&lt;/pub-dates&gt;&lt;/dates&gt;&lt;urls&gt;&lt;/urls&gt;&lt;electronic-resource-num&gt;10.1080/00295450.2020.1713673&lt;/electronic-resource-num&gt;&lt;/record&gt;&lt;/Cite&gt;&lt;/EndNote&gt;</w:instrText>
      </w:r>
      <w:r w:rsidR="00445C91">
        <w:fldChar w:fldCharType="separate"/>
      </w:r>
      <w:r w:rsidR="003026BC">
        <w:rPr>
          <w:noProof/>
        </w:rPr>
        <w:t>[102]</w:t>
      </w:r>
      <w:r w:rsidR="00445C91">
        <w:fldChar w:fldCharType="end"/>
      </w:r>
      <w:r>
        <w:t>.</w:t>
      </w:r>
      <w:bookmarkEnd w:id="45"/>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1568"/>
        <w:gridCol w:w="1568"/>
        <w:gridCol w:w="1170"/>
        <w:gridCol w:w="1473"/>
        <w:gridCol w:w="1321"/>
        <w:gridCol w:w="1321"/>
      </w:tblGrid>
      <w:tr w:rsidR="00445C91" w:rsidRPr="00857514" w14:paraId="3F3554E2" w14:textId="45134B0E" w:rsidTr="00F07C8E">
        <w:trPr>
          <w:jc w:val="center"/>
        </w:trPr>
        <w:tc>
          <w:tcPr>
            <w:tcW w:w="1568" w:type="dxa"/>
            <w:tcBorders>
              <w:top w:val="double" w:sz="4" w:space="0" w:color="auto"/>
              <w:left w:val="double" w:sz="4" w:space="0" w:color="auto"/>
              <w:bottom w:val="double" w:sz="4" w:space="0" w:color="auto"/>
              <w:right w:val="double" w:sz="4" w:space="0" w:color="auto"/>
            </w:tcBorders>
            <w:vAlign w:val="center"/>
          </w:tcPr>
          <w:p w14:paraId="2188804F" w14:textId="77777777" w:rsidR="00445C91" w:rsidRPr="00857514" w:rsidRDefault="00445C91" w:rsidP="00445C91">
            <w:pPr>
              <w:jc w:val="center"/>
              <w:rPr>
                <w:b/>
                <w:bCs/>
              </w:rPr>
            </w:pPr>
            <w:r w:rsidRPr="00857514">
              <w:rPr>
                <w:b/>
                <w:bCs/>
              </w:rPr>
              <w:t>Parameter</w:t>
            </w:r>
          </w:p>
        </w:tc>
        <w:tc>
          <w:tcPr>
            <w:tcW w:w="1568" w:type="dxa"/>
            <w:tcBorders>
              <w:top w:val="double" w:sz="4" w:space="0" w:color="auto"/>
              <w:left w:val="double" w:sz="4" w:space="0" w:color="auto"/>
              <w:bottom w:val="double" w:sz="4" w:space="0" w:color="auto"/>
              <w:right w:val="double" w:sz="4" w:space="0" w:color="auto"/>
            </w:tcBorders>
            <w:vAlign w:val="center"/>
          </w:tcPr>
          <w:p w14:paraId="287E8000" w14:textId="243F1A98" w:rsidR="00445C91" w:rsidRPr="00857514" w:rsidRDefault="00445C91" w:rsidP="00445C91">
            <w:pPr>
              <w:jc w:val="center"/>
              <w:rPr>
                <w:b/>
                <w:bCs/>
              </w:rPr>
            </w:pPr>
            <w:r>
              <w:rPr>
                <w:b/>
                <w:bCs/>
              </w:rPr>
              <w:t>Unit</w:t>
            </w:r>
          </w:p>
        </w:tc>
        <w:tc>
          <w:tcPr>
            <w:tcW w:w="1170" w:type="dxa"/>
            <w:tcBorders>
              <w:top w:val="double" w:sz="4" w:space="0" w:color="auto"/>
              <w:left w:val="double" w:sz="4" w:space="0" w:color="auto"/>
              <w:bottom w:val="double" w:sz="4" w:space="0" w:color="auto"/>
              <w:right w:val="double" w:sz="4" w:space="0" w:color="auto"/>
            </w:tcBorders>
            <w:vAlign w:val="center"/>
          </w:tcPr>
          <w:p w14:paraId="0BF64E05" w14:textId="057B14E7" w:rsidR="00445C91" w:rsidRPr="00857514" w:rsidRDefault="00445C91" w:rsidP="00445C91">
            <w:pPr>
              <w:jc w:val="center"/>
              <w:rPr>
                <w:b/>
                <w:bCs/>
              </w:rPr>
            </w:pPr>
            <w:r>
              <w:rPr>
                <w:b/>
                <w:bCs/>
              </w:rPr>
              <w:t>TRa</w:t>
            </w:r>
          </w:p>
        </w:tc>
        <w:tc>
          <w:tcPr>
            <w:tcW w:w="1473" w:type="dxa"/>
            <w:tcBorders>
              <w:top w:val="double" w:sz="4" w:space="0" w:color="auto"/>
              <w:left w:val="double" w:sz="4" w:space="0" w:color="auto"/>
              <w:bottom w:val="double" w:sz="4" w:space="0" w:color="auto"/>
            </w:tcBorders>
            <w:vAlign w:val="center"/>
          </w:tcPr>
          <w:p w14:paraId="031BC04E" w14:textId="1C1D1EB9" w:rsidR="00445C91" w:rsidRPr="00857514" w:rsidRDefault="00445C91" w:rsidP="00445C91">
            <w:pPr>
              <w:jc w:val="center"/>
              <w:rPr>
                <w:b/>
                <w:bCs/>
              </w:rPr>
            </w:pPr>
            <w:r>
              <w:rPr>
                <w:b/>
                <w:bCs/>
              </w:rPr>
              <w:t>TRb</w:t>
            </w:r>
          </w:p>
        </w:tc>
        <w:tc>
          <w:tcPr>
            <w:tcW w:w="1321" w:type="dxa"/>
            <w:tcBorders>
              <w:top w:val="double" w:sz="4" w:space="0" w:color="auto"/>
              <w:left w:val="double" w:sz="4" w:space="0" w:color="auto"/>
              <w:bottom w:val="double" w:sz="4" w:space="0" w:color="auto"/>
            </w:tcBorders>
            <w:vAlign w:val="center"/>
          </w:tcPr>
          <w:p w14:paraId="5AAD2370" w14:textId="1B442FEB" w:rsidR="00445C91" w:rsidRPr="00857514" w:rsidRDefault="00445C91" w:rsidP="00445C91">
            <w:pPr>
              <w:jc w:val="center"/>
              <w:rPr>
                <w:b/>
                <w:bCs/>
              </w:rPr>
            </w:pPr>
            <w:r>
              <w:rPr>
                <w:b/>
                <w:bCs/>
              </w:rPr>
              <w:t>TRc</w:t>
            </w:r>
          </w:p>
        </w:tc>
        <w:tc>
          <w:tcPr>
            <w:tcW w:w="1321" w:type="dxa"/>
            <w:tcBorders>
              <w:top w:val="double" w:sz="4" w:space="0" w:color="auto"/>
              <w:left w:val="double" w:sz="4" w:space="0" w:color="auto"/>
              <w:bottom w:val="double" w:sz="4" w:space="0" w:color="auto"/>
            </w:tcBorders>
          </w:tcPr>
          <w:p w14:paraId="10332B2F" w14:textId="1A1C4EE9" w:rsidR="00445C91" w:rsidRPr="00857514" w:rsidRDefault="00445C91" w:rsidP="00445C91">
            <w:pPr>
              <w:jc w:val="center"/>
              <w:rPr>
                <w:b/>
                <w:bCs/>
              </w:rPr>
            </w:pPr>
            <w:r>
              <w:rPr>
                <w:b/>
                <w:bCs/>
              </w:rPr>
              <w:t>TRd</w:t>
            </w:r>
          </w:p>
        </w:tc>
      </w:tr>
      <w:tr w:rsidR="00445C91" w:rsidRPr="008120CD" w14:paraId="76EBE0D9" w14:textId="160C6E69" w:rsidTr="00E70ACF">
        <w:trPr>
          <w:jc w:val="center"/>
        </w:trPr>
        <w:tc>
          <w:tcPr>
            <w:tcW w:w="1568" w:type="dxa"/>
            <w:tcBorders>
              <w:left w:val="double" w:sz="4" w:space="0" w:color="auto"/>
              <w:right w:val="double" w:sz="4" w:space="0" w:color="auto"/>
            </w:tcBorders>
            <w:vAlign w:val="center"/>
          </w:tcPr>
          <w:p w14:paraId="0F764B37" w14:textId="47E1EDDE" w:rsidR="00445C91" w:rsidRPr="00445C91" w:rsidRDefault="00445C91" w:rsidP="00445C91">
            <w:pPr>
              <w:jc w:val="center"/>
            </w:pPr>
            <w:r>
              <w:t>T</w:t>
            </w:r>
            <w:r w:rsidR="0053157A">
              <w:rPr>
                <w:vertAlign w:val="subscript"/>
              </w:rPr>
              <w:t>0</w:t>
            </w:r>
          </w:p>
        </w:tc>
        <w:tc>
          <w:tcPr>
            <w:tcW w:w="1568" w:type="dxa"/>
            <w:tcBorders>
              <w:left w:val="double" w:sz="4" w:space="0" w:color="auto"/>
              <w:right w:val="double" w:sz="4" w:space="0" w:color="auto"/>
            </w:tcBorders>
            <w:vAlign w:val="center"/>
          </w:tcPr>
          <w:p w14:paraId="7C0640BC" w14:textId="0D3E8639" w:rsidR="00445C91" w:rsidRPr="00445C91" w:rsidRDefault="00445C91" w:rsidP="00445C91">
            <w:pPr>
              <w:jc w:val="center"/>
            </w:pPr>
            <w:r>
              <w:t>K</w:t>
            </w:r>
          </w:p>
        </w:tc>
        <w:tc>
          <w:tcPr>
            <w:tcW w:w="1170" w:type="dxa"/>
            <w:tcBorders>
              <w:left w:val="double" w:sz="4" w:space="0" w:color="auto"/>
              <w:right w:val="double" w:sz="4" w:space="0" w:color="auto"/>
            </w:tcBorders>
          </w:tcPr>
          <w:p w14:paraId="16EE55F3" w14:textId="4A3AEEE5" w:rsidR="00445C91" w:rsidRPr="008120CD" w:rsidRDefault="00445C91" w:rsidP="00445C91">
            <w:pPr>
              <w:jc w:val="center"/>
            </w:pPr>
            <w:r>
              <w:t>373</w:t>
            </w:r>
          </w:p>
        </w:tc>
        <w:tc>
          <w:tcPr>
            <w:tcW w:w="1473" w:type="dxa"/>
            <w:tcBorders>
              <w:left w:val="double" w:sz="4" w:space="0" w:color="auto"/>
            </w:tcBorders>
            <w:vAlign w:val="center"/>
          </w:tcPr>
          <w:p w14:paraId="50640340" w14:textId="01F1383D" w:rsidR="00445C91" w:rsidRPr="008120CD" w:rsidRDefault="00445C91" w:rsidP="00445C91">
            <w:pPr>
              <w:jc w:val="center"/>
            </w:pPr>
            <w:r>
              <w:t>373</w:t>
            </w:r>
          </w:p>
        </w:tc>
        <w:tc>
          <w:tcPr>
            <w:tcW w:w="1321" w:type="dxa"/>
            <w:tcBorders>
              <w:left w:val="double" w:sz="4" w:space="0" w:color="auto"/>
            </w:tcBorders>
          </w:tcPr>
          <w:p w14:paraId="27DD7C07" w14:textId="172FC3D6" w:rsidR="00445C91" w:rsidRPr="008120CD" w:rsidRDefault="00445C91" w:rsidP="00445C91">
            <w:pPr>
              <w:jc w:val="center"/>
            </w:pPr>
            <w:r>
              <w:t>373</w:t>
            </w:r>
          </w:p>
        </w:tc>
        <w:tc>
          <w:tcPr>
            <w:tcW w:w="1321" w:type="dxa"/>
            <w:tcBorders>
              <w:left w:val="double" w:sz="4" w:space="0" w:color="auto"/>
            </w:tcBorders>
          </w:tcPr>
          <w:p w14:paraId="75F47ECB" w14:textId="1717B910" w:rsidR="00445C91" w:rsidRDefault="00445C91" w:rsidP="00445C91">
            <w:pPr>
              <w:jc w:val="center"/>
            </w:pPr>
            <w:r>
              <w:t>373</w:t>
            </w:r>
          </w:p>
        </w:tc>
      </w:tr>
      <w:tr w:rsidR="00445C91" w:rsidRPr="00560A5E" w14:paraId="2EEE29A0" w14:textId="3FB12AFB" w:rsidTr="00D87624">
        <w:trPr>
          <w:jc w:val="center"/>
        </w:trPr>
        <w:tc>
          <w:tcPr>
            <w:tcW w:w="1568" w:type="dxa"/>
            <w:tcBorders>
              <w:left w:val="double" w:sz="4" w:space="0" w:color="auto"/>
              <w:right w:val="double" w:sz="4" w:space="0" w:color="auto"/>
            </w:tcBorders>
            <w:vAlign w:val="center"/>
          </w:tcPr>
          <w:p w14:paraId="29D2EC63" w14:textId="77777777" w:rsidR="00445C91" w:rsidRPr="00445C91" w:rsidRDefault="00445C91" w:rsidP="00445C91">
            <w:pPr>
              <w:jc w:val="center"/>
              <w:rPr>
                <w:vertAlign w:val="subscript"/>
              </w:rPr>
            </w:pPr>
            <w:r>
              <w:t>P</w:t>
            </w:r>
            <w:r>
              <w:rPr>
                <w:vertAlign w:val="subscript"/>
              </w:rPr>
              <w:t>ss</w:t>
            </w:r>
          </w:p>
        </w:tc>
        <w:tc>
          <w:tcPr>
            <w:tcW w:w="1568" w:type="dxa"/>
            <w:tcBorders>
              <w:left w:val="double" w:sz="4" w:space="0" w:color="auto"/>
              <w:right w:val="double" w:sz="4" w:space="0" w:color="auto"/>
            </w:tcBorders>
            <w:vAlign w:val="center"/>
          </w:tcPr>
          <w:p w14:paraId="521DC989" w14:textId="276AB1F3" w:rsidR="00445C91" w:rsidRPr="00445C91" w:rsidRDefault="00445C91" w:rsidP="00445C91">
            <w:pPr>
              <w:jc w:val="center"/>
            </w:pPr>
            <w:r w:rsidRPr="00445C91">
              <w:t>MPa</w:t>
            </w:r>
          </w:p>
        </w:tc>
        <w:tc>
          <w:tcPr>
            <w:tcW w:w="1170" w:type="dxa"/>
            <w:tcBorders>
              <w:left w:val="double" w:sz="4" w:space="0" w:color="auto"/>
              <w:right w:val="double" w:sz="4" w:space="0" w:color="auto"/>
            </w:tcBorders>
          </w:tcPr>
          <w:p w14:paraId="5BC96B67" w14:textId="173739E3" w:rsidR="00445C91" w:rsidRPr="002F13A8" w:rsidRDefault="00445C91" w:rsidP="00445C91">
            <w:pPr>
              <w:jc w:val="center"/>
            </w:pPr>
            <w:r>
              <w:t>7</w:t>
            </w:r>
          </w:p>
        </w:tc>
        <w:tc>
          <w:tcPr>
            <w:tcW w:w="1473" w:type="dxa"/>
            <w:tcBorders>
              <w:left w:val="double" w:sz="4" w:space="0" w:color="auto"/>
            </w:tcBorders>
            <w:vAlign w:val="center"/>
          </w:tcPr>
          <w:p w14:paraId="592A3811" w14:textId="7264F878" w:rsidR="00445C91" w:rsidRPr="008120CD" w:rsidRDefault="00445C91" w:rsidP="00445C91">
            <w:pPr>
              <w:jc w:val="center"/>
            </w:pPr>
            <w:r>
              <w:t>7</w:t>
            </w:r>
          </w:p>
        </w:tc>
        <w:tc>
          <w:tcPr>
            <w:tcW w:w="1321" w:type="dxa"/>
            <w:tcBorders>
              <w:left w:val="double" w:sz="4" w:space="0" w:color="auto"/>
            </w:tcBorders>
          </w:tcPr>
          <w:p w14:paraId="43B5C25C" w14:textId="6FAC11DB" w:rsidR="00445C91" w:rsidRPr="00560A5E" w:rsidRDefault="00445C91" w:rsidP="00445C91">
            <w:pPr>
              <w:jc w:val="center"/>
            </w:pPr>
            <w:r>
              <w:t>7</w:t>
            </w:r>
          </w:p>
        </w:tc>
        <w:tc>
          <w:tcPr>
            <w:tcW w:w="1321" w:type="dxa"/>
            <w:tcBorders>
              <w:left w:val="double" w:sz="4" w:space="0" w:color="auto"/>
            </w:tcBorders>
          </w:tcPr>
          <w:p w14:paraId="0ACAB521" w14:textId="3735F2B3" w:rsidR="00445C91" w:rsidRDefault="00445C91" w:rsidP="00445C91">
            <w:pPr>
              <w:jc w:val="center"/>
            </w:pPr>
            <w:r>
              <w:t>7</w:t>
            </w:r>
          </w:p>
        </w:tc>
      </w:tr>
      <w:tr w:rsidR="00445C91" w:rsidRPr="008120CD" w14:paraId="412FD7E4" w14:textId="1D937394" w:rsidTr="00DA2CC5">
        <w:trPr>
          <w:jc w:val="center"/>
        </w:trPr>
        <w:tc>
          <w:tcPr>
            <w:tcW w:w="1568" w:type="dxa"/>
            <w:tcBorders>
              <w:left w:val="double" w:sz="4" w:space="0" w:color="auto"/>
              <w:right w:val="double" w:sz="4" w:space="0" w:color="auto"/>
            </w:tcBorders>
            <w:vAlign w:val="center"/>
          </w:tcPr>
          <w:p w14:paraId="69E8B179" w14:textId="77777777" w:rsidR="00445C91" w:rsidRPr="008120CD" w:rsidRDefault="00445C91" w:rsidP="00445C91">
            <w:pPr>
              <w:jc w:val="center"/>
            </w:pPr>
            <w:r>
              <w:t>q’</w:t>
            </w:r>
            <w:r>
              <w:rPr>
                <w:vertAlign w:val="subscript"/>
              </w:rPr>
              <w:t>ss</w:t>
            </w:r>
          </w:p>
        </w:tc>
        <w:tc>
          <w:tcPr>
            <w:tcW w:w="1568" w:type="dxa"/>
            <w:tcBorders>
              <w:left w:val="double" w:sz="4" w:space="0" w:color="auto"/>
              <w:right w:val="double" w:sz="4" w:space="0" w:color="auto"/>
            </w:tcBorders>
            <w:vAlign w:val="center"/>
          </w:tcPr>
          <w:p w14:paraId="01BFAFAD" w14:textId="5D79F3A7" w:rsidR="00445C91" w:rsidRPr="008120CD" w:rsidRDefault="00445C91" w:rsidP="00445C91">
            <w:pPr>
              <w:jc w:val="center"/>
            </w:pPr>
            <w:r>
              <w:t>kW</w:t>
            </w:r>
            <w:r w:rsidR="00873985">
              <w:t>/m</w:t>
            </w:r>
          </w:p>
        </w:tc>
        <w:tc>
          <w:tcPr>
            <w:tcW w:w="1170" w:type="dxa"/>
            <w:tcBorders>
              <w:left w:val="double" w:sz="4" w:space="0" w:color="auto"/>
              <w:right w:val="double" w:sz="4" w:space="0" w:color="auto"/>
            </w:tcBorders>
          </w:tcPr>
          <w:p w14:paraId="31C33D71" w14:textId="2ADF9333" w:rsidR="00445C91" w:rsidRPr="008120CD" w:rsidRDefault="00445C91" w:rsidP="00445C91">
            <w:pPr>
              <w:jc w:val="center"/>
            </w:pPr>
            <w:r>
              <w:t>0.5</w:t>
            </w:r>
          </w:p>
        </w:tc>
        <w:tc>
          <w:tcPr>
            <w:tcW w:w="1473" w:type="dxa"/>
            <w:tcBorders>
              <w:left w:val="double" w:sz="4" w:space="0" w:color="auto"/>
            </w:tcBorders>
            <w:vAlign w:val="center"/>
          </w:tcPr>
          <w:p w14:paraId="2A18D75F" w14:textId="5E1EE571" w:rsidR="00445C91" w:rsidRPr="008120CD" w:rsidRDefault="00445C91" w:rsidP="00445C91">
            <w:pPr>
              <w:jc w:val="center"/>
            </w:pPr>
            <w:r>
              <w:t>0.5</w:t>
            </w:r>
          </w:p>
        </w:tc>
        <w:tc>
          <w:tcPr>
            <w:tcW w:w="1321" w:type="dxa"/>
            <w:tcBorders>
              <w:left w:val="double" w:sz="4" w:space="0" w:color="auto"/>
            </w:tcBorders>
          </w:tcPr>
          <w:p w14:paraId="160B0E4A" w14:textId="6254F8B0" w:rsidR="00445C91" w:rsidRPr="008120CD" w:rsidRDefault="00445C91" w:rsidP="00445C91">
            <w:pPr>
              <w:jc w:val="center"/>
            </w:pPr>
            <w:r>
              <w:t>0.5</w:t>
            </w:r>
          </w:p>
        </w:tc>
        <w:tc>
          <w:tcPr>
            <w:tcW w:w="1321" w:type="dxa"/>
            <w:tcBorders>
              <w:left w:val="double" w:sz="4" w:space="0" w:color="auto"/>
            </w:tcBorders>
          </w:tcPr>
          <w:p w14:paraId="3CC5BE45" w14:textId="70D57391" w:rsidR="00445C91" w:rsidRDefault="00445C91" w:rsidP="00445C91">
            <w:pPr>
              <w:jc w:val="center"/>
            </w:pPr>
            <w:r>
              <w:t>0.5</w:t>
            </w:r>
          </w:p>
        </w:tc>
      </w:tr>
      <w:tr w:rsidR="00445C91" w:rsidRPr="008120CD" w14:paraId="44D6B1C0" w14:textId="09213E2D" w:rsidTr="00330E68">
        <w:trPr>
          <w:jc w:val="center"/>
        </w:trPr>
        <w:tc>
          <w:tcPr>
            <w:tcW w:w="1568" w:type="dxa"/>
            <w:tcBorders>
              <w:left w:val="double" w:sz="4" w:space="0" w:color="auto"/>
              <w:right w:val="double" w:sz="4" w:space="0" w:color="auto"/>
            </w:tcBorders>
            <w:vAlign w:val="center"/>
          </w:tcPr>
          <w:p w14:paraId="2892D78D" w14:textId="77777777" w:rsidR="00445C91" w:rsidRPr="00445C91" w:rsidRDefault="00445C91" w:rsidP="00445C91">
            <w:pPr>
              <w:jc w:val="center"/>
              <w:rPr>
                <w:vertAlign w:val="subscript"/>
              </w:rPr>
            </w:pPr>
            <w:r>
              <w:t>q’</w:t>
            </w:r>
            <w:r>
              <w:rPr>
                <w:vertAlign w:val="subscript"/>
              </w:rPr>
              <w:t>max</w:t>
            </w:r>
          </w:p>
        </w:tc>
        <w:tc>
          <w:tcPr>
            <w:tcW w:w="1568" w:type="dxa"/>
            <w:tcBorders>
              <w:left w:val="double" w:sz="4" w:space="0" w:color="auto"/>
              <w:right w:val="double" w:sz="4" w:space="0" w:color="auto"/>
            </w:tcBorders>
            <w:vAlign w:val="center"/>
          </w:tcPr>
          <w:p w14:paraId="637A29B5" w14:textId="03CD20BD" w:rsidR="00445C91" w:rsidRPr="00445C91" w:rsidRDefault="00445C91" w:rsidP="00445C91">
            <w:pPr>
              <w:jc w:val="center"/>
            </w:pPr>
            <w:r w:rsidRPr="00445C91">
              <w:t>kW</w:t>
            </w:r>
            <w:r w:rsidR="00873985">
              <w:t>/m</w:t>
            </w:r>
          </w:p>
        </w:tc>
        <w:tc>
          <w:tcPr>
            <w:tcW w:w="1170" w:type="dxa"/>
            <w:tcBorders>
              <w:left w:val="double" w:sz="4" w:space="0" w:color="auto"/>
              <w:right w:val="double" w:sz="4" w:space="0" w:color="auto"/>
            </w:tcBorders>
          </w:tcPr>
          <w:p w14:paraId="609EE376" w14:textId="0A766A69" w:rsidR="00445C91" w:rsidRPr="003369D9" w:rsidRDefault="00445C91" w:rsidP="00445C91">
            <w:pPr>
              <w:jc w:val="center"/>
            </w:pPr>
            <w:r>
              <w:t>2</w:t>
            </w:r>
          </w:p>
        </w:tc>
        <w:tc>
          <w:tcPr>
            <w:tcW w:w="1473" w:type="dxa"/>
            <w:tcBorders>
              <w:left w:val="double" w:sz="4" w:space="0" w:color="auto"/>
            </w:tcBorders>
            <w:vAlign w:val="center"/>
          </w:tcPr>
          <w:p w14:paraId="4A89167C" w14:textId="69478EBD" w:rsidR="00445C91" w:rsidRPr="008120CD" w:rsidRDefault="00445C91" w:rsidP="00445C91">
            <w:pPr>
              <w:jc w:val="center"/>
            </w:pPr>
            <w:r>
              <w:t>2</w:t>
            </w:r>
          </w:p>
        </w:tc>
        <w:tc>
          <w:tcPr>
            <w:tcW w:w="1321" w:type="dxa"/>
            <w:tcBorders>
              <w:left w:val="double" w:sz="4" w:space="0" w:color="auto"/>
            </w:tcBorders>
          </w:tcPr>
          <w:p w14:paraId="08306D1D" w14:textId="069B636A" w:rsidR="00445C91" w:rsidRPr="009E5CA0" w:rsidRDefault="00445C91" w:rsidP="00445C91">
            <w:pPr>
              <w:jc w:val="center"/>
            </w:pPr>
            <w:r>
              <w:t>2</w:t>
            </w:r>
          </w:p>
        </w:tc>
        <w:tc>
          <w:tcPr>
            <w:tcW w:w="1321" w:type="dxa"/>
            <w:tcBorders>
              <w:left w:val="double" w:sz="4" w:space="0" w:color="auto"/>
            </w:tcBorders>
          </w:tcPr>
          <w:p w14:paraId="5B5B0768" w14:textId="12419049" w:rsidR="00445C91" w:rsidRDefault="00445C91" w:rsidP="00445C91">
            <w:pPr>
              <w:jc w:val="center"/>
            </w:pPr>
            <w:r>
              <w:t>2</w:t>
            </w:r>
          </w:p>
        </w:tc>
      </w:tr>
      <w:tr w:rsidR="00445C91" w:rsidRPr="008120CD" w14:paraId="7124B62D" w14:textId="77777777" w:rsidTr="002F3326">
        <w:trPr>
          <w:jc w:val="center"/>
        </w:trPr>
        <w:tc>
          <w:tcPr>
            <w:tcW w:w="1568" w:type="dxa"/>
            <w:tcBorders>
              <w:left w:val="double" w:sz="4" w:space="0" w:color="auto"/>
              <w:right w:val="double" w:sz="4" w:space="0" w:color="auto"/>
            </w:tcBorders>
            <w:vAlign w:val="center"/>
          </w:tcPr>
          <w:p w14:paraId="2DEA675F" w14:textId="77777777" w:rsidR="00445C91" w:rsidRPr="00445C91" w:rsidRDefault="00445C91" w:rsidP="00445C91">
            <w:pPr>
              <w:jc w:val="center"/>
              <w:rPr>
                <w:vertAlign w:val="subscript"/>
              </w:rPr>
            </w:pPr>
            <w:r>
              <w:t>V</w:t>
            </w:r>
            <w:r>
              <w:rPr>
                <w:vertAlign w:val="subscript"/>
              </w:rPr>
              <w:t>ss</w:t>
            </w:r>
          </w:p>
        </w:tc>
        <w:tc>
          <w:tcPr>
            <w:tcW w:w="1568" w:type="dxa"/>
            <w:tcBorders>
              <w:left w:val="double" w:sz="4" w:space="0" w:color="auto"/>
              <w:right w:val="double" w:sz="4" w:space="0" w:color="auto"/>
            </w:tcBorders>
            <w:vAlign w:val="center"/>
          </w:tcPr>
          <w:p w14:paraId="43C946DE" w14:textId="23F8894E" w:rsidR="00445C91" w:rsidRPr="00445C91" w:rsidRDefault="00445C91" w:rsidP="00445C91">
            <w:pPr>
              <w:jc w:val="center"/>
            </w:pPr>
            <w:r>
              <w:t>m/s</w:t>
            </w:r>
          </w:p>
        </w:tc>
        <w:tc>
          <w:tcPr>
            <w:tcW w:w="1170" w:type="dxa"/>
            <w:tcBorders>
              <w:left w:val="double" w:sz="4" w:space="0" w:color="auto"/>
              <w:right w:val="double" w:sz="4" w:space="0" w:color="auto"/>
            </w:tcBorders>
          </w:tcPr>
          <w:p w14:paraId="1BB09B67" w14:textId="0427E38F" w:rsidR="00445C91" w:rsidRDefault="00445C91" w:rsidP="00445C91">
            <w:pPr>
              <w:jc w:val="center"/>
            </w:pPr>
            <w:r>
              <w:t>4</w:t>
            </w:r>
          </w:p>
        </w:tc>
        <w:tc>
          <w:tcPr>
            <w:tcW w:w="1473" w:type="dxa"/>
            <w:tcBorders>
              <w:left w:val="double" w:sz="4" w:space="0" w:color="auto"/>
            </w:tcBorders>
            <w:vAlign w:val="center"/>
          </w:tcPr>
          <w:p w14:paraId="61466F58" w14:textId="095188C5" w:rsidR="00445C91" w:rsidRDefault="00445C91" w:rsidP="00445C91">
            <w:pPr>
              <w:jc w:val="center"/>
            </w:pPr>
            <w:r>
              <w:t>4</w:t>
            </w:r>
          </w:p>
        </w:tc>
        <w:tc>
          <w:tcPr>
            <w:tcW w:w="1321" w:type="dxa"/>
            <w:tcBorders>
              <w:left w:val="double" w:sz="4" w:space="0" w:color="auto"/>
            </w:tcBorders>
          </w:tcPr>
          <w:p w14:paraId="662A7442" w14:textId="17F89A4D" w:rsidR="00445C91" w:rsidRDefault="00445C91" w:rsidP="00445C91">
            <w:pPr>
              <w:jc w:val="center"/>
            </w:pPr>
            <w:r>
              <w:t>4</w:t>
            </w:r>
          </w:p>
        </w:tc>
        <w:tc>
          <w:tcPr>
            <w:tcW w:w="1321" w:type="dxa"/>
            <w:tcBorders>
              <w:left w:val="double" w:sz="4" w:space="0" w:color="auto"/>
            </w:tcBorders>
          </w:tcPr>
          <w:p w14:paraId="05BAFA65" w14:textId="3744404F" w:rsidR="00445C91" w:rsidRDefault="00445C91" w:rsidP="00445C91">
            <w:pPr>
              <w:jc w:val="center"/>
            </w:pPr>
            <w:r>
              <w:t>4</w:t>
            </w:r>
          </w:p>
        </w:tc>
      </w:tr>
      <w:tr w:rsidR="00445C91" w:rsidRPr="008120CD" w14:paraId="5160551C" w14:textId="77777777" w:rsidTr="00B14DE2">
        <w:trPr>
          <w:jc w:val="center"/>
        </w:trPr>
        <w:tc>
          <w:tcPr>
            <w:tcW w:w="1568" w:type="dxa"/>
            <w:tcBorders>
              <w:left w:val="double" w:sz="4" w:space="0" w:color="auto"/>
              <w:right w:val="double" w:sz="4" w:space="0" w:color="auto"/>
            </w:tcBorders>
            <w:vAlign w:val="center"/>
          </w:tcPr>
          <w:p w14:paraId="74447FB7" w14:textId="77777777" w:rsidR="00445C91" w:rsidRDefault="00445C91" w:rsidP="00445C91">
            <w:pPr>
              <w:jc w:val="center"/>
            </w:pPr>
            <w:r>
              <w:sym w:font="Symbol" w:char="F074"/>
            </w:r>
          </w:p>
        </w:tc>
        <w:tc>
          <w:tcPr>
            <w:tcW w:w="1568" w:type="dxa"/>
            <w:tcBorders>
              <w:left w:val="double" w:sz="4" w:space="0" w:color="auto"/>
              <w:right w:val="double" w:sz="4" w:space="0" w:color="auto"/>
            </w:tcBorders>
            <w:vAlign w:val="center"/>
          </w:tcPr>
          <w:p w14:paraId="122A98B3" w14:textId="10B829CA" w:rsidR="00445C91" w:rsidRPr="00445C91" w:rsidRDefault="00445C91" w:rsidP="00445C91">
            <w:pPr>
              <w:jc w:val="center"/>
            </w:pPr>
            <w:r>
              <w:t>s</w:t>
            </w:r>
          </w:p>
        </w:tc>
        <w:tc>
          <w:tcPr>
            <w:tcW w:w="1170" w:type="dxa"/>
            <w:tcBorders>
              <w:left w:val="double" w:sz="4" w:space="0" w:color="auto"/>
              <w:right w:val="double" w:sz="4" w:space="0" w:color="auto"/>
            </w:tcBorders>
          </w:tcPr>
          <w:p w14:paraId="0730D177" w14:textId="2315C691" w:rsidR="00445C91" w:rsidRDefault="00445C91" w:rsidP="00445C91">
            <w:pPr>
              <w:jc w:val="center"/>
            </w:pPr>
            <w:r>
              <w:t>10</w:t>
            </w:r>
          </w:p>
        </w:tc>
        <w:tc>
          <w:tcPr>
            <w:tcW w:w="1473" w:type="dxa"/>
            <w:tcBorders>
              <w:left w:val="double" w:sz="4" w:space="0" w:color="auto"/>
            </w:tcBorders>
            <w:vAlign w:val="center"/>
          </w:tcPr>
          <w:p w14:paraId="76E06BD0" w14:textId="156F7E79" w:rsidR="00445C91" w:rsidRDefault="00445C91" w:rsidP="00445C91">
            <w:pPr>
              <w:jc w:val="center"/>
            </w:pPr>
            <w:r>
              <w:t>5</w:t>
            </w:r>
          </w:p>
        </w:tc>
        <w:tc>
          <w:tcPr>
            <w:tcW w:w="1321" w:type="dxa"/>
            <w:tcBorders>
              <w:left w:val="double" w:sz="4" w:space="0" w:color="auto"/>
            </w:tcBorders>
          </w:tcPr>
          <w:p w14:paraId="1A950380" w14:textId="71539A9B" w:rsidR="00445C91" w:rsidRDefault="00445C91" w:rsidP="00445C91">
            <w:pPr>
              <w:jc w:val="center"/>
            </w:pPr>
            <w:r>
              <w:t>2</w:t>
            </w:r>
          </w:p>
        </w:tc>
        <w:tc>
          <w:tcPr>
            <w:tcW w:w="1321" w:type="dxa"/>
            <w:tcBorders>
              <w:left w:val="double" w:sz="4" w:space="0" w:color="auto"/>
            </w:tcBorders>
          </w:tcPr>
          <w:p w14:paraId="61B3FF91" w14:textId="2F5F246C" w:rsidR="00445C91" w:rsidRDefault="00445C91" w:rsidP="00445C91">
            <w:pPr>
              <w:jc w:val="center"/>
            </w:pPr>
            <w:r>
              <w:t>1</w:t>
            </w:r>
          </w:p>
        </w:tc>
      </w:tr>
    </w:tbl>
    <w:p w14:paraId="4C5DD039" w14:textId="77777777" w:rsidR="00A6389D" w:rsidRDefault="00A6389D" w:rsidP="00A6389D"/>
    <w:p w14:paraId="08E2FA6C" w14:textId="1F331F87" w:rsidR="00A6389D" w:rsidRDefault="00A6389D" w:rsidP="00A6389D"/>
    <w:p w14:paraId="074D43A8" w14:textId="3A292DB1" w:rsidR="0082204A" w:rsidRDefault="0082204A" w:rsidP="00A6389D"/>
    <w:p w14:paraId="58CAB8D7" w14:textId="7421EC44" w:rsidR="0082204A" w:rsidRDefault="0082204A" w:rsidP="00A6389D"/>
    <w:p w14:paraId="5471D693" w14:textId="2E41B892" w:rsidR="0082204A" w:rsidRDefault="0082204A" w:rsidP="00A6389D"/>
    <w:p w14:paraId="2A52737C" w14:textId="38252999" w:rsidR="0082204A" w:rsidRDefault="0082204A" w:rsidP="00A6389D"/>
    <w:p w14:paraId="04B9AC5A" w14:textId="62159D09" w:rsidR="0082204A" w:rsidRDefault="0082204A" w:rsidP="00A6389D"/>
    <w:p w14:paraId="0D28AF94" w14:textId="77777777" w:rsidR="0082204A" w:rsidRDefault="0082204A" w:rsidP="00A6389D"/>
    <w:p w14:paraId="4EC9F502" w14:textId="77777777" w:rsidR="00A6389D" w:rsidRDefault="00A6389D" w:rsidP="00A6389D"/>
    <w:p w14:paraId="63AF0FE8" w14:textId="17533A4F" w:rsidR="005803F7" w:rsidRDefault="00693C5B" w:rsidP="00693C5B">
      <w:pPr>
        <w:jc w:val="center"/>
      </w:pPr>
      <w:r>
        <w:rPr>
          <w:noProof/>
        </w:rPr>
        <w:lastRenderedPageBreak/>
        <w:drawing>
          <wp:inline distT="0" distB="0" distL="0" distR="0" wp14:anchorId="6EF0A623" wp14:editId="3227AF21">
            <wp:extent cx="4915893" cy="4250690"/>
            <wp:effectExtent l="0" t="0" r="0" b="381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rotWithShape="1">
                    <a:blip r:embed="rId19" cstate="print">
                      <a:extLst>
                        <a:ext uri="{28A0092B-C50C-407E-A947-70E740481C1C}">
                          <a14:useLocalDpi xmlns:a14="http://schemas.microsoft.com/office/drawing/2010/main" val="0"/>
                        </a:ext>
                      </a:extLst>
                    </a:blip>
                    <a:srcRect l="6142" t="6516" r="4235" b="4917"/>
                    <a:stretch/>
                  </pic:blipFill>
                  <pic:spPr bwMode="auto">
                    <a:xfrm>
                      <a:off x="0" y="0"/>
                      <a:ext cx="4917097" cy="4251731"/>
                    </a:xfrm>
                    <a:prstGeom prst="rect">
                      <a:avLst/>
                    </a:prstGeom>
                    <a:ln>
                      <a:noFill/>
                    </a:ln>
                    <a:extLst>
                      <a:ext uri="{53640926-AAD7-44D8-BBD7-CCE9431645EC}">
                        <a14:shadowObscured xmlns:a14="http://schemas.microsoft.com/office/drawing/2010/main"/>
                      </a:ext>
                    </a:extLst>
                  </pic:spPr>
                </pic:pic>
              </a:graphicData>
            </a:graphic>
          </wp:inline>
        </w:drawing>
      </w:r>
    </w:p>
    <w:p w14:paraId="4E022C05" w14:textId="53A87561" w:rsidR="005803F7" w:rsidRDefault="005803F7" w:rsidP="00874CBB">
      <w:pPr>
        <w:pStyle w:val="Caption"/>
      </w:pPr>
      <w:bookmarkStart w:id="46" w:name="_Ref160656320"/>
      <w:bookmarkStart w:id="47" w:name="_Toc202957538"/>
      <w:r w:rsidRPr="009D2AA9">
        <w:t xml:space="preserve">Figure </w:t>
      </w:r>
      <w:fldSimple w:instr=" STYLEREF 1 \s ">
        <w:r w:rsidR="00BF7E93">
          <w:rPr>
            <w:noProof/>
          </w:rPr>
          <w:t>3</w:t>
        </w:r>
      </w:fldSimple>
      <w:r w:rsidRPr="009D2AA9">
        <w:t>.</w:t>
      </w:r>
      <w:fldSimple w:instr=" SEQ Figure \* ARABIC \s 1 ">
        <w:r w:rsidR="00BF7E93">
          <w:rPr>
            <w:noProof/>
          </w:rPr>
          <w:t>3</w:t>
        </w:r>
      </w:fldSimple>
      <w:bookmarkEnd w:id="46"/>
      <w:r w:rsidRPr="009D2AA9">
        <w:t xml:space="preserve">. </w:t>
      </w:r>
      <w:r>
        <w:t xml:space="preserve">Transient TRa Experimental </w:t>
      </w:r>
      <w:r w:rsidR="00CC4B1A">
        <w:t>Data</w:t>
      </w:r>
      <w:r>
        <w:t xml:space="preserve"> with </w:t>
      </w:r>
      <w:r w:rsidR="00CC4B1A">
        <w:t>Corresponding</w:t>
      </w:r>
      <w:r w:rsidR="0083486F">
        <w:t xml:space="preserve"> Representative</w:t>
      </w:r>
      <w:r>
        <w:t xml:space="preserve"> Power Pulse Overlaid.</w:t>
      </w:r>
      <w:bookmarkEnd w:id="47"/>
    </w:p>
    <w:p w14:paraId="2345D12F" w14:textId="5C87E027" w:rsidR="003369D9" w:rsidRDefault="003369D9" w:rsidP="005803F7">
      <w:pPr>
        <w:jc w:val="center"/>
      </w:pPr>
      <w:r>
        <w:br w:type="page"/>
      </w:r>
    </w:p>
    <w:p w14:paraId="3AC9863F" w14:textId="77777777" w:rsidR="00B871A7" w:rsidRDefault="00B871A7" w:rsidP="00B871A7">
      <w:r w:rsidRPr="00967E50">
        <w:lastRenderedPageBreak/>
        <w:t xml:space="preserve">The high-powered transient experiments have not been fully realized for the TRTL facility. While the validity of operating the high-power heater rod was demonstrated in the laboratory setting, the prototypical condition transient tests requiring the use of the high-power heater rod had not yet completed. Instead, high-power transient test simulations using the </w:t>
      </w:r>
      <w:r>
        <w:t>TRACE and RELAP5-3D</w:t>
      </w:r>
      <w:r w:rsidRPr="00967E50">
        <w:t xml:space="preserve"> code were completed </w:t>
      </w:r>
      <w:r>
        <w:t>using the conditions close to the transition range between CHF and non-CHF behavior</w:t>
      </w:r>
      <w:r w:rsidRPr="00967E50">
        <w:t xml:space="preserve">. </w:t>
      </w:r>
    </w:p>
    <w:p w14:paraId="08DA0A8D" w14:textId="376F2169" w:rsidR="00BD2D6F" w:rsidRDefault="00B871A7" w:rsidP="00B871A7">
      <w:r w:rsidRPr="00967E50">
        <w:t>As previously</w:t>
      </w:r>
      <w:r>
        <w:t xml:space="preserve"> mentioned within the literature review</w:t>
      </w:r>
      <w:r w:rsidRPr="00967E50">
        <w:t xml:space="preserve">, efforts have been made to improve the prediction of CHF and post-CHF behavior within RELAP5-3D </w:t>
      </w:r>
      <w:r w:rsidRPr="00967E50">
        <w:fldChar w:fldCharType="begin">
          <w:fldData xml:space="preserve">PEVuZE5vdGU+PENpdGU+PEF1dGhvcj5Hb3J0b248L0F1dGhvcj48WWVhcj4yMDE5PC9ZZWFyPjxS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</w:fldData>
        </w:fldChar>
      </w:r>
      <w:r>
        <w:instrText xml:space="preserve"> ADDIN EN.CITE </w:instrText>
      </w:r>
      <w:r>
        <w:fldChar w:fldCharType="begin">
          <w:fldData xml:space="preserve">PEVuZE5vdGU+PENpdGU+PEF1dGhvcj5Hb3J0b248L0F1dGhvcj48WWVhcj4yMDE5PC9ZZWFyPjxS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</w:fldData>
        </w:fldChar>
      </w:r>
      <w:r>
        <w:instrText xml:space="preserve"> ADDIN EN.CITE.DATA </w:instrText>
      </w:r>
      <w:r>
        <w:fldChar w:fldCharType="end"/>
      </w:r>
      <w:r w:rsidRPr="00967E50">
        <w:fldChar w:fldCharType="separate"/>
      </w:r>
      <w:r>
        <w:rPr>
          <w:noProof/>
        </w:rPr>
        <w:t>[18, 72, 73, 103, 104]</w:t>
      </w:r>
      <w:r w:rsidRPr="00967E50">
        <w:fldChar w:fldCharType="end"/>
      </w:r>
      <w:r w:rsidRPr="00967E50">
        <w:t>. The development of the TRTL facility</w:t>
      </w:r>
      <w:r>
        <w:t xml:space="preserve"> </w:t>
      </w:r>
      <w:r w:rsidRPr="00967E50">
        <w:t>provides the opportunity to continue the improvement of the RELAP5-3D CHF prediction model. Since there is no legacy CHF</w:t>
      </w:r>
      <w:r>
        <w:t xml:space="preserve"> </w:t>
      </w:r>
      <w:r w:rsidR="00BD2D6F" w:rsidRPr="00967E50">
        <w:t xml:space="preserve">data for the TRTL facility, </w:t>
      </w:r>
      <w:r w:rsidR="00AF1CD8">
        <w:t>I</w:t>
      </w:r>
      <w:r w:rsidR="00BD2D6F" w:rsidRPr="00967E50">
        <w:t xml:space="preserve"> have developed a RELAP5-3D model of the TRTL facility</w:t>
      </w:r>
      <w:r w:rsidR="00BD2D6F">
        <w:t xml:space="preserve"> (independent of the models previously mentioned)</w:t>
      </w:r>
      <w:r w:rsidR="00BD2D6F" w:rsidRPr="00967E50">
        <w:t xml:space="preserve"> to define </w:t>
      </w:r>
      <w:r w:rsidR="004841F7">
        <w:t xml:space="preserve">a </w:t>
      </w:r>
      <w:r w:rsidR="00BD2D6F" w:rsidRPr="00967E50">
        <w:t xml:space="preserve">performance envelope for a </w:t>
      </w:r>
      <w:r w:rsidR="004841F7">
        <w:t>future</w:t>
      </w:r>
      <w:r w:rsidR="00BD2D6F" w:rsidRPr="00967E50">
        <w:t xml:space="preserve"> CHF experimental campaign. The developed thermal-hydraulics model, as seen in the nodalization diagram in</w:t>
      </w:r>
      <w:r w:rsidR="0004271C">
        <w:t xml:space="preserve"> </w:t>
      </w:r>
      <w:r w:rsidR="008E647B" w:rsidRPr="00377123">
        <w:rPr>
          <w:b/>
          <w:bCs/>
        </w:rPr>
        <w:fldChar w:fldCharType="begin"/>
      </w:r>
      <w:r w:rsidR="008E647B" w:rsidRPr="00377123">
        <w:rPr>
          <w:b/>
          <w:bCs/>
        </w:rPr>
        <w:instrText xml:space="preserve"> REF _Ref160658275 \h </w:instrText>
      </w:r>
      <w:r w:rsidR="00377123">
        <w:rPr>
          <w:b/>
          <w:bCs/>
        </w:rPr>
        <w:instrText xml:space="preserve"> \* MERGEFORMAT </w:instrText>
      </w:r>
      <w:r w:rsidR="008E647B" w:rsidRPr="00377123">
        <w:rPr>
          <w:b/>
          <w:bCs/>
        </w:rPr>
      </w:r>
      <w:r w:rsidR="008E647B" w:rsidRPr="00377123">
        <w:rPr>
          <w:b/>
          <w:bCs/>
        </w:rPr>
        <w:fldChar w:fldCharType="separate"/>
      </w:r>
      <w:r w:rsidR="00BF7E93" w:rsidRPr="00BF7E93">
        <w:rPr>
          <w:b/>
          <w:bCs/>
        </w:rPr>
        <w:t xml:space="preserve">Figure </w:t>
      </w:r>
      <w:r w:rsidR="00BF7E93" w:rsidRPr="00BF7E93">
        <w:rPr>
          <w:b/>
          <w:bCs/>
          <w:noProof/>
        </w:rPr>
        <w:t>3.4</w:t>
      </w:r>
      <w:r w:rsidR="008E647B" w:rsidRPr="00377123">
        <w:rPr>
          <w:b/>
          <w:bCs/>
        </w:rPr>
        <w:fldChar w:fldCharType="end"/>
      </w:r>
      <w:r w:rsidR="00BD2D6F" w:rsidRPr="00967E50">
        <w:t xml:space="preserve">, includes both the primary side (shown in the render) and secondary side (not shown) of the TRTL loop based on the reported operational dimensions and primary side flow conditions </w:t>
      </w:r>
      <w:r w:rsidR="00BD2D6F" w:rsidRPr="00967E50">
        <w:fldChar w:fldCharType="begin"/>
      </w:r>
      <w:r w:rsidR="003026BC">
        <w:instrText xml:space="preserve"> ADDIN EN.CITE &lt;EndNote&gt;&lt;Cite&gt;&lt;Author&gt;LaBrier&lt;/Author&gt;&lt;Year&gt;2018&lt;/Year&gt;&lt;RecNum&gt;248&lt;/RecNum&gt;&lt;DisplayText&gt;[99]&lt;/DisplayText&gt;&lt;record&gt;&lt;rec-number&gt;248&lt;/rec-number&gt;&lt;foreign-keys&gt;&lt;key app="EN" db-id="eseee05sfe5vt6efvr0xapvq20vfdsfp5fvf" timestamp="1671687635" guid="d72f7643-b3ac-43f2-a7d7-838fa67856cf"&gt;248&lt;/key&gt;&lt;/foreign-keys&gt;&lt;ref-type name="Report"&gt;27&lt;/ref-type&gt;&lt;contributors&gt;&lt;authors&gt;&lt;author&gt;D LaBrier&lt;/author&gt;&lt;author&gt;A Weiss&lt;/author&gt;&lt;author&gt;W Marcum&lt;/author&gt;&lt;/authors&gt;&lt;/contributors&gt;&lt;titles&gt;&lt;title&gt;Task 2.2 Summary for IRP-15-8761&lt;/title&gt;&lt;/titles&gt;&lt;dates&gt;&lt;year&gt;2018&lt;/year&gt;&lt;pub-dates&gt;&lt;date&gt;December&lt;/date&gt;&lt;/pub-dates&gt;&lt;/dates&gt;&lt;publisher&gt;Oregon State University&lt;/publisher&gt;&lt;urls&gt;&lt;/urls&gt;&lt;/record&gt;&lt;/Cite&gt;&lt;/EndNote&gt;</w:instrText>
      </w:r>
      <w:r w:rsidR="00BD2D6F" w:rsidRPr="00967E50">
        <w:fldChar w:fldCharType="separate"/>
      </w:r>
      <w:r w:rsidR="003026BC">
        <w:rPr>
          <w:noProof/>
        </w:rPr>
        <w:t>[99]</w:t>
      </w:r>
      <w:r w:rsidR="00BD2D6F" w:rsidRPr="00967E50">
        <w:fldChar w:fldCharType="end"/>
      </w:r>
      <w:r w:rsidR="00BD2D6F" w:rsidRPr="00967E50">
        <w:t xml:space="preserve">. Since there was a lack of instrumentation on the secondary side, the conditions of the secondary side </w:t>
      </w:r>
      <w:r w:rsidR="0016271E">
        <w:t>a</w:t>
      </w:r>
      <w:r w:rsidR="00BD2D6F" w:rsidRPr="00967E50">
        <w:t xml:space="preserve">re determined such that the steady state conditions of the primary side were reached. While this may cause discrepancies between longer term response of the system, this </w:t>
      </w:r>
      <w:r w:rsidR="0016271E">
        <w:t>i</w:t>
      </w:r>
      <w:r w:rsidR="00BD2D6F" w:rsidRPr="00967E50">
        <w:t>s deemed negligible for short transients such as those experienced during RIA scenarios</w:t>
      </w:r>
      <w:r w:rsidR="00BD2D6F">
        <w:t>.</w:t>
      </w:r>
    </w:p>
    <w:p w14:paraId="649B8001" w14:textId="77777777" w:rsidR="00BD2D6F" w:rsidRPr="00967E50" w:rsidRDefault="00BD2D6F" w:rsidP="00BD2D6F"/>
    <w:p w14:paraId="40A08677" w14:textId="366DF0C2" w:rsidR="00A10A7F" w:rsidRPr="00967E50" w:rsidRDefault="00A10A7F" w:rsidP="0082204A">
      <w:pPr>
        <w:jc w:val="center"/>
        <w:rPr>
          <w:rFonts w:eastAsiaTheme="minorEastAsia"/>
          <w:lang w:eastAsia="ko-KR"/>
        </w:rPr>
      </w:pPr>
      <w:r w:rsidRPr="00967E50">
        <w:rPr>
          <w:noProof/>
        </w:rPr>
        <w:lastRenderedPageBreak/>
        <w:drawing>
          <wp:inline distT="0" distB="0" distL="0" distR="0" wp14:anchorId="69536BE7" wp14:editId="3D5E7BFC">
            <wp:extent cx="1684421" cy="4947577"/>
            <wp:effectExtent l="0" t="0" r="5080" b="0"/>
            <wp:docPr id="8"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20" cstate="print"/>
                    <a:stretch>
                      <a:fillRect/>
                    </a:stretch>
                  </pic:blipFill>
                  <pic:spPr>
                    <a:xfrm>
                      <a:off x="0" y="0"/>
                      <a:ext cx="1695434" cy="4979924"/>
                    </a:xfrm>
                    <a:prstGeom prst="rect">
                      <a:avLst/>
                    </a:prstGeom>
                  </pic:spPr>
                </pic:pic>
              </a:graphicData>
            </a:graphic>
          </wp:inline>
        </w:drawing>
      </w:r>
      <w:r w:rsidRPr="00967E50">
        <w:rPr>
          <w:noProof/>
        </w:rPr>
        <w:drawing>
          <wp:inline distT="0" distB="0" distL="0" distR="0" wp14:anchorId="28E2D05C" wp14:editId="608F5258">
            <wp:extent cx="2799347" cy="4893962"/>
            <wp:effectExtent l="0" t="0" r="0" b="0"/>
            <wp:docPr id="7" name="image1.jpeg" descr="Diagram, schemati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1.jpeg" descr="Diagram, schematic&#10;&#10;Description automatically generated"/>
                    <pic:cNvPicPr/>
                  </pic:nvPicPr>
                  <pic:blipFill>
                    <a:blip r:embed="rId21" cstate="print"/>
                    <a:stretch>
                      <a:fillRect/>
                    </a:stretch>
                  </pic:blipFill>
                  <pic:spPr>
                    <a:xfrm>
                      <a:off x="0" y="0"/>
                      <a:ext cx="2819182" cy="4928638"/>
                    </a:xfrm>
                    <a:prstGeom prst="rect">
                      <a:avLst/>
                    </a:prstGeom>
                  </pic:spPr>
                </pic:pic>
              </a:graphicData>
            </a:graphic>
          </wp:inline>
        </w:drawing>
      </w:r>
    </w:p>
    <w:p w14:paraId="7BDEB892" w14:textId="590418BA" w:rsidR="00CC4B1A" w:rsidRDefault="00CC4B1A" w:rsidP="00874CBB">
      <w:pPr>
        <w:pStyle w:val="Caption"/>
      </w:pPr>
      <w:bookmarkStart w:id="48" w:name="_Ref160658275"/>
      <w:bookmarkStart w:id="49" w:name="_Toc202957539"/>
      <w:r w:rsidRPr="009D2AA9">
        <w:t xml:space="preserve">Figure </w:t>
      </w:r>
      <w:fldSimple w:instr=" STYLEREF 1 \s ">
        <w:r w:rsidR="00BF7E93">
          <w:rPr>
            <w:noProof/>
          </w:rPr>
          <w:t>3</w:t>
        </w:r>
      </w:fldSimple>
      <w:r w:rsidRPr="009D2AA9">
        <w:t>.</w:t>
      </w:r>
      <w:fldSimple w:instr=" SEQ Figure \* ARABIC \s 1 ">
        <w:r w:rsidR="00BF7E93">
          <w:rPr>
            <w:noProof/>
          </w:rPr>
          <w:t>4</w:t>
        </w:r>
      </w:fldSimple>
      <w:bookmarkEnd w:id="48"/>
      <w:r w:rsidRPr="009D2AA9">
        <w:t xml:space="preserve">. </w:t>
      </w:r>
      <w:r w:rsidR="00D204A9">
        <w:t xml:space="preserve">Schematic of the TRTL Loop (Left) with </w:t>
      </w:r>
      <w:r w:rsidR="002F3415">
        <w:t>a Corresponding RELAP5-3D Nodalization Diagram (Right)</w:t>
      </w:r>
      <w:r w:rsidR="00D83B64">
        <w:t>.</w:t>
      </w:r>
      <w:bookmarkEnd w:id="49"/>
    </w:p>
    <w:p w14:paraId="364643B7" w14:textId="77777777" w:rsidR="00A10A7F" w:rsidRDefault="00A10A7F">
      <w:r>
        <w:br w:type="page"/>
      </w:r>
    </w:p>
    <w:p w14:paraId="231E702F" w14:textId="4C026806" w:rsidR="00B871A7" w:rsidRDefault="00B871A7" w:rsidP="00B871A7">
      <w:r>
        <w:lastRenderedPageBreak/>
        <w:t>Our</w:t>
      </w:r>
      <w:r w:rsidRPr="00967E50">
        <w:t xml:space="preserve"> RELAP5-3D model</w:t>
      </w:r>
      <w:r>
        <w:t xml:space="preserve"> and the updated legacy TRACE model</w:t>
      </w:r>
      <w:r w:rsidRPr="00967E50">
        <w:t xml:space="preserve"> </w:t>
      </w:r>
      <w:r>
        <w:t>will be</w:t>
      </w:r>
      <w:r w:rsidRPr="00967E50">
        <w:t xml:space="preserve"> v</w:t>
      </w:r>
      <w:r>
        <w:t xml:space="preserve">alidated </w:t>
      </w:r>
      <w:r w:rsidRPr="00967E50">
        <w:t xml:space="preserve">against </w:t>
      </w:r>
      <w:r>
        <w:t xml:space="preserve">the </w:t>
      </w:r>
      <w:r w:rsidRPr="00967E50">
        <w:t>low power experimental results</w:t>
      </w:r>
      <w:r>
        <w:t xml:space="preserve"> such as those in </w:t>
      </w:r>
      <w:r w:rsidRPr="00B871A7">
        <w:fldChar w:fldCharType="begin"/>
      </w:r>
      <w:r w:rsidRPr="00B871A7">
        <w:instrText xml:space="preserve"> REF _Ref160656320 \h  \* MERGEFORMAT </w:instrText>
      </w:r>
      <w:r w:rsidRPr="00B871A7">
        <w:fldChar w:fldCharType="separate"/>
      </w:r>
      <w:r w:rsidR="00BF7E93" w:rsidRPr="009D2AA9">
        <w:t xml:space="preserve">Figure </w:t>
      </w:r>
      <w:r w:rsidR="00BF7E93">
        <w:rPr>
          <w:noProof/>
        </w:rPr>
        <w:t>3</w:t>
      </w:r>
      <w:r w:rsidR="00BF7E93" w:rsidRPr="009D2AA9">
        <w:rPr>
          <w:noProof/>
        </w:rPr>
        <w:t>.</w:t>
      </w:r>
      <w:r w:rsidR="00BF7E93">
        <w:rPr>
          <w:noProof/>
        </w:rPr>
        <w:t>3</w:t>
      </w:r>
      <w:r w:rsidRPr="00B871A7">
        <w:fldChar w:fldCharType="end"/>
      </w:r>
      <w:r>
        <w:t xml:space="preserve">. </w:t>
      </w:r>
      <w:r w:rsidRPr="00967E50">
        <w:t xml:space="preserve">Each test starts at a constant power until steady state </w:t>
      </w:r>
      <w:r>
        <w:t>i</w:t>
      </w:r>
      <w:r w:rsidRPr="00967E50">
        <w:t>s achieved,</w:t>
      </w:r>
      <w:r>
        <w:t xml:space="preserve"> after 1500 seconds,</w:t>
      </w:r>
      <w:r w:rsidRPr="00967E50">
        <w:t xml:space="preserve"> then triggers an exponential pulse of varying exponential period and magnitude. The transient power of each pulse is of the following form</w:t>
      </w:r>
    </w:p>
    <w:tbl>
      <w:tblPr>
        <w:tblStyle w:val="TableGrid"/>
        <w:tblW w:w="86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0"/>
        <w:gridCol w:w="7451"/>
        <w:gridCol w:w="561"/>
      </w:tblGrid>
      <w:tr w:rsidR="00B871A7" w:rsidRPr="003B3750" w14:paraId="7B317DDD" w14:textId="77777777" w:rsidTr="00483812">
        <w:tc>
          <w:tcPr>
            <w:tcW w:w="590" w:type="dxa"/>
            <w:vAlign w:val="center"/>
          </w:tcPr>
          <w:p w14:paraId="61C274FE" w14:textId="77777777" w:rsidR="00B871A7" w:rsidRPr="00E1335E" w:rsidRDefault="00B871A7" w:rsidP="00483812">
            <w:pPr>
              <w:pStyle w:val="Caption"/>
            </w:pPr>
          </w:p>
        </w:tc>
        <w:tc>
          <w:tcPr>
            <w:tcW w:w="7451" w:type="dxa"/>
            <w:vAlign w:val="center"/>
          </w:tcPr>
          <w:p w14:paraId="7C0F1DC5" w14:textId="77777777" w:rsidR="00B871A7" w:rsidRPr="003B3750" w:rsidRDefault="00000000" w:rsidP="00483812">
            <w:pPr>
              <w:pStyle w:val="Caption"/>
            </w:pPr>
            <m:oMathPara>
              <m:oMath>
                <m:sSub>
                  <m:sSubPr>
                    <m:ctrlPr>
                      <w:rPr>
                        <w:rFonts w:ascii="Cambria Math" w:hAnsi="Cambria Math"/>
                      </w:rPr>
                    </m:ctrlPr>
                  </m:sSubPr>
                  <m:e>
                    <m:r>
                      <w:rPr>
                        <w:rFonts w:ascii="Cambria Math" w:hAnsi="Cambria Math"/>
                      </w:rPr>
                      <m:t>P</m:t>
                    </m:r>
                  </m:e>
                  <m:sub>
                    <m:r>
                      <w:rPr>
                        <w:rFonts w:ascii="Cambria Math" w:hAnsi="Cambria Math"/>
                      </w:rPr>
                      <m:t>Tr</m:t>
                    </m:r>
                  </m:sub>
                </m:sSub>
                <m:r>
                  <m:rPr>
                    <m:sty m:val="p"/>
                  </m:rP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SS</m:t>
                    </m:r>
                  </m:sub>
                </m:sSub>
                <m:r>
                  <m:rPr>
                    <m:sty m:val="p"/>
                  </m:rPr>
                  <w:rPr>
                    <w:rFonts w:ascii="Cambria Math" w:hAnsi="Cambria Math"/>
                  </w:rPr>
                  <m:t>+</m:t>
                </m:r>
                <m:r>
                  <w:rPr>
                    <w:rFonts w:ascii="Cambria Math" w:hAnsi="Cambria Math"/>
                  </w:rPr>
                  <m:t>G</m:t>
                </m:r>
                <m:d>
                  <m:dPr>
                    <m:ctrlPr>
                      <w:rPr>
                        <w:rFonts w:ascii="Cambria Math" w:hAnsi="Cambria Math"/>
                      </w:rPr>
                    </m:ctrlPr>
                  </m:dPr>
                  <m:e>
                    <m:sSup>
                      <m:sSupPr>
                        <m:ctrlPr>
                          <w:rPr>
                            <w:rFonts w:ascii="Cambria Math" w:hAnsi="Cambria Math"/>
                          </w:rPr>
                        </m:ctrlPr>
                      </m:sSupPr>
                      <m:e>
                        <m:r>
                          <w:rPr>
                            <w:rFonts w:ascii="Cambria Math" w:hAnsi="Cambria Math"/>
                          </w:rPr>
                          <m:t>e</m:t>
                        </m:r>
                      </m:e>
                      <m:sup>
                        <m:f>
                          <m:fPr>
                            <m:ctrlPr>
                              <w:rPr>
                                <w:rFonts w:ascii="Cambria Math" w:hAnsi="Cambria Math"/>
                              </w:rPr>
                            </m:ctrlPr>
                          </m:fPr>
                          <m:num>
                            <m:r>
                              <w:rPr>
                                <w:rFonts w:ascii="Cambria Math" w:hAnsi="Cambria Math"/>
                              </w:rPr>
                              <m:t>t</m:t>
                            </m:r>
                            <m:r>
                              <m:rPr>
                                <m:sty m:val="p"/>
                              </m:rPr>
                              <w:rPr>
                                <w:rFonts w:ascii="Cambria Math" w:hAnsi="Cambria Math"/>
                              </w:rPr>
                              <m:t>-</m:t>
                            </m:r>
                            <m:sSub>
                              <m:sSubPr>
                                <m:ctrlPr>
                                  <w:rPr>
                                    <w:rFonts w:ascii="Cambria Math" w:hAnsi="Cambria Math"/>
                                  </w:rPr>
                                </m:ctrlPr>
                              </m:sSubPr>
                              <m:e>
                                <m:r>
                                  <w:rPr>
                                    <w:rFonts w:ascii="Cambria Math" w:hAnsi="Cambria Math"/>
                                  </w:rPr>
                                  <m:t>t</m:t>
                                </m:r>
                              </m:e>
                              <m:sub>
                                <m:r>
                                  <w:rPr>
                                    <w:rFonts w:ascii="Cambria Math" w:hAnsi="Cambria Math"/>
                                  </w:rPr>
                                  <m:t>s</m:t>
                                </m:r>
                              </m:sub>
                            </m:sSub>
                          </m:num>
                          <m:den>
                            <m:r>
                              <w:rPr>
                                <w:rFonts w:ascii="Cambria Math" w:hAnsi="Cambria Math"/>
                              </w:rPr>
                              <m:t>τ</m:t>
                            </m:r>
                          </m:den>
                        </m:f>
                      </m:sup>
                    </m:sSup>
                    <m:r>
                      <m:rPr>
                        <m:sty m:val="p"/>
                      </m:rPr>
                      <w:rPr>
                        <w:rFonts w:ascii="Cambria Math" w:hAnsi="Cambria Math"/>
                      </w:rPr>
                      <m:t>-1</m:t>
                    </m:r>
                  </m:e>
                </m:d>
              </m:oMath>
            </m:oMathPara>
          </w:p>
        </w:tc>
        <w:bookmarkStart w:id="50" w:name="_Ref160658445"/>
        <w:bookmarkStart w:id="51" w:name="_Ref160658500"/>
        <w:tc>
          <w:tcPr>
            <w:tcW w:w="561" w:type="dxa"/>
            <w:vAlign w:val="center"/>
          </w:tcPr>
          <w:p w14:paraId="6AF6052D" w14:textId="20235BE2" w:rsidR="00B871A7" w:rsidRPr="003B3750" w:rsidRDefault="00B871A7" w:rsidP="00483812">
            <w:pPr>
              <w:pStyle w:val="Caption"/>
            </w:pPr>
            <w:r w:rsidRPr="00300718">
              <w:fldChar w:fldCharType="begin"/>
            </w:r>
            <w:r w:rsidRPr="00300718">
              <w:instrText xml:space="preserve"> SEQ Equation \* ARABIC </w:instrText>
            </w:r>
            <w:r w:rsidRPr="00300718">
              <w:fldChar w:fldCharType="separate"/>
            </w:r>
            <w:bookmarkStart w:id="52" w:name="_Ref160658654"/>
            <w:r w:rsidR="00BF7E93">
              <w:rPr>
                <w:noProof/>
              </w:rPr>
              <w:t>12</w:t>
            </w:r>
            <w:bookmarkEnd w:id="52"/>
            <w:r w:rsidRPr="00300718">
              <w:fldChar w:fldCharType="end"/>
            </w:r>
            <w:bookmarkEnd w:id="50"/>
            <w:bookmarkEnd w:id="51"/>
          </w:p>
        </w:tc>
      </w:tr>
    </w:tbl>
    <w:p w14:paraId="34B6847E" w14:textId="77777777" w:rsidR="00B871A7" w:rsidRPr="00967E50" w:rsidRDefault="00B871A7" w:rsidP="00B871A7">
      <w:r w:rsidRPr="00967E50">
        <w:t xml:space="preserve">where </w:t>
      </w:r>
      <m:oMath>
        <m:sSub>
          <m:sSubPr>
            <m:ctrlPr>
              <w:rPr>
                <w:rFonts w:ascii="Cambria Math" w:hAnsi="Cambria Math"/>
                <w:i/>
              </w:rPr>
            </m:ctrlPr>
          </m:sSubPr>
          <m:e>
            <m:r>
              <w:rPr>
                <w:rFonts w:ascii="Cambria Math" w:hAnsi="Cambria Math"/>
              </w:rPr>
              <m:t>P</m:t>
            </m:r>
          </m:e>
          <m:sub>
            <m:r>
              <w:rPr>
                <w:rFonts w:ascii="Cambria Math" w:hAnsi="Cambria Math"/>
              </w:rPr>
              <m:t>SS</m:t>
            </m:r>
          </m:sub>
        </m:sSub>
      </m:oMath>
      <w:r w:rsidRPr="00967E50">
        <w:t xml:space="preserve"> is the steady state power, </w:t>
      </w:r>
      <m:oMath>
        <m:r>
          <w:rPr>
            <w:rFonts w:ascii="Cambria Math" w:hAnsi="Cambria Math"/>
          </w:rPr>
          <m:t>G</m:t>
        </m:r>
      </m:oMath>
      <w:r w:rsidRPr="00967E50">
        <w:t xml:space="preserve"> is the maximum transient power which accounts for the exponential functional form and the steady state power, </w:t>
      </w:r>
      <w:r w:rsidRPr="00967E50">
        <w:rPr>
          <w:i/>
          <w:iCs/>
        </w:rPr>
        <w:t>t</w:t>
      </w:r>
      <w:r w:rsidRPr="00967E50">
        <w:t xml:space="preserve"> is the problem time, </w:t>
      </w:r>
      <m:oMath>
        <m:sSub>
          <m:sSubPr>
            <m:ctrlPr>
              <w:rPr>
                <w:rFonts w:ascii="Cambria Math" w:hAnsi="Cambria Math"/>
                <w:i/>
              </w:rPr>
            </m:ctrlPr>
          </m:sSubPr>
          <m:e>
            <m:r>
              <w:rPr>
                <w:rFonts w:ascii="Cambria Math" w:hAnsi="Cambria Math"/>
              </w:rPr>
              <m:t>t</m:t>
            </m:r>
          </m:e>
          <m:sub>
            <m:r>
              <w:rPr>
                <w:rFonts w:ascii="Cambria Math" w:hAnsi="Cambria Math"/>
              </w:rPr>
              <m:t>s</m:t>
            </m:r>
          </m:sub>
        </m:sSub>
      </m:oMath>
      <w:r w:rsidRPr="00967E50">
        <w:t xml:space="preserve"> is the start time of the transient, and </w:t>
      </w:r>
      <m:oMath>
        <m:r>
          <w:rPr>
            <w:rFonts w:ascii="Cambria Math" w:hAnsi="Cambria Math"/>
          </w:rPr>
          <m:t>τ</m:t>
        </m:r>
      </m:oMath>
      <w:r w:rsidRPr="00967E50">
        <w:t xml:space="preserve"> is the exponential period of the transient.</w:t>
      </w:r>
    </w:p>
    <w:p w14:paraId="53F65731" w14:textId="1D7FD894" w:rsidR="00324644" w:rsidRPr="00BD2D6F" w:rsidRDefault="00324644" w:rsidP="00324644">
      <w:r w:rsidRPr="00967E50">
        <w:t xml:space="preserve">The low-power transient tests </w:t>
      </w:r>
      <w:r>
        <w:t>a</w:t>
      </w:r>
      <w:r w:rsidRPr="00967E50">
        <w:t>re run at 373 K and 7 MPa which are lower than typical PWR conditions. Transient fluid temperatures measured by thermocouples 400, 402, and 405 along the test train for case</w:t>
      </w:r>
      <w:r>
        <w:t>s</w:t>
      </w:r>
      <w:r w:rsidRPr="00967E50">
        <w:t xml:space="preserve"> TRa </w:t>
      </w:r>
      <w:r>
        <w:t xml:space="preserve">and TRb </w:t>
      </w:r>
      <w:r w:rsidRPr="00967E50">
        <w:t xml:space="preserve">are shown in </w:t>
      </w:r>
      <w:r w:rsidRPr="00377123">
        <w:rPr>
          <w:b/>
          <w:bCs/>
        </w:rPr>
        <w:fldChar w:fldCharType="begin"/>
      </w:r>
      <w:r w:rsidRPr="00377123">
        <w:rPr>
          <w:b/>
          <w:bCs/>
        </w:rPr>
        <w:instrText xml:space="preserve"> REF _Ref160658295 \h </w:instrText>
      </w:r>
      <w:r>
        <w:rPr>
          <w:b/>
          <w:bCs/>
        </w:rPr>
        <w:instrText xml:space="preserve"> \* MERGEFORMAT </w:instrText>
      </w:r>
      <w:r w:rsidRPr="00377123">
        <w:rPr>
          <w:b/>
          <w:bCs/>
        </w:rPr>
      </w:r>
      <w:r w:rsidRPr="00377123">
        <w:rPr>
          <w:b/>
          <w:bCs/>
        </w:rPr>
        <w:fldChar w:fldCharType="separate"/>
      </w:r>
      <w:r w:rsidR="00BF7E93" w:rsidRPr="00BF7E93">
        <w:rPr>
          <w:b/>
          <w:bCs/>
        </w:rPr>
        <w:t xml:space="preserve">Figure </w:t>
      </w:r>
      <w:r w:rsidR="00BF7E93" w:rsidRPr="00BF7E93">
        <w:rPr>
          <w:b/>
          <w:bCs/>
          <w:noProof/>
        </w:rPr>
        <w:t>3.5</w:t>
      </w:r>
      <w:r w:rsidRPr="00377123">
        <w:rPr>
          <w:b/>
          <w:bCs/>
        </w:rPr>
        <w:fldChar w:fldCharType="end"/>
      </w:r>
      <w:r>
        <w:t xml:space="preserve"> and </w:t>
      </w:r>
      <w:r w:rsidRPr="00377123">
        <w:rPr>
          <w:b/>
          <w:bCs/>
        </w:rPr>
        <w:fldChar w:fldCharType="begin"/>
      </w:r>
      <w:r w:rsidRPr="00377123">
        <w:rPr>
          <w:b/>
          <w:bCs/>
        </w:rPr>
        <w:instrText xml:space="preserve"> REF _Ref160658301 \h </w:instrText>
      </w:r>
      <w:r>
        <w:rPr>
          <w:b/>
          <w:bCs/>
        </w:rPr>
        <w:instrText xml:space="preserve"> \* MERGEFORMAT </w:instrText>
      </w:r>
      <w:r w:rsidRPr="00377123">
        <w:rPr>
          <w:b/>
          <w:bCs/>
        </w:rPr>
      </w:r>
      <w:r w:rsidRPr="00377123">
        <w:rPr>
          <w:b/>
          <w:bCs/>
        </w:rPr>
        <w:fldChar w:fldCharType="separate"/>
      </w:r>
      <w:r w:rsidR="00BF7E93" w:rsidRPr="00BF7E93">
        <w:rPr>
          <w:b/>
          <w:bCs/>
        </w:rPr>
        <w:t xml:space="preserve">Figure </w:t>
      </w:r>
      <w:r w:rsidR="00BF7E93" w:rsidRPr="00BF7E93">
        <w:rPr>
          <w:b/>
          <w:bCs/>
          <w:noProof/>
        </w:rPr>
        <w:t>3.6</w:t>
      </w:r>
      <w:r w:rsidRPr="00377123">
        <w:rPr>
          <w:b/>
          <w:bCs/>
        </w:rPr>
        <w:fldChar w:fldCharType="end"/>
      </w:r>
      <w:r>
        <w:t>, respectively</w:t>
      </w:r>
      <w:r w:rsidRPr="00967E50">
        <w:t xml:space="preserve">. </w:t>
      </w:r>
      <w:r>
        <w:t>The RELAP5-3D and TRACE fluid temperature predictions fall within the measured uncertainty for most of case TRb and show slight differences between the experimental data with a maximum relative error below 2% in case TRa</w:t>
      </w:r>
      <w:r w:rsidRPr="00967E50">
        <w:t xml:space="preserve">. </w:t>
      </w:r>
      <w:r>
        <w:t>The main differences between the model and experimental measurements are the initial fluid temperatures and post transient behavior which is caused by the uncertainty in the boundary conditions of the secondary side of the loop.</w:t>
      </w:r>
    </w:p>
    <w:p w14:paraId="7D302855" w14:textId="7CAE00AB" w:rsidR="00324644" w:rsidRDefault="00324644" w:rsidP="00324644">
      <w:r>
        <w:t>H</w:t>
      </w:r>
      <w:r w:rsidRPr="00967E50">
        <w:t>igh-power transient tests have not yet been performed</w:t>
      </w:r>
      <w:r>
        <w:t xml:space="preserve"> experimentally</w:t>
      </w:r>
      <w:r w:rsidRPr="00967E50">
        <w:t xml:space="preserve"> so </w:t>
      </w:r>
      <w:r>
        <w:t>these cases</w:t>
      </w:r>
      <w:r w:rsidRPr="00324644">
        <w:t xml:space="preserve"> </w:t>
      </w:r>
      <w:r>
        <w:t>were run using the newly developed RELAP5-3D model and TRACE model for code-to-code comparison</w:t>
      </w:r>
      <w:r w:rsidRPr="00967E50">
        <w:t>.</w:t>
      </w:r>
      <w:r>
        <w:t xml:space="preserve"> </w:t>
      </w:r>
      <w:r w:rsidRPr="00967E50">
        <w:t xml:space="preserve">The testing conditions of </w:t>
      </w:r>
      <w:r>
        <w:t xml:space="preserve">tests </w:t>
      </w:r>
      <w:r w:rsidRPr="00967E50">
        <w:t>TR5-TR8 are summarized in</w:t>
      </w:r>
      <w:r>
        <w:t xml:space="preserve"> </w:t>
      </w:r>
      <w:r>
        <w:fldChar w:fldCharType="begin"/>
      </w:r>
      <w:r>
        <w:instrText xml:space="preserve"> REF _Ref160653876 \h </w:instrText>
      </w:r>
      <w:r>
        <w:fldChar w:fldCharType="separate"/>
      </w:r>
      <w:r w:rsidR="00BF7E93" w:rsidRPr="009D2AA9">
        <w:t xml:space="preserve">Table </w:t>
      </w:r>
      <w:r w:rsidR="00BF7E93">
        <w:rPr>
          <w:noProof/>
        </w:rPr>
        <w:t>3</w:t>
      </w:r>
      <w:r w:rsidR="00BF7E93" w:rsidRPr="009D2AA9">
        <w:t>.</w:t>
      </w:r>
      <w:r w:rsidR="00BF7E93">
        <w:rPr>
          <w:noProof/>
        </w:rPr>
        <w:t>2</w:t>
      </w:r>
      <w:r>
        <w:fldChar w:fldCharType="end"/>
      </w:r>
      <w:r w:rsidRPr="00967E50">
        <w:t xml:space="preserve">. </w:t>
      </w:r>
    </w:p>
    <w:p w14:paraId="2B897911" w14:textId="77777777" w:rsidR="00324644" w:rsidRDefault="00324644"/>
    <w:p w14:paraId="283C4376" w14:textId="43A3CBC7" w:rsidR="00EC5E0E" w:rsidRDefault="00EC5E0E" w:rsidP="0082204A">
      <w:pPr>
        <w:jc w:val="center"/>
        <w:rPr>
          <w:rFonts w:eastAsiaTheme="minorEastAsia"/>
          <w:lang w:eastAsia="ko-KR"/>
        </w:rPr>
      </w:pPr>
      <w:r>
        <w:rPr>
          <w:noProof/>
        </w:rPr>
        <w:drawing>
          <wp:inline distT="0" distB="0" distL="0" distR="0" wp14:anchorId="385A1028" wp14:editId="40A26C76">
            <wp:extent cx="4572000" cy="4110890"/>
            <wp:effectExtent l="0" t="0" r="0" b="444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rotWithShape="1">
                    <a:blip r:embed="rId22" cstate="print">
                      <a:extLst>
                        <a:ext uri="{28A0092B-C50C-407E-A947-70E740481C1C}">
                          <a14:useLocalDpi xmlns:a14="http://schemas.microsoft.com/office/drawing/2010/main" val="0"/>
                        </a:ext>
                      </a:extLst>
                    </a:blip>
                    <a:srcRect l="6243" t="6285" r="6812" b="4376"/>
                    <a:stretch/>
                  </pic:blipFill>
                  <pic:spPr bwMode="auto">
                    <a:xfrm>
                      <a:off x="0" y="0"/>
                      <a:ext cx="4572000" cy="4110890"/>
                    </a:xfrm>
                    <a:prstGeom prst="rect">
                      <a:avLst/>
                    </a:prstGeom>
                    <a:ln>
                      <a:noFill/>
                    </a:ln>
                    <a:extLst>
                      <a:ext uri="{53640926-AAD7-44D8-BBD7-CCE9431645EC}">
                        <a14:shadowObscured xmlns:a14="http://schemas.microsoft.com/office/drawing/2010/main"/>
                      </a:ext>
                    </a:extLst>
                  </pic:spPr>
                </pic:pic>
              </a:graphicData>
            </a:graphic>
          </wp:inline>
        </w:drawing>
      </w:r>
    </w:p>
    <w:p w14:paraId="246B9EFE" w14:textId="378B6A09" w:rsidR="00CC4B1A" w:rsidRDefault="00CC4B1A" w:rsidP="00874CBB">
      <w:pPr>
        <w:pStyle w:val="Caption"/>
      </w:pPr>
      <w:bookmarkStart w:id="53" w:name="_Ref160658295"/>
      <w:bookmarkStart w:id="54" w:name="_Toc202957540"/>
      <w:r w:rsidRPr="009D2AA9">
        <w:t xml:space="preserve">Figure </w:t>
      </w:r>
      <w:fldSimple w:instr=" STYLEREF 1 \s ">
        <w:r w:rsidR="00BF7E93">
          <w:rPr>
            <w:noProof/>
          </w:rPr>
          <w:t>3</w:t>
        </w:r>
      </w:fldSimple>
      <w:r w:rsidRPr="009D2AA9">
        <w:t>.</w:t>
      </w:r>
      <w:fldSimple w:instr=" SEQ Figure \* ARABIC \s 1 ">
        <w:r w:rsidR="00BF7E93">
          <w:rPr>
            <w:noProof/>
          </w:rPr>
          <w:t>5</w:t>
        </w:r>
      </w:fldSimple>
      <w:bookmarkEnd w:id="53"/>
      <w:r w:rsidRPr="009D2AA9">
        <w:t xml:space="preserve">. </w:t>
      </w:r>
      <w:r w:rsidR="002F3415" w:rsidRPr="00967E50">
        <w:rPr>
          <w:rFonts w:eastAsiaTheme="minorEastAsia"/>
        </w:rPr>
        <w:t xml:space="preserve">Comparison </w:t>
      </w:r>
      <w:r w:rsidR="002F3415">
        <w:rPr>
          <w:rFonts w:eastAsiaTheme="minorEastAsia"/>
        </w:rPr>
        <w:t>B</w:t>
      </w:r>
      <w:r w:rsidR="002F3415" w:rsidRPr="00967E50">
        <w:rPr>
          <w:rFonts w:eastAsiaTheme="minorEastAsia"/>
        </w:rPr>
        <w:t xml:space="preserve">etween </w:t>
      </w:r>
      <w:r w:rsidR="002F3415">
        <w:rPr>
          <w:rFonts w:eastAsiaTheme="minorEastAsia"/>
        </w:rPr>
        <w:t>E</w:t>
      </w:r>
      <w:r w:rsidR="002F3415" w:rsidRPr="00967E50">
        <w:rPr>
          <w:rFonts w:eastAsiaTheme="minorEastAsia"/>
        </w:rPr>
        <w:t xml:space="preserve">xperimental </w:t>
      </w:r>
      <w:r w:rsidR="002F3415">
        <w:rPr>
          <w:rFonts w:eastAsiaTheme="minorEastAsia"/>
        </w:rPr>
        <w:t>D</w:t>
      </w:r>
      <w:r w:rsidR="002F3415" w:rsidRPr="00967E50">
        <w:rPr>
          <w:rFonts w:eastAsiaTheme="minorEastAsia"/>
        </w:rPr>
        <w:t>ata</w:t>
      </w:r>
      <w:r w:rsidR="002F3415">
        <w:rPr>
          <w:rFonts w:eastAsiaTheme="minorEastAsia"/>
        </w:rPr>
        <w:t>,</w:t>
      </w:r>
      <w:r w:rsidR="002F3415" w:rsidRPr="00967E50">
        <w:rPr>
          <w:rFonts w:eastAsiaTheme="minorEastAsia"/>
        </w:rPr>
        <w:t xml:space="preserve"> </w:t>
      </w:r>
      <w:r w:rsidR="002F3415">
        <w:rPr>
          <w:rFonts w:eastAsiaTheme="minorEastAsia"/>
        </w:rPr>
        <w:t>RELAP5-3D Code</w:t>
      </w:r>
      <w:r w:rsidR="002F3415" w:rsidRPr="00967E50">
        <w:rPr>
          <w:rFonts w:eastAsiaTheme="minorEastAsia"/>
        </w:rPr>
        <w:t xml:space="preserve"> </w:t>
      </w:r>
      <w:r w:rsidR="002F3415">
        <w:rPr>
          <w:rFonts w:eastAsiaTheme="minorEastAsia"/>
        </w:rPr>
        <w:t>P</w:t>
      </w:r>
      <w:r w:rsidR="002F3415" w:rsidRPr="00967E50">
        <w:rPr>
          <w:rFonts w:eastAsiaTheme="minorEastAsia"/>
        </w:rPr>
        <w:t>redictions</w:t>
      </w:r>
      <w:r w:rsidR="002F3415">
        <w:rPr>
          <w:rFonts w:eastAsiaTheme="minorEastAsia"/>
        </w:rPr>
        <w:t>, and TRACE Code Predictions</w:t>
      </w:r>
      <w:r w:rsidR="002F3415" w:rsidRPr="00967E50">
        <w:rPr>
          <w:rFonts w:eastAsiaTheme="minorEastAsia"/>
        </w:rPr>
        <w:t xml:space="preserve"> for </w:t>
      </w:r>
      <w:r w:rsidR="002F3415">
        <w:rPr>
          <w:rFonts w:eastAsiaTheme="minorEastAsia"/>
        </w:rPr>
        <w:t>C</w:t>
      </w:r>
      <w:r w:rsidR="002F3415" w:rsidRPr="00967E50">
        <w:rPr>
          <w:rFonts w:eastAsiaTheme="minorEastAsia"/>
        </w:rPr>
        <w:t>ase</w:t>
      </w:r>
      <w:r w:rsidR="002F3415" w:rsidRPr="003E7985">
        <w:rPr>
          <w:rFonts w:eastAsiaTheme="minorEastAsia"/>
        </w:rPr>
        <w:t xml:space="preserve"> </w:t>
      </w:r>
      <w:r w:rsidR="002F3415" w:rsidRPr="00967E50">
        <w:rPr>
          <w:rFonts w:eastAsiaTheme="minorEastAsia"/>
        </w:rPr>
        <w:t>TRa</w:t>
      </w:r>
      <w:r w:rsidR="002F3415">
        <w:rPr>
          <w:rFonts w:eastAsiaTheme="minorEastAsia"/>
        </w:rPr>
        <w:t>.</w:t>
      </w:r>
      <w:bookmarkEnd w:id="54"/>
    </w:p>
    <w:p w14:paraId="0D038DC7" w14:textId="77777777" w:rsidR="00EC5E0E" w:rsidRDefault="00EC5E0E" w:rsidP="0082204A">
      <w:pPr>
        <w:rPr>
          <w:rFonts w:eastAsiaTheme="minorEastAsia"/>
          <w:lang w:eastAsia="ko-KR"/>
        </w:rPr>
      </w:pPr>
    </w:p>
    <w:p w14:paraId="0624443A" w14:textId="2AF4D106" w:rsidR="00EC5E0E" w:rsidRPr="00967E50" w:rsidRDefault="00EC5E0E" w:rsidP="0082204A">
      <w:pPr>
        <w:jc w:val="center"/>
        <w:rPr>
          <w:rFonts w:eastAsiaTheme="minorEastAsia"/>
          <w:lang w:eastAsia="ko-KR"/>
        </w:rPr>
      </w:pPr>
      <w:r>
        <w:rPr>
          <w:noProof/>
        </w:rPr>
        <w:lastRenderedPageBreak/>
        <w:drawing>
          <wp:inline distT="0" distB="0" distL="0" distR="0" wp14:anchorId="6656DB0A" wp14:editId="6C241E11">
            <wp:extent cx="4572000" cy="4103879"/>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rotWithShape="1">
                    <a:blip r:embed="rId23" cstate="print">
                      <a:extLst>
                        <a:ext uri="{28A0092B-C50C-407E-A947-70E740481C1C}">
                          <a14:useLocalDpi xmlns:a14="http://schemas.microsoft.com/office/drawing/2010/main" val="0"/>
                        </a:ext>
                      </a:extLst>
                    </a:blip>
                    <a:srcRect l="6094" t="6116" r="6812" b="4545"/>
                    <a:stretch/>
                  </pic:blipFill>
                  <pic:spPr bwMode="auto">
                    <a:xfrm>
                      <a:off x="0" y="0"/>
                      <a:ext cx="4572000" cy="4103879"/>
                    </a:xfrm>
                    <a:prstGeom prst="rect">
                      <a:avLst/>
                    </a:prstGeom>
                    <a:ln>
                      <a:noFill/>
                    </a:ln>
                    <a:extLst>
                      <a:ext uri="{53640926-AAD7-44D8-BBD7-CCE9431645EC}">
                        <a14:shadowObscured xmlns:a14="http://schemas.microsoft.com/office/drawing/2010/main"/>
                      </a:ext>
                    </a:extLst>
                  </pic:spPr>
                </pic:pic>
              </a:graphicData>
            </a:graphic>
          </wp:inline>
        </w:drawing>
      </w:r>
    </w:p>
    <w:p w14:paraId="4FD2BC22" w14:textId="502ABE2D" w:rsidR="00CC4B1A" w:rsidRDefault="00CC4B1A" w:rsidP="00874CBB">
      <w:pPr>
        <w:pStyle w:val="Caption"/>
      </w:pPr>
      <w:bookmarkStart w:id="55" w:name="_Ref160658301"/>
      <w:bookmarkStart w:id="56" w:name="_Toc202957541"/>
      <w:r w:rsidRPr="009D2AA9">
        <w:t xml:space="preserve">Figure </w:t>
      </w:r>
      <w:fldSimple w:instr=" STYLEREF 1 \s ">
        <w:r w:rsidR="00BF7E93">
          <w:rPr>
            <w:noProof/>
          </w:rPr>
          <w:t>3</w:t>
        </w:r>
      </w:fldSimple>
      <w:r w:rsidRPr="009D2AA9">
        <w:t>.</w:t>
      </w:r>
      <w:fldSimple w:instr=" SEQ Figure \* ARABIC \s 1 ">
        <w:r w:rsidR="00BF7E93">
          <w:rPr>
            <w:noProof/>
          </w:rPr>
          <w:t>6</w:t>
        </w:r>
      </w:fldSimple>
      <w:bookmarkEnd w:id="55"/>
      <w:r w:rsidRPr="009D2AA9">
        <w:t xml:space="preserve">. </w:t>
      </w:r>
      <w:r w:rsidR="002F3415" w:rsidRPr="00967E50">
        <w:rPr>
          <w:rFonts w:eastAsiaTheme="minorEastAsia"/>
        </w:rPr>
        <w:t xml:space="preserve">Comparison </w:t>
      </w:r>
      <w:r w:rsidR="002F3415">
        <w:rPr>
          <w:rFonts w:eastAsiaTheme="minorEastAsia"/>
        </w:rPr>
        <w:t>B</w:t>
      </w:r>
      <w:r w:rsidR="002F3415" w:rsidRPr="00967E50">
        <w:rPr>
          <w:rFonts w:eastAsiaTheme="minorEastAsia"/>
        </w:rPr>
        <w:t xml:space="preserve">etween </w:t>
      </w:r>
      <w:r w:rsidR="002F3415">
        <w:rPr>
          <w:rFonts w:eastAsiaTheme="minorEastAsia"/>
        </w:rPr>
        <w:t>E</w:t>
      </w:r>
      <w:r w:rsidR="002F3415" w:rsidRPr="00967E50">
        <w:rPr>
          <w:rFonts w:eastAsiaTheme="minorEastAsia"/>
        </w:rPr>
        <w:t xml:space="preserve">xperimental </w:t>
      </w:r>
      <w:r w:rsidR="002F3415">
        <w:rPr>
          <w:rFonts w:eastAsiaTheme="minorEastAsia"/>
        </w:rPr>
        <w:t>D</w:t>
      </w:r>
      <w:r w:rsidR="002F3415" w:rsidRPr="00967E50">
        <w:rPr>
          <w:rFonts w:eastAsiaTheme="minorEastAsia"/>
        </w:rPr>
        <w:t>ata</w:t>
      </w:r>
      <w:r w:rsidR="002F3415">
        <w:rPr>
          <w:rFonts w:eastAsiaTheme="minorEastAsia"/>
        </w:rPr>
        <w:t>,</w:t>
      </w:r>
      <w:r w:rsidR="002F3415" w:rsidRPr="00967E50">
        <w:rPr>
          <w:rFonts w:eastAsiaTheme="minorEastAsia"/>
        </w:rPr>
        <w:t xml:space="preserve"> </w:t>
      </w:r>
      <w:r w:rsidR="002F3415">
        <w:rPr>
          <w:rFonts w:eastAsiaTheme="minorEastAsia"/>
        </w:rPr>
        <w:t>RELAP5-3D Code</w:t>
      </w:r>
      <w:r w:rsidR="002F3415" w:rsidRPr="00967E50">
        <w:rPr>
          <w:rFonts w:eastAsiaTheme="minorEastAsia"/>
        </w:rPr>
        <w:t xml:space="preserve"> </w:t>
      </w:r>
      <w:r w:rsidR="002F3415">
        <w:rPr>
          <w:rFonts w:eastAsiaTheme="minorEastAsia"/>
        </w:rPr>
        <w:t>P</w:t>
      </w:r>
      <w:r w:rsidR="002F3415" w:rsidRPr="00967E50">
        <w:rPr>
          <w:rFonts w:eastAsiaTheme="minorEastAsia"/>
        </w:rPr>
        <w:t>redictions</w:t>
      </w:r>
      <w:r w:rsidR="002F3415">
        <w:rPr>
          <w:rFonts w:eastAsiaTheme="minorEastAsia"/>
        </w:rPr>
        <w:t>, and TRACE Code Predictions</w:t>
      </w:r>
      <w:r w:rsidR="002F3415" w:rsidRPr="00967E50">
        <w:rPr>
          <w:rFonts w:eastAsiaTheme="minorEastAsia"/>
        </w:rPr>
        <w:t xml:space="preserve"> for </w:t>
      </w:r>
      <w:r w:rsidR="002F3415">
        <w:rPr>
          <w:rFonts w:eastAsiaTheme="minorEastAsia"/>
        </w:rPr>
        <w:t>C</w:t>
      </w:r>
      <w:r w:rsidR="002F3415" w:rsidRPr="00967E50">
        <w:rPr>
          <w:rFonts w:eastAsiaTheme="minorEastAsia"/>
        </w:rPr>
        <w:t>ase</w:t>
      </w:r>
      <w:r w:rsidR="002F3415" w:rsidRPr="003E7985">
        <w:rPr>
          <w:rFonts w:eastAsiaTheme="minorEastAsia"/>
        </w:rPr>
        <w:t xml:space="preserve"> </w:t>
      </w:r>
      <w:r w:rsidR="002F3415" w:rsidRPr="00967E50">
        <w:rPr>
          <w:rFonts w:eastAsiaTheme="minorEastAsia"/>
        </w:rPr>
        <w:t>TR</w:t>
      </w:r>
      <w:r w:rsidR="002F3415">
        <w:rPr>
          <w:rFonts w:eastAsiaTheme="minorEastAsia"/>
        </w:rPr>
        <w:t>b.</w:t>
      </w:r>
      <w:bookmarkEnd w:id="56"/>
    </w:p>
    <w:p w14:paraId="7B3B2C4F" w14:textId="7AE8097F" w:rsidR="0053161D" w:rsidRDefault="0026261E" w:rsidP="00DB5F54">
      <w:r>
        <w:br w:type="page"/>
      </w:r>
      <w:bookmarkStart w:id="57" w:name="_Ref160718257"/>
    </w:p>
    <w:bookmarkEnd w:id="57"/>
    <w:p w14:paraId="1426305A" w14:textId="2DB5C4C0" w:rsidR="00B871A7" w:rsidRDefault="00B871A7" w:rsidP="00D43F7F">
      <w:r w:rsidRPr="00967E50">
        <w:lastRenderedPageBreak/>
        <w:t>The high-power test cases showed good agreement for cases, TR5-TR7. However, during case TR8, RELAP5-3D predicted CHF to occur while the TRACE model did not. A comparison of fluid temperatures at thermocouple</w:t>
      </w:r>
      <w:r>
        <w:t xml:space="preserve"> locations</w:t>
      </w:r>
      <w:r w:rsidRPr="00967E50">
        <w:t xml:space="preserve"> 400, 402, and 405 for case TR5 and TR8 are shown in</w:t>
      </w:r>
      <w:r>
        <w:t xml:space="preserve"> </w:t>
      </w:r>
      <w:r w:rsidRPr="00377123">
        <w:rPr>
          <w:b/>
          <w:bCs/>
        </w:rPr>
        <w:fldChar w:fldCharType="begin"/>
      </w:r>
      <w:r w:rsidRPr="00377123">
        <w:rPr>
          <w:b/>
          <w:bCs/>
        </w:rPr>
        <w:instrText xml:space="preserve"> REF _Ref160708267 \h </w:instrText>
      </w:r>
      <w:r>
        <w:rPr>
          <w:b/>
          <w:bCs/>
        </w:rPr>
        <w:instrText xml:space="preserve"> \* MERGEFORMAT </w:instrText>
      </w:r>
      <w:r w:rsidRPr="00377123">
        <w:rPr>
          <w:b/>
          <w:bCs/>
        </w:rPr>
      </w:r>
      <w:r w:rsidRPr="00377123">
        <w:rPr>
          <w:b/>
          <w:bCs/>
        </w:rPr>
        <w:fldChar w:fldCharType="separate"/>
      </w:r>
      <w:r w:rsidR="00BF7E93" w:rsidRPr="00BF7E93">
        <w:rPr>
          <w:b/>
          <w:bCs/>
        </w:rPr>
        <w:t xml:space="preserve">Figure </w:t>
      </w:r>
      <w:r w:rsidR="00BF7E93" w:rsidRPr="00BF7E93">
        <w:rPr>
          <w:b/>
          <w:bCs/>
          <w:noProof/>
        </w:rPr>
        <w:t>3.7</w:t>
      </w:r>
      <w:r w:rsidRPr="00377123">
        <w:rPr>
          <w:b/>
          <w:bCs/>
        </w:rPr>
        <w:fldChar w:fldCharType="end"/>
      </w:r>
      <w:r w:rsidRPr="00967E50">
        <w:t xml:space="preserve"> and</w:t>
      </w:r>
      <w:r>
        <w:t xml:space="preserve"> </w:t>
      </w:r>
      <w:r w:rsidRPr="00377123">
        <w:rPr>
          <w:b/>
          <w:bCs/>
        </w:rPr>
        <w:fldChar w:fldCharType="begin"/>
      </w:r>
      <w:r w:rsidRPr="00377123">
        <w:rPr>
          <w:b/>
          <w:bCs/>
        </w:rPr>
        <w:instrText xml:space="preserve"> REF _Ref160708276 \h </w:instrText>
      </w:r>
      <w:r>
        <w:rPr>
          <w:b/>
          <w:bCs/>
        </w:rPr>
        <w:instrText xml:space="preserve"> \* MERGEFORMAT </w:instrText>
      </w:r>
      <w:r w:rsidRPr="00377123">
        <w:rPr>
          <w:b/>
          <w:bCs/>
        </w:rPr>
      </w:r>
      <w:r w:rsidRPr="00377123">
        <w:rPr>
          <w:b/>
          <w:bCs/>
        </w:rPr>
        <w:fldChar w:fldCharType="separate"/>
      </w:r>
      <w:r w:rsidR="00BF7E93" w:rsidRPr="00BF7E93">
        <w:rPr>
          <w:b/>
          <w:bCs/>
        </w:rPr>
        <w:t xml:space="preserve">Figure </w:t>
      </w:r>
      <w:r w:rsidR="00BF7E93" w:rsidRPr="00BF7E93">
        <w:rPr>
          <w:b/>
          <w:bCs/>
          <w:noProof/>
        </w:rPr>
        <w:t>3.8</w:t>
      </w:r>
      <w:r w:rsidRPr="00377123">
        <w:rPr>
          <w:b/>
          <w:bCs/>
        </w:rPr>
        <w:fldChar w:fldCharType="end"/>
      </w:r>
      <w:r w:rsidRPr="00967E50">
        <w:t xml:space="preserve">, respectively. Within case TR8, lower peak temperatures were observed during the initial energy deposition, and a distinct second temperature peak </w:t>
      </w:r>
      <w:r>
        <w:t>i</w:t>
      </w:r>
      <w:r w:rsidRPr="00967E50">
        <w:t xml:space="preserve">s observed at around 1 second following the first peak. This behavior is representative of CHF occurring during the first peak and rewetting following CHF during the second peak. </w:t>
      </w:r>
    </w:p>
    <w:p w14:paraId="3976DECB" w14:textId="2C675B4C" w:rsidR="00D43F7F" w:rsidRDefault="00D43F7F" w:rsidP="00D43F7F">
      <w:r w:rsidRPr="00967E50">
        <w:t xml:space="preserve">Although both RELAP5-3D and TRACE evaluate the CHF value using a look-up table, RELAP5-3D uses the 1986 AECL-UO CHF look-up table while TRACE uses the 1995 AECL-IPPE CHF look-up table, which is an updated version of the 1986 look-up table </w:t>
      </w:r>
      <w:r w:rsidRPr="00967E50">
        <w:fldChar w:fldCharType="begin"/>
      </w:r>
      <w:r w:rsidR="003026BC">
        <w:instrText xml:space="preserve"> ADDIN EN.CITE &lt;EndNote&gt;&lt;Cite&gt;&lt;RecNum&gt;197&lt;/RecNum&gt;&lt;DisplayText&gt;[96, 105]&lt;/DisplayText&gt;&lt;record&gt;&lt;rec-number&gt;197&lt;/rec-number&gt;&lt;foreign-keys&gt;&lt;key app="EN" db-id="eseee05sfe5vt6efvr0xapvq20vfdsfp5fvf" timestamp="1663769978" guid="87874c12-858b-4b8d-be87-b97dc1c4e55d"&gt;197&lt;/key&gt;&lt;/foreign-keys&gt;&lt;ref-type name="Book"&gt;6&lt;/ref-type&gt;&lt;contributors&gt;&lt;/contributors&gt;&lt;titles&gt;&lt;title&gt; Idaho National Laboratory, RELAP5-3D Code Manuals, Volumes I, II, III, IV, V, Appendix A, Revision 4.3, 98, Idaho National Laboratory, Idaho Falls, ID, 2015 INEEL-EXT.&lt;/title&gt;&lt;/titles&gt;&lt;dates&gt;&lt;/dates&gt;&lt;urls&gt;&lt;/urls&gt;&lt;/record&gt;&lt;/Cite&gt;&lt;Cite&gt;&lt;Author&gt;USNRC&lt;/Author&gt;&lt;Year&gt;2018&lt;/Year&gt;&lt;RecNum&gt;198&lt;/RecNum&gt;&lt;record&gt;&lt;rec-number&gt;198&lt;/rec-number&gt;&lt;foreign-keys&gt;&lt;key app="EN" db-id="eseee05sfe5vt6efvr0xapvq20vfdsfp5fvf" timestamp="1663770389" guid="fd2f9db4-6bc3-453d-9f8e-d5f9ddbfdfc1"&gt;198&lt;/key&gt;&lt;/foreign-keys&gt;&lt;ref-type name="Book"&gt;6&lt;/ref-type&gt;&lt;contributors&gt;&lt;authors&gt;&lt;author&gt;USNRC&lt;/author&gt;&lt;/authors&gt;&lt;secondary-authors&gt;&lt;author&gt;Division of Safety Analysis&lt;/author&gt;&lt;/secondary-authors&gt;&lt;/contributors&gt;&lt;titles&gt;&lt;title&gt;TRACE V5.1220 THEORY MANUAL&lt;/title&gt;&lt;short-title&gt;U. S. Nuclear Regulatory Commission&lt;/short-title&gt;&lt;/titles&gt;&lt;pages&gt;284-291&lt;/pages&gt;&lt;dates&gt;&lt;year&gt;2018&lt;/year&gt;&lt;/dates&gt;&lt;pub-location&gt;Washington, DC&lt;/pub-location&gt;&lt;publisher&gt;Office of Nuclear Regulatory Research&lt;/publisher&gt;&lt;urls&gt;&lt;/urls&gt;&lt;/record&gt;&lt;/Cite&gt;&lt;/EndNote&gt;</w:instrText>
      </w:r>
      <w:r w:rsidRPr="00967E50">
        <w:fldChar w:fldCharType="separate"/>
      </w:r>
      <w:r w:rsidR="003026BC">
        <w:rPr>
          <w:noProof/>
        </w:rPr>
        <w:t>[96, 105]</w:t>
      </w:r>
      <w:r w:rsidRPr="00967E50">
        <w:fldChar w:fldCharType="end"/>
      </w:r>
      <w:r w:rsidRPr="00967E50">
        <w:t xml:space="preserve">. The 1995 AECL-UO CHF look-up table </w:t>
      </w:r>
      <w:r w:rsidRPr="00967E50">
        <w:fldChar w:fldCharType="begin"/>
      </w:r>
      <w:r w:rsidR="003026BC">
        <w:instrText xml:space="preserve"> ADDIN EN.CITE &lt;EndNote&gt;&lt;Cite&gt;&lt;Author&gt;Groeneveld&lt;/Author&gt;&lt;Year&gt;1996&lt;/Year&gt;&lt;RecNum&gt;194&lt;/RecNum&gt;&lt;DisplayText&gt;[94]&lt;/DisplayText&gt;&lt;record&gt;&lt;rec-number&gt;194&lt;/rec-number&gt;&lt;foreign-keys&gt;&lt;key app="EN" db-id="eseee05sfe5vt6efvr0xapvq20vfdsfp5fvf" timestamp="1663186297" guid="f9652321-d0bf-4ccc-9c80-b7abe848fdb5"&gt;194&lt;/key&gt;&lt;/foreign-keys&gt;&lt;ref-type name="Journal Article"&gt;17&lt;/ref-type&gt;&lt;contributors&gt;&lt;authors&gt;&lt;author&gt;Groeneveld, D. C.&lt;/author&gt;&lt;author&gt;Leung, L. K. H.&lt;/author&gt;&lt;author&gt;Kirillov, P. L.&lt;/author&gt;&lt;author&gt;Bobkov, V. P.&lt;/author&gt;&lt;author&gt;Smogalev, I. P.&lt;/author&gt;&lt;author&gt;Vinogradov, V. N.&lt;/author&gt;&lt;author&gt;Huang, X. C.&lt;/author&gt;&lt;author&gt;Royer, E.&lt;/author&gt;&lt;/authors&gt;&lt;/contributors&gt;&lt;titles&gt;&lt;title&gt;The 1995 look-up table for critical heat flux in tubes&lt;/title&gt;&lt;secondary-title&gt;Nuclear Engineering and Design&lt;/secondary-title&gt;&lt;/titles&gt;&lt;periodical&gt;&lt;full-title&gt;Nuclear Engineering and Design&lt;/full-title&gt;&lt;/periodical&gt;&lt;pages&gt;1-23&lt;/pages&gt;&lt;volume&gt;163&lt;/volume&gt;&lt;number&gt;1&lt;/number&gt;&lt;dates&gt;&lt;year&gt;1996&lt;/year&gt;&lt;pub-dates&gt;&lt;date&gt;1996/06/01/&lt;/date&gt;&lt;/pub-dates&gt;&lt;/dates&gt;&lt;isbn&gt;0029-5493&lt;/isbn&gt;&lt;urls&gt;&lt;related-urls&gt;&lt;url&gt;https://www.sciencedirect.com/science/article/pii/0029549395011544&lt;/url&gt;&lt;/related-urls&gt;&lt;/urls&gt;&lt;electronic-resource-num&gt;https://doi.org/10.1016/0029-5493(95)01154-4&lt;/electronic-resource-num&gt;&lt;/record&gt;&lt;/Cite&gt;&lt;/EndNote&gt;</w:instrText>
      </w:r>
      <w:r w:rsidRPr="00967E50">
        <w:fldChar w:fldCharType="separate"/>
      </w:r>
      <w:r w:rsidR="003026BC">
        <w:rPr>
          <w:noProof/>
        </w:rPr>
        <w:t>[94]</w:t>
      </w:r>
      <w:r w:rsidRPr="00967E50">
        <w:fldChar w:fldCharType="end"/>
      </w:r>
      <w:r w:rsidRPr="00967E50">
        <w:t xml:space="preserve"> was developed specifically for 8mm tubes and implements a correction factor to the original methodology developed for the 1986 table </w:t>
      </w:r>
      <w:r w:rsidRPr="00967E50">
        <w:fldChar w:fldCharType="begin"/>
      </w:r>
      <w:r w:rsidR="003026BC">
        <w:instrText xml:space="preserve"> ADDIN EN.CITE &lt;EndNote&gt;&lt;Cite&gt;&lt;Author&gt;Groeneveld&lt;/Author&gt;&lt;Year&gt;1986&lt;/Year&gt;&lt;RecNum&gt;193&lt;/RecNum&gt;&lt;DisplayText&gt;[93]&lt;/DisplayText&gt;&lt;record&gt;&lt;rec-number&gt;193&lt;/rec-number&gt;&lt;foreign-keys&gt;&lt;key app="EN" db-id="eseee05sfe5vt6efvr0xapvq20vfdsfp5fvf" timestamp="1663186217" guid="a1f4a263-2df3-442d-8019-ee0b1f4d9ebf"&gt;193&lt;/key&gt;&lt;/foreign-keys&gt;&lt;ref-type name="Journal Article"&gt;17&lt;/ref-type&gt;&lt;contributors&gt;&lt;authors&gt;&lt;author&gt;Groeneveld, D. C.&lt;/author&gt;&lt;author&gt;Cheng, S. C.&lt;/author&gt;&lt;author&gt;Doan, T.&lt;/author&gt;&lt;/authors&gt;&lt;/contributors&gt;&lt;titles&gt;&lt;title&gt;1986 AECL-UO Critical Heat Flux Lookup Table&lt;/title&gt;&lt;secondary-title&gt;Heat Transfer Engineering&lt;/secondary-title&gt;&lt;/titles&gt;&lt;periodical&gt;&lt;full-title&gt;Heat Transfer Engineering&lt;/full-title&gt;&lt;/periodical&gt;&lt;pages&gt;46-62&lt;/pages&gt;&lt;volume&gt;7&lt;/volume&gt;&lt;number&gt;1-2&lt;/number&gt;&lt;dates&gt;&lt;year&gt;1986&lt;/year&gt;&lt;pub-dates&gt;&lt;date&gt;1986/01/01&lt;/date&gt;&lt;/pub-dates&gt;&lt;/dates&gt;&lt;publisher&gt;Taylor &amp;amp; Francis&lt;/publisher&gt;&lt;isbn&gt;0145-7632&lt;/isbn&gt;&lt;urls&gt;&lt;related-urls&gt;&lt;url&gt;https://doi.org/10.1080/01457638608939644&lt;/url&gt;&lt;/related-urls&gt;&lt;/urls&gt;&lt;electronic-resource-num&gt;https://doi.org/10.1080/01457638608939644&lt;/electronic-resource-num&gt;&lt;/record&gt;&lt;/Cite&gt;&lt;/EndNote&gt;</w:instrText>
      </w:r>
      <w:r w:rsidRPr="00967E50">
        <w:fldChar w:fldCharType="separate"/>
      </w:r>
      <w:r w:rsidR="003026BC">
        <w:rPr>
          <w:noProof/>
        </w:rPr>
        <w:t>[93]</w:t>
      </w:r>
      <w:r w:rsidRPr="00967E50">
        <w:fldChar w:fldCharType="end"/>
      </w:r>
      <w:r w:rsidRPr="00967E50">
        <w:t>. This correction factor likely causes the CHF prediction in this test to be higher for the TRACE model compared to the RELAP5-3D model, preventing CHF from occurring within the TRACE simulation. Whether or not CHF occurs has a significant influence on predicting thermal hydraulic behaviors of system, so it is important to explore the sensitivity to input parameters associated with the CHF and pre-</w:t>
      </w:r>
    </w:p>
    <w:p w14:paraId="7DA69819" w14:textId="4BBC6DC5" w:rsidR="00B871A7" w:rsidRPr="00B871A7" w:rsidRDefault="00DB5F54" w:rsidP="00B871A7">
      <w:r w:rsidRPr="00967E50">
        <w:t xml:space="preserve">/post- CHF models. </w:t>
      </w:r>
      <w:r w:rsidR="00B871A7">
        <w:br w:type="page"/>
      </w:r>
    </w:p>
    <w:p w14:paraId="33EA1EAD" w14:textId="77777777" w:rsidR="00B871A7" w:rsidRDefault="00B871A7" w:rsidP="00B871A7">
      <w:pPr>
        <w:jc w:val="center"/>
        <w:rPr>
          <w:rFonts w:eastAsiaTheme="minorEastAsia"/>
          <w:lang w:eastAsia="ko-KR"/>
        </w:rPr>
      </w:pPr>
      <w:r w:rsidRPr="00967E50">
        <w:rPr>
          <w:noProof/>
        </w:rPr>
        <w:lastRenderedPageBreak/>
        <w:drawing>
          <wp:inline distT="0" distB="0" distL="0" distR="0" wp14:anchorId="1EFFBBAB" wp14:editId="53CF4777">
            <wp:extent cx="4572000" cy="3429253"/>
            <wp:effectExtent l="0" t="0" r="0" b="0"/>
            <wp:docPr id="4" name="Picture 4" descr="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Chart, histogram&#10;&#10;Description automatically generated"/>
                    <pic:cNvPicPr/>
                  </pic:nvPicPr>
                  <pic:blipFill>
                    <a:blip r:embed="rId24" cstate="print">
                      <a:extLst>
                        <a:ext uri="{28A0092B-C50C-407E-A947-70E740481C1C}">
                          <a14:useLocalDpi xmlns:a14="http://schemas.microsoft.com/office/drawing/2010/main" val="0"/>
                        </a:ext>
                      </a:extLst>
                    </a:blip>
                    <a:stretch>
                      <a:fillRect/>
                    </a:stretch>
                  </pic:blipFill>
                  <pic:spPr>
                    <a:xfrm>
                      <a:off x="0" y="0"/>
                      <a:ext cx="4572000" cy="3429253"/>
                    </a:xfrm>
                    <a:prstGeom prst="rect">
                      <a:avLst/>
                    </a:prstGeom>
                  </pic:spPr>
                </pic:pic>
              </a:graphicData>
            </a:graphic>
          </wp:inline>
        </w:drawing>
      </w:r>
    </w:p>
    <w:p w14:paraId="1A9FBF1A" w14:textId="767FFEB5" w:rsidR="00B871A7" w:rsidRDefault="00B871A7" w:rsidP="00B871A7">
      <w:pPr>
        <w:pStyle w:val="Caption"/>
        <w:rPr>
          <w:rFonts w:eastAsiaTheme="minorEastAsia"/>
        </w:rPr>
      </w:pPr>
      <w:bookmarkStart w:id="58" w:name="_Ref160708267"/>
      <w:bookmarkStart w:id="59" w:name="_Toc202957542"/>
      <w:r w:rsidRPr="009D2AA9">
        <w:t xml:space="preserve">Figure </w:t>
      </w:r>
      <w:fldSimple w:instr=" STYLEREF 1 \s ">
        <w:r w:rsidR="00BF7E93">
          <w:rPr>
            <w:noProof/>
          </w:rPr>
          <w:t>3</w:t>
        </w:r>
      </w:fldSimple>
      <w:r w:rsidRPr="009D2AA9">
        <w:t>.</w:t>
      </w:r>
      <w:fldSimple w:instr=" SEQ Figure \* ARABIC \s 1 ">
        <w:r w:rsidR="00BF7E93">
          <w:rPr>
            <w:noProof/>
          </w:rPr>
          <w:t>7</w:t>
        </w:r>
      </w:fldSimple>
      <w:bookmarkEnd w:id="58"/>
      <w:r w:rsidRPr="009D2AA9">
        <w:t xml:space="preserve">. </w:t>
      </w:r>
      <w:r w:rsidRPr="00967E50">
        <w:rPr>
          <w:rFonts w:eastAsiaTheme="minorEastAsia"/>
        </w:rPr>
        <w:t xml:space="preserve">Comparison </w:t>
      </w:r>
      <w:r>
        <w:rPr>
          <w:rFonts w:eastAsiaTheme="minorEastAsia"/>
        </w:rPr>
        <w:t>B</w:t>
      </w:r>
      <w:r w:rsidRPr="00967E50">
        <w:rPr>
          <w:rFonts w:eastAsiaTheme="minorEastAsia"/>
        </w:rPr>
        <w:t xml:space="preserve">etween </w:t>
      </w:r>
      <w:r>
        <w:rPr>
          <w:rFonts w:eastAsiaTheme="minorEastAsia"/>
        </w:rPr>
        <w:t>RELAP5-3D Code</w:t>
      </w:r>
      <w:r w:rsidRPr="00967E50">
        <w:rPr>
          <w:rFonts w:eastAsiaTheme="minorEastAsia"/>
        </w:rPr>
        <w:t xml:space="preserve"> </w:t>
      </w:r>
      <w:r>
        <w:rPr>
          <w:rFonts w:eastAsiaTheme="minorEastAsia"/>
        </w:rPr>
        <w:t>P</w:t>
      </w:r>
      <w:r w:rsidRPr="00967E50">
        <w:rPr>
          <w:rFonts w:eastAsiaTheme="minorEastAsia"/>
        </w:rPr>
        <w:t>redictions</w:t>
      </w:r>
      <w:r>
        <w:rPr>
          <w:rFonts w:eastAsiaTheme="minorEastAsia"/>
        </w:rPr>
        <w:t>, and TRACE Code Predictions</w:t>
      </w:r>
      <w:r w:rsidRPr="00967E50">
        <w:rPr>
          <w:rFonts w:eastAsiaTheme="minorEastAsia"/>
        </w:rPr>
        <w:t xml:space="preserve"> for </w:t>
      </w:r>
      <w:r>
        <w:rPr>
          <w:rFonts w:eastAsiaTheme="minorEastAsia"/>
        </w:rPr>
        <w:t>C</w:t>
      </w:r>
      <w:r w:rsidRPr="00967E50">
        <w:rPr>
          <w:rFonts w:eastAsiaTheme="minorEastAsia"/>
        </w:rPr>
        <w:t>ase</w:t>
      </w:r>
      <w:r w:rsidRPr="003E7985">
        <w:rPr>
          <w:rFonts w:eastAsiaTheme="minorEastAsia"/>
        </w:rPr>
        <w:t xml:space="preserve"> </w:t>
      </w:r>
      <w:r w:rsidRPr="00967E50">
        <w:rPr>
          <w:rFonts w:eastAsiaTheme="minorEastAsia"/>
        </w:rPr>
        <w:t>TR</w:t>
      </w:r>
      <w:r>
        <w:rPr>
          <w:rFonts w:eastAsiaTheme="minorEastAsia"/>
        </w:rPr>
        <w:t>5.</w:t>
      </w:r>
      <w:bookmarkEnd w:id="59"/>
    </w:p>
    <w:p w14:paraId="06EEA33B" w14:textId="0BF8C2F6" w:rsidR="00B871A7" w:rsidRDefault="00B871A7">
      <w:pPr>
        <w:spacing w:line="240" w:lineRule="auto"/>
        <w:rPr>
          <w:rFonts w:eastAsiaTheme="minorEastAsia"/>
        </w:rPr>
      </w:pPr>
      <w:r>
        <w:rPr>
          <w:rFonts w:eastAsiaTheme="minorEastAsia"/>
        </w:rPr>
        <w:br w:type="page"/>
      </w:r>
    </w:p>
    <w:p w14:paraId="615C1781" w14:textId="77777777" w:rsidR="00B871A7" w:rsidRPr="00B871A7" w:rsidRDefault="00B871A7" w:rsidP="00B871A7">
      <w:pPr>
        <w:rPr>
          <w:rFonts w:eastAsiaTheme="minorEastAsia"/>
        </w:rPr>
      </w:pPr>
    </w:p>
    <w:p w14:paraId="7D72F626" w14:textId="77777777" w:rsidR="00B871A7" w:rsidRDefault="00B871A7" w:rsidP="00B871A7">
      <w:pPr>
        <w:jc w:val="center"/>
        <w:rPr>
          <w:rFonts w:eastAsiaTheme="minorEastAsia"/>
        </w:rPr>
      </w:pPr>
      <w:r w:rsidRPr="00967E50">
        <w:rPr>
          <w:noProof/>
        </w:rPr>
        <w:drawing>
          <wp:inline distT="0" distB="0" distL="0" distR="0" wp14:anchorId="51F590D9" wp14:editId="54C2AEE5">
            <wp:extent cx="4572000" cy="3429253"/>
            <wp:effectExtent l="0" t="0" r="0" b="0"/>
            <wp:docPr id="5" name="Picture 5" descr="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Chart, histogram&#10;&#10;Description automatically generated"/>
                    <pic:cNvPicPr/>
                  </pic:nvPicPr>
                  <pic:blipFill>
                    <a:blip r:embed="rId25" cstate="print">
                      <a:extLst>
                        <a:ext uri="{28A0092B-C50C-407E-A947-70E740481C1C}">
                          <a14:useLocalDpi xmlns:a14="http://schemas.microsoft.com/office/drawing/2010/main" val="0"/>
                        </a:ext>
                      </a:extLst>
                    </a:blip>
                    <a:stretch>
                      <a:fillRect/>
                    </a:stretch>
                  </pic:blipFill>
                  <pic:spPr>
                    <a:xfrm>
                      <a:off x="0" y="0"/>
                      <a:ext cx="4572000" cy="3429253"/>
                    </a:xfrm>
                    <a:prstGeom prst="rect">
                      <a:avLst/>
                    </a:prstGeom>
                  </pic:spPr>
                </pic:pic>
              </a:graphicData>
            </a:graphic>
          </wp:inline>
        </w:drawing>
      </w:r>
    </w:p>
    <w:p w14:paraId="3E5A085D" w14:textId="7DCA20E0" w:rsidR="00B871A7" w:rsidRDefault="00B871A7" w:rsidP="00B871A7">
      <w:pPr>
        <w:pStyle w:val="Caption"/>
        <w:rPr>
          <w:rFonts w:eastAsiaTheme="minorEastAsia"/>
        </w:rPr>
      </w:pPr>
      <w:bookmarkStart w:id="60" w:name="_Ref160708276"/>
      <w:bookmarkStart w:id="61" w:name="_Toc202957543"/>
      <w:r w:rsidRPr="009D2AA9">
        <w:t xml:space="preserve">Figure </w:t>
      </w:r>
      <w:fldSimple w:instr=" STYLEREF 1 \s ">
        <w:r w:rsidR="00BF7E93">
          <w:rPr>
            <w:noProof/>
          </w:rPr>
          <w:t>3</w:t>
        </w:r>
      </w:fldSimple>
      <w:r w:rsidRPr="009D2AA9">
        <w:t>.</w:t>
      </w:r>
      <w:fldSimple w:instr=" SEQ Figure \* ARABIC \s 1 ">
        <w:r w:rsidR="00BF7E93">
          <w:rPr>
            <w:noProof/>
          </w:rPr>
          <w:t>8</w:t>
        </w:r>
      </w:fldSimple>
      <w:bookmarkEnd w:id="60"/>
      <w:r w:rsidRPr="009D2AA9">
        <w:t xml:space="preserve">. </w:t>
      </w:r>
      <w:r w:rsidRPr="00967E50">
        <w:rPr>
          <w:rFonts w:eastAsiaTheme="minorEastAsia"/>
        </w:rPr>
        <w:t xml:space="preserve">Comparison </w:t>
      </w:r>
      <w:r>
        <w:rPr>
          <w:rFonts w:eastAsiaTheme="minorEastAsia"/>
        </w:rPr>
        <w:t>B</w:t>
      </w:r>
      <w:r w:rsidRPr="00967E50">
        <w:rPr>
          <w:rFonts w:eastAsiaTheme="minorEastAsia"/>
        </w:rPr>
        <w:t xml:space="preserve">etween </w:t>
      </w:r>
      <w:r>
        <w:rPr>
          <w:rFonts w:eastAsiaTheme="minorEastAsia"/>
        </w:rPr>
        <w:t>RELAP5-3D Code</w:t>
      </w:r>
      <w:r w:rsidRPr="00967E50">
        <w:rPr>
          <w:rFonts w:eastAsiaTheme="minorEastAsia"/>
        </w:rPr>
        <w:t xml:space="preserve"> </w:t>
      </w:r>
      <w:r>
        <w:rPr>
          <w:rFonts w:eastAsiaTheme="minorEastAsia"/>
        </w:rPr>
        <w:t>P</w:t>
      </w:r>
      <w:r w:rsidRPr="00967E50">
        <w:rPr>
          <w:rFonts w:eastAsiaTheme="minorEastAsia"/>
        </w:rPr>
        <w:t>redictions</w:t>
      </w:r>
      <w:r>
        <w:rPr>
          <w:rFonts w:eastAsiaTheme="minorEastAsia"/>
        </w:rPr>
        <w:t>, and TRACE Code Predictions</w:t>
      </w:r>
      <w:r w:rsidRPr="00967E50">
        <w:rPr>
          <w:rFonts w:eastAsiaTheme="minorEastAsia"/>
        </w:rPr>
        <w:t xml:space="preserve"> for </w:t>
      </w:r>
      <w:r>
        <w:rPr>
          <w:rFonts w:eastAsiaTheme="minorEastAsia"/>
        </w:rPr>
        <w:t>C</w:t>
      </w:r>
      <w:r w:rsidRPr="00967E50">
        <w:rPr>
          <w:rFonts w:eastAsiaTheme="minorEastAsia"/>
        </w:rPr>
        <w:t>ase</w:t>
      </w:r>
      <w:r w:rsidRPr="003E7985">
        <w:rPr>
          <w:rFonts w:eastAsiaTheme="minorEastAsia"/>
        </w:rPr>
        <w:t xml:space="preserve"> </w:t>
      </w:r>
      <w:r w:rsidRPr="00967E50">
        <w:rPr>
          <w:rFonts w:eastAsiaTheme="minorEastAsia"/>
        </w:rPr>
        <w:t>TR</w:t>
      </w:r>
      <w:r>
        <w:rPr>
          <w:rFonts w:eastAsiaTheme="minorEastAsia"/>
        </w:rPr>
        <w:t>8.</w:t>
      </w:r>
      <w:bookmarkEnd w:id="61"/>
    </w:p>
    <w:p w14:paraId="79DD253A" w14:textId="77777777" w:rsidR="00B871A7" w:rsidRDefault="00B871A7">
      <w:pPr>
        <w:spacing w:line="240" w:lineRule="auto"/>
        <w:rPr>
          <w:b/>
          <w:bCs/>
          <w:i/>
          <w:szCs w:val="26"/>
        </w:rPr>
      </w:pPr>
      <w:r>
        <w:br w:type="page"/>
      </w:r>
    </w:p>
    <w:p w14:paraId="2FB380F1" w14:textId="7B25F2B6" w:rsidR="00DB5F54" w:rsidRDefault="00DB5F54" w:rsidP="007245A9">
      <w:pPr>
        <w:pStyle w:val="Heading3"/>
      </w:pPr>
      <w:bookmarkStart w:id="62" w:name="_Toc202957457"/>
      <w:r>
        <w:lastRenderedPageBreak/>
        <w:t>Sensitivity Analysis</w:t>
      </w:r>
      <w:bookmarkEnd w:id="62"/>
    </w:p>
    <w:p w14:paraId="1466694E" w14:textId="1EDD298F" w:rsidR="00D43F7F" w:rsidRDefault="00DB5F54" w:rsidP="00D43F7F">
      <w:r>
        <w:t xml:space="preserve">To analyze CHF within the RELAP5-3D model, I developed a proposed experimental test matrix for the TRTL facility, shown in </w:t>
      </w:r>
      <w:r w:rsidRPr="007258A1">
        <w:rPr>
          <w:b/>
          <w:bCs/>
        </w:rPr>
        <w:fldChar w:fldCharType="begin"/>
      </w:r>
      <w:r w:rsidRPr="007258A1">
        <w:rPr>
          <w:b/>
          <w:bCs/>
        </w:rPr>
        <w:instrText xml:space="preserve"> REF _Ref198132110 \h </w:instrText>
      </w:r>
      <w:r>
        <w:rPr>
          <w:b/>
          <w:bCs/>
        </w:rPr>
        <w:instrText xml:space="preserve"> \* MERGEFORMAT </w:instrText>
      </w:r>
      <w:r w:rsidRPr="007258A1">
        <w:rPr>
          <w:b/>
          <w:bCs/>
        </w:rPr>
      </w:r>
      <w:r w:rsidRPr="007258A1">
        <w:rPr>
          <w:b/>
          <w:bCs/>
        </w:rPr>
        <w:fldChar w:fldCharType="separate"/>
      </w:r>
      <w:r w:rsidR="00BF7E93" w:rsidRPr="00BF7E93">
        <w:rPr>
          <w:b/>
          <w:bCs/>
        </w:rPr>
        <w:t xml:space="preserve">Table </w:t>
      </w:r>
      <w:r w:rsidR="00BF7E93" w:rsidRPr="00BF7E93">
        <w:rPr>
          <w:b/>
          <w:bCs/>
          <w:noProof/>
        </w:rPr>
        <w:t>3.3</w:t>
      </w:r>
      <w:r w:rsidRPr="007258A1">
        <w:rPr>
          <w:b/>
          <w:bCs/>
        </w:rPr>
        <w:fldChar w:fldCharType="end"/>
      </w:r>
      <w:r>
        <w:t xml:space="preserve">, to inspect the influence of the power pulse exponential period on the CHF of the system </w:t>
      </w:r>
      <w:r>
        <w:fldChar w:fldCharType="begin"/>
      </w:r>
      <w:r>
        <w:instrText xml:space="preserve"> ADDIN EN.CITE &lt;EndNote&gt;&lt;Cite&gt;&lt;Author&gt;Meehan&lt;/Author&gt;&lt;Year&gt;2023&lt;/Year&gt;&lt;RecNum&gt;286&lt;/RecNum&gt;&lt;DisplayText&gt;[23]&lt;/DisplayText&gt;&lt;record&gt;&lt;rec-number&gt;286&lt;/rec-number&gt;&lt;foreign-keys&gt;&lt;key app="EN" db-id="eseee05sfe5vt6efvr0xapvq20vfdsfp5fvf" timestamp="1684260390" guid="2d7d9940-15f6-4d3d-8aca-00adafd39a6d"&gt;286&lt;/key&gt;&lt;/foreign-keys&gt;&lt;ref-type name="Journal Article"&gt;17&lt;/ref-type&gt;&lt;contributors&gt;&lt;authors&gt;&lt;author&gt;Meehan, Nicholas A.&lt;/author&gt;&lt;author&gt;Seo, Seok Bin&lt;/author&gt;&lt;author&gt;Howard, Trevor K.&lt;/author&gt;&lt;author&gt;Brown, Nicholas R.&lt;/author&gt;&lt;/authors&gt;&lt;/contributors&gt;&lt;titles&gt;&lt;title&gt;Sensitivity Analysis of Transient Critical Heat Flux by RIA Under High-Pressure Flow Boiling Conditions in TRTL&lt;/title&gt;&lt;secondary-title&gt;Nuclear Technology&lt;/secondary-title&gt;&lt;/titles&gt;&lt;periodical&gt;&lt;full-title&gt;Nuclear Technology&lt;/full-title&gt;&lt;/periodical&gt;&lt;pages&gt;1-25&lt;/pages&gt;&lt;dates&gt;&lt;year&gt;2023&lt;/year&gt;&lt;/dates&gt;&lt;publisher&gt;Taylor &amp;amp; Francis&lt;/publisher&gt;&lt;isbn&gt;0029-5450&lt;/isbn&gt;&lt;urls&gt;&lt;related-urls&gt;&lt;url&gt;https://doi.org/10.1080/00295450.2023.2195355&lt;/url&gt;&lt;/related-urls&gt;&lt;/urls&gt;&lt;electronic-resource-num&gt;https://doi.org/10.1080/00295450.2023.2195355&lt;/electronic-resource-num&gt;&lt;/record&gt;&lt;/Cite&gt;&lt;/EndNote&gt;</w:instrText>
      </w:r>
      <w:r>
        <w:fldChar w:fldCharType="separate"/>
      </w:r>
      <w:r>
        <w:rPr>
          <w:noProof/>
        </w:rPr>
        <w:t>[23]</w:t>
      </w:r>
      <w:r>
        <w:fldChar w:fldCharType="end"/>
      </w:r>
      <w:r>
        <w:t xml:space="preserve">. This test matrix was chosen such that all cases would reach CHF prior to the implementation of a correlation to mechanistically account for transient CHF into RELAP5-3D. Within this sensitivity analysis, I aim to determine the sensitivity of the model calculation to specific input parameters that relate to transient CHF. The figures of merit (FoMs), model outputs that I will use for the analysis with regards to reactor safety, include the peak cladding heat flux, the peak cladding temperature, the time of CHF occurrence, and the time of </w:t>
      </w:r>
      <w:r w:rsidR="00F22A75">
        <w:t>cladding rewetting. The inputs I will be varying are the thermal properties of the cladding, the boiling heat transfer multipliers and the CHF multiplier.</w:t>
      </w:r>
    </w:p>
    <w:p w14:paraId="18FE2FF7" w14:textId="51A8719B" w:rsidR="00DB5F54" w:rsidRPr="009E5CA0" w:rsidRDefault="00DB5F54" w:rsidP="00874CBB">
      <w:pPr>
        <w:pStyle w:val="Caption"/>
      </w:pPr>
      <w:bookmarkStart w:id="63" w:name="_Ref198132110"/>
      <w:bookmarkStart w:id="64" w:name="_Toc202957518"/>
      <w:r w:rsidRPr="009D2AA9">
        <w:t xml:space="preserve">Table </w:t>
      </w:r>
      <w:fldSimple w:instr=" STYLEREF 1 \s ">
        <w:r w:rsidR="00BF7E93">
          <w:rPr>
            <w:noProof/>
          </w:rPr>
          <w:t>3</w:t>
        </w:r>
      </w:fldSimple>
      <w:r w:rsidRPr="009D2AA9">
        <w:t>.</w:t>
      </w:r>
      <w:fldSimple w:instr=" SEQ Table \* ARABIC \s 1 ">
        <w:r w:rsidR="00BF7E93">
          <w:rPr>
            <w:noProof/>
          </w:rPr>
          <w:t>3</w:t>
        </w:r>
      </w:fldSimple>
      <w:bookmarkEnd w:id="63"/>
      <w:r w:rsidRPr="009D2AA9">
        <w:t xml:space="preserve">. </w:t>
      </w:r>
      <w:r>
        <w:t>Proposed Experimental Test Matrix Details.</w:t>
      </w:r>
      <w:bookmarkEnd w:id="64"/>
    </w:p>
    <w:tbl>
      <w:tblPr>
        <w:tblW w:w="88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2055"/>
        <w:gridCol w:w="900"/>
        <w:gridCol w:w="990"/>
        <w:gridCol w:w="990"/>
        <w:gridCol w:w="990"/>
        <w:gridCol w:w="990"/>
        <w:gridCol w:w="990"/>
        <w:gridCol w:w="990"/>
      </w:tblGrid>
      <w:tr w:rsidR="00DB5F54" w:rsidRPr="00857514" w14:paraId="0F16D62D" w14:textId="77777777" w:rsidTr="00AE2101">
        <w:trPr>
          <w:jc w:val="center"/>
        </w:trPr>
        <w:tc>
          <w:tcPr>
            <w:tcW w:w="2055" w:type="dxa"/>
            <w:tcBorders>
              <w:top w:val="double" w:sz="4" w:space="0" w:color="auto"/>
              <w:left w:val="double" w:sz="4" w:space="0" w:color="auto"/>
              <w:bottom w:val="double" w:sz="4" w:space="0" w:color="auto"/>
              <w:right w:val="double" w:sz="4" w:space="0" w:color="auto"/>
            </w:tcBorders>
            <w:vAlign w:val="center"/>
          </w:tcPr>
          <w:p w14:paraId="6A82E3E8" w14:textId="77777777" w:rsidR="00DB5F54" w:rsidRPr="00857514" w:rsidRDefault="00DB5F54" w:rsidP="00AE2101">
            <w:pPr>
              <w:jc w:val="center"/>
              <w:rPr>
                <w:b/>
                <w:bCs/>
              </w:rPr>
            </w:pPr>
            <w:r w:rsidRPr="00857514">
              <w:rPr>
                <w:b/>
                <w:bCs/>
              </w:rPr>
              <w:t>Parameter</w:t>
            </w:r>
          </w:p>
        </w:tc>
        <w:tc>
          <w:tcPr>
            <w:tcW w:w="900" w:type="dxa"/>
            <w:tcBorders>
              <w:top w:val="double" w:sz="4" w:space="0" w:color="auto"/>
              <w:left w:val="double" w:sz="4" w:space="0" w:color="auto"/>
              <w:bottom w:val="double" w:sz="4" w:space="0" w:color="auto"/>
              <w:right w:val="double" w:sz="4" w:space="0" w:color="auto"/>
            </w:tcBorders>
            <w:vAlign w:val="center"/>
          </w:tcPr>
          <w:p w14:paraId="3A6E1891" w14:textId="77777777" w:rsidR="00DB5F54" w:rsidRPr="00857514" w:rsidRDefault="00DB5F54" w:rsidP="00AE2101">
            <w:pPr>
              <w:jc w:val="center"/>
              <w:rPr>
                <w:b/>
                <w:bCs/>
              </w:rPr>
            </w:pPr>
            <w:r>
              <w:rPr>
                <w:b/>
                <w:bCs/>
              </w:rPr>
              <w:t>Unit</w:t>
            </w:r>
          </w:p>
        </w:tc>
        <w:tc>
          <w:tcPr>
            <w:tcW w:w="990" w:type="dxa"/>
            <w:tcBorders>
              <w:top w:val="double" w:sz="4" w:space="0" w:color="auto"/>
              <w:left w:val="double" w:sz="4" w:space="0" w:color="auto"/>
              <w:bottom w:val="double" w:sz="4" w:space="0" w:color="auto"/>
              <w:right w:val="double" w:sz="4" w:space="0" w:color="auto"/>
            </w:tcBorders>
            <w:vAlign w:val="center"/>
          </w:tcPr>
          <w:p w14:paraId="2CB151FC" w14:textId="77777777" w:rsidR="00DB5F54" w:rsidRPr="00857514" w:rsidRDefault="00DB5F54" w:rsidP="00AE2101">
            <w:pPr>
              <w:jc w:val="center"/>
              <w:rPr>
                <w:b/>
                <w:bCs/>
              </w:rPr>
            </w:pPr>
            <w:r>
              <w:rPr>
                <w:b/>
                <w:bCs/>
              </w:rPr>
              <w:t>Case 1</w:t>
            </w:r>
          </w:p>
        </w:tc>
        <w:tc>
          <w:tcPr>
            <w:tcW w:w="990" w:type="dxa"/>
            <w:tcBorders>
              <w:top w:val="double" w:sz="4" w:space="0" w:color="auto"/>
              <w:left w:val="double" w:sz="4" w:space="0" w:color="auto"/>
              <w:bottom w:val="double" w:sz="4" w:space="0" w:color="auto"/>
            </w:tcBorders>
            <w:vAlign w:val="center"/>
          </w:tcPr>
          <w:p w14:paraId="29A30C30" w14:textId="77777777" w:rsidR="00DB5F54" w:rsidRPr="00857514" w:rsidRDefault="00DB5F54" w:rsidP="00AE2101">
            <w:pPr>
              <w:jc w:val="center"/>
              <w:rPr>
                <w:b/>
                <w:bCs/>
              </w:rPr>
            </w:pPr>
            <w:r>
              <w:rPr>
                <w:b/>
                <w:bCs/>
              </w:rPr>
              <w:t>Case 2</w:t>
            </w:r>
          </w:p>
        </w:tc>
        <w:tc>
          <w:tcPr>
            <w:tcW w:w="990" w:type="dxa"/>
            <w:tcBorders>
              <w:top w:val="double" w:sz="4" w:space="0" w:color="auto"/>
              <w:left w:val="double" w:sz="4" w:space="0" w:color="auto"/>
              <w:bottom w:val="double" w:sz="4" w:space="0" w:color="auto"/>
            </w:tcBorders>
            <w:vAlign w:val="center"/>
          </w:tcPr>
          <w:p w14:paraId="6F174688" w14:textId="77777777" w:rsidR="00DB5F54" w:rsidRPr="00857514" w:rsidRDefault="00DB5F54" w:rsidP="00AE2101">
            <w:pPr>
              <w:jc w:val="center"/>
              <w:rPr>
                <w:b/>
                <w:bCs/>
              </w:rPr>
            </w:pPr>
            <w:r>
              <w:rPr>
                <w:b/>
                <w:bCs/>
              </w:rPr>
              <w:t>Case 3</w:t>
            </w:r>
          </w:p>
        </w:tc>
        <w:tc>
          <w:tcPr>
            <w:tcW w:w="990" w:type="dxa"/>
            <w:tcBorders>
              <w:top w:val="double" w:sz="4" w:space="0" w:color="auto"/>
              <w:left w:val="double" w:sz="4" w:space="0" w:color="auto"/>
              <w:bottom w:val="double" w:sz="4" w:space="0" w:color="auto"/>
            </w:tcBorders>
          </w:tcPr>
          <w:p w14:paraId="6AF9B8FA" w14:textId="77777777" w:rsidR="00DB5F54" w:rsidRPr="00857514" w:rsidRDefault="00DB5F54" w:rsidP="00AE2101">
            <w:pPr>
              <w:jc w:val="center"/>
              <w:rPr>
                <w:b/>
                <w:bCs/>
              </w:rPr>
            </w:pPr>
            <w:r>
              <w:rPr>
                <w:b/>
                <w:bCs/>
              </w:rPr>
              <w:t>Case 4</w:t>
            </w:r>
          </w:p>
        </w:tc>
        <w:tc>
          <w:tcPr>
            <w:tcW w:w="990" w:type="dxa"/>
            <w:tcBorders>
              <w:top w:val="double" w:sz="4" w:space="0" w:color="auto"/>
              <w:left w:val="double" w:sz="4" w:space="0" w:color="auto"/>
              <w:bottom w:val="double" w:sz="4" w:space="0" w:color="auto"/>
            </w:tcBorders>
          </w:tcPr>
          <w:p w14:paraId="093A4C7B" w14:textId="77777777" w:rsidR="00DB5F54" w:rsidRDefault="00DB5F54" w:rsidP="00AE2101">
            <w:pPr>
              <w:jc w:val="center"/>
              <w:rPr>
                <w:b/>
                <w:bCs/>
              </w:rPr>
            </w:pPr>
            <w:r>
              <w:rPr>
                <w:b/>
                <w:bCs/>
              </w:rPr>
              <w:t>Case 5</w:t>
            </w:r>
          </w:p>
        </w:tc>
        <w:tc>
          <w:tcPr>
            <w:tcW w:w="990" w:type="dxa"/>
            <w:tcBorders>
              <w:top w:val="double" w:sz="4" w:space="0" w:color="auto"/>
              <w:left w:val="double" w:sz="4" w:space="0" w:color="auto"/>
              <w:bottom w:val="double" w:sz="4" w:space="0" w:color="auto"/>
            </w:tcBorders>
          </w:tcPr>
          <w:p w14:paraId="1C94AF53" w14:textId="77777777" w:rsidR="00DB5F54" w:rsidRDefault="00DB5F54" w:rsidP="00AE2101">
            <w:pPr>
              <w:jc w:val="center"/>
              <w:rPr>
                <w:b/>
                <w:bCs/>
              </w:rPr>
            </w:pPr>
            <w:r>
              <w:rPr>
                <w:b/>
                <w:bCs/>
              </w:rPr>
              <w:t>Case 6</w:t>
            </w:r>
          </w:p>
        </w:tc>
      </w:tr>
      <w:tr w:rsidR="00DB5F54" w:rsidRPr="008120CD" w14:paraId="3077BF4E" w14:textId="77777777" w:rsidTr="00AE2101">
        <w:trPr>
          <w:jc w:val="center"/>
        </w:trPr>
        <w:tc>
          <w:tcPr>
            <w:tcW w:w="2055" w:type="dxa"/>
            <w:tcBorders>
              <w:left w:val="double" w:sz="4" w:space="0" w:color="auto"/>
              <w:right w:val="double" w:sz="4" w:space="0" w:color="auto"/>
            </w:tcBorders>
            <w:vAlign w:val="center"/>
          </w:tcPr>
          <w:p w14:paraId="7A2339B6" w14:textId="77777777" w:rsidR="00DB5F54" w:rsidRDefault="00DB5F54" w:rsidP="00AE2101">
            <w:pPr>
              <w:jc w:val="center"/>
            </w:pPr>
            <w:r>
              <w:t>Exponential</w:t>
            </w:r>
          </w:p>
          <w:p w14:paraId="3469F241" w14:textId="77777777" w:rsidR="00DB5F54" w:rsidRPr="00445C91" w:rsidRDefault="00DB5F54" w:rsidP="00AE2101">
            <w:pPr>
              <w:jc w:val="center"/>
            </w:pPr>
            <w:r>
              <w:t>Period</w:t>
            </w:r>
          </w:p>
        </w:tc>
        <w:tc>
          <w:tcPr>
            <w:tcW w:w="900" w:type="dxa"/>
            <w:tcBorders>
              <w:left w:val="double" w:sz="4" w:space="0" w:color="auto"/>
              <w:right w:val="double" w:sz="4" w:space="0" w:color="auto"/>
            </w:tcBorders>
            <w:vAlign w:val="center"/>
          </w:tcPr>
          <w:p w14:paraId="5F7F7A42" w14:textId="77777777" w:rsidR="00DB5F54" w:rsidRPr="00445C91" w:rsidRDefault="00DB5F54" w:rsidP="00AE2101">
            <w:pPr>
              <w:jc w:val="center"/>
            </w:pPr>
            <w:r>
              <w:t>ms</w:t>
            </w:r>
          </w:p>
        </w:tc>
        <w:tc>
          <w:tcPr>
            <w:tcW w:w="990" w:type="dxa"/>
            <w:tcBorders>
              <w:left w:val="double" w:sz="4" w:space="0" w:color="auto"/>
              <w:right w:val="double" w:sz="4" w:space="0" w:color="auto"/>
            </w:tcBorders>
            <w:vAlign w:val="center"/>
          </w:tcPr>
          <w:p w14:paraId="38821D3B" w14:textId="77777777" w:rsidR="00DB5F54" w:rsidRPr="008120CD" w:rsidRDefault="00DB5F54" w:rsidP="00AE2101">
            <w:pPr>
              <w:jc w:val="center"/>
            </w:pPr>
            <w:r>
              <w:t>100</w:t>
            </w:r>
          </w:p>
        </w:tc>
        <w:tc>
          <w:tcPr>
            <w:tcW w:w="990" w:type="dxa"/>
            <w:tcBorders>
              <w:left w:val="double" w:sz="4" w:space="0" w:color="auto"/>
            </w:tcBorders>
            <w:vAlign w:val="center"/>
          </w:tcPr>
          <w:p w14:paraId="72A81F72" w14:textId="77777777" w:rsidR="00DB5F54" w:rsidRPr="008120CD" w:rsidRDefault="00DB5F54" w:rsidP="00AE2101">
            <w:pPr>
              <w:jc w:val="center"/>
            </w:pPr>
            <w:r>
              <w:t>60</w:t>
            </w:r>
          </w:p>
        </w:tc>
        <w:tc>
          <w:tcPr>
            <w:tcW w:w="990" w:type="dxa"/>
            <w:tcBorders>
              <w:left w:val="double" w:sz="4" w:space="0" w:color="auto"/>
            </w:tcBorders>
            <w:vAlign w:val="center"/>
          </w:tcPr>
          <w:p w14:paraId="36CB4F67" w14:textId="77777777" w:rsidR="00DB5F54" w:rsidRPr="008120CD" w:rsidRDefault="00DB5F54" w:rsidP="00AE2101">
            <w:pPr>
              <w:jc w:val="center"/>
            </w:pPr>
            <w:r>
              <w:t>55</w:t>
            </w:r>
          </w:p>
        </w:tc>
        <w:tc>
          <w:tcPr>
            <w:tcW w:w="990" w:type="dxa"/>
            <w:tcBorders>
              <w:left w:val="double" w:sz="4" w:space="0" w:color="auto"/>
            </w:tcBorders>
            <w:vAlign w:val="center"/>
          </w:tcPr>
          <w:p w14:paraId="30B1E6FB" w14:textId="77777777" w:rsidR="00DB5F54" w:rsidRDefault="00DB5F54" w:rsidP="00AE2101">
            <w:pPr>
              <w:jc w:val="center"/>
            </w:pPr>
            <w:r>
              <w:t>60</w:t>
            </w:r>
          </w:p>
        </w:tc>
        <w:tc>
          <w:tcPr>
            <w:tcW w:w="990" w:type="dxa"/>
            <w:tcBorders>
              <w:left w:val="double" w:sz="4" w:space="0" w:color="auto"/>
            </w:tcBorders>
            <w:vAlign w:val="center"/>
          </w:tcPr>
          <w:p w14:paraId="33F6E661" w14:textId="77777777" w:rsidR="00DB5F54" w:rsidRDefault="00DB5F54" w:rsidP="00AE2101">
            <w:pPr>
              <w:jc w:val="center"/>
            </w:pPr>
            <w:r>
              <w:t>65</w:t>
            </w:r>
          </w:p>
        </w:tc>
        <w:tc>
          <w:tcPr>
            <w:tcW w:w="990" w:type="dxa"/>
            <w:tcBorders>
              <w:left w:val="double" w:sz="4" w:space="0" w:color="auto"/>
            </w:tcBorders>
            <w:vAlign w:val="center"/>
          </w:tcPr>
          <w:p w14:paraId="21F0DDBF" w14:textId="77777777" w:rsidR="00DB5F54" w:rsidRDefault="00DB5F54" w:rsidP="00AE2101">
            <w:pPr>
              <w:jc w:val="center"/>
            </w:pPr>
            <w:r>
              <w:t>70</w:t>
            </w:r>
          </w:p>
        </w:tc>
      </w:tr>
      <w:tr w:rsidR="00DB5F54" w:rsidRPr="00560A5E" w14:paraId="6195F4C3" w14:textId="77777777" w:rsidTr="00AE2101">
        <w:trPr>
          <w:jc w:val="center"/>
        </w:trPr>
        <w:tc>
          <w:tcPr>
            <w:tcW w:w="2055" w:type="dxa"/>
            <w:tcBorders>
              <w:left w:val="double" w:sz="4" w:space="0" w:color="auto"/>
              <w:right w:val="double" w:sz="4" w:space="0" w:color="auto"/>
            </w:tcBorders>
            <w:vAlign w:val="center"/>
          </w:tcPr>
          <w:p w14:paraId="7CF2E1C8" w14:textId="77777777" w:rsidR="00DB5F54" w:rsidRPr="00445C91" w:rsidRDefault="00DB5F54" w:rsidP="00AE2101">
            <w:pPr>
              <w:jc w:val="center"/>
              <w:rPr>
                <w:vertAlign w:val="subscript"/>
              </w:rPr>
            </w:pPr>
            <w:r>
              <w:t>Maximum Transient Linear Heat Rate</w:t>
            </w:r>
          </w:p>
        </w:tc>
        <w:tc>
          <w:tcPr>
            <w:tcW w:w="900" w:type="dxa"/>
            <w:tcBorders>
              <w:left w:val="double" w:sz="4" w:space="0" w:color="auto"/>
              <w:right w:val="double" w:sz="4" w:space="0" w:color="auto"/>
            </w:tcBorders>
            <w:vAlign w:val="center"/>
          </w:tcPr>
          <w:p w14:paraId="0CCCBCAE" w14:textId="77777777" w:rsidR="00DB5F54" w:rsidRPr="00445C91" w:rsidRDefault="00DB5F54" w:rsidP="00AE2101">
            <w:pPr>
              <w:jc w:val="center"/>
            </w:pPr>
            <w:r>
              <w:t>kW/m</w:t>
            </w:r>
          </w:p>
        </w:tc>
        <w:tc>
          <w:tcPr>
            <w:tcW w:w="990" w:type="dxa"/>
            <w:tcBorders>
              <w:left w:val="double" w:sz="4" w:space="0" w:color="auto"/>
              <w:right w:val="double" w:sz="4" w:space="0" w:color="auto"/>
            </w:tcBorders>
            <w:vAlign w:val="center"/>
          </w:tcPr>
          <w:p w14:paraId="256F1EFA" w14:textId="77777777" w:rsidR="00DB5F54" w:rsidRPr="002F13A8" w:rsidRDefault="00DB5F54" w:rsidP="00AE2101">
            <w:pPr>
              <w:jc w:val="center"/>
            </w:pPr>
            <w:r>
              <w:t>44.89</w:t>
            </w:r>
          </w:p>
        </w:tc>
        <w:tc>
          <w:tcPr>
            <w:tcW w:w="990" w:type="dxa"/>
            <w:tcBorders>
              <w:left w:val="double" w:sz="4" w:space="0" w:color="auto"/>
            </w:tcBorders>
            <w:vAlign w:val="center"/>
          </w:tcPr>
          <w:p w14:paraId="33042667" w14:textId="77777777" w:rsidR="00DB5F54" w:rsidRPr="008120CD" w:rsidRDefault="00DB5F54" w:rsidP="00AE2101">
            <w:pPr>
              <w:jc w:val="center"/>
            </w:pPr>
            <w:r w:rsidRPr="00840196">
              <w:t>2</w:t>
            </w:r>
            <w:r>
              <w:t>5.14</w:t>
            </w:r>
          </w:p>
        </w:tc>
        <w:tc>
          <w:tcPr>
            <w:tcW w:w="990" w:type="dxa"/>
            <w:tcBorders>
              <w:left w:val="double" w:sz="4" w:space="0" w:color="auto"/>
            </w:tcBorders>
            <w:vAlign w:val="center"/>
          </w:tcPr>
          <w:p w14:paraId="4141FF21" w14:textId="77777777" w:rsidR="00DB5F54" w:rsidRPr="00560A5E" w:rsidRDefault="00DB5F54" w:rsidP="00AE2101">
            <w:pPr>
              <w:jc w:val="center"/>
            </w:pPr>
            <w:r>
              <w:t>44.89</w:t>
            </w:r>
          </w:p>
        </w:tc>
        <w:tc>
          <w:tcPr>
            <w:tcW w:w="990" w:type="dxa"/>
            <w:tcBorders>
              <w:left w:val="double" w:sz="4" w:space="0" w:color="auto"/>
            </w:tcBorders>
            <w:vAlign w:val="center"/>
          </w:tcPr>
          <w:p w14:paraId="1BE57A4B" w14:textId="77777777" w:rsidR="00DB5F54" w:rsidRDefault="00DB5F54" w:rsidP="00AE2101">
            <w:pPr>
              <w:jc w:val="center"/>
            </w:pPr>
            <w:r>
              <w:t>36.94</w:t>
            </w:r>
          </w:p>
        </w:tc>
        <w:tc>
          <w:tcPr>
            <w:tcW w:w="990" w:type="dxa"/>
            <w:tcBorders>
              <w:left w:val="double" w:sz="4" w:space="0" w:color="auto"/>
            </w:tcBorders>
            <w:vAlign w:val="center"/>
          </w:tcPr>
          <w:p w14:paraId="4D9158E6" w14:textId="77777777" w:rsidR="00DB5F54" w:rsidRDefault="00DB5F54" w:rsidP="00AE2101">
            <w:pPr>
              <w:jc w:val="center"/>
            </w:pPr>
            <w:r w:rsidRPr="00840196">
              <w:t>3</w:t>
            </w:r>
            <w:r>
              <w:t>0.82</w:t>
            </w:r>
          </w:p>
        </w:tc>
        <w:tc>
          <w:tcPr>
            <w:tcW w:w="990" w:type="dxa"/>
            <w:tcBorders>
              <w:left w:val="double" w:sz="4" w:space="0" w:color="auto"/>
            </w:tcBorders>
            <w:vAlign w:val="center"/>
          </w:tcPr>
          <w:p w14:paraId="5C0C5E99" w14:textId="77777777" w:rsidR="00DB5F54" w:rsidRDefault="00DB5F54" w:rsidP="00AE2101">
            <w:pPr>
              <w:jc w:val="center"/>
            </w:pPr>
            <w:r w:rsidRPr="00840196">
              <w:t>2</w:t>
            </w:r>
            <w:r>
              <w:t>6.03</w:t>
            </w:r>
          </w:p>
        </w:tc>
      </w:tr>
      <w:tr w:rsidR="00DB5F54" w:rsidRPr="008120CD" w14:paraId="6413A900" w14:textId="77777777" w:rsidTr="00AE2101">
        <w:trPr>
          <w:jc w:val="center"/>
        </w:trPr>
        <w:tc>
          <w:tcPr>
            <w:tcW w:w="2055" w:type="dxa"/>
            <w:tcBorders>
              <w:left w:val="double" w:sz="4" w:space="0" w:color="auto"/>
              <w:right w:val="double" w:sz="4" w:space="0" w:color="auto"/>
            </w:tcBorders>
            <w:vAlign w:val="center"/>
          </w:tcPr>
          <w:p w14:paraId="50DBCD3B" w14:textId="77777777" w:rsidR="00DB5F54" w:rsidRPr="008120CD" w:rsidRDefault="00DB5F54" w:rsidP="00AE2101">
            <w:pPr>
              <w:jc w:val="center"/>
            </w:pPr>
            <w:r>
              <w:t>Critical Heat Flux Multiplier</w:t>
            </w:r>
          </w:p>
        </w:tc>
        <w:tc>
          <w:tcPr>
            <w:tcW w:w="900" w:type="dxa"/>
            <w:tcBorders>
              <w:left w:val="double" w:sz="4" w:space="0" w:color="auto"/>
              <w:right w:val="double" w:sz="4" w:space="0" w:color="auto"/>
            </w:tcBorders>
            <w:vAlign w:val="center"/>
          </w:tcPr>
          <w:p w14:paraId="1B5D3BF5" w14:textId="77777777" w:rsidR="00DB5F54" w:rsidRPr="008120CD" w:rsidRDefault="00DB5F54" w:rsidP="00AE2101">
            <w:pPr>
              <w:jc w:val="center"/>
            </w:pPr>
            <w:r>
              <w:t>n/a</w:t>
            </w:r>
          </w:p>
        </w:tc>
        <w:tc>
          <w:tcPr>
            <w:tcW w:w="990" w:type="dxa"/>
            <w:tcBorders>
              <w:left w:val="double" w:sz="4" w:space="0" w:color="auto"/>
              <w:right w:val="double" w:sz="4" w:space="0" w:color="auto"/>
            </w:tcBorders>
            <w:vAlign w:val="center"/>
          </w:tcPr>
          <w:p w14:paraId="62D1F294" w14:textId="77777777" w:rsidR="00DB5F54" w:rsidRPr="008120CD" w:rsidRDefault="00DB5F54" w:rsidP="00AE2101">
            <w:pPr>
              <w:jc w:val="center"/>
            </w:pPr>
            <w:r>
              <w:t>1.431</w:t>
            </w:r>
          </w:p>
        </w:tc>
        <w:tc>
          <w:tcPr>
            <w:tcW w:w="990" w:type="dxa"/>
            <w:tcBorders>
              <w:left w:val="double" w:sz="4" w:space="0" w:color="auto"/>
            </w:tcBorders>
            <w:vAlign w:val="center"/>
          </w:tcPr>
          <w:p w14:paraId="2B540A08" w14:textId="77777777" w:rsidR="00DB5F54" w:rsidRPr="008120CD" w:rsidRDefault="00DB5F54" w:rsidP="00AE2101">
            <w:pPr>
              <w:jc w:val="center"/>
            </w:pPr>
            <w:r>
              <w:t>1.585</w:t>
            </w:r>
          </w:p>
        </w:tc>
        <w:tc>
          <w:tcPr>
            <w:tcW w:w="990" w:type="dxa"/>
            <w:tcBorders>
              <w:left w:val="double" w:sz="4" w:space="0" w:color="auto"/>
            </w:tcBorders>
            <w:vAlign w:val="center"/>
          </w:tcPr>
          <w:p w14:paraId="5211AED2" w14:textId="77777777" w:rsidR="00DB5F54" w:rsidRPr="008120CD" w:rsidRDefault="00DB5F54" w:rsidP="00AE2101">
            <w:pPr>
              <w:jc w:val="center"/>
            </w:pPr>
            <w:r>
              <w:t>1.617</w:t>
            </w:r>
          </w:p>
        </w:tc>
        <w:tc>
          <w:tcPr>
            <w:tcW w:w="990" w:type="dxa"/>
            <w:tcBorders>
              <w:left w:val="double" w:sz="4" w:space="0" w:color="auto"/>
            </w:tcBorders>
            <w:vAlign w:val="center"/>
          </w:tcPr>
          <w:p w14:paraId="0B6C86EF" w14:textId="77777777" w:rsidR="00DB5F54" w:rsidRDefault="00DB5F54" w:rsidP="00AE2101">
            <w:pPr>
              <w:jc w:val="center"/>
            </w:pPr>
            <w:r>
              <w:t>1.585</w:t>
            </w:r>
          </w:p>
        </w:tc>
        <w:tc>
          <w:tcPr>
            <w:tcW w:w="990" w:type="dxa"/>
            <w:tcBorders>
              <w:left w:val="double" w:sz="4" w:space="0" w:color="auto"/>
            </w:tcBorders>
            <w:vAlign w:val="center"/>
          </w:tcPr>
          <w:p w14:paraId="5D812DBA" w14:textId="77777777" w:rsidR="00DB5F54" w:rsidRDefault="00DB5F54" w:rsidP="00AE2101">
            <w:pPr>
              <w:jc w:val="center"/>
            </w:pPr>
            <w:r>
              <w:t>1.558</w:t>
            </w:r>
          </w:p>
        </w:tc>
        <w:tc>
          <w:tcPr>
            <w:tcW w:w="990" w:type="dxa"/>
            <w:tcBorders>
              <w:left w:val="double" w:sz="4" w:space="0" w:color="auto"/>
            </w:tcBorders>
            <w:vAlign w:val="center"/>
          </w:tcPr>
          <w:p w14:paraId="3FC42D89" w14:textId="77777777" w:rsidR="00DB5F54" w:rsidRDefault="00DB5F54" w:rsidP="00AE2101">
            <w:pPr>
              <w:jc w:val="center"/>
            </w:pPr>
            <w:r>
              <w:t>1.534</w:t>
            </w:r>
          </w:p>
        </w:tc>
      </w:tr>
    </w:tbl>
    <w:p w14:paraId="705EB857" w14:textId="77777777" w:rsidR="00DB5F54" w:rsidRDefault="00DB5F54">
      <w:pPr>
        <w:spacing w:line="240" w:lineRule="auto"/>
      </w:pPr>
      <w:r>
        <w:br w:type="page"/>
      </w:r>
    </w:p>
    <w:p w14:paraId="0F4D941F" w14:textId="67002BB2" w:rsidR="00D43F7F" w:rsidRDefault="00D43F7F" w:rsidP="00D43F7F">
      <w:r>
        <w:lastRenderedPageBreak/>
        <w:t xml:space="preserve">The experimental power pulses for each test are exponential ramps in power of the same form as the experimental validation test matrix shown in Equation </w:t>
      </w:r>
      <w:r>
        <w:fldChar w:fldCharType="begin"/>
      </w:r>
      <w:r>
        <w:instrText xml:space="preserve"> REF _Ref160658654 \h  \* MERGEFORMAT </w:instrText>
      </w:r>
      <w:r>
        <w:fldChar w:fldCharType="separate"/>
      </w:r>
      <w:r w:rsidR="00BF7E93">
        <w:rPr>
          <w:noProof/>
        </w:rPr>
        <w:t>12</w:t>
      </w:r>
      <w:r>
        <w:fldChar w:fldCharType="end"/>
      </w:r>
      <w:r>
        <w:t>.</w:t>
      </w:r>
      <w:r w:rsidRPr="00D62269">
        <w:t xml:space="preserve"> </w:t>
      </w:r>
    </w:p>
    <w:p w14:paraId="32BB414A" w14:textId="2E381EE9" w:rsidR="00D43F7F" w:rsidRDefault="00D43F7F" w:rsidP="00D43F7F">
      <w:r w:rsidRPr="00D62269">
        <w:t xml:space="preserve">The steady state power is given by  </w:t>
      </w:r>
      <m:oMath>
        <m:sSub>
          <m:sSubPr>
            <m:ctrlPr>
              <w:rPr>
                <w:rFonts w:ascii="Cambria Math" w:hAnsi="Cambria Math"/>
                <w:i/>
              </w:rPr>
            </m:ctrlPr>
          </m:sSubPr>
          <m:e>
            <m:r>
              <w:rPr>
                <w:rFonts w:ascii="Cambria Math" w:hAnsi="Cambria Math"/>
              </w:rPr>
              <m:t>P</m:t>
            </m:r>
          </m:e>
          <m:sub>
            <m:r>
              <w:rPr>
                <w:rFonts w:ascii="Cambria Math" w:hAnsi="Cambria Math"/>
              </w:rPr>
              <m:t>SS</m:t>
            </m:r>
          </m:sub>
        </m:sSub>
      </m:oMath>
      <w:r>
        <w:t>.</w:t>
      </w:r>
      <w:r w:rsidRPr="00D62269">
        <w:t xml:space="preserve"> The problem time is given by </w:t>
      </w:r>
      <w:r w:rsidRPr="00D62269">
        <w:rPr>
          <w:i/>
          <w:iCs/>
        </w:rPr>
        <w:t>t</w:t>
      </w:r>
      <w:r w:rsidRPr="00D62269">
        <w:t>, the start time of the transient</w:t>
      </w:r>
      <w:r>
        <w:t>, which is the same for each transient,</w:t>
      </w:r>
      <w:r w:rsidRPr="00D62269">
        <w:t xml:space="preserve"> is given by </w:t>
      </w:r>
      <m:oMath>
        <m:sSub>
          <m:sSubPr>
            <m:ctrlPr>
              <w:rPr>
                <w:rFonts w:ascii="Cambria Math" w:hAnsi="Cambria Math"/>
                <w:i/>
              </w:rPr>
            </m:ctrlPr>
          </m:sSubPr>
          <m:e>
            <m:r>
              <w:rPr>
                <w:rFonts w:ascii="Cambria Math" w:hAnsi="Cambria Math"/>
              </w:rPr>
              <m:t>t</m:t>
            </m:r>
          </m:e>
          <m:sub>
            <m:r>
              <w:rPr>
                <w:rFonts w:ascii="Cambria Math" w:hAnsi="Cambria Math"/>
              </w:rPr>
              <m:t>s</m:t>
            </m:r>
          </m:sub>
        </m:sSub>
      </m:oMath>
      <w:r>
        <w:t>,</w:t>
      </w:r>
      <w:r w:rsidRPr="00D62269">
        <w:t xml:space="preserve"> and the exponential period of the transient is given by </w:t>
      </w:r>
      <m:oMath>
        <m:r>
          <w:rPr>
            <w:rFonts w:ascii="Cambria Math" w:hAnsi="Cambria Math"/>
          </w:rPr>
          <m:t>τ</m:t>
        </m:r>
      </m:oMath>
      <w:r w:rsidRPr="00D62269">
        <w:t>.</w:t>
      </w:r>
      <w:r>
        <w:t xml:space="preserve"> T</w:t>
      </w:r>
      <w:r w:rsidRPr="00D62269">
        <w:t>he maximum transient power is given by G</w:t>
      </w:r>
      <w:r>
        <w:t xml:space="preserve">, which is calculated based on the desired value of  </w:t>
      </w:r>
      <m:oMath>
        <m:sSub>
          <m:sSubPr>
            <m:ctrlPr>
              <w:rPr>
                <w:rFonts w:ascii="Cambria Math" w:hAnsi="Cambria Math"/>
                <w:i/>
              </w:rPr>
            </m:ctrlPr>
          </m:sSubPr>
          <m:e>
            <m:r>
              <w:rPr>
                <w:rFonts w:ascii="Cambria Math" w:hAnsi="Cambria Math"/>
              </w:rPr>
              <m:t>P</m:t>
            </m:r>
          </m:e>
          <m:sub>
            <m:r>
              <w:rPr>
                <w:rFonts w:ascii="Cambria Math" w:hAnsi="Cambria Math"/>
              </w:rPr>
              <m:t>Tr</m:t>
            </m:r>
          </m:sub>
        </m:sSub>
      </m:oMath>
      <w:r>
        <w:t xml:space="preserve"> for the given values of </w:t>
      </w:r>
      <m:oMath>
        <m:sSub>
          <m:sSubPr>
            <m:ctrlPr>
              <w:rPr>
                <w:rFonts w:ascii="Cambria Math" w:hAnsi="Cambria Math"/>
                <w:i/>
              </w:rPr>
            </m:ctrlPr>
          </m:sSubPr>
          <m:e>
            <m:r>
              <w:rPr>
                <w:rFonts w:ascii="Cambria Math" w:hAnsi="Cambria Math"/>
              </w:rPr>
              <m:t>P</m:t>
            </m:r>
          </m:e>
          <m:sub>
            <m:r>
              <w:rPr>
                <w:rFonts w:ascii="Cambria Math" w:hAnsi="Cambria Math"/>
              </w:rPr>
              <m:t>SS</m:t>
            </m:r>
          </m:sub>
        </m:sSub>
      </m:oMath>
      <w:r>
        <w:t xml:space="preserve">, </w:t>
      </w:r>
      <m:oMath>
        <m:sSub>
          <m:sSubPr>
            <m:ctrlPr>
              <w:rPr>
                <w:rFonts w:ascii="Cambria Math" w:hAnsi="Cambria Math"/>
                <w:i/>
              </w:rPr>
            </m:ctrlPr>
          </m:sSubPr>
          <m:e>
            <m:r>
              <w:rPr>
                <w:rFonts w:ascii="Cambria Math" w:hAnsi="Cambria Math"/>
              </w:rPr>
              <m:t>t</m:t>
            </m:r>
          </m:e>
          <m:sub>
            <m:r>
              <w:rPr>
                <w:rFonts w:ascii="Cambria Math" w:hAnsi="Cambria Math"/>
              </w:rPr>
              <m:t>s</m:t>
            </m:r>
          </m:sub>
        </m:sSub>
      </m:oMath>
      <w:r>
        <w:t xml:space="preserve">, and </w:t>
      </w:r>
      <m:oMath>
        <m:r>
          <w:rPr>
            <w:rFonts w:ascii="Cambria Math" w:hAnsi="Cambria Math"/>
          </w:rPr>
          <m:t>τ</m:t>
        </m:r>
      </m:oMath>
      <w:r>
        <w:t xml:space="preserve"> at the time of peak power</w:t>
      </w:r>
      <w:r w:rsidRPr="00D62269">
        <w:t xml:space="preserve">. </w:t>
      </w:r>
      <w:r>
        <w:t>Once the peak power is reached, the power immediately returns to</w:t>
      </w:r>
    </w:p>
    <w:p w14:paraId="790A84B4" w14:textId="3885C0B8" w:rsidR="00637CAA" w:rsidRDefault="00637CAA" w:rsidP="00123554">
      <w:r>
        <w:t>the steady state value for the remainder of the simulation. A visualization of the power pulses that will be analyzed for this sensitivity analysis can be found in</w:t>
      </w:r>
      <w:r w:rsidR="004B00A8">
        <w:t xml:space="preserve"> </w:t>
      </w:r>
      <w:r w:rsidR="004B00A8" w:rsidRPr="00377123">
        <w:rPr>
          <w:b/>
          <w:bCs/>
        </w:rPr>
        <w:fldChar w:fldCharType="begin"/>
      </w:r>
      <w:r w:rsidR="004B00A8" w:rsidRPr="00377123">
        <w:rPr>
          <w:b/>
          <w:bCs/>
        </w:rPr>
        <w:instrText xml:space="preserve"> REF _Ref160718289 \h </w:instrText>
      </w:r>
      <w:r w:rsidR="00123554" w:rsidRPr="00377123">
        <w:rPr>
          <w:b/>
          <w:bCs/>
        </w:rPr>
        <w:instrText xml:space="preserve"> \* MERGEFORMAT </w:instrText>
      </w:r>
      <w:r w:rsidR="004B00A8" w:rsidRPr="00377123">
        <w:rPr>
          <w:b/>
          <w:bCs/>
        </w:rPr>
      </w:r>
      <w:r w:rsidR="004B00A8" w:rsidRPr="00377123">
        <w:rPr>
          <w:b/>
          <w:bCs/>
        </w:rPr>
        <w:fldChar w:fldCharType="separate"/>
      </w:r>
      <w:r w:rsidR="00BF7E93" w:rsidRPr="00BF7E93">
        <w:rPr>
          <w:b/>
          <w:bCs/>
        </w:rPr>
        <w:t xml:space="preserve">Figure </w:t>
      </w:r>
      <w:r w:rsidR="00BF7E93" w:rsidRPr="00BF7E93">
        <w:rPr>
          <w:b/>
          <w:bCs/>
          <w:noProof/>
        </w:rPr>
        <w:t>3.9</w:t>
      </w:r>
      <w:r w:rsidR="004B00A8" w:rsidRPr="00377123">
        <w:rPr>
          <w:b/>
          <w:bCs/>
        </w:rPr>
        <w:fldChar w:fldCharType="end"/>
      </w:r>
      <w:r>
        <w:t xml:space="preserve">. </w:t>
      </w:r>
    </w:p>
    <w:p w14:paraId="5ABF5551" w14:textId="0B310C40" w:rsidR="00637CAA" w:rsidRDefault="00637CAA" w:rsidP="00123554">
      <w:pPr>
        <w:rPr>
          <w:bCs/>
        </w:rPr>
      </w:pPr>
      <w:r w:rsidRPr="00160138">
        <w:rPr>
          <w:bCs/>
        </w:rPr>
        <w:t>Case 1 and 2 are the maximum and minimum total energy deposition for CHF occurrence within the chosen sample range, and cases 3-6 have the same total energy deposition, but varying energy deposition rates. The full results of the parametric sweep based on the time of CHF are shown in</w:t>
      </w:r>
      <w:r w:rsidR="0053161D">
        <w:rPr>
          <w:bCs/>
        </w:rPr>
        <w:t xml:space="preserve"> </w:t>
      </w:r>
      <w:r w:rsidR="0053161D" w:rsidRPr="00377123">
        <w:rPr>
          <w:b/>
          <w:bCs/>
        </w:rPr>
        <w:fldChar w:fldCharType="begin"/>
      </w:r>
      <w:r w:rsidR="0053161D" w:rsidRPr="00377123">
        <w:rPr>
          <w:b/>
          <w:bCs/>
        </w:rPr>
        <w:instrText xml:space="preserve"> REF _Ref160718762 \h </w:instrText>
      </w:r>
      <w:r w:rsidR="00123554" w:rsidRPr="00377123">
        <w:rPr>
          <w:b/>
          <w:bCs/>
        </w:rPr>
        <w:instrText xml:space="preserve"> \* MERGEFORMAT </w:instrText>
      </w:r>
      <w:r w:rsidR="0053161D" w:rsidRPr="00377123">
        <w:rPr>
          <w:b/>
          <w:bCs/>
        </w:rPr>
      </w:r>
      <w:r w:rsidR="0053161D" w:rsidRPr="00377123">
        <w:rPr>
          <w:b/>
          <w:bCs/>
        </w:rPr>
        <w:fldChar w:fldCharType="separate"/>
      </w:r>
      <w:r w:rsidR="00BF7E93" w:rsidRPr="00BF7E93">
        <w:rPr>
          <w:b/>
          <w:bCs/>
        </w:rPr>
        <w:t xml:space="preserve">Figure </w:t>
      </w:r>
      <w:r w:rsidR="00BF7E93" w:rsidRPr="00BF7E93">
        <w:rPr>
          <w:b/>
          <w:bCs/>
          <w:noProof/>
        </w:rPr>
        <w:t>3.10</w:t>
      </w:r>
      <w:r w:rsidR="0053161D" w:rsidRPr="00377123">
        <w:rPr>
          <w:b/>
          <w:bCs/>
        </w:rPr>
        <w:fldChar w:fldCharType="end"/>
      </w:r>
      <w:r w:rsidRPr="00160138">
        <w:rPr>
          <w:bCs/>
        </w:rPr>
        <w:t>. The open circles represent cases which did not reach CHF and the closed circles represent cases that have reached CHF and are colored according to the time of CHF occurrence.</w:t>
      </w:r>
    </w:p>
    <w:p w14:paraId="00D624AD" w14:textId="32AEDA3D" w:rsidR="00D43F7F" w:rsidRPr="00160138" w:rsidRDefault="00D43F7F" w:rsidP="00123554">
      <w:r>
        <w:t xml:space="preserve">I performed the sensitivity analysis inspecting the RELAP5-3D model boiling heat transfer multipliers and the thermal properties of the cladding. The boiling heat transfer multipliers are direct multipliers on the heat transfer coefficients within the nucleate, transition, and film boiling regimes, and on the look-up table value of critical heat flux. </w:t>
      </w:r>
    </w:p>
    <w:p w14:paraId="73C3E029" w14:textId="77777777" w:rsidR="004B00A8" w:rsidRDefault="004B00A8" w:rsidP="004B00A8">
      <w:pPr>
        <w:keepNext/>
        <w:jc w:val="center"/>
      </w:pPr>
      <w:r>
        <w:rPr>
          <w:noProof/>
        </w:rPr>
        <w:lastRenderedPageBreak/>
        <w:drawing>
          <wp:inline distT="0" distB="0" distL="0" distR="0" wp14:anchorId="6996E2DC" wp14:editId="6C6AE21E">
            <wp:extent cx="3657600" cy="2853559"/>
            <wp:effectExtent l="0" t="0" r="0" b="444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pic:cNvPicPr/>
                  </pic:nvPicPr>
                  <pic:blipFill rotWithShape="1">
                    <a:blip r:embed="rId26" cstate="print">
                      <a:extLst>
                        <a:ext uri="{28A0092B-C50C-407E-A947-70E740481C1C}">
                          <a14:useLocalDpi xmlns:a14="http://schemas.microsoft.com/office/drawing/2010/main" val="0"/>
                        </a:ext>
                      </a:extLst>
                    </a:blip>
                    <a:srcRect l="5897" t="5983" r="4873" b="1197"/>
                    <a:stretch/>
                  </pic:blipFill>
                  <pic:spPr bwMode="auto">
                    <a:xfrm>
                      <a:off x="0" y="0"/>
                      <a:ext cx="3657600" cy="2853559"/>
                    </a:xfrm>
                    <a:prstGeom prst="rect">
                      <a:avLst/>
                    </a:prstGeom>
                    <a:ln>
                      <a:noFill/>
                    </a:ln>
                    <a:extLst>
                      <a:ext uri="{53640926-AAD7-44D8-BBD7-CCE9431645EC}">
                        <a14:shadowObscured xmlns:a14="http://schemas.microsoft.com/office/drawing/2010/main"/>
                      </a:ext>
                    </a:extLst>
                  </pic:spPr>
                </pic:pic>
              </a:graphicData>
            </a:graphic>
          </wp:inline>
        </w:drawing>
      </w:r>
    </w:p>
    <w:p w14:paraId="3C7B847F" w14:textId="1D4CE7D2" w:rsidR="004B00A8" w:rsidRDefault="004B00A8" w:rsidP="00874CBB">
      <w:pPr>
        <w:pStyle w:val="Caption"/>
      </w:pPr>
      <w:bookmarkStart w:id="65" w:name="_Ref160718289"/>
      <w:bookmarkStart w:id="66" w:name="_Toc202957544"/>
      <w:r w:rsidRPr="009D2AA9">
        <w:t xml:space="preserve">Figure </w:t>
      </w:r>
      <w:fldSimple w:instr=" STYLEREF 1 \s ">
        <w:r w:rsidR="00BF7E93">
          <w:rPr>
            <w:noProof/>
          </w:rPr>
          <w:t>3</w:t>
        </w:r>
      </w:fldSimple>
      <w:r w:rsidRPr="009D2AA9">
        <w:t>.</w:t>
      </w:r>
      <w:fldSimple w:instr=" SEQ Figure \* ARABIC \s 1 ">
        <w:r w:rsidR="00BF7E93">
          <w:rPr>
            <w:noProof/>
          </w:rPr>
          <w:t>9</w:t>
        </w:r>
      </w:fldSimple>
      <w:bookmarkEnd w:id="65"/>
      <w:r w:rsidRPr="009D2AA9">
        <w:t xml:space="preserve">. </w:t>
      </w:r>
      <w:r>
        <w:t xml:space="preserve">TRTL High-Power Experimental Power Pulses as Proposed by Meehan et. al. </w:t>
      </w:r>
      <w:r>
        <w:fldChar w:fldCharType="begin"/>
      </w:r>
      <w:r w:rsidR="003026BC">
        <w:instrText xml:space="preserve"> ADDIN EN.CITE &lt;EndNote&gt;&lt;Cite&gt;&lt;Author&gt;Meehan&lt;/Author&gt;&lt;Year&gt;2023&lt;/Year&gt;&lt;RecNum&gt;363&lt;/RecNum&gt;&lt;DisplayText&gt;[106]&lt;/DisplayText&gt;&lt;record&gt;&lt;rec-number&gt;363&lt;/rec-number&gt;&lt;foreign-keys&gt;&lt;key app="EN" db-id="eseee05sfe5vt6efvr0xapvq20vfdsfp5fvf" timestamp="1699987687" guid="f4214354-10c7-42ab-a4ca-69c5fc9ede22"&gt;363&lt;/key&gt;&lt;/foreign-keys&gt;&lt;ref-type name="Conference Paper"&gt;47&lt;/ref-type&gt;&lt;contributors&gt;&lt;authors&gt;&lt;author&gt;Meehan, Nicholas&lt;/author&gt;&lt;author&gt;Brown, Nicholas Robert&lt;/author&gt;&lt;/authors&gt;&lt;/contributors&gt;&lt;titles&gt;&lt;title&gt;Sensitivity Analysis of Transient Critical Heat Flux Phenomena Within RELAP5-3D in the Transient Reactor Test Loop&lt;/title&gt;&lt;secondary-title&gt;NURETH 20&lt;/secondary-title&gt;&lt;/titles&gt;&lt;dates&gt;&lt;year&gt;2023&lt;/year&gt;&lt;pub-dates&gt;&lt;date&gt;August 20-25&lt;/date&gt;&lt;/pub-dates&gt;&lt;/dates&gt;&lt;pub-location&gt;Washington, D.C.&lt;/pub-location&gt;&lt;urls&gt;&lt;/urls&gt;&lt;/record&gt;&lt;/Cite&gt;&lt;/EndNote&gt;</w:instrText>
      </w:r>
      <w:r>
        <w:fldChar w:fldCharType="separate"/>
      </w:r>
      <w:r w:rsidR="003026BC">
        <w:rPr>
          <w:noProof/>
        </w:rPr>
        <w:t>[106]</w:t>
      </w:r>
      <w:r>
        <w:fldChar w:fldCharType="end"/>
      </w:r>
      <w:r>
        <w:t>.</w:t>
      </w:r>
      <w:bookmarkEnd w:id="66"/>
      <w:r>
        <w:t xml:space="preserve"> </w:t>
      </w:r>
    </w:p>
    <w:p w14:paraId="3486E62C" w14:textId="77777777" w:rsidR="00E45B1F" w:rsidRDefault="00E45B1F" w:rsidP="00AC6F7F">
      <w:pPr>
        <w:jc w:val="center"/>
      </w:pPr>
    </w:p>
    <w:p w14:paraId="42176635" w14:textId="77777777" w:rsidR="00E45B1F" w:rsidRDefault="00E45B1F" w:rsidP="00AC6F7F">
      <w:pPr>
        <w:jc w:val="center"/>
      </w:pPr>
    </w:p>
    <w:p w14:paraId="495EE4C0" w14:textId="0BE8DC18" w:rsidR="00E45B1F" w:rsidRDefault="00E45B1F" w:rsidP="00AC6F7F">
      <w:pPr>
        <w:jc w:val="center"/>
      </w:pPr>
    </w:p>
    <w:p w14:paraId="7F503F02" w14:textId="448E3C11" w:rsidR="0082204A" w:rsidRDefault="0082204A" w:rsidP="00AC6F7F">
      <w:pPr>
        <w:jc w:val="center"/>
      </w:pPr>
    </w:p>
    <w:p w14:paraId="1FA33A42" w14:textId="53FEC6E6" w:rsidR="0082204A" w:rsidRDefault="0082204A" w:rsidP="00AC6F7F">
      <w:pPr>
        <w:jc w:val="center"/>
      </w:pPr>
    </w:p>
    <w:p w14:paraId="702145FC" w14:textId="4786CBFC" w:rsidR="0082204A" w:rsidRDefault="0082204A" w:rsidP="00AC6F7F">
      <w:pPr>
        <w:jc w:val="center"/>
      </w:pPr>
    </w:p>
    <w:p w14:paraId="194C4AB5" w14:textId="77777777" w:rsidR="0082204A" w:rsidRDefault="0082204A" w:rsidP="00AC6F7F">
      <w:pPr>
        <w:jc w:val="center"/>
      </w:pPr>
    </w:p>
    <w:p w14:paraId="2FB68F6B" w14:textId="587A7F94" w:rsidR="00AC6F7F" w:rsidRDefault="00AC6F7F" w:rsidP="00AC6F7F">
      <w:pPr>
        <w:jc w:val="center"/>
      </w:pPr>
      <w:r>
        <w:rPr>
          <w:noProof/>
        </w:rPr>
        <w:lastRenderedPageBreak/>
        <w:drawing>
          <wp:inline distT="0" distB="0" distL="0" distR="0" wp14:anchorId="32D55C88" wp14:editId="68F07778">
            <wp:extent cx="4050631" cy="3037973"/>
            <wp:effectExtent l="0" t="0" r="127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27" cstate="print">
                      <a:extLst>
                        <a:ext uri="{28A0092B-C50C-407E-A947-70E740481C1C}">
                          <a14:useLocalDpi xmlns:a14="http://schemas.microsoft.com/office/drawing/2010/main" val="0"/>
                        </a:ext>
                      </a:extLst>
                    </a:blip>
                    <a:stretch>
                      <a:fillRect/>
                    </a:stretch>
                  </pic:blipFill>
                  <pic:spPr>
                    <a:xfrm>
                      <a:off x="0" y="0"/>
                      <a:ext cx="4083764" cy="3062823"/>
                    </a:xfrm>
                    <a:prstGeom prst="rect">
                      <a:avLst/>
                    </a:prstGeom>
                  </pic:spPr>
                </pic:pic>
              </a:graphicData>
            </a:graphic>
          </wp:inline>
        </w:drawing>
      </w:r>
    </w:p>
    <w:p w14:paraId="09A8B9FE" w14:textId="54665EF7" w:rsidR="00AC6F7F" w:rsidRDefault="00AC6F7F" w:rsidP="00874CBB">
      <w:pPr>
        <w:pStyle w:val="Caption"/>
      </w:pPr>
      <w:bookmarkStart w:id="67" w:name="_Ref160718762"/>
      <w:bookmarkStart w:id="68" w:name="_Toc202957545"/>
      <w:r w:rsidRPr="009D2AA9">
        <w:t xml:space="preserve">Figure </w:t>
      </w:r>
      <w:fldSimple w:instr=" STYLEREF 1 \s ">
        <w:r w:rsidR="00BF7E93">
          <w:rPr>
            <w:noProof/>
          </w:rPr>
          <w:t>3</w:t>
        </w:r>
      </w:fldSimple>
      <w:r w:rsidRPr="009D2AA9">
        <w:t>.</w:t>
      </w:r>
      <w:fldSimple w:instr=" SEQ Figure \* ARABIC \s 1 ">
        <w:r w:rsidR="00BF7E93">
          <w:rPr>
            <w:noProof/>
          </w:rPr>
          <w:t>10</w:t>
        </w:r>
      </w:fldSimple>
      <w:bookmarkEnd w:id="67"/>
      <w:r w:rsidRPr="009D2AA9">
        <w:t xml:space="preserve">. </w:t>
      </w:r>
      <w:r>
        <w:t xml:space="preserve">Envelope for </w:t>
      </w:r>
      <w:r w:rsidR="00E45B1F">
        <w:t>CHF Occurrence within the TRTL Facility Test Section.</w:t>
      </w:r>
      <w:bookmarkEnd w:id="68"/>
      <w:r>
        <w:t xml:space="preserve"> </w:t>
      </w:r>
    </w:p>
    <w:p w14:paraId="3F1DC2B8" w14:textId="017CE700" w:rsidR="004B00A8" w:rsidRDefault="004B00A8">
      <w:r>
        <w:br w:type="page"/>
      </w:r>
    </w:p>
    <w:p w14:paraId="3B4D2074" w14:textId="18E2CAE6" w:rsidR="00D43F7F" w:rsidRDefault="00D43F7F" w:rsidP="00DB5F54">
      <w:r>
        <w:lastRenderedPageBreak/>
        <w:t>The thermal properties of the cladding have been previously shown to have a non-negligible impact in the uncertainty in peak temperature predictions during CHF, and will</w:t>
      </w:r>
    </w:p>
    <w:p w14:paraId="39F91086" w14:textId="6C656721" w:rsidR="00C94433" w:rsidRDefault="00DB5F54" w:rsidP="00DB5F54">
      <w:r>
        <w:t xml:space="preserve">provide additional context of scale for the previously determined relative importance of the boiling heat transfer correlations </w:t>
      </w:r>
      <w:r>
        <w:fldChar w:fldCharType="begin">
          <w:fldData xml:space="preserve">PEVuZE5vdGU+PENpdGU+PEF1dGhvcj5IZXJuYW5kZXo8L0F1dGhvcj48WWVhcj4yMDIyPC9ZZWFy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=
</w:fldData>
        </w:fldChar>
      </w:r>
      <w:r w:rsidR="003026BC">
        <w:instrText xml:space="preserve"> ADDIN EN.CITE </w:instrText>
      </w:r>
      <w:r w:rsidR="003026BC">
        <w:fldChar w:fldCharType="begin">
          <w:fldData xml:space="preserve">PEVuZE5vdGU+PENpdGU+PEF1dGhvcj5IZXJuYW5kZXo8L0F1dGhvcj48WWVhcj4yMDIyPC9ZZWFy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=
</w:fldData>
        </w:fldChar>
      </w:r>
      <w:r w:rsidR="003026BC">
        <w:instrText xml:space="preserve"> ADDIN EN.CITE.DATA </w:instrText>
      </w:r>
      <w:r w:rsidR="003026BC">
        <w:fldChar w:fldCharType="end"/>
      </w:r>
      <w:r>
        <w:fldChar w:fldCharType="separate"/>
      </w:r>
      <w:r w:rsidR="003026BC">
        <w:rPr>
          <w:noProof/>
        </w:rPr>
        <w:t>[18, 72]</w:t>
      </w:r>
      <w:r>
        <w:fldChar w:fldCharType="end"/>
      </w:r>
      <w:r>
        <w:t>. Each of these parameters</w:t>
      </w:r>
      <w:r w:rsidR="00417FE9">
        <w:t xml:space="preserve"> </w:t>
      </w:r>
      <w:r>
        <w:t>can be accessed within</w:t>
      </w:r>
      <w:r w:rsidR="00CD4820">
        <w:t xml:space="preserve"> the</w:t>
      </w:r>
      <w:r>
        <w:t xml:space="preserve"> RELAP5-3D</w:t>
      </w:r>
      <w:r w:rsidR="00CD4820">
        <w:t xml:space="preserve"> input file</w:t>
      </w:r>
      <w:r>
        <w:t xml:space="preserve"> without modification of the source code.</w:t>
      </w:r>
      <w:r w:rsidR="004A7FD0">
        <w:t xml:space="preserve"> </w:t>
      </w:r>
    </w:p>
    <w:p w14:paraId="7D238934" w14:textId="2BDD0748" w:rsidR="000A4BB0" w:rsidRDefault="00C94433" w:rsidP="00DB5F54">
      <w:r>
        <w:t xml:space="preserve">Within RELAP5-3D each of the boiling heat transfer mechanisms </w:t>
      </w:r>
      <w:r w:rsidR="00C87FEB">
        <w:t>operate</w:t>
      </w:r>
      <w:r>
        <w:t xml:space="preserve"> independent</w:t>
      </w:r>
      <w:r w:rsidR="00C87FEB">
        <w:t>ly</w:t>
      </w:r>
      <w:r>
        <w:t xml:space="preserve"> of each other and are individually activated using logic based on the water quality, wall temperature, and interfacial heat flux. Since the wall temperature is a function of the thermal properties, the amount of time spent in each heat transfer regime is directly dictated by the thermal properties of the cladding. This interaction could influence the sensitivities of each parameter and place additional influence on the thermal properties of the cladding. Ultimately,</w:t>
      </w:r>
      <w:r w:rsidR="00B2369D">
        <w:t xml:space="preserve"> while the sensitivity of each parameter can give an idea of which parameters are most important toward the calculation of each parameter of interest,</w:t>
      </w:r>
      <w:r>
        <w:t xml:space="preserve"> the conclusions drawn from this study must also take into account the comparison to experimental tests.</w:t>
      </w:r>
      <w:r w:rsidR="00172D01">
        <w:t xml:space="preserve"> The </w:t>
      </w:r>
      <w:r w:rsidR="002213FB">
        <w:t xml:space="preserve">experimental </w:t>
      </w:r>
      <w:r w:rsidR="00172D01">
        <w:t>comparison will give insight on the accuracy of the model and can help give merit toward the sensitivities of each parameter.</w:t>
      </w:r>
    </w:p>
    <w:p w14:paraId="299F549E" w14:textId="3B7348DC" w:rsidR="00DB5F54" w:rsidRDefault="00DB5F54" w:rsidP="00DB5F54">
      <w:r w:rsidRPr="00BA4F43">
        <w:t xml:space="preserve">The </w:t>
      </w:r>
      <w:r>
        <w:t xml:space="preserve">uncertainties in the </w:t>
      </w:r>
      <w:r w:rsidRPr="00BA4F43">
        <w:t>thermal properties of the cladding are taken from a</w:t>
      </w:r>
      <w:r>
        <w:t>n</w:t>
      </w:r>
      <w:r w:rsidRPr="00BA4F43">
        <w:t xml:space="preserve"> experimental analysis of SS-316</w:t>
      </w:r>
      <w:r>
        <w:t xml:space="preserve"> by Kim et al.</w:t>
      </w:r>
      <w:r w:rsidRPr="00BA4F43">
        <w:t xml:space="preserve"> which provides empirically derived correlations with respect to temperature </w:t>
      </w:r>
      <w:r w:rsidRPr="00BA4F43">
        <w:fldChar w:fldCharType="begin"/>
      </w:r>
      <w:r w:rsidR="003026BC">
        <w:instrText xml:space="preserve"> ADDIN EN.CITE &lt;EndNote&gt;&lt;Cite&gt;&lt;Author&gt;Kim&lt;/Author&gt;&lt;Year&gt;1975&lt;/Year&gt;&lt;RecNum&gt;185&lt;/RecNum&gt;&lt;DisplayText&gt;[107]&lt;/DisplayText&gt;&lt;record&gt;&lt;rec-number&gt;185&lt;/rec-number&gt;&lt;foreign-keys&gt;&lt;key app="EN" db-id="eseee05sfe5vt6efvr0xapvq20vfdsfp5fvf" timestamp="1661187710" guid="841b89de-4d20-4884-8fe6-ed5f17eb0664"&gt;185&lt;/key&gt;&lt;/foreign-keys&gt;&lt;ref-type name="Book"&gt;6&lt;/ref-type&gt;&lt;contributors&gt;&lt;authors&gt;&lt;author&gt;Kim, C. S.&lt;/author&gt;&lt;/authors&gt;&lt;/contributors&gt;&lt;titles&gt;&lt;title&gt;Thermophysical properties of stainless steels&lt;/title&gt;&lt;/titles&gt;&lt;section&gt;1-22&lt;/section&gt;&lt;keywords&gt;&lt;keyword&gt;N50230* -Metals, Ceramics, &amp;amp; Other Materials-Metals &amp;amp; Alloys-Properties, Structure &amp;amp; Phase Studies&lt;/keyword&gt;&lt;keyword&gt;360104* -Materials-Metals &amp;amp; Alloys-Physical Properties&lt;/keyword&gt;&lt;keyword&gt;*STAINLESS STEEL- 316L- THERMODYNAMIC PROPERTIES&lt;/keyword&gt;&lt;keyword&gt;*STAINLESS STEEL-304L- THERMODYNAMIC PROPERTIES&lt;/keyword&gt;&lt;keyword&gt;DATA COMPILATION&lt;/keyword&gt;&lt;keyword&gt;DENSITY&lt;/keyword&gt;&lt;keyword&gt;ENTHALPY&lt;/keyword&gt;&lt;keyword&gt;ENTROPY&lt;/keyword&gt;&lt;keyword&gt;SPECIFIC HEAT&lt;/keyword&gt;&lt;keyword&gt;TABLES&lt;/keyword&gt;&lt;keyword&gt;THERMAL CONDUCTIVITY&lt;/keyword&gt;&lt;keyword&gt;THERMAL EXPANSION&lt;/keyword&gt;&lt;keyword&gt;VAPOR PRESSURE&lt;/keyword&gt;&lt;keyword&gt;VISCOSITY&lt;/keyword&gt;&lt;/keywords&gt;&lt;dates&gt;&lt;year&gt;1975&lt;/year&gt;&lt;pub-dates&gt;&lt;date&gt;Sept.&lt;/date&gt;&lt;/pub-dates&gt;&lt;/dates&gt;&lt;pub-location&gt;United States&lt;/pub-location&gt;&lt;publisher&gt;Argonne National Laboratory Chemical Engineering Division&lt;/publisher&gt;&lt;urls&gt;&lt;related-urls&gt;&lt;url&gt;https://www.osti.gov/biblio/4152287&lt;/url&gt;&lt;url&gt;https://www.osti.gov/servlets/purl/4152287&lt;/url&gt;&lt;/related-urls&gt;&lt;/urls&gt;&lt;custom1&gt;Research Org.: Argonne National Lab., Ill. (USA)&lt;/custom1&gt;&lt;custom2&gt;Sponsor Org.: USDOE&lt;/custom2&gt;&lt;custom3&gt;Report Number: ANL-75-55&lt;/custom3&gt;&lt;custom4&gt;Contract Number: W-31-109-ENG-38&lt;/custom4&gt;&lt;custom5&gt;Availability: Dep. NTIS&lt;/custom5&gt;&lt;electronic-resource-num&gt;https://doi.org/10.2172/4152287&lt;/electronic-resource-num&gt;&lt;language&gt;English&lt;/language&gt;&lt;/record&gt;&lt;/Cite&gt;&lt;/EndNote&gt;</w:instrText>
      </w:r>
      <w:r w:rsidRPr="00BA4F43">
        <w:fldChar w:fldCharType="separate"/>
      </w:r>
      <w:r w:rsidR="003026BC">
        <w:rPr>
          <w:noProof/>
        </w:rPr>
        <w:t>[107]</w:t>
      </w:r>
      <w:r w:rsidRPr="00BA4F43">
        <w:fldChar w:fldCharType="end"/>
      </w:r>
      <w:r w:rsidRPr="00BA4F43">
        <w:t>. The empirical correlations for the cladding volumetric heat capacity and thermal conductivity were implemented into the RELAP5-3D model assuming a constant density</w:t>
      </w:r>
      <w:r>
        <w:t xml:space="preserve"> at 1000K</w:t>
      </w:r>
      <w:r w:rsidRPr="00BA4F43">
        <w:t xml:space="preserve"> within the solid phase</w:t>
      </w:r>
      <w:r>
        <w:t xml:space="preserve"> </w:t>
      </w:r>
      <w:r>
        <w:fldChar w:fldCharType="begin"/>
      </w:r>
      <w:r w:rsidR="003026BC">
        <w:instrText xml:space="preserve"> ADDIN EN.CITE &lt;EndNote&gt;&lt;Cite&gt;&lt;Author&gt;Kim&lt;/Author&gt;&lt;Year&gt;1975&lt;/Year&gt;&lt;RecNum&gt;185&lt;/RecNum&gt;&lt;DisplayText&gt;[107]&lt;/DisplayText&gt;&lt;record&gt;&lt;rec-number&gt;185&lt;/rec-number&gt;&lt;foreign-keys&gt;&lt;key app="EN" db-id="eseee05sfe5vt6efvr0xapvq20vfdsfp5fvf" timestamp="1661187710" guid="841b89de-4d20-4884-8fe6-ed5f17eb0664"&gt;185&lt;/key&gt;&lt;/foreign-keys&gt;&lt;ref-type name="Book"&gt;6&lt;/ref-type&gt;&lt;contributors&gt;&lt;authors&gt;&lt;author&gt;Kim, C. S.&lt;/author&gt;&lt;/authors&gt;&lt;/contributors&gt;&lt;titles&gt;&lt;title&gt;Thermophysical properties of stainless steels&lt;/title&gt;&lt;/titles&gt;&lt;section&gt;1-22&lt;/section&gt;&lt;keywords&gt;&lt;keyword&gt;N50230* -Metals, Ceramics, &amp;amp; Other Materials-Metals &amp;amp; Alloys-Properties, Structure &amp;amp; Phase Studies&lt;/keyword&gt;&lt;keyword&gt;360104* -Materials-Metals &amp;amp; Alloys-Physical Properties&lt;/keyword&gt;&lt;keyword&gt;*STAINLESS STEEL- 316L- THERMODYNAMIC PROPERTIES&lt;/keyword&gt;&lt;keyword&gt;*STAINLESS STEEL-304L- THERMODYNAMIC PROPERTIES&lt;/keyword&gt;&lt;keyword&gt;DATA COMPILATION&lt;/keyword&gt;&lt;keyword&gt;DENSITY&lt;/keyword&gt;&lt;keyword&gt;ENTHALPY&lt;/keyword&gt;&lt;keyword&gt;ENTROPY&lt;/keyword&gt;&lt;keyword&gt;SPECIFIC HEAT&lt;/keyword&gt;&lt;keyword&gt;TABLES&lt;/keyword&gt;&lt;keyword&gt;THERMAL CONDUCTIVITY&lt;/keyword&gt;&lt;keyword&gt;THERMAL EXPANSION&lt;/keyword&gt;&lt;keyword&gt;VAPOR PRESSURE&lt;/keyword&gt;&lt;keyword&gt;VISCOSITY&lt;/keyword&gt;&lt;/keywords&gt;&lt;dates&gt;&lt;year&gt;1975&lt;/year&gt;&lt;pub-dates&gt;&lt;date&gt;Sept.&lt;/date&gt;&lt;/pub-dates&gt;&lt;/dates&gt;&lt;pub-location&gt;United States&lt;/pub-location&gt;&lt;publisher&gt;Argonne National Laboratory Chemical Engineering Division&lt;/publisher&gt;&lt;urls&gt;&lt;related-urls&gt;&lt;url&gt;https://www.osti.gov/biblio/4152287&lt;/url&gt;&lt;url&gt;https://www.osti.gov/servlets/purl/4152287&lt;/url&gt;&lt;/related-urls&gt;&lt;/urls&gt;&lt;custom1&gt;Research Org.: Argonne National Lab., Ill. (USA)&lt;/custom1&gt;&lt;custom2&gt;Sponsor Org.: USDOE&lt;/custom2&gt;&lt;custom3&gt;Report Number: ANL-75-55&lt;/custom3&gt;&lt;custom4&gt;Contract Number: W-31-109-ENG-38&lt;/custom4&gt;&lt;custom5&gt;Availability: Dep. NTIS&lt;/custom5&gt;&lt;electronic-resource-num&gt;https://doi.org/10.2172/4152287&lt;/electronic-resource-num&gt;&lt;language&gt;English&lt;/language&gt;&lt;/record&gt;&lt;/Cite&gt;&lt;/EndNote&gt;</w:instrText>
      </w:r>
      <w:r>
        <w:fldChar w:fldCharType="separate"/>
      </w:r>
      <w:r w:rsidR="003026BC">
        <w:rPr>
          <w:noProof/>
        </w:rPr>
        <w:t>[107]</w:t>
      </w:r>
      <w:r>
        <w:fldChar w:fldCharType="end"/>
      </w:r>
      <w:r w:rsidRPr="00BA4F43">
        <w:t>.</w:t>
      </w:r>
      <w:r>
        <w:t xml:space="preserve"> The influence of this </w:t>
      </w:r>
      <w:r>
        <w:lastRenderedPageBreak/>
        <w:t>assumption should be minimal in the final results as the change in density is nearly linear and varies less than 2.5% within the temperature range of the transients (~600K to 1300 K).</w:t>
      </w:r>
      <w:r w:rsidRPr="00BA4F43">
        <w:t xml:space="preserve"> The sampling range of both linear empirical correlations was uniform with an uncertainty of </w:t>
      </w:r>
      <w:r>
        <w:t>7</w:t>
      </w:r>
      <w:r w:rsidRPr="00BA4F43">
        <w:t xml:space="preserve">% of the intercept </w:t>
      </w:r>
      <w:r w:rsidRPr="00BA4F43">
        <w:fldChar w:fldCharType="begin"/>
      </w:r>
      <w:r w:rsidR="003026BC">
        <w:instrText xml:space="preserve"> ADDIN EN.CITE &lt;EndNote&gt;&lt;Cite&gt;&lt;Author&gt;Kim&lt;/Author&gt;&lt;Year&gt;1975&lt;/Year&gt;&lt;RecNum&gt;185&lt;/RecNum&gt;&lt;DisplayText&gt;[107]&lt;/DisplayText&gt;&lt;record&gt;&lt;rec-number&gt;185&lt;/rec-number&gt;&lt;foreign-keys&gt;&lt;key app="EN" db-id="eseee05sfe5vt6efvr0xapvq20vfdsfp5fvf" timestamp="1661187710" guid="841b89de-4d20-4884-8fe6-ed5f17eb0664"&gt;185&lt;/key&gt;&lt;/foreign-keys&gt;&lt;ref-type name="Book"&gt;6&lt;/ref-type&gt;&lt;contributors&gt;&lt;authors&gt;&lt;author&gt;Kim, C. S.&lt;/author&gt;&lt;/authors&gt;&lt;/contributors&gt;&lt;titles&gt;&lt;title&gt;Thermophysical properties of stainless steels&lt;/title&gt;&lt;/titles&gt;&lt;section&gt;1-22&lt;/section&gt;&lt;keywords&gt;&lt;keyword&gt;N50230* -Metals, Ceramics, &amp;amp; Other Materials-Metals &amp;amp; Alloys-Properties, Structure &amp;amp; Phase Studies&lt;/keyword&gt;&lt;keyword&gt;360104* -Materials-Metals &amp;amp; Alloys-Physical Properties&lt;/keyword&gt;&lt;keyword&gt;*STAINLESS STEEL- 316L- THERMODYNAMIC PROPERTIES&lt;/keyword&gt;&lt;keyword&gt;*STAINLESS STEEL-304L- THERMODYNAMIC PROPERTIES&lt;/keyword&gt;&lt;keyword&gt;DATA COMPILATION&lt;/keyword&gt;&lt;keyword&gt;DENSITY&lt;/keyword&gt;&lt;keyword&gt;ENTHALPY&lt;/keyword&gt;&lt;keyword&gt;ENTROPY&lt;/keyword&gt;&lt;keyword&gt;SPECIFIC HEAT&lt;/keyword&gt;&lt;keyword&gt;TABLES&lt;/keyword&gt;&lt;keyword&gt;THERMAL CONDUCTIVITY&lt;/keyword&gt;&lt;keyword&gt;THERMAL EXPANSION&lt;/keyword&gt;&lt;keyword&gt;VAPOR PRESSURE&lt;/keyword&gt;&lt;keyword&gt;VISCOSITY&lt;/keyword&gt;&lt;/keywords&gt;&lt;dates&gt;&lt;year&gt;1975&lt;/year&gt;&lt;pub-dates&gt;&lt;date&gt;Sept.&lt;/date&gt;&lt;/pub-dates&gt;&lt;/dates&gt;&lt;pub-location&gt;United States&lt;/pub-location&gt;&lt;publisher&gt;Argonne National Laboratory Chemical Engineering Division&lt;/publisher&gt;&lt;urls&gt;&lt;related-urls&gt;&lt;url&gt;https://www.osti.gov/biblio/4152287&lt;/url&gt;&lt;url&gt;https://www.osti.gov/servlets/purl/4152287&lt;/url&gt;&lt;/related-urls&gt;&lt;/urls&gt;&lt;custom1&gt;Research Org.: Argonne National Lab., Ill. (USA)&lt;/custom1&gt;&lt;custom2&gt;Sponsor Org.: USDOE&lt;/custom2&gt;&lt;custom3&gt;Report Number: ANL-75-55&lt;/custom3&gt;&lt;custom4&gt;Contract Number: W-31-109-ENG-38&lt;/custom4&gt;&lt;custom5&gt;Availability: Dep. NTIS&lt;/custom5&gt;&lt;electronic-resource-num&gt;https://doi.org/10.2172/4152287&lt;/electronic-resource-num&gt;&lt;language&gt;English&lt;/language&gt;&lt;/record&gt;&lt;/Cite&gt;&lt;/EndNote&gt;</w:instrText>
      </w:r>
      <w:r w:rsidRPr="00BA4F43">
        <w:fldChar w:fldCharType="separate"/>
      </w:r>
      <w:r w:rsidR="003026BC">
        <w:rPr>
          <w:noProof/>
        </w:rPr>
        <w:t>[107]</w:t>
      </w:r>
      <w:r w:rsidRPr="00BA4F43">
        <w:fldChar w:fldCharType="end"/>
      </w:r>
      <w:r w:rsidRPr="00BA4F43">
        <w:t>.</w:t>
      </w:r>
      <w:r>
        <w:t xml:space="preserve"> </w:t>
      </w:r>
    </w:p>
    <w:p w14:paraId="620614F6" w14:textId="3EEB050D" w:rsidR="00637CAA" w:rsidRDefault="00637CAA" w:rsidP="00D43F7F">
      <w:r>
        <w:t xml:space="preserve">The RELAP5-3D code is able to account for mechanistic changes in the boiling heat transfer correlations by applying multipliers to the existing heat transfer correlations. For this application, </w:t>
      </w:r>
      <w:r w:rsidR="0076420A">
        <w:t xml:space="preserve">the CHF multiplier is used to </w:t>
      </w:r>
      <w:r>
        <w:t>implement a mechanistic increase in the critical heat flux value</w:t>
      </w:r>
      <w:r w:rsidR="0076420A">
        <w:t xml:space="preserve"> representative of the transient effect. The boiling heat</w:t>
      </w:r>
      <w:r>
        <w:t xml:space="preserve"> transfer</w:t>
      </w:r>
      <w:r w:rsidR="0076420A">
        <w:t xml:space="preserve"> multipliers are used to vary the</w:t>
      </w:r>
      <w:r w:rsidR="003B72A1">
        <w:t xml:space="preserve"> boiling</w:t>
      </w:r>
      <w:r w:rsidR="0076420A">
        <w:t xml:space="preserve"> heat transfer</w:t>
      </w:r>
      <w:r>
        <w:t xml:space="preserve"> coefficients across the reported uncertainty in their corresponding empirical correlations. </w:t>
      </w:r>
      <w:r w:rsidRPr="00BA4F43">
        <w:t xml:space="preserve">The </w:t>
      </w:r>
      <w:r>
        <w:t xml:space="preserve">boiling </w:t>
      </w:r>
      <w:r w:rsidRPr="00BA4F43">
        <w:t>heat transfer</w:t>
      </w:r>
      <w:r>
        <w:t xml:space="preserve"> correlation</w:t>
      </w:r>
      <w:r w:rsidRPr="00BA4F43">
        <w:t xml:space="preserve">s within RELAP5-3D </w:t>
      </w:r>
      <w:r>
        <w:t xml:space="preserve">include </w:t>
      </w:r>
      <w:r w:rsidRPr="00BA4F43">
        <w:t xml:space="preserve">the nucleate </w:t>
      </w:r>
      <w:r w:rsidRPr="00BA4F43">
        <w:fldChar w:fldCharType="begin"/>
      </w:r>
      <w:r w:rsidR="003026BC">
        <w:instrText xml:space="preserve"> ADDIN EN.CITE &lt;EndNote&gt;&lt;Cite&gt;&lt;Author&gt;Chen&lt;/Author&gt;&lt;Year&gt;1966&lt;/Year&gt;&lt;RecNum&gt;184&lt;/RecNum&gt;&lt;DisplayText&gt;[108]&lt;/DisplayText&gt;&lt;record&gt;&lt;rec-number&gt;184&lt;/rec-number&gt;&lt;foreign-keys&gt;&lt;key app="EN" db-id="eseee05sfe5vt6efvr0xapvq20vfdsfp5fvf" timestamp="1661187511" guid="85182c27-cc39-46fb-b95b-05dd4706a1ef"&gt;184&lt;/key&gt;&lt;/foreign-keys&gt;&lt;ref-type name="Journal Article"&gt;17&lt;/ref-type&gt;&lt;contributors&gt;&lt;authors&gt;&lt;author&gt;Chen, J. C.&lt;/author&gt;&lt;/authors&gt;&lt;/contributors&gt;&lt;titles&gt;&lt;title&gt;Correlation for Boiling Heat Transfer to Saturated Fluids in Convective Flow&lt;/title&gt;&lt;secondary-title&gt;Industrial &amp;amp; Engineering Chemistry Process Design and Development&lt;/secondary-title&gt;&lt;/titles&gt;&lt;periodical&gt;&lt;full-title&gt;Industrial &amp;amp; Engineering Chemistry Process Design and Development&lt;/full-title&gt;&lt;/periodical&gt;&lt;pages&gt;322-329&lt;/pages&gt;&lt;volume&gt;5&lt;/volume&gt;&lt;number&gt;3&lt;/number&gt;&lt;dates&gt;&lt;year&gt;1966&lt;/year&gt;&lt;pub-dates&gt;&lt;date&gt;1966/07/01&lt;/date&gt;&lt;/pub-dates&gt;&lt;/dates&gt;&lt;publisher&gt;American Chemical Society&lt;/publisher&gt;&lt;isbn&gt;0196-4305&lt;/isbn&gt;&lt;urls&gt;&lt;related-urls&gt;&lt;url&gt;https://doi.org/10.1021/i260019a023&lt;/url&gt;&lt;/related-urls&gt;&lt;/urls&gt;&lt;electronic-resource-num&gt;https://doi.org/10.1021/i260019a023&lt;/electronic-resource-num&gt;&lt;/record&gt;&lt;/Cite&gt;&lt;/EndNote&gt;</w:instrText>
      </w:r>
      <w:r w:rsidRPr="00BA4F43">
        <w:fldChar w:fldCharType="separate"/>
      </w:r>
      <w:r w:rsidR="003026BC">
        <w:rPr>
          <w:noProof/>
        </w:rPr>
        <w:t>[108]</w:t>
      </w:r>
      <w:r w:rsidRPr="00BA4F43">
        <w:fldChar w:fldCharType="end"/>
      </w:r>
      <w:r w:rsidRPr="00BA4F43">
        <w:t xml:space="preserve">, transition </w:t>
      </w:r>
      <w:r w:rsidRPr="00BA4F43">
        <w:fldChar w:fldCharType="begin"/>
      </w:r>
      <w:r w:rsidR="003026BC">
        <w:instrText xml:space="preserve"> ADDIN EN.CITE &lt;EndNote&gt;&lt;Cite&gt;&lt;Author&gt;Chen&lt;/Author&gt;&lt;Year&gt;1977&lt;/Year&gt;&lt;RecNum&gt;182&lt;/RecNum&gt;&lt;DisplayText&gt;[109]&lt;/DisplayText&gt;&lt;record&gt;&lt;rec-number&gt;182&lt;/rec-number&gt;&lt;foreign-keys&gt;&lt;key app="EN" db-id="eseee05sfe5vt6efvr0xapvq20vfdsfp5fvf" timestamp="1661187507" guid="ee04d356-854f-4b18-86b5-a1c6555fa61f"&gt;182&lt;/key&gt;&lt;/foreign-keys&gt;&lt;ref-type name="Book"&gt;6&lt;/ref-type&gt;&lt;contributors&gt;&lt;authors&gt;&lt;author&gt;Chen, J. C.&lt;/author&gt;&lt;author&gt;Sundaram, R. K.&lt;/author&gt;&lt;author&gt;Ozkaynak, F. T.&lt;/author&gt;&lt;/authors&gt;&lt;/contributors&gt;&lt;titles&gt;&lt;title&gt;A phenomenological correlation for post-CHF heat transfer&lt;/title&gt;&lt;/titles&gt;&lt;pages&gt;157&lt;/pages&gt;&lt;number&gt;PB--269686&lt;/number&gt;&lt;section&gt;1-138&lt;/section&gt;&lt;dates&gt;&lt;year&gt;1977&lt;/year&gt;&lt;/dates&gt;&lt;pub-location&gt;Bethlehem, Pennsylvania&lt;/pub-location&gt;&lt;publisher&gt;U.S. Nuclear Regulatory Commission&lt;/publisher&gt;&lt;urls&gt;&lt;related-urls&gt;&lt;url&gt;http://inis.iaea.org/search/search.aspx?orig_q=RN:09365532&lt;/url&gt;&lt;/related-urls&gt;&lt;/urls&gt;&lt;/record&gt;&lt;/Cite&gt;&lt;/EndNote&gt;</w:instrText>
      </w:r>
      <w:r w:rsidRPr="00BA4F43">
        <w:fldChar w:fldCharType="separate"/>
      </w:r>
      <w:r w:rsidR="003026BC">
        <w:rPr>
          <w:noProof/>
        </w:rPr>
        <w:t>[109]</w:t>
      </w:r>
      <w:r w:rsidRPr="00BA4F43">
        <w:fldChar w:fldCharType="end"/>
      </w:r>
      <w:r w:rsidRPr="00BA4F43">
        <w:t xml:space="preserve">, and film boiling </w:t>
      </w:r>
      <w:r w:rsidRPr="00BA4F43">
        <w:fldChar w:fldCharType="begin"/>
      </w:r>
      <w:r w:rsidR="003026BC">
        <w:instrText xml:space="preserve"> ADDIN EN.CITE &lt;EndNote&gt;&lt;Cite&gt;&lt;Author&gt;Bromley&lt;/Author&gt;&lt;Year&gt;1949&lt;/Year&gt;&lt;RecNum&gt;183&lt;/RecNum&gt;&lt;DisplayText&gt;[110]&lt;/DisplayText&gt;&lt;record&gt;&lt;rec-number&gt;183&lt;/rec-number&gt;&lt;foreign-keys&gt;&lt;key app="EN" db-id="eseee05sfe5vt6efvr0xapvq20vfdsfp5fvf" timestamp="1661187509" guid="5d5fc30d-5201-4872-a69b-9a558dbbe4c5"&gt;183&lt;/key&gt;&lt;/foreign-keys&gt;&lt;ref-type name="Book"&gt;6&lt;/ref-type&gt;&lt;contributors&gt;&lt;authors&gt;&lt;author&gt;Bromley, Leroy Alton&lt;/author&gt;&lt;/authors&gt;&lt;/contributors&gt;&lt;titles&gt;&lt;title&gt;Heat Transfer in Stable Film Boiling (UCRL-122)&lt;/title&gt;&lt;/titles&gt;&lt;section&gt;6-78&lt;/section&gt;&lt;dates&gt;&lt;year&gt;1949&lt;/year&gt;&lt;pub-dates&gt;&lt;date&gt;June&lt;/date&gt;&lt;/pub-dates&gt;&lt;/dates&gt;&lt;pub-location&gt;Berkeley, California&lt;/pub-location&gt;&lt;publisher&gt;USDOE&lt;/publisher&gt;&lt;urls&gt;&lt;/urls&gt;&lt;/record&gt;&lt;/Cite&gt;&lt;/EndNote&gt;</w:instrText>
      </w:r>
      <w:r w:rsidRPr="00BA4F43">
        <w:fldChar w:fldCharType="separate"/>
      </w:r>
      <w:r w:rsidR="003026BC">
        <w:rPr>
          <w:noProof/>
        </w:rPr>
        <w:t>[110]</w:t>
      </w:r>
      <w:r w:rsidRPr="00BA4F43">
        <w:fldChar w:fldCharType="end"/>
      </w:r>
      <w:r w:rsidRPr="00BA4F43">
        <w:t xml:space="preserve"> heat transfer </w:t>
      </w:r>
      <w:r>
        <w:t>regimes with</w:t>
      </w:r>
      <w:r w:rsidRPr="00BA4F43">
        <w:t xml:space="preserve"> reported maximum </w:t>
      </w:r>
      <w:r>
        <w:t>uncertainties in their heat transfer correlations</w:t>
      </w:r>
      <w:r w:rsidRPr="00BA4F43">
        <w:t xml:space="preserve"> of 11.6, 14.2, and 6.5 %, respectively. </w:t>
      </w:r>
    </w:p>
    <w:p w14:paraId="30258390" w14:textId="52117389" w:rsidR="00637CAA" w:rsidRDefault="00637CAA" w:rsidP="00D43F7F">
      <w:r>
        <w:t xml:space="preserve">The CHF multiplier within RELAP5-3D is a multiplier on the predicted steady-state CHF look-up table value calculated using the </w:t>
      </w:r>
      <w:r w:rsidRPr="002A5392">
        <w:t>1986 AECL-UO CHF look-up table</w:t>
      </w:r>
      <w:r>
        <w:t xml:space="preserve"> by Groenveld et al. </w:t>
      </w:r>
      <w:r>
        <w:fldChar w:fldCharType="begin"/>
      </w:r>
      <w:r w:rsidR="003026BC">
        <w:instrText xml:space="preserve"> ADDIN EN.CITE &lt;EndNote&gt;&lt;Cite&gt;&lt;Author&gt;Groeneveld&lt;/Author&gt;&lt;Year&gt;1986&lt;/Year&gt;&lt;RecNum&gt;193&lt;/RecNum&gt;&lt;DisplayText&gt;[93]&lt;/DisplayText&gt;&lt;record&gt;&lt;rec-number&gt;193&lt;/rec-number&gt;&lt;foreign-keys&gt;&lt;key app="EN" db-id="eseee05sfe5vt6efvr0xapvq20vfdsfp5fvf" timestamp="1663186217" guid="a1f4a263-2df3-442d-8019-ee0b1f4d9ebf"&gt;193&lt;/key&gt;&lt;/foreign-keys&gt;&lt;ref-type name="Journal Article"&gt;17&lt;/ref-type&gt;&lt;contributors&gt;&lt;authors&gt;&lt;author&gt;Groeneveld, D. C.&lt;/author&gt;&lt;author&gt;Cheng, S. C.&lt;/author&gt;&lt;author&gt;Doan, T.&lt;/author&gt;&lt;/authors&gt;&lt;/contributors&gt;&lt;titles&gt;&lt;title&gt;1986 AECL-UO Critical Heat Flux Lookup Table&lt;/title&gt;&lt;secondary-title&gt;Heat Transfer Engineering&lt;/secondary-title&gt;&lt;/titles&gt;&lt;periodical&gt;&lt;full-title&gt;Heat Transfer Engineering&lt;/full-title&gt;&lt;/periodical&gt;&lt;pages&gt;46-62&lt;/pages&gt;&lt;volume&gt;7&lt;/volume&gt;&lt;number&gt;1-2&lt;/number&gt;&lt;dates&gt;&lt;year&gt;1986&lt;/year&gt;&lt;pub-dates&gt;&lt;date&gt;1986/01/01&lt;/date&gt;&lt;/pub-dates&gt;&lt;/dates&gt;&lt;publisher&gt;Taylor &amp;amp; Francis&lt;/publisher&gt;&lt;isbn&gt;0145-7632&lt;/isbn&gt;&lt;urls&gt;&lt;related-urls&gt;&lt;url&gt;https://doi.org/10.1080/01457638608939644&lt;/url&gt;&lt;/related-urls&gt;&lt;/urls&gt;&lt;electronic-resource-num&gt;https://doi.org/10.1080/01457638608939644&lt;/electronic-resource-num&gt;&lt;/record&gt;&lt;/Cite&gt;&lt;/EndNote&gt;</w:instrText>
      </w:r>
      <w:r>
        <w:fldChar w:fldCharType="separate"/>
      </w:r>
      <w:r w:rsidR="003026BC">
        <w:rPr>
          <w:noProof/>
        </w:rPr>
        <w:t>[93]</w:t>
      </w:r>
      <w:r>
        <w:fldChar w:fldCharType="end"/>
      </w:r>
      <w:r>
        <w:t xml:space="preserve">. Within this analysis, </w:t>
      </w:r>
      <w:r w:rsidR="0076420A">
        <w:t>I</w:t>
      </w:r>
      <w:r>
        <w:t xml:space="preserve"> account for the transient effect of CHF using an empirical correlation developed by Hata et al.</w:t>
      </w:r>
      <w:r w:rsidRPr="004D2C0A">
        <w:t xml:space="preserve"> </w:t>
      </w:r>
      <w:r>
        <w:t>which was informed by e</w:t>
      </w:r>
      <w:r w:rsidRPr="004D2C0A">
        <w:t xml:space="preserve">xperimental CHF </w:t>
      </w:r>
      <w:r>
        <w:t>cases</w:t>
      </w:r>
      <w:r w:rsidRPr="004D2C0A" w:rsidDel="00D03085">
        <w:t xml:space="preserve"> </w:t>
      </w:r>
      <w:r>
        <w:t xml:space="preserve">of </w:t>
      </w:r>
      <w:r w:rsidRPr="004D2C0A">
        <w:t>SS304 tubes</w:t>
      </w:r>
      <w:r>
        <w:t xml:space="preserve"> </w:t>
      </w:r>
      <w:r>
        <w:fldChar w:fldCharType="begin"/>
      </w:r>
      <w:r w:rsidR="003026BC">
        <w:instrText xml:space="preserve"> ADDIN EN.CITE &lt;EndNote&gt;&lt;Cite&gt;&lt;Author&gt;Hata&lt;/Author&gt;&lt;Year&gt;2008&lt;/Year&gt;&lt;RecNum&gt;221&lt;/RecNum&gt;&lt;DisplayText&gt;[66]&lt;/DisplayText&gt;&lt;record&gt;&lt;rec-number&gt;221&lt;/rec-number&gt;&lt;foreign-keys&gt;&lt;key app="EN" db-id="eseee05sfe5vt6efvr0xapvq20vfdsfp5fvf" timestamp="1671681963" guid="3d7f5ddc-57f2-4615-ae9e-6350f2cbb823"&gt;221&lt;/key&gt;&lt;/foreign-keys&gt;&lt;ref-type name="Journal Article"&gt;17&lt;/ref-type&gt;&lt;contributors&gt;&lt;authors&gt;&lt;author&gt;Hata, Koichi&lt;/author&gt;&lt;author&gt;Noda, Nobuaki&lt;/author&gt;&lt;/authors&gt;&lt;/contributors&gt;&lt;titles&gt;&lt;title&gt;Transient Critical Heat Fluxes of Subcooled Water Flow Boiling in a Short Vertical Tube Caused by Exponentially Increasing Heat Inputs&lt;/title&gt;&lt;secondary-title&gt;Journal of Heat Transfer&lt;/secondary-title&gt;&lt;/titles&gt;&lt;periodical&gt;&lt;full-title&gt;Journal of Heat Transfer&lt;/full-title&gt;&lt;/periodical&gt;&lt;volume&gt;130&lt;/volume&gt;&lt;number&gt;5&lt;/number&gt;&lt;dates&gt;&lt;year&gt;2008&lt;/year&gt;&lt;/dates&gt;&lt;isbn&gt;0022-1481&lt;/isbn&gt;&lt;urls&gt;&lt;related-urls&gt;&lt;url&gt;https://doi.org/10.1115/1.2887850&lt;/url&gt;&lt;/related-urls&gt;&lt;/urls&gt;&lt;electronic-resource-num&gt;https://doi.org/10.1115/1.2887850&lt;/electronic-resource-num&gt;&lt;access-date&gt;12/22/2022&lt;/access-date&gt;&lt;/record&gt;&lt;/Cite&gt;&lt;/EndNote&gt;</w:instrText>
      </w:r>
      <w:r>
        <w:fldChar w:fldCharType="separate"/>
      </w:r>
      <w:r w:rsidR="003026BC">
        <w:rPr>
          <w:noProof/>
        </w:rPr>
        <w:t>[66]</w:t>
      </w:r>
      <w:r>
        <w:fldChar w:fldCharType="end"/>
      </w:r>
      <w:r>
        <w:t>. Test conditions covered by these experiments include a wide range of conditions, with</w:t>
      </w:r>
      <w:r w:rsidRPr="004D2C0A">
        <w:t xml:space="preserve"> pressure</w:t>
      </w:r>
      <w:r>
        <w:t>s</w:t>
      </w:r>
      <w:r w:rsidRPr="004D2C0A">
        <w:t xml:space="preserve"> </w:t>
      </w:r>
      <w:r>
        <w:t xml:space="preserve">from </w:t>
      </w:r>
      <w:r w:rsidRPr="004D2C0A">
        <w:t>718 – 1,315 kPa,</w:t>
      </w:r>
      <w:r>
        <w:t xml:space="preserve"> </w:t>
      </w:r>
      <w:r w:rsidRPr="004D2C0A">
        <w:t xml:space="preserve">inlet subcooling </w:t>
      </w:r>
      <w:r>
        <w:t>from</w:t>
      </w:r>
      <w:r w:rsidRPr="004D2C0A">
        <w:t xml:space="preserve"> 68 – 161 K, flow velocit</w:t>
      </w:r>
      <w:r>
        <w:t>ies</w:t>
      </w:r>
      <w:r w:rsidRPr="004D2C0A">
        <w:t xml:space="preserve"> </w:t>
      </w:r>
      <w:r>
        <w:t>from</w:t>
      </w:r>
      <w:r w:rsidRPr="004D2C0A">
        <w:t xml:space="preserve"> 4 – 13 m/s, and exponential period</w:t>
      </w:r>
      <w:r>
        <w:t>s</w:t>
      </w:r>
      <w:r w:rsidRPr="004D2C0A">
        <w:t xml:space="preserve"> </w:t>
      </w:r>
      <w:r>
        <w:t>from</w:t>
      </w:r>
      <w:r w:rsidRPr="004D2C0A">
        <w:t xml:space="preserve"> 16.8 ms – 15.5 s. The</w:t>
      </w:r>
      <w:r>
        <w:t xml:space="preserve"> experimental results showed </w:t>
      </w:r>
      <w:r w:rsidRPr="004D2C0A">
        <w:t xml:space="preserve">increasing transient CHF relative to steady-state CHF </w:t>
      </w:r>
      <w:r w:rsidRPr="004D2C0A">
        <w:lastRenderedPageBreak/>
        <w:t>with decreasing exponential period</w:t>
      </w:r>
      <w:r>
        <w:t>;</w:t>
      </w:r>
      <w:r w:rsidRPr="004D2C0A">
        <w:t xml:space="preserve"> </w:t>
      </w:r>
      <w:r>
        <w:t>corresponding to</w:t>
      </w:r>
      <w:r w:rsidRPr="004D2C0A">
        <w:t xml:space="preserve"> increasing heating rate. </w:t>
      </w:r>
      <w:r>
        <w:t xml:space="preserve">To capture this behavior, a non-dimensional multiplier was developed containing the power pulse exponential period and dimensionless characteristic length shown in </w:t>
      </w:r>
      <w:r w:rsidR="00694572">
        <w:t xml:space="preserve">Equation </w:t>
      </w:r>
      <w:r w:rsidR="00694572">
        <w:fldChar w:fldCharType="begin"/>
      </w:r>
      <w:r w:rsidR="00694572">
        <w:instrText xml:space="preserve"> REF _Ref160719108 \h </w:instrText>
      </w:r>
      <w:r w:rsidR="00694572">
        <w:fldChar w:fldCharType="separate"/>
      </w:r>
      <w:r w:rsidR="00BF7E93">
        <w:rPr>
          <w:noProof/>
        </w:rPr>
        <w:t>13</w:t>
      </w:r>
      <w:r w:rsidR="00694572">
        <w:fldChar w:fldCharType="end"/>
      </w:r>
      <w:r>
        <w:t>. The flow constants C</w:t>
      </w:r>
      <w:r>
        <w:rPr>
          <w:vertAlign w:val="subscript"/>
        </w:rPr>
        <w:t>1</w:t>
      </w:r>
      <w:r>
        <w:t xml:space="preserve"> and C</w:t>
      </w:r>
      <w:r>
        <w:rPr>
          <w:vertAlign w:val="subscript"/>
        </w:rPr>
        <w:t>2</w:t>
      </w:r>
      <w:r w:rsidRPr="004D2C0A">
        <w:t xml:space="preserve"> are 11.4 and -0.6</w:t>
      </w:r>
      <w:r>
        <w:t xml:space="preserve"> as per Lee et al.,</w:t>
      </w:r>
      <w:r w:rsidRPr="004D2C0A">
        <w:t xml:space="preserve"> and</w:t>
      </w:r>
      <w:r w:rsidRPr="004D2C0A">
        <w:rPr>
          <w:iCs/>
        </w:rPr>
        <w:t xml:space="preserve"> </w:t>
      </w:r>
      <m:oMath>
        <m:r>
          <w:rPr>
            <w:rFonts w:ascii="Cambria Math" w:hAnsi="Cambria Math"/>
          </w:rPr>
          <m:t>u,τ,σ,g,</m:t>
        </m:r>
      </m:oMath>
      <w:r>
        <w:t xml:space="preserve"> </w:t>
      </w:r>
      <m:oMath>
        <m:sSub>
          <m:sSubPr>
            <m:ctrlPr>
              <w:rPr>
                <w:rFonts w:ascii="Cambria Math" w:hAnsi="Cambria Math"/>
                <w:i/>
              </w:rPr>
            </m:ctrlPr>
          </m:sSubPr>
          <m:e>
            <m:r>
              <w:rPr>
                <w:rFonts w:ascii="Cambria Math" w:hAnsi="Cambria Math"/>
              </w:rPr>
              <m:t>ρ</m:t>
            </m:r>
          </m:e>
          <m:sub>
            <m:r>
              <w:rPr>
                <w:rFonts w:ascii="Cambria Math" w:hAnsi="Cambria Math"/>
              </w:rPr>
              <m:t>1</m:t>
            </m:r>
          </m:sub>
        </m:sSub>
      </m:oMath>
      <w:r>
        <w:t xml:space="preserve">, and </w:t>
      </w:r>
      <m:oMath>
        <m:sSub>
          <m:sSubPr>
            <m:ctrlPr>
              <w:rPr>
                <w:rFonts w:ascii="Cambria Math" w:hAnsi="Cambria Math"/>
                <w:i/>
              </w:rPr>
            </m:ctrlPr>
          </m:sSubPr>
          <m:e>
            <m:r>
              <w:rPr>
                <w:rFonts w:ascii="Cambria Math" w:hAnsi="Cambria Math"/>
              </w:rPr>
              <m:t>ρ</m:t>
            </m:r>
          </m:e>
          <m:sub>
            <m:r>
              <w:rPr>
                <w:rFonts w:ascii="Cambria Math" w:hAnsi="Cambria Math"/>
              </w:rPr>
              <m:t>g</m:t>
            </m:r>
          </m:sub>
        </m:sSub>
      </m:oMath>
      <w:r w:rsidRPr="004D2C0A">
        <w:t xml:space="preserve"> are flow velocity</w:t>
      </w:r>
      <w:r>
        <w:t xml:space="preserve"> (4 m/s),</w:t>
      </w:r>
      <w:r w:rsidRPr="004D2C0A">
        <w:t xml:space="preserve"> exponential period</w:t>
      </w:r>
      <w:r>
        <w:t xml:space="preserve"> (varying based on the test),</w:t>
      </w:r>
      <w:r w:rsidRPr="004D2C0A">
        <w:t xml:space="preserve"> surface tension</w:t>
      </w:r>
      <w:r>
        <w:t xml:space="preserve"> (measured at 15.5 MPa and 553 K),</w:t>
      </w:r>
      <w:r w:rsidRPr="004D2C0A">
        <w:t xml:space="preserve"> gravitational acceleration</w:t>
      </w:r>
      <w:r>
        <w:t xml:space="preserve"> (9.81 m/s</w:t>
      </w:r>
      <w:r>
        <w:rPr>
          <w:vertAlign w:val="superscript"/>
        </w:rPr>
        <w:t>2</w:t>
      </w:r>
      <w:r>
        <w:t>)</w:t>
      </w:r>
      <w:r w:rsidRPr="004D2C0A">
        <w:t xml:space="preserve">, </w:t>
      </w:r>
      <w:r>
        <w:t>inlet</w:t>
      </w:r>
      <w:r w:rsidRPr="004D2C0A">
        <w:t xml:space="preserve"> density</w:t>
      </w:r>
      <w:r>
        <w:t xml:space="preserve"> (measured at 15.5 MPa and 553 K), and saturated vapor density (measured at 15.5 MPa), respectively </w:t>
      </w:r>
      <w:r>
        <w:fldChar w:fldCharType="begin"/>
      </w:r>
      <w:r w:rsidR="003026BC">
        <w:instrText xml:space="preserve"> ADDIN EN.CITE &lt;EndNote&gt;&lt;Cite&gt;&lt;Author&gt;Lee&lt;/Author&gt;&lt;Year&gt;2021&lt;/Year&gt;&lt;RecNum&gt;173&lt;/RecNum&gt;&lt;DisplayText&gt;[73]&lt;/DisplayText&gt;&lt;record&gt;&lt;rec-number&gt;173&lt;/rec-number&gt;&lt;foreign-keys&gt;&lt;key app="EN" db-id="eseee05sfe5vt6efvr0xapvq20vfdsfp5fvf" timestamp="1652058313" guid="a5f22b3c-0887-4df6-92d5-3906a4eaaddc"&gt;173&lt;/key&gt;&lt;/foreign-keys&gt;&lt;ref-type name="Journal Article"&gt;17&lt;/ref-type&gt;&lt;contributors&gt;&lt;authors&gt;&lt;author&gt;Lee, Soon K.&lt;/author&gt;&lt;author&gt;Brown, Nicholas R.&lt;/author&gt;&lt;/authors&gt;&lt;/contributors&gt;&lt;titles&gt;&lt;title&gt;Flow boiling transient critical heat flux tests with stainless steel and FeCrAl: Transient correlation implementation, model calibration, and sensitivity analysis&lt;/title&gt;&lt;secondary-title&gt;International Journal of Heat and Mass Transfer&lt;/secondary-title&gt;&lt;/titles&gt;&lt;periodical&gt;&lt;full-title&gt;International journal of heat and mass transfer&lt;/full-title&gt;&lt;/periodical&gt;&lt;pages&gt;121730&lt;/pages&gt;&lt;volume&gt;179&lt;/volume&gt;&lt;keywords&gt;&lt;keyword&gt;Accident-Tolerant Fuel&lt;/keyword&gt;&lt;keyword&gt;Transient Critical Heat Flux&lt;/keyword&gt;&lt;keyword&gt;Reactivity-Initiated Accident&lt;/keyword&gt;&lt;/keywords&gt;&lt;dates&gt;&lt;year&gt;2021&lt;/year&gt;&lt;pub-dates&gt;&lt;date&gt;2021/11/01/&lt;/date&gt;&lt;/pub-dates&gt;&lt;/dates&gt;&lt;isbn&gt;0017-9310&lt;/isbn&gt;&lt;urls&gt;&lt;related-urls&gt;&lt;url&gt;https://www.sciencedirect.com/science/article/pii/S001793102100836X&lt;/url&gt;&lt;/related-urls&gt;&lt;/urls&gt;&lt;electronic-resource-num&gt;https://doi.org/10.1016/j.ijheatmasstransfer.2021.121730&lt;/electronic-resource-num&gt;&lt;/record&gt;&lt;/Cite&gt;&lt;/EndNote&gt;</w:instrText>
      </w:r>
      <w:r>
        <w:fldChar w:fldCharType="separate"/>
      </w:r>
      <w:r w:rsidR="003026BC">
        <w:rPr>
          <w:noProof/>
        </w:rPr>
        <w:t>[73]</w:t>
      </w:r>
      <w:r>
        <w:fldChar w:fldCharType="end"/>
      </w:r>
      <w:r w:rsidRPr="004D2C0A">
        <w:t xml:space="preserve">. </w:t>
      </w:r>
    </w:p>
    <w:tbl>
      <w:tblPr>
        <w:tblStyle w:val="TableGrid"/>
        <w:tblW w:w="86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0"/>
        <w:gridCol w:w="7451"/>
        <w:gridCol w:w="561"/>
      </w:tblGrid>
      <w:tr w:rsidR="00123554" w:rsidRPr="003B3750" w14:paraId="107196B5" w14:textId="77777777" w:rsidTr="00694572">
        <w:tc>
          <w:tcPr>
            <w:tcW w:w="590" w:type="dxa"/>
            <w:vAlign w:val="center"/>
          </w:tcPr>
          <w:p w14:paraId="1E6E4F83" w14:textId="77777777" w:rsidR="00123554" w:rsidRPr="00E1335E" w:rsidRDefault="00123554" w:rsidP="00274F73">
            <w:pPr>
              <w:pStyle w:val="Caption"/>
            </w:pPr>
          </w:p>
        </w:tc>
        <w:tc>
          <w:tcPr>
            <w:tcW w:w="7451" w:type="dxa"/>
            <w:vAlign w:val="center"/>
          </w:tcPr>
          <w:p w14:paraId="08ED2118" w14:textId="77EFFEB7" w:rsidR="00123554" w:rsidRPr="003B3750" w:rsidRDefault="00123554" w:rsidP="00274F73">
            <w:pPr>
              <w:pStyle w:val="Caption"/>
            </w:pPr>
            <m:oMathPara>
              <m:oMath>
                <m:r>
                  <m:rPr>
                    <m:nor/>
                  </m:rPr>
                  <m:t>Bo=</m:t>
                </m:r>
                <m:f>
                  <m:fPr>
                    <m:ctrlPr>
                      <w:rPr>
                        <w:rFonts w:ascii="Cambria Math" w:hAnsi="Cambria Math"/>
                      </w:rPr>
                    </m:ctrlPr>
                  </m:fPr>
                  <m:num>
                    <m:sSubSup>
                      <m:sSubSupPr>
                        <m:ctrlPr>
                          <w:rPr>
                            <w:rFonts w:ascii="Cambria Math" w:hAnsi="Cambria Math"/>
                          </w:rPr>
                        </m:ctrlPr>
                      </m:sSubSupPr>
                      <m:e>
                        <m:r>
                          <m:rPr>
                            <m:nor/>
                          </m:rPr>
                          <m:t>q</m:t>
                        </m:r>
                      </m:e>
                      <m:sub>
                        <m:r>
                          <m:rPr>
                            <m:nor/>
                          </m:rPr>
                          <m:t>tr</m:t>
                        </m:r>
                      </m:sub>
                      <m:sup>
                        <m:r>
                          <m:rPr>
                            <m:nor/>
                          </m:rPr>
                          <m:t>''</m:t>
                        </m:r>
                      </m:sup>
                    </m:sSubSup>
                  </m:num>
                  <m:den>
                    <m:r>
                      <m:rPr>
                        <m:nor/>
                      </m:rPr>
                      <m:t>G</m:t>
                    </m:r>
                    <m:sSub>
                      <m:sSubPr>
                        <m:ctrlPr>
                          <w:rPr>
                            <w:rFonts w:ascii="Cambria Math" w:hAnsi="Cambria Math"/>
                          </w:rPr>
                        </m:ctrlPr>
                      </m:sSubPr>
                      <m:e>
                        <m:r>
                          <m:rPr>
                            <m:nor/>
                          </m:rPr>
                          <m:t>h</m:t>
                        </m:r>
                      </m:e>
                      <m:sub>
                        <m:r>
                          <m:rPr>
                            <m:nor/>
                          </m:rPr>
                          <m:t>fg</m:t>
                        </m:r>
                      </m:sub>
                    </m:sSub>
                  </m:den>
                </m:f>
                <m:r>
                  <m:rPr>
                    <m:nor/>
                  </m:rPr>
                  <m:t>=</m:t>
                </m:r>
                <m:f>
                  <m:fPr>
                    <m:ctrlPr>
                      <w:rPr>
                        <w:rFonts w:ascii="Cambria Math" w:hAnsi="Cambria Math"/>
                      </w:rPr>
                    </m:ctrlPr>
                  </m:fPr>
                  <m:num>
                    <m:sSubSup>
                      <m:sSubSupPr>
                        <m:ctrlPr>
                          <w:rPr>
                            <w:rFonts w:ascii="Cambria Math" w:hAnsi="Cambria Math"/>
                          </w:rPr>
                        </m:ctrlPr>
                      </m:sSubSupPr>
                      <m:e>
                        <m:r>
                          <m:rPr>
                            <m:nor/>
                          </m:rPr>
                          <m:t>q</m:t>
                        </m:r>
                      </m:e>
                      <m:sub>
                        <m:r>
                          <m:rPr>
                            <m:nor/>
                          </m:rPr>
                          <m:t>st,sub</m:t>
                        </m:r>
                      </m:sub>
                      <m:sup>
                        <m:r>
                          <m:rPr>
                            <m:nor/>
                          </m:rPr>
                          <m:t>''</m:t>
                        </m:r>
                      </m:sup>
                    </m:sSubSup>
                  </m:num>
                  <m:den>
                    <m:r>
                      <m:rPr>
                        <m:nor/>
                      </m:rPr>
                      <m:t>G</m:t>
                    </m:r>
                    <m:sSub>
                      <m:sSubPr>
                        <m:ctrlPr>
                          <w:rPr>
                            <w:rFonts w:ascii="Cambria Math" w:hAnsi="Cambria Math"/>
                          </w:rPr>
                        </m:ctrlPr>
                      </m:sSubPr>
                      <m:e>
                        <m:r>
                          <m:rPr>
                            <m:nor/>
                          </m:rPr>
                          <m:t>h</m:t>
                        </m:r>
                      </m:e>
                      <m:sub>
                        <m:r>
                          <m:rPr>
                            <m:nor/>
                          </m:rPr>
                          <m:t>fg</m:t>
                        </m:r>
                      </m:sub>
                    </m:sSub>
                  </m:den>
                </m:f>
                <m:r>
                  <m:rPr>
                    <m:nor/>
                  </m:rPr>
                  <m:t>*</m:t>
                </m:r>
                <m:d>
                  <m:dPr>
                    <m:begChr m:val="["/>
                    <m:endChr m:val="]"/>
                    <m:ctrlPr>
                      <w:rPr>
                        <w:rFonts w:ascii="Cambria Math" w:hAnsi="Cambria Math"/>
                      </w:rPr>
                    </m:ctrlPr>
                  </m:dPr>
                  <m:e>
                    <m:r>
                      <m:rPr>
                        <m:nor/>
                      </m:rPr>
                      <m:t>1+</m:t>
                    </m:r>
                    <m:sSub>
                      <m:sSubPr>
                        <m:ctrlPr>
                          <w:rPr>
                            <w:rFonts w:ascii="Cambria Math" w:hAnsi="Cambria Math"/>
                          </w:rPr>
                        </m:ctrlPr>
                      </m:sSubPr>
                      <m:e>
                        <m:r>
                          <m:rPr>
                            <m:nor/>
                          </m:rPr>
                          <m:t>C</m:t>
                        </m:r>
                      </m:e>
                      <m:sub>
                        <m:r>
                          <m:rPr>
                            <m:nor/>
                          </m:rPr>
                          <m:t>1</m:t>
                        </m:r>
                      </m:sub>
                    </m:sSub>
                    <m:sSup>
                      <m:sSupPr>
                        <m:ctrlPr>
                          <w:rPr>
                            <w:rFonts w:ascii="Cambria Math" w:hAnsi="Cambria Math"/>
                          </w:rPr>
                        </m:ctrlPr>
                      </m:sSupPr>
                      <m:e>
                        <m:d>
                          <m:dPr>
                            <m:begChr m:val="{"/>
                            <m:endChr m:val="}"/>
                            <m:ctrlPr>
                              <w:rPr>
                                <w:rFonts w:ascii="Cambria Math" w:hAnsi="Cambria Math"/>
                              </w:rPr>
                            </m:ctrlPr>
                          </m:dPr>
                          <m:e>
                            <m:f>
                              <m:fPr>
                                <m:ctrlPr>
                                  <w:rPr>
                                    <w:rFonts w:ascii="Cambria Math" w:hAnsi="Cambria Math"/>
                                  </w:rPr>
                                </m:ctrlPr>
                              </m:fPr>
                              <m:num>
                                <m:r>
                                  <m:rPr>
                                    <m:nor/>
                                  </m:rPr>
                                  <m:t>τu</m:t>
                                </m:r>
                              </m:num>
                              <m:den>
                                <m:rad>
                                  <m:radPr>
                                    <m:degHide m:val="1"/>
                                    <m:ctrlPr>
                                      <w:rPr>
                                        <w:rFonts w:ascii="Cambria Math" w:hAnsi="Cambria Math"/>
                                      </w:rPr>
                                    </m:ctrlPr>
                                  </m:radPr>
                                  <m:deg/>
                                  <m:e>
                                    <m:r>
                                      <m:rPr>
                                        <m:nor/>
                                      </m:rPr>
                                      <m:t>σ/g(</m:t>
                                    </m:r>
                                    <m:sSub>
                                      <m:sSubPr>
                                        <m:ctrlPr>
                                          <w:rPr>
                                            <w:rFonts w:ascii="Cambria Math" w:hAnsi="Cambria Math"/>
                                          </w:rPr>
                                        </m:ctrlPr>
                                      </m:sSubPr>
                                      <m:e>
                                        <m:r>
                                          <m:rPr>
                                            <m:nor/>
                                          </m:rPr>
                                          <m:t>ρ</m:t>
                                        </m:r>
                                      </m:e>
                                      <m:sub>
                                        <m:r>
                                          <m:rPr>
                                            <m:nor/>
                                          </m:rPr>
                                          <m:t>l</m:t>
                                        </m:r>
                                      </m:sub>
                                    </m:sSub>
                                    <m:r>
                                      <m:rPr>
                                        <m:nor/>
                                      </m:rPr>
                                      <m:t>-</m:t>
                                    </m:r>
                                    <m:sSub>
                                      <m:sSubPr>
                                        <m:ctrlPr>
                                          <w:rPr>
                                            <w:rFonts w:ascii="Cambria Math" w:hAnsi="Cambria Math"/>
                                          </w:rPr>
                                        </m:ctrlPr>
                                      </m:sSubPr>
                                      <m:e>
                                        <m:r>
                                          <m:rPr>
                                            <m:nor/>
                                          </m:rPr>
                                          <m:t>ρ</m:t>
                                        </m:r>
                                      </m:e>
                                      <m:sub>
                                        <m:r>
                                          <m:rPr>
                                            <m:nor/>
                                          </m:rPr>
                                          <m:t>g)</m:t>
                                        </m:r>
                                      </m:sub>
                                    </m:sSub>
                                  </m:e>
                                </m:rad>
                              </m:den>
                            </m:f>
                          </m:e>
                        </m:d>
                      </m:e>
                      <m:sup>
                        <m:sSub>
                          <m:sSubPr>
                            <m:ctrlPr>
                              <w:rPr>
                                <w:rFonts w:ascii="Cambria Math" w:hAnsi="Cambria Math"/>
                              </w:rPr>
                            </m:ctrlPr>
                          </m:sSubPr>
                          <m:e>
                            <m:r>
                              <m:rPr>
                                <m:nor/>
                              </m:rPr>
                              <m:t>C</m:t>
                            </m:r>
                          </m:e>
                          <m:sub>
                            <m:r>
                              <m:rPr>
                                <m:nor/>
                              </m:rPr>
                              <m:t>2</m:t>
                            </m:r>
                          </m:sub>
                        </m:sSub>
                      </m:sup>
                    </m:sSup>
                  </m:e>
                </m:d>
              </m:oMath>
            </m:oMathPara>
          </w:p>
        </w:tc>
        <w:tc>
          <w:tcPr>
            <w:tcW w:w="561" w:type="dxa"/>
            <w:vAlign w:val="center"/>
          </w:tcPr>
          <w:p w14:paraId="0C1B5AA8" w14:textId="5FA52153" w:rsidR="00123554" w:rsidRPr="003B3750" w:rsidRDefault="00BF7E93" w:rsidP="00274F73">
            <w:pPr>
              <w:pStyle w:val="Caption"/>
            </w:pPr>
            <w:r>
              <w:fldChar w:fldCharType="begin"/>
            </w:r>
            <w:r>
              <w:instrText xml:space="preserve"> SEQ Equation \* ARABIC </w:instrText>
            </w:r>
            <w:r>
              <w:fldChar w:fldCharType="separate"/>
            </w:r>
            <w:bookmarkStart w:id="69" w:name="_Ref160719108"/>
            <w:r>
              <w:rPr>
                <w:noProof/>
              </w:rPr>
              <w:t>13</w:t>
            </w:r>
            <w:bookmarkEnd w:id="69"/>
            <w:r>
              <w:rPr>
                <w:noProof/>
              </w:rPr>
              <w:fldChar w:fldCharType="end"/>
            </w:r>
          </w:p>
        </w:tc>
      </w:tr>
    </w:tbl>
    <w:p w14:paraId="185F2555" w14:textId="168150F7" w:rsidR="001F197E" w:rsidRDefault="00637CAA" w:rsidP="00D43F7F">
      <w:r>
        <w:t xml:space="preserve">This </w:t>
      </w:r>
      <w:r w:rsidRPr="004D2C0A">
        <w:t xml:space="preserve">implementation method of </w:t>
      </w:r>
      <w:r>
        <w:t xml:space="preserve">the </w:t>
      </w:r>
      <w:r w:rsidRPr="004D2C0A">
        <w:t xml:space="preserve">transient CHF correlation into RELAP5-3D </w:t>
      </w:r>
      <w:r>
        <w:t>using the CHF multiplier</w:t>
      </w:r>
      <w:r w:rsidRPr="004D2C0A">
        <w:t xml:space="preserve"> </w:t>
      </w:r>
      <w:r>
        <w:t xml:space="preserve">was previously demonstrated by </w:t>
      </w:r>
      <w:r w:rsidRPr="004D2C0A">
        <w:t xml:space="preserve">Lee </w:t>
      </w:r>
      <w:r>
        <w:t>et al. and was shown to</w:t>
      </w:r>
      <w:r w:rsidRPr="004D2C0A">
        <w:t xml:space="preserve"> improve the post-CHF peak cladding temperature prediction by 25%</w:t>
      </w:r>
      <w:r>
        <w:t xml:space="preserve"> </w:t>
      </w:r>
      <w:r>
        <w:fldChar w:fldCharType="begin"/>
      </w:r>
      <w:r w:rsidR="003026BC">
        <w:instrText xml:space="preserve"> ADDIN EN.CITE &lt;EndNote&gt;&lt;Cite&gt;&lt;Author&gt;Lee&lt;/Author&gt;&lt;Year&gt;2021&lt;/Year&gt;&lt;RecNum&gt;173&lt;/RecNum&gt;&lt;DisplayText&gt;[73]&lt;/DisplayText&gt;&lt;record&gt;&lt;rec-number&gt;173&lt;/rec-number&gt;&lt;foreign-keys&gt;&lt;key app="EN" db-id="eseee05sfe5vt6efvr0xapvq20vfdsfp5fvf" timestamp="1652058313" guid="a5f22b3c-0887-4df6-92d5-3906a4eaaddc"&gt;173&lt;/key&gt;&lt;/foreign-keys&gt;&lt;ref-type name="Journal Article"&gt;17&lt;/ref-type&gt;&lt;contributors&gt;&lt;authors&gt;&lt;author&gt;Lee, Soon K.&lt;/author&gt;&lt;author&gt;Brown, Nicholas R.&lt;/author&gt;&lt;/authors&gt;&lt;/contributors&gt;&lt;titles&gt;&lt;title&gt;Flow boiling transient critical heat flux tests with stainless steel and FeCrAl: Transient correlation implementation, model calibration, and sensitivity analysis&lt;/title&gt;&lt;secondary-title&gt;International Journal of Heat and Mass Transfer&lt;/secondary-title&gt;&lt;/titles&gt;&lt;periodical&gt;&lt;full-title&gt;International journal of heat and mass transfer&lt;/full-title&gt;&lt;/periodical&gt;&lt;pages&gt;121730&lt;/pages&gt;&lt;volume&gt;179&lt;/volume&gt;&lt;keywords&gt;&lt;keyword&gt;Accident-Tolerant Fuel&lt;/keyword&gt;&lt;keyword&gt;Transient Critical Heat Flux&lt;/keyword&gt;&lt;keyword&gt;Reactivity-Initiated Accident&lt;/keyword&gt;&lt;/keywords&gt;&lt;dates&gt;&lt;year&gt;2021&lt;/year&gt;&lt;pub-dates&gt;&lt;date&gt;2021/11/01/&lt;/date&gt;&lt;/pub-dates&gt;&lt;/dates&gt;&lt;isbn&gt;0017-9310&lt;/isbn&gt;&lt;urls&gt;&lt;related-urls&gt;&lt;url&gt;https://www.sciencedirect.com/science/article/pii/S001793102100836X&lt;/url&gt;&lt;/related-urls&gt;&lt;/urls&gt;&lt;electronic-resource-num&gt;https://doi.org/10.1016/j.ijheatmasstransfer.2021.121730&lt;/electronic-resource-num&gt;&lt;/record&gt;&lt;/Cite&gt;&lt;/EndNote&gt;</w:instrText>
      </w:r>
      <w:r>
        <w:fldChar w:fldCharType="separate"/>
      </w:r>
      <w:r w:rsidR="003026BC">
        <w:rPr>
          <w:noProof/>
        </w:rPr>
        <w:t>[73]</w:t>
      </w:r>
      <w:r>
        <w:fldChar w:fldCharType="end"/>
      </w:r>
      <w:r w:rsidRPr="004D2C0A">
        <w:t>.</w:t>
      </w:r>
      <w:r>
        <w:t xml:space="preserve"> Since the system pressures for the TRTL facility are much higher than that of the experimental tests used to develop this correlation, </w:t>
      </w:r>
      <w:r w:rsidR="001B06CC">
        <w:t>I</w:t>
      </w:r>
      <w:r>
        <w:t xml:space="preserve"> compared predictions of transient CHF against experimental transient CHF data at PWR-relevant conditions by Bessiron </w:t>
      </w:r>
      <w:r>
        <w:fldChar w:fldCharType="begin"/>
      </w:r>
      <w:r w:rsidR="003026BC">
        <w:instrText xml:space="preserve"> ADDIN EN.CITE &lt;EndNote&gt;&lt;Cite&gt;&lt;Author&gt;Bessiron&lt;/Author&gt;&lt;Year&gt;2007&lt;/Year&gt;&lt;RecNum&gt;253&lt;/RecNum&gt;&lt;DisplayText&gt;[111]&lt;/DisplayText&gt;&lt;record&gt;&lt;rec-number&gt;253&lt;/rec-number&gt;&lt;foreign-keys&gt;&lt;key app="EN" db-id="eseee05sfe5vt6efvr0xapvq20vfdsfp5fvf" timestamp="1671689304" guid="2e25a1b7-9b28-4278-bfac-0cbca5ee7b54"&gt;253&lt;/key&gt;&lt;/foreign-keys&gt;&lt;ref-type name="Journal Article"&gt;17&lt;/ref-type&gt;&lt;contributors&gt;&lt;authors&gt;&lt;author&gt;Bessiron, Vincent&lt;/author&gt;&lt;/authors&gt;&lt;/contributors&gt;&lt;titles&gt;&lt;title&gt;Modelling of Clad-to-Coolant Heat Transfer for RIA Applications&lt;/title&gt;&lt;secondary-title&gt;Journal of Nuclear Science and Technology&lt;/secondary-title&gt;&lt;/titles&gt;&lt;periodical&gt;&lt;full-title&gt;Journal of Nuclear Science and Technology&lt;/full-title&gt;&lt;/periodical&gt;&lt;pages&gt;211-221&lt;/pages&gt;&lt;volume&gt;44&lt;/volume&gt;&lt;number&gt;2&lt;/number&gt;&lt;dates&gt;&lt;year&gt;2007&lt;/year&gt;&lt;pub-dates&gt;&lt;date&gt;2007/02/01&lt;/date&gt;&lt;/pub-dates&gt;&lt;/dates&gt;&lt;publisher&gt;Taylor &amp;amp; Francis&lt;/publisher&gt;&lt;isbn&gt;0022-3131&lt;/isbn&gt;&lt;urls&gt;&lt;related-urls&gt;&lt;url&gt;https://www.tandfonline.com/doi/abs/10.1080/18811248.2007.9711275&lt;/url&gt;&lt;/related-urls&gt;&lt;/urls&gt;&lt;electronic-resource-num&gt;https://doi.org/10.1080/18811248.2007.9711275&lt;/electronic-resource-num&gt;&lt;/record&gt;&lt;/Cite&gt;&lt;/EndNote&gt;</w:instrText>
      </w:r>
      <w:r>
        <w:fldChar w:fldCharType="separate"/>
      </w:r>
      <w:r w:rsidR="003026BC">
        <w:rPr>
          <w:noProof/>
        </w:rPr>
        <w:t>[111]</w:t>
      </w:r>
      <w:r>
        <w:fldChar w:fldCharType="end"/>
      </w:r>
      <w:r>
        <w:t xml:space="preserve">. For an </w:t>
      </w:r>
      <w:r w:rsidRPr="004D2C0A">
        <w:t>exponential period of 30 ms</w:t>
      </w:r>
      <w:r>
        <w:t xml:space="preserve">, the correlation predicted a transient CHF value of </w:t>
      </w:r>
      <w:r w:rsidRPr="004D2C0A">
        <w:t>5.86 MW/m</w:t>
      </w:r>
      <w:r w:rsidRPr="004D2C0A">
        <w:rPr>
          <w:vertAlign w:val="superscript"/>
        </w:rPr>
        <w:t>2</w:t>
      </w:r>
      <w:r>
        <w:t xml:space="preserve"> which fell within the experimental transient CHF values ranging from </w:t>
      </w:r>
      <w:r w:rsidRPr="004D2C0A">
        <w:t>4.2 – 6.5 MW/m</w:t>
      </w:r>
      <w:r w:rsidRPr="004D2C0A">
        <w:rPr>
          <w:vertAlign w:val="superscript"/>
        </w:rPr>
        <w:t>2</w:t>
      </w:r>
      <w:r>
        <w:t>. While this suggests that the correlation is applicable at high pressures, it should be noted that the effects of pressure have not yet been studied and need to be investigated further</w:t>
      </w:r>
      <w:r w:rsidR="0067149F">
        <w:t>.</w:t>
      </w:r>
      <w:r>
        <w:t xml:space="preserve"> </w:t>
      </w:r>
      <w:r w:rsidR="0067149F">
        <w:t>F</w:t>
      </w:r>
      <w:r>
        <w:t xml:space="preserve">or this study, </w:t>
      </w:r>
      <w:r w:rsidR="001B06CC">
        <w:t>I</w:t>
      </w:r>
      <w:r>
        <w:t xml:space="preserve"> assume that the correlation can be applied for high pressure systems.</w:t>
      </w:r>
    </w:p>
    <w:p w14:paraId="529D82BC" w14:textId="0D6B8945" w:rsidR="00D43F7F" w:rsidRDefault="009D2AEA" w:rsidP="00D43F7F">
      <w:r w:rsidRPr="009D2AEA">
        <w:rPr>
          <w:b/>
          <w:bCs/>
        </w:rPr>
        <w:lastRenderedPageBreak/>
        <w:fldChar w:fldCharType="begin"/>
      </w:r>
      <w:r w:rsidRPr="009D2AEA">
        <w:rPr>
          <w:b/>
          <w:bCs/>
        </w:rPr>
        <w:instrText xml:space="preserve"> REF _Ref199766044 \h </w:instrText>
      </w:r>
      <w:r>
        <w:rPr>
          <w:b/>
          <w:bCs/>
        </w:rPr>
        <w:instrText xml:space="preserve"> \* MERGEFORMAT </w:instrText>
      </w:r>
      <w:r w:rsidRPr="009D2AEA">
        <w:rPr>
          <w:b/>
          <w:bCs/>
        </w:rPr>
      </w:r>
      <w:r w:rsidRPr="009D2AEA">
        <w:rPr>
          <w:b/>
          <w:bCs/>
        </w:rPr>
        <w:fldChar w:fldCharType="separate"/>
      </w:r>
      <w:r w:rsidR="00BF7E93" w:rsidRPr="00BF7E93">
        <w:rPr>
          <w:b/>
          <w:bCs/>
        </w:rPr>
        <w:t xml:space="preserve">Table </w:t>
      </w:r>
      <w:r w:rsidR="00BF7E93" w:rsidRPr="00BF7E93">
        <w:rPr>
          <w:b/>
          <w:bCs/>
          <w:noProof/>
        </w:rPr>
        <w:t>3.4</w:t>
      </w:r>
      <w:r w:rsidRPr="009D2AEA">
        <w:rPr>
          <w:b/>
          <w:bCs/>
        </w:rPr>
        <w:fldChar w:fldCharType="end"/>
      </w:r>
      <w:r>
        <w:t xml:space="preserve"> </w:t>
      </w:r>
      <w:r w:rsidR="00637CAA" w:rsidRPr="00BA4F43">
        <w:t xml:space="preserve">contains the sampled ranges of each of the input parameters. All distributions were considered uniform as the correlations for each of the parameters are based on empirical fits of experimental data, not experimental data itself. Since the CHF multiplier </w:t>
      </w:r>
      <w:r w:rsidR="00D43F7F" w:rsidRPr="00BA4F43">
        <w:t>was individually calculated for each test cas</w:t>
      </w:r>
      <w:r w:rsidR="00253877">
        <w:t xml:space="preserve">e, </w:t>
      </w:r>
      <w:r w:rsidR="00253877" w:rsidRPr="00253877">
        <w:fldChar w:fldCharType="begin"/>
      </w:r>
      <w:r w:rsidR="00253877" w:rsidRPr="00253877">
        <w:instrText xml:space="preserve"> REF _Ref199766044 \h  \* MERGEFORMAT </w:instrText>
      </w:r>
      <w:r w:rsidR="00253877" w:rsidRPr="00253877">
        <w:fldChar w:fldCharType="separate"/>
      </w:r>
      <w:r w:rsidR="00BF7E93" w:rsidRPr="009D2AA9">
        <w:t xml:space="preserve">Table </w:t>
      </w:r>
      <w:r w:rsidR="00BF7E93">
        <w:rPr>
          <w:noProof/>
        </w:rPr>
        <w:t>3</w:t>
      </w:r>
      <w:r w:rsidR="00BF7E93" w:rsidRPr="009D2AA9">
        <w:rPr>
          <w:noProof/>
        </w:rPr>
        <w:t>.</w:t>
      </w:r>
      <w:r w:rsidR="00BF7E93">
        <w:rPr>
          <w:noProof/>
        </w:rPr>
        <w:t>4</w:t>
      </w:r>
      <w:r w:rsidR="00253877" w:rsidRPr="00253877">
        <w:fldChar w:fldCharType="end"/>
      </w:r>
      <w:r w:rsidR="00253877">
        <w:rPr>
          <w:b/>
          <w:bCs/>
        </w:rPr>
        <w:t xml:space="preserve"> </w:t>
      </w:r>
      <w:r w:rsidR="00D43F7F" w:rsidRPr="00BA4F43">
        <w:t>contains the default value of 1 with the corresponding uncertainty of 15%</w:t>
      </w:r>
      <w:r w:rsidR="00D43F7F">
        <w:t xml:space="preserve"> </w:t>
      </w:r>
      <w:r w:rsidR="00D43F7F">
        <w:fldChar w:fldCharType="begin"/>
      </w:r>
      <w:r w:rsidR="003026BC">
        <w:instrText xml:space="preserve"> ADDIN EN.CITE &lt;EndNote&gt;&lt;Cite&gt;&lt;Author&gt;Hata&lt;/Author&gt;&lt;Year&gt;2008&lt;/Year&gt;&lt;RecNum&gt;221&lt;/RecNum&gt;&lt;DisplayText&gt;[66]&lt;/DisplayText&gt;&lt;record&gt;&lt;rec-number&gt;221&lt;/rec-number&gt;&lt;foreign-keys&gt;&lt;key app="EN" db-id="eseee05sfe5vt6efvr0xapvq20vfdsfp5fvf" timestamp="1671681963" guid="3d7f5ddc-57f2-4615-ae9e-6350f2cbb823"&gt;221&lt;/key&gt;&lt;/foreign-keys&gt;&lt;ref-type name="Journal Article"&gt;17&lt;/ref-type&gt;&lt;contributors&gt;&lt;authors&gt;&lt;author&gt;Hata, Koichi&lt;/author&gt;&lt;author&gt;Noda, Nobuaki&lt;/author&gt;&lt;/authors&gt;&lt;/contributors&gt;&lt;titles&gt;&lt;title&gt;Transient Critical Heat Fluxes of Subcooled Water Flow Boiling in a Short Vertical Tube Caused by Exponentially Increasing Heat Inputs&lt;/title&gt;&lt;secondary-title&gt;Journal of Heat Transfer&lt;/secondary-title&gt;&lt;/titles&gt;&lt;periodical&gt;&lt;full-title&gt;Journal of Heat Transfer&lt;/full-title&gt;&lt;/periodical&gt;&lt;volume&gt;130&lt;/volume&gt;&lt;number&gt;5&lt;/number&gt;&lt;dates&gt;&lt;year&gt;2008&lt;/year&gt;&lt;/dates&gt;&lt;isbn&gt;0022-1481&lt;/isbn&gt;&lt;urls&gt;&lt;related-urls&gt;&lt;url&gt;https://doi.org/10.1115/1.2887850&lt;/url&gt;&lt;/related-urls&gt;&lt;/urls&gt;&lt;electronic-resource-num&gt;https://doi.org/10.1115/1.2887850&lt;/electronic-resource-num&gt;&lt;access-date&gt;12/22/2022&lt;/access-date&gt;&lt;/record&gt;&lt;/Cite&gt;&lt;/EndNote&gt;</w:instrText>
      </w:r>
      <w:r w:rsidR="00D43F7F">
        <w:fldChar w:fldCharType="separate"/>
      </w:r>
      <w:r w:rsidR="003026BC">
        <w:rPr>
          <w:noProof/>
        </w:rPr>
        <w:t>[66]</w:t>
      </w:r>
      <w:r w:rsidR="00D43F7F">
        <w:fldChar w:fldCharType="end"/>
      </w:r>
      <w:r w:rsidR="00D43F7F" w:rsidRPr="00BA4F43">
        <w:t xml:space="preserve">. </w:t>
      </w:r>
    </w:p>
    <w:p w14:paraId="788E6B7D" w14:textId="39AF2A69" w:rsidR="00E25B26" w:rsidRDefault="00D43F7F" w:rsidP="00E25B26">
      <w:r>
        <w:t xml:space="preserve">The Pearson product-moment correlation coefficient (PPMCC) is a dimensionless measurement of the covariance of 2 continuous variables that is bounded between -1 and1 </w:t>
      </w:r>
      <w:r>
        <w:fldChar w:fldCharType="begin">
          <w:fldData xml:space="preserve">PEVuZE5vdGU+PENpdGU+PEF1dGhvcj5TY2hvYmVyPC9BdXRob3I+PFllYXI+MjAxODwvWWVhcj48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</w:fldData>
        </w:fldChar>
      </w:r>
      <w:r>
        <w:instrText xml:space="preserve"> ADDIN EN.CITE </w:instrText>
      </w:r>
      <w:r>
        <w:fldChar w:fldCharType="begin">
          <w:fldData xml:space="preserve">PEVuZE5vdGU+PENpdGU+PEF1dGhvcj5TY2hvYmVyPC9BdXRob3I+PFllYXI+MjAxODwvWWVhcj48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</w:fldData>
        </w:fldChar>
      </w:r>
      <w:r>
        <w:instrText xml:space="preserve"> ADDIN EN.CITE.DATA </w:instrText>
      </w:r>
      <w:r>
        <w:fldChar w:fldCharType="end"/>
      </w:r>
      <w:r>
        <w:fldChar w:fldCharType="separate"/>
      </w:r>
      <w:r>
        <w:rPr>
          <w:noProof/>
        </w:rPr>
        <w:t>[39, 40]</w:t>
      </w:r>
      <w:r>
        <w:fldChar w:fldCharType="end"/>
      </w:r>
      <w:r>
        <w:t>. As the value of an input variable increases, the output will either increase,</w:t>
      </w:r>
      <w:r w:rsidR="00E25B26">
        <w:t xml:space="preserve"> decrease, or stay constant, resulting in a PPMCC with a positive value, negative value, or a value of 0, respectfully. Values of the PPMCC are based on a relative scale of linearity between the input variable and output variable. More specifically, trends that approach a straight line will lie closer to 1 or -1, while less linear behavior, approaching random scatters, will fall closer to 0. If the relation between the variables is linear, the PPMCC will allow us to determine if there is significant sensitivity of the safety parameter to variation of the chosen inputs. </w:t>
      </w:r>
    </w:p>
    <w:p w14:paraId="0D55804E" w14:textId="10B0F881" w:rsidR="00B20650" w:rsidRDefault="00E25B26" w:rsidP="00D43F7F">
      <w:r>
        <w:t xml:space="preserve">I assume that to have at least weak linearity, the PPMCC of an input parameter must be above 0.2 or below -0.2 which is between the two bottom ranges presented in Schober et al. </w:t>
      </w:r>
      <w:r>
        <w:fldChar w:fldCharType="begin"/>
      </w:r>
      <w:r>
        <w:instrText xml:space="preserve"> ADDIN EN.CITE &lt;EndNote&gt;&lt;Cite&gt;&lt;Author&gt;Schober&lt;/Author&gt;&lt;Year&gt;2018&lt;/Year&gt;&lt;RecNum&gt;256&lt;/RecNum&gt;&lt;DisplayText&gt;[39]&lt;/DisplayText&gt;&lt;record&gt;&lt;rec-number&gt;256&lt;/rec-number&gt;&lt;foreign-keys&gt;&lt;key app="EN" db-id="eseee05sfe5vt6efvr0xapvq20vfdsfp5fvf" timestamp="1672456485" guid="7e65127b-2f60-433c-9f50-4ea46064b53a"&gt;256&lt;/key&gt;&lt;/foreign-keys&gt;&lt;ref-type name="Journal Article"&gt;17&lt;/ref-type&gt;&lt;contributors&gt;&lt;authors&gt;&lt;author&gt;Patrick Schober&lt;/author&gt;&lt;author&gt;Christa Boer&lt;/author&gt;&lt;author&gt;Lothar A Schwarte&lt;/author&gt;&lt;/authors&gt;&lt;/contributors&gt;&lt;titles&gt;&lt;title&gt;Correlation Coefficients: Appropriate Use and Interpretation&lt;/title&gt;&lt;secondary-title&gt;Anesthesia &amp;amp; Analgesia&lt;/secondary-title&gt;&lt;/titles&gt;&lt;periodical&gt;&lt;full-title&gt;Anesthesia &amp;amp; Analgesia&lt;/full-title&gt;&lt;/periodical&gt;&lt;pages&gt;1763-1768&lt;/pages&gt;&lt;volume&gt;126&lt;/volume&gt;&lt;number&gt;5&lt;/number&gt;&lt;dates&gt;&lt;year&gt;2018&lt;/year&gt;&lt;/dates&gt;&lt;urls&gt;&lt;/urls&gt;&lt;electronic-resource-num&gt;https://doi.org/10.1213/ANE.0000000000002864&lt;/electronic-resource-num&gt;&lt;/record&gt;&lt;/Cite&gt;&lt;/EndNote&gt;</w:instrText>
      </w:r>
      <w:r>
        <w:fldChar w:fldCharType="separate"/>
      </w:r>
      <w:r>
        <w:rPr>
          <w:noProof/>
        </w:rPr>
        <w:t>[39]</w:t>
      </w:r>
      <w:r>
        <w:fldChar w:fldCharType="end"/>
      </w:r>
      <w:r>
        <w:t xml:space="preserve">. It is important to note that a Pearson coefficient outside the threshold for linearity does not necessarily mean that the inputs and outputs are not correlated so it is important to also plot the sampled data for additional analysis </w:t>
      </w:r>
      <w:r>
        <w:fldChar w:fldCharType="begin"/>
      </w:r>
      <w:r>
        <w:instrText xml:space="preserve"> ADDIN EN.CITE &lt;EndNote&gt;&lt;Cite&gt;&lt;Author&gt;Schober&lt;/Author&gt;&lt;Year&gt;2018&lt;/Year&gt;&lt;RecNum&gt;256&lt;/RecNum&gt;&lt;DisplayText&gt;[39]&lt;/DisplayText&gt;&lt;record&gt;&lt;rec-number&gt;256&lt;/rec-number&gt;&lt;foreign-keys&gt;&lt;key app="EN" db-id="eseee05sfe5vt6efvr0xapvq20vfdsfp5fvf" timestamp="1672456485" guid="7e65127b-2f60-433c-9f50-4ea46064b53a"&gt;256&lt;/key&gt;&lt;/foreign-keys&gt;&lt;ref-type name="Journal Article"&gt;17&lt;/ref-type&gt;&lt;contributors&gt;&lt;authors&gt;&lt;author&gt;Patrick Schober&lt;/author&gt;&lt;author&gt;Christa Boer&lt;/author&gt;&lt;author&gt;Lothar A Schwarte&lt;/author&gt;&lt;/authors&gt;&lt;/contributors&gt;&lt;titles&gt;&lt;title&gt;Correlation Coefficients: Appropriate Use and Interpretation&lt;/title&gt;&lt;secondary-title&gt;Anesthesia &amp;amp; Analgesia&lt;/secondary-title&gt;&lt;/titles&gt;&lt;periodical&gt;&lt;full-title&gt;Anesthesia &amp;amp; Analgesia&lt;/full-title&gt;&lt;/periodical&gt;&lt;pages&gt;1763-1768&lt;/pages&gt;&lt;volume&gt;126&lt;/volume&gt;&lt;number&gt;5&lt;/number&gt;&lt;dates&gt;&lt;year&gt;2018&lt;/year&gt;&lt;/dates&gt;&lt;urls&gt;&lt;/urls&gt;&lt;electronic-resource-num&gt;https://doi.org/10.1213/ANE.0000000000002864&lt;/electronic-resource-num&gt;&lt;/record&gt;&lt;/Cite&gt;&lt;/EndNote&gt;</w:instrText>
      </w:r>
      <w:r>
        <w:fldChar w:fldCharType="separate"/>
      </w:r>
      <w:r>
        <w:rPr>
          <w:noProof/>
        </w:rPr>
        <w:t>[39]</w:t>
      </w:r>
      <w:r>
        <w:fldChar w:fldCharType="end"/>
      </w:r>
      <w:r>
        <w:t xml:space="preserve">. This is especially important since any trend that is periodic, exponential, discontinuous, etc. will give an </w:t>
      </w:r>
      <w:r w:rsidR="00B20650">
        <w:br w:type="page"/>
      </w:r>
    </w:p>
    <w:p w14:paraId="4BF53D7D" w14:textId="22411DBD" w:rsidR="00B20650" w:rsidRPr="009E5CA0" w:rsidRDefault="003553D6" w:rsidP="00874CBB">
      <w:pPr>
        <w:pStyle w:val="Caption"/>
      </w:pPr>
      <w:bookmarkStart w:id="70" w:name="_Ref199766044"/>
      <w:bookmarkStart w:id="71" w:name="_Toc202957519"/>
      <w:r w:rsidRPr="009D2AA9">
        <w:lastRenderedPageBreak/>
        <w:t xml:space="preserve">Table </w:t>
      </w:r>
      <w:fldSimple w:instr=" STYLEREF 1 \s ">
        <w:r w:rsidR="00BF7E93">
          <w:rPr>
            <w:noProof/>
          </w:rPr>
          <w:t>3</w:t>
        </w:r>
      </w:fldSimple>
      <w:r w:rsidRPr="009D2AA9">
        <w:t>.</w:t>
      </w:r>
      <w:fldSimple w:instr=" SEQ Table \* ARABIC \s 1 ">
        <w:r w:rsidR="00BF7E93">
          <w:rPr>
            <w:noProof/>
          </w:rPr>
          <w:t>4</w:t>
        </w:r>
      </w:fldSimple>
      <w:bookmarkEnd w:id="70"/>
      <w:r w:rsidRPr="009D2AA9">
        <w:t xml:space="preserve">. </w:t>
      </w:r>
      <w:r>
        <w:t>Proposed Experimental Test Matrix Details.</w:t>
      </w:r>
      <w:bookmarkEnd w:id="71"/>
      <w:r w:rsidR="00B20650" w:rsidRPr="009D2AA9">
        <w:t xml:space="preserve"> </w:t>
      </w:r>
    </w:p>
    <w:tbl>
      <w:tblPr>
        <w:tblW w:w="88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4305"/>
        <w:gridCol w:w="1530"/>
        <w:gridCol w:w="1530"/>
        <w:gridCol w:w="1530"/>
      </w:tblGrid>
      <w:tr w:rsidR="004F5769" w:rsidRPr="00857514" w14:paraId="4825ED5C" w14:textId="77777777" w:rsidTr="004F5769">
        <w:trPr>
          <w:jc w:val="center"/>
        </w:trPr>
        <w:tc>
          <w:tcPr>
            <w:tcW w:w="4305" w:type="dxa"/>
            <w:tcBorders>
              <w:top w:val="double" w:sz="4" w:space="0" w:color="auto"/>
              <w:left w:val="double" w:sz="4" w:space="0" w:color="auto"/>
              <w:bottom w:val="double" w:sz="4" w:space="0" w:color="auto"/>
              <w:right w:val="double" w:sz="4" w:space="0" w:color="auto"/>
            </w:tcBorders>
            <w:vAlign w:val="center"/>
          </w:tcPr>
          <w:p w14:paraId="1A44B45C" w14:textId="387AFA6F" w:rsidR="00B20650" w:rsidRPr="00857514" w:rsidRDefault="00B20650" w:rsidP="0064374E">
            <w:pPr>
              <w:pStyle w:val="TableText"/>
              <w:rPr>
                <w:bCs/>
              </w:rPr>
            </w:pPr>
            <w:r w:rsidRPr="009C097D">
              <w:t>Parameter</w:t>
            </w:r>
          </w:p>
        </w:tc>
        <w:tc>
          <w:tcPr>
            <w:tcW w:w="1530" w:type="dxa"/>
            <w:tcBorders>
              <w:top w:val="double" w:sz="4" w:space="0" w:color="auto"/>
              <w:left w:val="double" w:sz="4" w:space="0" w:color="auto"/>
              <w:bottom w:val="double" w:sz="4" w:space="0" w:color="auto"/>
              <w:right w:val="double" w:sz="4" w:space="0" w:color="auto"/>
            </w:tcBorders>
            <w:vAlign w:val="center"/>
          </w:tcPr>
          <w:p w14:paraId="58C7FFFE" w14:textId="7C7CE802" w:rsidR="00B20650" w:rsidRPr="00857514" w:rsidRDefault="00B20650" w:rsidP="0064374E">
            <w:pPr>
              <w:pStyle w:val="TableText"/>
              <w:rPr>
                <w:bCs/>
              </w:rPr>
            </w:pPr>
            <w:r>
              <w:t>Minimum</w:t>
            </w:r>
          </w:p>
        </w:tc>
        <w:tc>
          <w:tcPr>
            <w:tcW w:w="1530" w:type="dxa"/>
            <w:tcBorders>
              <w:top w:val="double" w:sz="4" w:space="0" w:color="auto"/>
              <w:left w:val="double" w:sz="4" w:space="0" w:color="auto"/>
              <w:bottom w:val="double" w:sz="4" w:space="0" w:color="auto"/>
              <w:right w:val="double" w:sz="4" w:space="0" w:color="auto"/>
            </w:tcBorders>
            <w:vAlign w:val="center"/>
          </w:tcPr>
          <w:p w14:paraId="0BB4938F" w14:textId="72C48184" w:rsidR="00B20650" w:rsidRPr="00857514" w:rsidRDefault="00B20650" w:rsidP="0064374E">
            <w:pPr>
              <w:pStyle w:val="TableText"/>
              <w:rPr>
                <w:bCs/>
              </w:rPr>
            </w:pPr>
            <w:r>
              <w:t>Default</w:t>
            </w:r>
          </w:p>
        </w:tc>
        <w:tc>
          <w:tcPr>
            <w:tcW w:w="1530" w:type="dxa"/>
            <w:tcBorders>
              <w:top w:val="double" w:sz="4" w:space="0" w:color="auto"/>
              <w:left w:val="double" w:sz="4" w:space="0" w:color="auto"/>
              <w:bottom w:val="double" w:sz="4" w:space="0" w:color="auto"/>
            </w:tcBorders>
            <w:vAlign w:val="center"/>
          </w:tcPr>
          <w:p w14:paraId="298D9816" w14:textId="41F56412" w:rsidR="00B20650" w:rsidRPr="00857514" w:rsidRDefault="00B20650" w:rsidP="0064374E">
            <w:pPr>
              <w:pStyle w:val="TableText"/>
              <w:rPr>
                <w:bCs/>
              </w:rPr>
            </w:pPr>
            <w:r>
              <w:t>Maximum</w:t>
            </w:r>
          </w:p>
        </w:tc>
      </w:tr>
      <w:tr w:rsidR="004F5769" w:rsidRPr="008120CD" w14:paraId="16A1A8EC" w14:textId="77777777" w:rsidTr="004F5769">
        <w:trPr>
          <w:jc w:val="center"/>
        </w:trPr>
        <w:tc>
          <w:tcPr>
            <w:tcW w:w="4305" w:type="dxa"/>
            <w:tcBorders>
              <w:left w:val="double" w:sz="4" w:space="0" w:color="auto"/>
              <w:right w:val="double" w:sz="4" w:space="0" w:color="auto"/>
            </w:tcBorders>
            <w:vAlign w:val="center"/>
          </w:tcPr>
          <w:p w14:paraId="62F22E46" w14:textId="4CC9D4C6" w:rsidR="00B20650" w:rsidRPr="00445C91" w:rsidRDefault="00B20650" w:rsidP="0064374E">
            <w:pPr>
              <w:pStyle w:val="TableText"/>
            </w:pPr>
            <w:r w:rsidRPr="00AA4C19">
              <w:rPr>
                <w:bCs/>
              </w:rPr>
              <w:t>Multiplier for nucleate boiling HTC (NBM)</w:t>
            </w:r>
          </w:p>
        </w:tc>
        <w:tc>
          <w:tcPr>
            <w:tcW w:w="1530" w:type="dxa"/>
            <w:tcBorders>
              <w:left w:val="double" w:sz="4" w:space="0" w:color="auto"/>
              <w:right w:val="double" w:sz="4" w:space="0" w:color="auto"/>
            </w:tcBorders>
            <w:vAlign w:val="center"/>
          </w:tcPr>
          <w:p w14:paraId="7FE624CB" w14:textId="44137CAF" w:rsidR="00B20650" w:rsidRPr="00445C91" w:rsidRDefault="00B20650" w:rsidP="0064374E">
            <w:pPr>
              <w:pStyle w:val="TableText"/>
            </w:pPr>
            <w:r w:rsidRPr="00AA4C19">
              <w:t>0.884</w:t>
            </w:r>
          </w:p>
        </w:tc>
        <w:tc>
          <w:tcPr>
            <w:tcW w:w="1530" w:type="dxa"/>
            <w:tcBorders>
              <w:left w:val="double" w:sz="4" w:space="0" w:color="auto"/>
              <w:right w:val="double" w:sz="4" w:space="0" w:color="auto"/>
            </w:tcBorders>
            <w:vAlign w:val="center"/>
          </w:tcPr>
          <w:p w14:paraId="3B1E7921" w14:textId="1DB705AB" w:rsidR="00B20650" w:rsidRPr="008120CD" w:rsidRDefault="00B20650" w:rsidP="0064374E">
            <w:pPr>
              <w:pStyle w:val="TableText"/>
            </w:pPr>
            <w:r w:rsidRPr="00AA4C19">
              <w:t>1.0</w:t>
            </w:r>
          </w:p>
        </w:tc>
        <w:tc>
          <w:tcPr>
            <w:tcW w:w="1530" w:type="dxa"/>
            <w:tcBorders>
              <w:left w:val="double" w:sz="4" w:space="0" w:color="auto"/>
            </w:tcBorders>
            <w:vAlign w:val="center"/>
          </w:tcPr>
          <w:p w14:paraId="1B19CAB8" w14:textId="56E291F6" w:rsidR="00B20650" w:rsidRPr="008120CD" w:rsidRDefault="00B20650" w:rsidP="0064374E">
            <w:pPr>
              <w:pStyle w:val="TableText"/>
            </w:pPr>
            <w:r w:rsidRPr="00AA4C19">
              <w:t>1.116</w:t>
            </w:r>
          </w:p>
        </w:tc>
      </w:tr>
      <w:tr w:rsidR="004F5769" w:rsidRPr="00560A5E" w14:paraId="31D305E2" w14:textId="77777777" w:rsidTr="004F5769">
        <w:trPr>
          <w:jc w:val="center"/>
        </w:trPr>
        <w:tc>
          <w:tcPr>
            <w:tcW w:w="4305" w:type="dxa"/>
            <w:tcBorders>
              <w:left w:val="double" w:sz="4" w:space="0" w:color="auto"/>
              <w:right w:val="double" w:sz="4" w:space="0" w:color="auto"/>
            </w:tcBorders>
            <w:vAlign w:val="center"/>
          </w:tcPr>
          <w:p w14:paraId="52DA317C" w14:textId="4BC214CD" w:rsidR="00B20650" w:rsidRPr="00445C91" w:rsidRDefault="00B20650" w:rsidP="0064374E">
            <w:pPr>
              <w:pStyle w:val="TableText"/>
              <w:rPr>
                <w:vertAlign w:val="subscript"/>
              </w:rPr>
            </w:pPr>
            <w:r w:rsidRPr="00AA4C19">
              <w:rPr>
                <w:bCs/>
              </w:rPr>
              <w:t>Multiplier for C</w:t>
            </w:r>
            <w:r>
              <w:rPr>
                <w:bCs/>
              </w:rPr>
              <w:t xml:space="preserve">ritical </w:t>
            </w:r>
            <w:r w:rsidRPr="00AA4C19">
              <w:rPr>
                <w:bCs/>
              </w:rPr>
              <w:t>H</w:t>
            </w:r>
            <w:r>
              <w:rPr>
                <w:bCs/>
              </w:rPr>
              <w:t xml:space="preserve">eat </w:t>
            </w:r>
            <w:r w:rsidRPr="00AA4C19">
              <w:rPr>
                <w:bCs/>
              </w:rPr>
              <w:t>F</w:t>
            </w:r>
            <w:r>
              <w:rPr>
                <w:bCs/>
              </w:rPr>
              <w:t>lux</w:t>
            </w:r>
            <w:r w:rsidRPr="00AA4C19">
              <w:rPr>
                <w:bCs/>
              </w:rPr>
              <w:t xml:space="preserve"> (CHFM)</w:t>
            </w:r>
          </w:p>
        </w:tc>
        <w:tc>
          <w:tcPr>
            <w:tcW w:w="1530" w:type="dxa"/>
            <w:tcBorders>
              <w:left w:val="double" w:sz="4" w:space="0" w:color="auto"/>
              <w:right w:val="double" w:sz="4" w:space="0" w:color="auto"/>
            </w:tcBorders>
            <w:vAlign w:val="center"/>
          </w:tcPr>
          <w:p w14:paraId="17A95464" w14:textId="5827CFB6" w:rsidR="00B20650" w:rsidRPr="00445C91" w:rsidRDefault="00B20650" w:rsidP="0064374E">
            <w:pPr>
              <w:pStyle w:val="TableText"/>
            </w:pPr>
            <w:r w:rsidRPr="00AA4C19">
              <w:t>0.85</w:t>
            </w:r>
          </w:p>
        </w:tc>
        <w:tc>
          <w:tcPr>
            <w:tcW w:w="1530" w:type="dxa"/>
            <w:tcBorders>
              <w:left w:val="double" w:sz="4" w:space="0" w:color="auto"/>
              <w:right w:val="double" w:sz="4" w:space="0" w:color="auto"/>
            </w:tcBorders>
            <w:vAlign w:val="center"/>
          </w:tcPr>
          <w:p w14:paraId="56173AD9" w14:textId="7D50262F" w:rsidR="00B20650" w:rsidRPr="002F13A8" w:rsidRDefault="00B20650" w:rsidP="0064374E">
            <w:pPr>
              <w:pStyle w:val="TableText"/>
            </w:pPr>
            <w:r w:rsidRPr="00AA4C19">
              <w:t>1.0*</w:t>
            </w:r>
          </w:p>
        </w:tc>
        <w:tc>
          <w:tcPr>
            <w:tcW w:w="1530" w:type="dxa"/>
            <w:tcBorders>
              <w:left w:val="double" w:sz="4" w:space="0" w:color="auto"/>
            </w:tcBorders>
            <w:vAlign w:val="center"/>
          </w:tcPr>
          <w:p w14:paraId="54396B5A" w14:textId="55310836" w:rsidR="00B20650" w:rsidRPr="008120CD" w:rsidRDefault="00B20650" w:rsidP="0064374E">
            <w:pPr>
              <w:pStyle w:val="TableText"/>
            </w:pPr>
            <w:r w:rsidRPr="00AA4C19">
              <w:t>1.15</w:t>
            </w:r>
          </w:p>
        </w:tc>
      </w:tr>
      <w:tr w:rsidR="004F5769" w:rsidRPr="008120CD" w14:paraId="5CCC134E" w14:textId="77777777" w:rsidTr="004F5769">
        <w:trPr>
          <w:jc w:val="center"/>
        </w:trPr>
        <w:tc>
          <w:tcPr>
            <w:tcW w:w="4305" w:type="dxa"/>
            <w:tcBorders>
              <w:left w:val="double" w:sz="4" w:space="0" w:color="auto"/>
              <w:right w:val="double" w:sz="4" w:space="0" w:color="auto"/>
            </w:tcBorders>
            <w:vAlign w:val="center"/>
          </w:tcPr>
          <w:p w14:paraId="07957E14" w14:textId="1D42FF88" w:rsidR="00B20650" w:rsidRPr="008120CD" w:rsidRDefault="00B20650" w:rsidP="0064374E">
            <w:pPr>
              <w:pStyle w:val="TableText"/>
            </w:pPr>
            <w:r w:rsidRPr="00AA4C19">
              <w:rPr>
                <w:bCs/>
              </w:rPr>
              <w:t>Multiplier for transition boiling HTC (TBM)</w:t>
            </w:r>
          </w:p>
        </w:tc>
        <w:tc>
          <w:tcPr>
            <w:tcW w:w="1530" w:type="dxa"/>
            <w:tcBorders>
              <w:left w:val="double" w:sz="4" w:space="0" w:color="auto"/>
              <w:right w:val="double" w:sz="4" w:space="0" w:color="auto"/>
            </w:tcBorders>
            <w:vAlign w:val="center"/>
          </w:tcPr>
          <w:p w14:paraId="0D1289FA" w14:textId="0FF9CB6C" w:rsidR="00B20650" w:rsidRPr="008120CD" w:rsidRDefault="00B20650" w:rsidP="0064374E">
            <w:pPr>
              <w:pStyle w:val="TableText"/>
            </w:pPr>
            <w:r w:rsidRPr="00AA4C19">
              <w:t>0.858</w:t>
            </w:r>
          </w:p>
        </w:tc>
        <w:tc>
          <w:tcPr>
            <w:tcW w:w="1530" w:type="dxa"/>
            <w:tcBorders>
              <w:left w:val="double" w:sz="4" w:space="0" w:color="auto"/>
              <w:right w:val="double" w:sz="4" w:space="0" w:color="auto"/>
            </w:tcBorders>
            <w:vAlign w:val="center"/>
          </w:tcPr>
          <w:p w14:paraId="1B4404F4" w14:textId="2C36D200" w:rsidR="00B20650" w:rsidRPr="008120CD" w:rsidRDefault="00B20650" w:rsidP="0064374E">
            <w:pPr>
              <w:pStyle w:val="TableText"/>
            </w:pPr>
            <w:r w:rsidRPr="00AA4C19">
              <w:t>1.0</w:t>
            </w:r>
          </w:p>
        </w:tc>
        <w:tc>
          <w:tcPr>
            <w:tcW w:w="1530" w:type="dxa"/>
            <w:tcBorders>
              <w:left w:val="double" w:sz="4" w:space="0" w:color="auto"/>
            </w:tcBorders>
            <w:vAlign w:val="center"/>
          </w:tcPr>
          <w:p w14:paraId="1B7EC2E9" w14:textId="35ACBA92" w:rsidR="00B20650" w:rsidRPr="008120CD" w:rsidRDefault="00B20650" w:rsidP="0064374E">
            <w:pPr>
              <w:pStyle w:val="TableText"/>
            </w:pPr>
            <w:r w:rsidRPr="00AA4C19">
              <w:t>1.142</w:t>
            </w:r>
          </w:p>
        </w:tc>
      </w:tr>
      <w:tr w:rsidR="004F5769" w:rsidRPr="008120CD" w14:paraId="13E22F16" w14:textId="77777777" w:rsidTr="004F5769">
        <w:trPr>
          <w:jc w:val="center"/>
        </w:trPr>
        <w:tc>
          <w:tcPr>
            <w:tcW w:w="4305" w:type="dxa"/>
            <w:tcBorders>
              <w:left w:val="double" w:sz="4" w:space="0" w:color="auto"/>
              <w:right w:val="double" w:sz="4" w:space="0" w:color="auto"/>
            </w:tcBorders>
            <w:vAlign w:val="center"/>
          </w:tcPr>
          <w:p w14:paraId="0D5E749D" w14:textId="77777777" w:rsidR="004F5769" w:rsidRDefault="00B20650" w:rsidP="0064374E">
            <w:pPr>
              <w:pStyle w:val="TableText"/>
              <w:rPr>
                <w:bCs/>
              </w:rPr>
            </w:pPr>
            <w:r w:rsidRPr="00AA4C19">
              <w:rPr>
                <w:bCs/>
              </w:rPr>
              <w:t xml:space="preserve">Multiplier for film boiling HTC </w:t>
            </w:r>
          </w:p>
          <w:p w14:paraId="04464EA0" w14:textId="58FD6D7F" w:rsidR="00B20650" w:rsidRDefault="00B20650" w:rsidP="0064374E">
            <w:pPr>
              <w:pStyle w:val="TableText"/>
            </w:pPr>
            <w:r w:rsidRPr="00AA4C19">
              <w:rPr>
                <w:bCs/>
              </w:rPr>
              <w:t>(FBM)</w:t>
            </w:r>
          </w:p>
        </w:tc>
        <w:tc>
          <w:tcPr>
            <w:tcW w:w="1530" w:type="dxa"/>
            <w:tcBorders>
              <w:left w:val="double" w:sz="4" w:space="0" w:color="auto"/>
              <w:right w:val="double" w:sz="4" w:space="0" w:color="auto"/>
            </w:tcBorders>
            <w:vAlign w:val="center"/>
          </w:tcPr>
          <w:p w14:paraId="1843075A" w14:textId="0D60F089" w:rsidR="00B20650" w:rsidRDefault="00B20650" w:rsidP="0064374E">
            <w:pPr>
              <w:pStyle w:val="TableText"/>
            </w:pPr>
            <w:r w:rsidRPr="00AA4C19">
              <w:t>0.935</w:t>
            </w:r>
          </w:p>
        </w:tc>
        <w:tc>
          <w:tcPr>
            <w:tcW w:w="1530" w:type="dxa"/>
            <w:tcBorders>
              <w:left w:val="double" w:sz="4" w:space="0" w:color="auto"/>
              <w:right w:val="double" w:sz="4" w:space="0" w:color="auto"/>
            </w:tcBorders>
            <w:vAlign w:val="center"/>
          </w:tcPr>
          <w:p w14:paraId="5E7DB626" w14:textId="5AF873F0" w:rsidR="00B20650" w:rsidRDefault="00B20650" w:rsidP="0064374E">
            <w:pPr>
              <w:pStyle w:val="TableText"/>
            </w:pPr>
            <w:r w:rsidRPr="00AA4C19">
              <w:t>1.0</w:t>
            </w:r>
          </w:p>
        </w:tc>
        <w:tc>
          <w:tcPr>
            <w:tcW w:w="1530" w:type="dxa"/>
            <w:tcBorders>
              <w:left w:val="double" w:sz="4" w:space="0" w:color="auto"/>
            </w:tcBorders>
            <w:vAlign w:val="center"/>
          </w:tcPr>
          <w:p w14:paraId="17C1C153" w14:textId="0884928F" w:rsidR="00B20650" w:rsidRDefault="00B20650" w:rsidP="0064374E">
            <w:pPr>
              <w:pStyle w:val="TableText"/>
            </w:pPr>
            <w:r w:rsidRPr="00AA4C19">
              <w:t>1.065</w:t>
            </w:r>
          </w:p>
        </w:tc>
      </w:tr>
      <w:tr w:rsidR="004F5769" w:rsidRPr="008120CD" w14:paraId="4E03EFF9" w14:textId="77777777" w:rsidTr="004F5769">
        <w:trPr>
          <w:jc w:val="center"/>
        </w:trPr>
        <w:tc>
          <w:tcPr>
            <w:tcW w:w="4305" w:type="dxa"/>
            <w:tcBorders>
              <w:left w:val="double" w:sz="4" w:space="0" w:color="auto"/>
              <w:right w:val="double" w:sz="4" w:space="0" w:color="auto"/>
            </w:tcBorders>
            <w:vAlign w:val="center"/>
          </w:tcPr>
          <w:p w14:paraId="6D7AFB79" w14:textId="60F73FA7" w:rsidR="00B20650" w:rsidRDefault="00B20650" w:rsidP="0064374E">
            <w:pPr>
              <w:pStyle w:val="TableText"/>
            </w:pPr>
            <w:r>
              <w:rPr>
                <w:bCs/>
              </w:rPr>
              <w:t>Cladding Thermal Conductivity (W/mK)</w:t>
            </w:r>
          </w:p>
        </w:tc>
        <w:tc>
          <w:tcPr>
            <w:tcW w:w="1530" w:type="dxa"/>
            <w:tcBorders>
              <w:left w:val="double" w:sz="4" w:space="0" w:color="auto"/>
              <w:right w:val="double" w:sz="4" w:space="0" w:color="auto"/>
            </w:tcBorders>
            <w:vAlign w:val="center"/>
          </w:tcPr>
          <w:p w14:paraId="220E44CC" w14:textId="0851E35B" w:rsidR="00B20650" w:rsidRDefault="00B20650" w:rsidP="0064374E">
            <w:pPr>
              <w:pStyle w:val="TableText"/>
            </w:pPr>
            <w:r>
              <w:t>8.601</w:t>
            </w:r>
          </w:p>
        </w:tc>
        <w:tc>
          <w:tcPr>
            <w:tcW w:w="1530" w:type="dxa"/>
            <w:tcBorders>
              <w:left w:val="double" w:sz="4" w:space="0" w:color="auto"/>
              <w:right w:val="double" w:sz="4" w:space="0" w:color="auto"/>
            </w:tcBorders>
            <w:vAlign w:val="center"/>
          </w:tcPr>
          <w:p w14:paraId="1872190F" w14:textId="488BCCEF" w:rsidR="00B20650" w:rsidRDefault="00B20650" w:rsidP="0064374E">
            <w:pPr>
              <w:pStyle w:val="TableText"/>
            </w:pPr>
            <w:r>
              <w:t>9.248</w:t>
            </w:r>
          </w:p>
        </w:tc>
        <w:tc>
          <w:tcPr>
            <w:tcW w:w="1530" w:type="dxa"/>
            <w:tcBorders>
              <w:left w:val="double" w:sz="4" w:space="0" w:color="auto"/>
            </w:tcBorders>
            <w:vAlign w:val="center"/>
          </w:tcPr>
          <w:p w14:paraId="6C380AD8" w14:textId="3641D37A" w:rsidR="00B20650" w:rsidRDefault="00B20650" w:rsidP="0064374E">
            <w:pPr>
              <w:pStyle w:val="TableText"/>
            </w:pPr>
            <w:r>
              <w:t>9.895</w:t>
            </w:r>
          </w:p>
        </w:tc>
      </w:tr>
      <w:tr w:rsidR="004F5769" w:rsidRPr="008120CD" w14:paraId="15A3C8D2" w14:textId="77777777" w:rsidTr="004F5769">
        <w:trPr>
          <w:jc w:val="center"/>
        </w:trPr>
        <w:tc>
          <w:tcPr>
            <w:tcW w:w="4305" w:type="dxa"/>
            <w:tcBorders>
              <w:left w:val="double" w:sz="4" w:space="0" w:color="auto"/>
              <w:right w:val="double" w:sz="4" w:space="0" w:color="auto"/>
            </w:tcBorders>
            <w:vAlign w:val="center"/>
          </w:tcPr>
          <w:p w14:paraId="712B31FA" w14:textId="165AC351" w:rsidR="00B20650" w:rsidRDefault="00B20650" w:rsidP="0064374E">
            <w:pPr>
              <w:pStyle w:val="TableText"/>
            </w:pPr>
            <w:r>
              <w:rPr>
                <w:bCs/>
              </w:rPr>
              <w:t>Cladding Volumetric Heat Capacity (J/m</w:t>
            </w:r>
            <w:r>
              <w:rPr>
                <w:bCs/>
                <w:vertAlign w:val="superscript"/>
              </w:rPr>
              <w:t>3</w:t>
            </w:r>
            <w:r>
              <w:rPr>
                <w:bCs/>
              </w:rPr>
              <w:t>K)</w:t>
            </w:r>
          </w:p>
        </w:tc>
        <w:tc>
          <w:tcPr>
            <w:tcW w:w="1530" w:type="dxa"/>
            <w:tcBorders>
              <w:left w:val="double" w:sz="4" w:space="0" w:color="auto"/>
              <w:right w:val="double" w:sz="4" w:space="0" w:color="auto"/>
            </w:tcBorders>
            <w:vAlign w:val="center"/>
          </w:tcPr>
          <w:p w14:paraId="21293484" w14:textId="3303C5A8" w:rsidR="00B20650" w:rsidRDefault="00B20650" w:rsidP="0064374E">
            <w:pPr>
              <w:pStyle w:val="TableText"/>
            </w:pPr>
            <w:r>
              <w:t xml:space="preserve">3.245 </w:t>
            </w:r>
            <m:oMath>
              <m:r>
                <m:rPr>
                  <m:nor/>
                </m:rPr>
                <w:rPr>
                  <w:rFonts w:ascii="Cambria Math" w:hAnsi="Cambria Math"/>
                </w:rPr>
                <m:t>×</m:t>
              </m:r>
            </m:oMath>
            <w:r>
              <w:t xml:space="preserve"> 10</w:t>
            </w:r>
            <w:r>
              <w:rPr>
                <w:vertAlign w:val="superscript"/>
              </w:rPr>
              <w:t>6</w:t>
            </w:r>
          </w:p>
        </w:tc>
        <w:tc>
          <w:tcPr>
            <w:tcW w:w="1530" w:type="dxa"/>
            <w:tcBorders>
              <w:left w:val="double" w:sz="4" w:space="0" w:color="auto"/>
              <w:right w:val="double" w:sz="4" w:space="0" w:color="auto"/>
            </w:tcBorders>
            <w:vAlign w:val="center"/>
          </w:tcPr>
          <w:p w14:paraId="44D0669F" w14:textId="32C27F98" w:rsidR="00B20650" w:rsidRDefault="00B20650" w:rsidP="0064374E">
            <w:pPr>
              <w:pStyle w:val="TableText"/>
            </w:pPr>
            <w:r>
              <w:t xml:space="preserve">3.490 </w:t>
            </w:r>
            <m:oMath>
              <m:r>
                <m:rPr>
                  <m:nor/>
                </m:rPr>
                <w:rPr>
                  <w:rFonts w:ascii="Cambria Math" w:hAnsi="Cambria Math"/>
                </w:rPr>
                <m:t>×</m:t>
              </m:r>
            </m:oMath>
            <w:r>
              <w:t xml:space="preserve"> 10</w:t>
            </w:r>
            <w:r>
              <w:rPr>
                <w:vertAlign w:val="superscript"/>
              </w:rPr>
              <w:t>6</w:t>
            </w:r>
          </w:p>
        </w:tc>
        <w:tc>
          <w:tcPr>
            <w:tcW w:w="1530" w:type="dxa"/>
            <w:tcBorders>
              <w:left w:val="double" w:sz="4" w:space="0" w:color="auto"/>
            </w:tcBorders>
            <w:vAlign w:val="center"/>
          </w:tcPr>
          <w:p w14:paraId="09FDC439" w14:textId="6AA5C195" w:rsidR="00B20650" w:rsidRDefault="00B20650" w:rsidP="0064374E">
            <w:pPr>
              <w:pStyle w:val="TableText"/>
            </w:pPr>
            <w:r>
              <w:t xml:space="preserve">3.734 </w:t>
            </w:r>
            <m:oMath>
              <m:r>
                <m:rPr>
                  <m:nor/>
                </m:rPr>
                <w:rPr>
                  <w:rFonts w:ascii="Cambria Math" w:hAnsi="Cambria Math"/>
                </w:rPr>
                <m:t>×</m:t>
              </m:r>
            </m:oMath>
            <w:r>
              <w:t xml:space="preserve"> 10</w:t>
            </w:r>
            <w:r>
              <w:rPr>
                <w:vertAlign w:val="superscript"/>
              </w:rPr>
              <w:t>6</w:t>
            </w:r>
          </w:p>
        </w:tc>
      </w:tr>
    </w:tbl>
    <w:p w14:paraId="707FFC58" w14:textId="4B099377" w:rsidR="00B20650" w:rsidRDefault="00B20650" w:rsidP="0064374E">
      <w:pPr>
        <w:pStyle w:val="TableText"/>
      </w:pPr>
      <w:r w:rsidRPr="00894D75">
        <w:t>*Multiplier for CHF was evaluated from the exponential period corresponding to the power pulse used for each case.</w:t>
      </w:r>
    </w:p>
    <w:p w14:paraId="2A8F0666" w14:textId="77777777" w:rsidR="00B20650" w:rsidRDefault="00B20650">
      <w:r>
        <w:br w:type="page"/>
      </w:r>
    </w:p>
    <w:p w14:paraId="1EE3FD54" w14:textId="582F2CD6" w:rsidR="00E25B26" w:rsidDel="00E25B26" w:rsidRDefault="00E25B26" w:rsidP="00DB5F54">
      <w:r>
        <w:lastRenderedPageBreak/>
        <w:t>unreliable PPMCC. For this study, I measure the sensitivity of the peak surface temperature, peak surface heat flux, and the times of CHF and rewetting to variation in the boiling heat transfer and CHF multipliers, and thermal properties of the cladding, specifically volumetric heat capacity and thermal conductivity.</w:t>
      </w:r>
    </w:p>
    <w:p w14:paraId="3C1AF89B" w14:textId="1743204A" w:rsidR="00637CAA" w:rsidRDefault="00637CAA" w:rsidP="00637CAA">
      <w:r>
        <w:t xml:space="preserve">To perform this analysis, </w:t>
      </w:r>
      <w:r w:rsidR="00933806">
        <w:t>I</w:t>
      </w:r>
      <w:r>
        <w:t xml:space="preserve"> leverage the existing coupling between the RELAP5-3D code and the Risk Analysis Virtual Environment (RAVEN) framework which is developed and maintained by INL. RAVEN is an open-source data analysis framework capable of performing sensitivity and uncertainty analysis through use of both classical statistics as well as more modern artificial intelligence algorithms </w:t>
      </w:r>
      <w:r>
        <w:fldChar w:fldCharType="begin"/>
      </w:r>
      <w:r w:rsidR="003026BC">
        <w:instrText xml:space="preserve"> ADDIN EN.CITE &lt;EndNote&gt;&lt;Cite&gt;&lt;Author&gt;Rabiti&lt;/Author&gt;&lt;Year&gt;2019&lt;/Year&gt;&lt;RecNum&gt;257&lt;/RecNum&gt;&lt;DisplayText&gt;[112]&lt;/DisplayText&gt;&lt;record&gt;&lt;rec-number&gt;257&lt;/rec-number&gt;&lt;foreign-keys&gt;&lt;key app="EN" db-id="eseee05sfe5vt6efvr0xapvq20vfdsfp5fvf" timestamp="1672501620" guid="14ae3d7c-d993-466c-8b48-5e2b92f0c4a1"&gt;257&lt;/key&gt;&lt;/foreign-keys&gt;&lt;ref-type name="Book"&gt;6&lt;/ref-type&gt;&lt;contributors&gt;&lt;authors&gt;&lt;author&gt;Cristian Rabiti&lt;/author&gt;&lt;author&gt;Andrea Alfonsi&lt;/author&gt;&lt;author&gt;Joshua Cogliati&lt;/author&gt;&lt;author&gt;Diego Mandelli&lt;/author&gt;&lt;author&gt;Robert Kinoshita&lt;/author&gt;&lt;author&gt;Sonat Sen&lt;/author&gt;&lt;author&gt;Congjian Wang&lt;/author&gt;&lt;author&gt;Paul W. Talbot&lt;/author&gt;&lt;author&gt;Daniel P. Maljovec&lt;/author&gt;&lt;/authors&gt;&lt;/contributors&gt;&lt;titles&gt;&lt;title&gt;RAVEN User Manual&lt;/title&gt;&lt;/titles&gt;&lt;section&gt;2-586&lt;/section&gt;&lt;dates&gt;&lt;year&gt;2019&lt;/year&gt;&lt;/dates&gt;&lt;pub-location&gt;Idaho Falls, Idaho&lt;/pub-location&gt;&lt;publisher&gt;Idaho National Laboratory&lt;/publisher&gt;&lt;urls&gt;&lt;/urls&gt;&lt;/record&gt;&lt;/Cite&gt;&lt;/EndNote&gt;</w:instrText>
      </w:r>
      <w:r>
        <w:fldChar w:fldCharType="separate"/>
      </w:r>
      <w:r w:rsidR="003026BC">
        <w:rPr>
          <w:noProof/>
        </w:rPr>
        <w:t>[112]</w:t>
      </w:r>
      <w:r>
        <w:fldChar w:fldCharType="end"/>
      </w:r>
      <w:r>
        <w:t xml:space="preserve">. </w:t>
      </w:r>
      <w:r w:rsidR="00FA74A6">
        <w:t>T</w:t>
      </w:r>
      <w:r>
        <w:t>h</w:t>
      </w:r>
      <w:r w:rsidR="00FA74A6">
        <w:t>e</w:t>
      </w:r>
      <w:r>
        <w:t xml:space="preserve"> coupled RAVEN/RELAP5-3D code framework to generate</w:t>
      </w:r>
      <w:r w:rsidR="00FA74A6">
        <w:t>s</w:t>
      </w:r>
      <w:r>
        <w:t xml:space="preserve"> and run</w:t>
      </w:r>
      <w:r w:rsidR="00FA74A6">
        <w:t>s</w:t>
      </w:r>
      <w:r>
        <w:t xml:space="preserve"> input files with randomly sampled input parameters and extract</w:t>
      </w:r>
      <w:r w:rsidR="00FA74A6">
        <w:t>s</w:t>
      </w:r>
      <w:r>
        <w:t xml:space="preserve"> the corresponding output parameters for the PPMCC analysis. Using the RAVEN Monte Carlo sampler, </w:t>
      </w:r>
      <w:r w:rsidR="00933806">
        <w:t>I</w:t>
      </w:r>
      <w:r>
        <w:t xml:space="preserve"> construct 25000 samples of each variable in order to ensure the solution is converged. This sample size </w:t>
      </w:r>
      <w:r w:rsidR="00FA74A6">
        <w:t>i</w:t>
      </w:r>
      <w:r>
        <w:t xml:space="preserve">s determined based on </w:t>
      </w:r>
      <w:r w:rsidR="00FA74A6">
        <w:t>a</w:t>
      </w:r>
      <w:r>
        <w:t xml:space="preserve"> previously conducted convergence study which ensure</w:t>
      </w:r>
      <w:r w:rsidR="00FA74A6">
        <w:t>s</w:t>
      </w:r>
      <w:r>
        <w:t xml:space="preserve"> that the relative error between successive PPMCCs </w:t>
      </w:r>
      <w:r w:rsidR="00FA74A6">
        <w:t>i</w:t>
      </w:r>
      <w:r>
        <w:t xml:space="preserve">s below 1% for parameters of relevant importance </w:t>
      </w:r>
      <w:r>
        <w:fldChar w:fldCharType="begin"/>
      </w:r>
      <w:r w:rsidR="00853C53">
        <w:instrText xml:space="preserve"> ADDIN EN.CITE &lt;EndNote&gt;&lt;Cite&gt;&lt;Author&gt;Meehan&lt;/Author&gt;&lt;Year&gt;2023&lt;/Year&gt;&lt;RecNum&gt;286&lt;/RecNum&gt;&lt;DisplayText&gt;[23]&lt;/DisplayText&gt;&lt;record&gt;&lt;rec-number&gt;286&lt;/rec-number&gt;&lt;foreign-keys&gt;&lt;key app="EN" db-id="eseee05sfe5vt6efvr0xapvq20vfdsfp5fvf" timestamp="1684260390" guid="2d7d9940-15f6-4d3d-8aca-00adafd39a6d"&gt;286&lt;/key&gt;&lt;/foreign-keys&gt;&lt;ref-type name="Journal Article"&gt;17&lt;/ref-type&gt;&lt;contributors&gt;&lt;authors&gt;&lt;author&gt;Meehan, Nicholas A.&lt;/author&gt;&lt;author&gt;Seo, Seok Bin&lt;/author&gt;&lt;author&gt;Howard, Trevor K.&lt;/author&gt;&lt;author&gt;Brown, Nicholas R.&lt;/author&gt;&lt;/authors&gt;&lt;/contributors&gt;&lt;titles&gt;&lt;title&gt;Sensitivity Analysis of Transient Critical Heat Flux by RIA Under High-Pressure Flow Boiling Conditions in TRTL&lt;/title&gt;&lt;secondary-title&gt;Nuclear Technology&lt;/secondary-title&gt;&lt;/titles&gt;&lt;periodical&gt;&lt;full-title&gt;Nuclear Technology&lt;/full-title&gt;&lt;/periodical&gt;&lt;pages&gt;1-25&lt;/pages&gt;&lt;dates&gt;&lt;year&gt;2023&lt;/year&gt;&lt;/dates&gt;&lt;publisher&gt;Taylor &amp;amp; Francis&lt;/publisher&gt;&lt;isbn&gt;0029-5450&lt;/isbn&gt;&lt;urls&gt;&lt;related-urls&gt;&lt;url&gt;https://doi.org/10.1080/00295450.2023.2195355&lt;/url&gt;&lt;/related-urls&gt;&lt;/urls&gt;&lt;electronic-resource-num&gt;https://doi.org/10.1080/00295450.2023.2195355&lt;/electronic-resource-num&gt;&lt;/record&gt;&lt;/Cite&gt;&lt;/EndNote&gt;</w:instrText>
      </w:r>
      <w:r>
        <w:fldChar w:fldCharType="separate"/>
      </w:r>
      <w:r w:rsidR="00853C53">
        <w:rPr>
          <w:noProof/>
        </w:rPr>
        <w:t>[23]</w:t>
      </w:r>
      <w:r>
        <w:fldChar w:fldCharType="end"/>
      </w:r>
      <w:r>
        <w:t>.</w:t>
      </w:r>
    </w:p>
    <w:p w14:paraId="74817E70" w14:textId="3A46EB7E" w:rsidR="00637CAA" w:rsidRDefault="00637CAA" w:rsidP="009C1998">
      <w:r>
        <w:t xml:space="preserve">As previously discussed </w:t>
      </w:r>
      <w:r w:rsidR="002C328E">
        <w:t>within the literature review</w:t>
      </w:r>
      <w:r>
        <w:t xml:space="preserve">, the PPMCC being outside the threshold for linearity does not suggest that there is no correlation. Upon inspection of the sample data, </w:t>
      </w:r>
      <w:r w:rsidR="00933806">
        <w:t>I</w:t>
      </w:r>
      <w:r>
        <w:t xml:space="preserve"> f</w:t>
      </w:r>
      <w:r w:rsidR="00D423EE">
        <w:t>o</w:t>
      </w:r>
      <w:r>
        <w:t xml:space="preserve">und that implementation of the CHF multiplier </w:t>
      </w:r>
      <w:r w:rsidR="00FA74A6">
        <w:t xml:space="preserve">causes </w:t>
      </w:r>
      <w:r>
        <w:t xml:space="preserve">cases 5 and 6 </w:t>
      </w:r>
      <w:r w:rsidR="00FA74A6">
        <w:t>to</w:t>
      </w:r>
      <w:r>
        <w:t xml:space="preserve"> not reach CHF in all samples. This created a discontinuity in the data</w:t>
      </w:r>
      <w:r w:rsidR="00D423EE">
        <w:t xml:space="preserve"> </w:t>
      </w:r>
      <w:r>
        <w:t xml:space="preserve">and these PPMCCs are deemed unreliable for the analysis. This </w:t>
      </w:r>
      <w:r w:rsidR="00CA292D">
        <w:t>discontinuity causes</w:t>
      </w:r>
      <w:r>
        <w:t xml:space="preserve"> the shift from positive to negative correlation</w:t>
      </w:r>
      <w:r w:rsidR="00D423EE">
        <w:t>s</w:t>
      </w:r>
      <w:r>
        <w:t xml:space="preserve"> of CHFM and volumetric heat capacity with regard to time of CHF </w:t>
      </w:r>
      <w:r>
        <w:lastRenderedPageBreak/>
        <w:t xml:space="preserve">occurrence for cases 5-6. Samples where the CHFM and volumetric heat capacity increased </w:t>
      </w:r>
      <w:r w:rsidR="00D423EE">
        <w:t>such that</w:t>
      </w:r>
      <w:r>
        <w:t xml:space="preserve"> the cladding no longer reached CHF use a default placeholder value of 0, so </w:t>
      </w:r>
      <w:r w:rsidR="00FF2D04">
        <w:t>the</w:t>
      </w:r>
      <w:r>
        <w:t xml:space="preserve"> shift occur</w:t>
      </w:r>
      <w:r w:rsidR="00FF2D04">
        <w:t>s</w:t>
      </w:r>
      <w:r>
        <w:t xml:space="preserve"> as an artifact of my code.</w:t>
      </w:r>
    </w:p>
    <w:p w14:paraId="5D6A4506" w14:textId="022B368B" w:rsidR="00555EAD" w:rsidRDefault="00637CAA" w:rsidP="00555EAD">
      <w:r w:rsidRPr="00160138">
        <w:t xml:space="preserve">The PPMCCs within </w:t>
      </w:r>
      <w:r w:rsidR="009D52C3" w:rsidRPr="00377123">
        <w:rPr>
          <w:b/>
          <w:bCs/>
        </w:rPr>
        <w:fldChar w:fldCharType="begin"/>
      </w:r>
      <w:r w:rsidR="009D52C3" w:rsidRPr="00377123">
        <w:rPr>
          <w:b/>
          <w:bCs/>
        </w:rPr>
        <w:instrText xml:space="preserve"> REF _Ref160720420 \h </w:instrText>
      </w:r>
      <w:r w:rsidR="009C1998" w:rsidRPr="00377123">
        <w:rPr>
          <w:b/>
          <w:bCs/>
        </w:rPr>
        <w:instrText xml:space="preserve"> \* MERGEFORMAT </w:instrText>
      </w:r>
      <w:r w:rsidR="009D52C3" w:rsidRPr="00377123">
        <w:rPr>
          <w:b/>
          <w:bCs/>
        </w:rPr>
      </w:r>
      <w:r w:rsidR="009D52C3" w:rsidRPr="00377123">
        <w:rPr>
          <w:b/>
          <w:bCs/>
        </w:rPr>
        <w:fldChar w:fldCharType="separate"/>
      </w:r>
      <w:r w:rsidR="00BF7E93" w:rsidRPr="00BF7E93">
        <w:rPr>
          <w:b/>
          <w:bCs/>
        </w:rPr>
        <w:t xml:space="preserve">Figure </w:t>
      </w:r>
      <w:r w:rsidR="00BF7E93" w:rsidRPr="00BF7E93">
        <w:rPr>
          <w:b/>
          <w:bCs/>
          <w:noProof/>
        </w:rPr>
        <w:t>3.11</w:t>
      </w:r>
      <w:r w:rsidR="009D52C3" w:rsidRPr="00377123">
        <w:rPr>
          <w:b/>
          <w:bCs/>
        </w:rPr>
        <w:fldChar w:fldCharType="end"/>
      </w:r>
      <w:r w:rsidR="009C1998">
        <w:t>-</w:t>
      </w:r>
      <w:r w:rsidR="009C1998" w:rsidRPr="00377123">
        <w:rPr>
          <w:b/>
          <w:bCs/>
        </w:rPr>
        <w:fldChar w:fldCharType="begin"/>
      </w:r>
      <w:r w:rsidR="009C1998" w:rsidRPr="00377123">
        <w:rPr>
          <w:b/>
          <w:bCs/>
        </w:rPr>
        <w:instrText xml:space="preserve"> REF _Ref160720479 \h </w:instrText>
      </w:r>
      <w:r w:rsidR="00377123">
        <w:rPr>
          <w:b/>
          <w:bCs/>
        </w:rPr>
        <w:instrText xml:space="preserve"> \* MERGEFORMAT </w:instrText>
      </w:r>
      <w:r w:rsidR="009C1998" w:rsidRPr="00377123">
        <w:rPr>
          <w:b/>
          <w:bCs/>
        </w:rPr>
      </w:r>
      <w:r w:rsidR="009C1998" w:rsidRPr="00377123">
        <w:rPr>
          <w:b/>
          <w:bCs/>
        </w:rPr>
        <w:fldChar w:fldCharType="separate"/>
      </w:r>
      <w:r w:rsidR="00BF7E93" w:rsidRPr="00BF7E93">
        <w:rPr>
          <w:b/>
          <w:bCs/>
        </w:rPr>
        <w:t xml:space="preserve">Figure </w:t>
      </w:r>
      <w:r w:rsidR="00BF7E93" w:rsidRPr="00BF7E93">
        <w:rPr>
          <w:b/>
          <w:bCs/>
          <w:noProof/>
        </w:rPr>
        <w:t>3.14</w:t>
      </w:r>
      <w:r w:rsidR="009C1998" w:rsidRPr="00377123">
        <w:rPr>
          <w:b/>
          <w:bCs/>
        </w:rPr>
        <w:fldChar w:fldCharType="end"/>
      </w:r>
      <w:r w:rsidR="009D52C3">
        <w:t xml:space="preserve"> </w:t>
      </w:r>
      <w:r w:rsidRPr="00160138">
        <w:t xml:space="preserve">demonstrate the same behavior as the initial study, but the most significant change is the large influence from the cladding volumetric heat capacity in the prediction of peak temperature, time of CHF, and, to a lesser extent, time of rewetting </w:t>
      </w:r>
      <w:r w:rsidRPr="00160138">
        <w:fldChar w:fldCharType="begin"/>
      </w:r>
      <w:r w:rsidR="00853C53">
        <w:instrText xml:space="preserve"> ADDIN EN.CITE &lt;EndNote&gt;&lt;Cite&gt;&lt;Author&gt;Meehan&lt;/Author&gt;&lt;Year&gt;2023&lt;/Year&gt;&lt;RecNum&gt;286&lt;/RecNum&gt;&lt;DisplayText&gt;[23]&lt;/DisplayText&gt;&lt;record&gt;&lt;rec-number&gt;286&lt;/rec-number&gt;&lt;foreign-keys&gt;&lt;key app="EN" db-id="eseee05sfe5vt6efvr0xapvq20vfdsfp5fvf" timestamp="1684260390" guid="2d7d9940-15f6-4d3d-8aca-00adafd39a6d"&gt;286&lt;/key&gt;&lt;/foreign-keys&gt;&lt;ref-type name="Journal Article"&gt;17&lt;/ref-type&gt;&lt;contributors&gt;&lt;authors&gt;&lt;author&gt;Meehan, Nicholas A.&lt;/author&gt;&lt;author&gt;Seo, Seok Bin&lt;/author&gt;&lt;author&gt;Howard, Trevor K.&lt;/author&gt;&lt;author&gt;Brown, Nicholas R.&lt;/author&gt;&lt;/authors&gt;&lt;/contributors&gt;&lt;titles&gt;&lt;title&gt;Sensitivity Analysis of Transient Critical Heat Flux by RIA Under High-Pressure Flow Boiling Conditions in TRTL&lt;/title&gt;&lt;secondary-title&gt;Nuclear Technology&lt;/secondary-title&gt;&lt;/titles&gt;&lt;periodical&gt;&lt;full-title&gt;Nuclear Technology&lt;/full-title&gt;&lt;/periodical&gt;&lt;pages&gt;1-25&lt;/pages&gt;&lt;dates&gt;&lt;year&gt;2023&lt;/year&gt;&lt;/dates&gt;&lt;publisher&gt;Taylor &amp;amp; Francis&lt;/publisher&gt;&lt;isbn&gt;0029-5450&lt;/isbn&gt;&lt;urls&gt;&lt;related-urls&gt;&lt;url&gt;https://doi.org/10.1080/00295450.2023.2195355&lt;/url&gt;&lt;/related-urls&gt;&lt;/urls&gt;&lt;electronic-resource-num&gt;https://doi.org/10.1080/00295450.2023.2195355&lt;/electronic-resource-num&gt;&lt;/record&gt;&lt;/Cite&gt;&lt;/EndNote&gt;</w:instrText>
      </w:r>
      <w:r w:rsidRPr="00160138">
        <w:fldChar w:fldCharType="separate"/>
      </w:r>
      <w:r w:rsidR="00853C53">
        <w:rPr>
          <w:noProof/>
        </w:rPr>
        <w:t>[23]</w:t>
      </w:r>
      <w:r w:rsidRPr="00160138">
        <w:fldChar w:fldCharType="end"/>
      </w:r>
      <w:r w:rsidRPr="00160138">
        <w:t xml:space="preserve">. </w:t>
      </w:r>
      <w:r w:rsidR="0034353D">
        <w:t>T</w:t>
      </w:r>
      <w:r w:rsidRPr="00160138">
        <w:t>he CHF multiplier directly changes the threshold heat flux value for the transition to the film boiling regime, and the amount of energy</w:t>
      </w:r>
      <w:r w:rsidR="00555EAD">
        <w:t xml:space="preserve"> </w:t>
      </w:r>
      <w:r w:rsidR="00555EAD" w:rsidRPr="00160138">
        <w:t xml:space="preserve">from the power pulse remaining post-CHF. Similarly, the volumetric heat capacity of the cladding determines the energy required to increase wall superheat, which directly changes the amount of energy remaining post-CHF. </w:t>
      </w:r>
    </w:p>
    <w:p w14:paraId="50E6E77F" w14:textId="77777777" w:rsidR="00555EAD" w:rsidRDefault="00555EAD" w:rsidP="00555EAD">
      <w:r w:rsidRPr="00160138">
        <w:t xml:space="preserve">For cases under more rapid energy deposition rates, </w:t>
      </w:r>
      <w:r>
        <w:t xml:space="preserve">the results show </w:t>
      </w:r>
      <w:r w:rsidRPr="00160138">
        <w:t>less correlat</w:t>
      </w:r>
      <w:r>
        <w:t>ion</w:t>
      </w:r>
      <w:r w:rsidRPr="00160138">
        <w:t xml:space="preserve"> with the CHF multiplier,</w:t>
      </w:r>
      <w:r>
        <w:t xml:space="preserve"> </w:t>
      </w:r>
      <w:r w:rsidRPr="00160138">
        <w:t>shifting more towards the volumetric heat capacity. This trend is consistent between both the peak cladding temperature and time of CHF occurrence PPMCCs, but with opposite signs since earlier occurrence of CHF causes higher peak cladding temperatures. With regard to the time of rewetting, the relative influence of the CHFM compared to the volumetric heat capacity stays fairly consistent while the FBM</w:t>
      </w:r>
    </w:p>
    <w:p w14:paraId="454BD7B1" w14:textId="77777777" w:rsidR="00555EAD" w:rsidRDefault="00555EAD" w:rsidP="00555EAD">
      <w:r w:rsidRPr="00160138">
        <w:t>becomes most important under rapid energy deposition transients due to its direct influence over film boiling heat transfer and since the majority of the transient is spent in the film boiling heat transfer regime.</w:t>
      </w:r>
    </w:p>
    <w:p w14:paraId="07E0A8E0" w14:textId="099E7201" w:rsidR="00D43F7F" w:rsidRDefault="00D43F7F" w:rsidP="00D43F7F"/>
    <w:p w14:paraId="4C9AEF87" w14:textId="77777777" w:rsidR="00D423EE" w:rsidRDefault="00D423EE" w:rsidP="0082204A">
      <w:pPr>
        <w:jc w:val="center"/>
      </w:pPr>
      <w:r>
        <w:rPr>
          <w:noProof/>
        </w:rPr>
        <w:lastRenderedPageBreak/>
        <w:drawing>
          <wp:inline distT="0" distB="0" distL="0" distR="0" wp14:anchorId="43371365" wp14:editId="74E9A76E">
            <wp:extent cx="4724400" cy="2832621"/>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28">
                      <a:extLst>
                        <a:ext uri="{28A0092B-C50C-407E-A947-70E740481C1C}">
                          <a14:useLocalDpi xmlns:a14="http://schemas.microsoft.com/office/drawing/2010/main" val="0"/>
                        </a:ext>
                      </a:extLst>
                    </a:blip>
                    <a:stretch>
                      <a:fillRect/>
                    </a:stretch>
                  </pic:blipFill>
                  <pic:spPr>
                    <a:xfrm>
                      <a:off x="0" y="0"/>
                      <a:ext cx="4724400" cy="2832621"/>
                    </a:xfrm>
                    <a:prstGeom prst="rect">
                      <a:avLst/>
                    </a:prstGeom>
                  </pic:spPr>
                </pic:pic>
              </a:graphicData>
            </a:graphic>
          </wp:inline>
        </w:drawing>
      </w:r>
    </w:p>
    <w:p w14:paraId="36FEC963" w14:textId="1D0394EC" w:rsidR="00D423EE" w:rsidRDefault="003E5627" w:rsidP="00874CBB">
      <w:pPr>
        <w:pStyle w:val="Caption"/>
      </w:pPr>
      <w:bookmarkStart w:id="72" w:name="_Ref160720420"/>
      <w:bookmarkStart w:id="73" w:name="_Toc202957546"/>
      <w:r w:rsidRPr="009D2AA9">
        <w:t xml:space="preserve">Figure </w:t>
      </w:r>
      <w:fldSimple w:instr=" STYLEREF 1 \s ">
        <w:r w:rsidR="00BF7E93">
          <w:rPr>
            <w:noProof/>
          </w:rPr>
          <w:t>3</w:t>
        </w:r>
      </w:fldSimple>
      <w:r w:rsidRPr="009D2AA9">
        <w:t>.</w:t>
      </w:r>
      <w:fldSimple w:instr=" SEQ Figure \* ARABIC \s 1 ">
        <w:r w:rsidR="00BF7E93">
          <w:rPr>
            <w:noProof/>
          </w:rPr>
          <w:t>11</w:t>
        </w:r>
      </w:fldSimple>
      <w:bookmarkEnd w:id="72"/>
      <w:r w:rsidRPr="009D2AA9">
        <w:t xml:space="preserve">. </w:t>
      </w:r>
      <w:r w:rsidR="009C1998">
        <w:t>PPMCCs for Each Input with Respect to Peak Cladding Heat Flux</w:t>
      </w:r>
      <w:bookmarkEnd w:id="73"/>
      <w:r w:rsidR="009C1998">
        <w:t xml:space="preserve"> </w:t>
      </w:r>
    </w:p>
    <w:p w14:paraId="2BE8FD02" w14:textId="243F0F31" w:rsidR="003E5627" w:rsidRDefault="003E5627" w:rsidP="003E5627"/>
    <w:p w14:paraId="69F6E54C" w14:textId="77777777" w:rsidR="003E5627" w:rsidRPr="003E5627" w:rsidRDefault="003E5627" w:rsidP="003E5627"/>
    <w:p w14:paraId="1EB97C6F" w14:textId="4CE760D3" w:rsidR="009D52C3" w:rsidRPr="009D52C3" w:rsidRDefault="00D423EE" w:rsidP="00806A64">
      <w:pPr>
        <w:jc w:val="center"/>
      </w:pPr>
      <w:r>
        <w:rPr>
          <w:noProof/>
        </w:rPr>
        <w:drawing>
          <wp:inline distT="0" distB="0" distL="0" distR="0" wp14:anchorId="3A0F5206" wp14:editId="587A5D69">
            <wp:extent cx="4727448" cy="2834449"/>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29">
                      <a:extLst>
                        <a:ext uri="{28A0092B-C50C-407E-A947-70E740481C1C}">
                          <a14:useLocalDpi xmlns:a14="http://schemas.microsoft.com/office/drawing/2010/main" val="0"/>
                        </a:ext>
                      </a:extLst>
                    </a:blip>
                    <a:stretch>
                      <a:fillRect/>
                    </a:stretch>
                  </pic:blipFill>
                  <pic:spPr>
                    <a:xfrm>
                      <a:off x="0" y="0"/>
                      <a:ext cx="4727448" cy="2834449"/>
                    </a:xfrm>
                    <a:prstGeom prst="rect">
                      <a:avLst/>
                    </a:prstGeom>
                  </pic:spPr>
                </pic:pic>
              </a:graphicData>
            </a:graphic>
          </wp:inline>
        </w:drawing>
      </w:r>
    </w:p>
    <w:p w14:paraId="4FAB74A9" w14:textId="6442F8F8" w:rsidR="003E5627" w:rsidRDefault="003E5627" w:rsidP="00874CBB">
      <w:pPr>
        <w:pStyle w:val="Caption"/>
      </w:pPr>
      <w:bookmarkStart w:id="74" w:name="_Toc202957547"/>
      <w:r w:rsidRPr="009D2AA9">
        <w:t xml:space="preserve">Figure </w:t>
      </w:r>
      <w:fldSimple w:instr=" STYLEREF 1 \s ">
        <w:r w:rsidR="00BF7E93">
          <w:rPr>
            <w:noProof/>
          </w:rPr>
          <w:t>3</w:t>
        </w:r>
      </w:fldSimple>
      <w:r w:rsidRPr="009D2AA9">
        <w:t>.</w:t>
      </w:r>
      <w:fldSimple w:instr=" SEQ Figure \* ARABIC \s 1 ">
        <w:r w:rsidR="00BF7E93">
          <w:rPr>
            <w:noProof/>
          </w:rPr>
          <w:t>12</w:t>
        </w:r>
      </w:fldSimple>
      <w:r w:rsidRPr="009D2AA9">
        <w:t xml:space="preserve">. </w:t>
      </w:r>
      <w:r w:rsidR="009C1998">
        <w:t>PPMCCs for Each Input with Respect to Peak Outer Surface Temperature</w:t>
      </w:r>
      <w:bookmarkEnd w:id="74"/>
    </w:p>
    <w:p w14:paraId="773E7AAF" w14:textId="398D7FB6" w:rsidR="003E5627" w:rsidRDefault="003E5627" w:rsidP="0082204A">
      <w:r>
        <w:t xml:space="preserve"> </w:t>
      </w:r>
    </w:p>
    <w:p w14:paraId="7937E566" w14:textId="77777777" w:rsidR="00D423EE" w:rsidRDefault="00D423EE" w:rsidP="0082204A">
      <w:pPr>
        <w:jc w:val="center"/>
      </w:pPr>
      <w:r>
        <w:rPr>
          <w:noProof/>
        </w:rPr>
        <w:lastRenderedPageBreak/>
        <w:drawing>
          <wp:inline distT="0" distB="0" distL="0" distR="0" wp14:anchorId="0D2932F9" wp14:editId="69124E3D">
            <wp:extent cx="4727448" cy="2834449"/>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30">
                      <a:extLst>
                        <a:ext uri="{28A0092B-C50C-407E-A947-70E740481C1C}">
                          <a14:useLocalDpi xmlns:a14="http://schemas.microsoft.com/office/drawing/2010/main" val="0"/>
                        </a:ext>
                      </a:extLst>
                    </a:blip>
                    <a:stretch>
                      <a:fillRect/>
                    </a:stretch>
                  </pic:blipFill>
                  <pic:spPr>
                    <a:xfrm>
                      <a:off x="0" y="0"/>
                      <a:ext cx="4727448" cy="2834449"/>
                    </a:xfrm>
                    <a:prstGeom prst="rect">
                      <a:avLst/>
                    </a:prstGeom>
                  </pic:spPr>
                </pic:pic>
              </a:graphicData>
            </a:graphic>
          </wp:inline>
        </w:drawing>
      </w:r>
    </w:p>
    <w:p w14:paraId="6F5E5361" w14:textId="7BD7D0A7" w:rsidR="00D423EE" w:rsidRDefault="003E5627" w:rsidP="00874CBB">
      <w:pPr>
        <w:pStyle w:val="Caption"/>
      </w:pPr>
      <w:bookmarkStart w:id="75" w:name="_Toc202957548"/>
      <w:r w:rsidRPr="009D2AA9">
        <w:t xml:space="preserve">Figure </w:t>
      </w:r>
      <w:fldSimple w:instr=" STYLEREF 1 \s ">
        <w:r w:rsidR="00BF7E93">
          <w:rPr>
            <w:noProof/>
          </w:rPr>
          <w:t>3</w:t>
        </w:r>
      </w:fldSimple>
      <w:r w:rsidRPr="009D2AA9">
        <w:t>.</w:t>
      </w:r>
      <w:fldSimple w:instr=" SEQ Figure \* ARABIC \s 1 ">
        <w:r w:rsidR="00BF7E93">
          <w:rPr>
            <w:noProof/>
          </w:rPr>
          <w:t>13</w:t>
        </w:r>
      </w:fldSimple>
      <w:r w:rsidRPr="009D2AA9">
        <w:t xml:space="preserve">. </w:t>
      </w:r>
      <w:r w:rsidR="009C1998">
        <w:t>PPMCCs for Each Input with Respect to Time of CHF Occurrence</w:t>
      </w:r>
      <w:bookmarkEnd w:id="75"/>
    </w:p>
    <w:p w14:paraId="6ABB2BFD" w14:textId="299386A4" w:rsidR="003E5627" w:rsidRDefault="003E5627" w:rsidP="003E5627"/>
    <w:p w14:paraId="4AAB80F3" w14:textId="77777777" w:rsidR="0082204A" w:rsidRPr="003E5627" w:rsidRDefault="0082204A" w:rsidP="003E5627"/>
    <w:p w14:paraId="10B19F5C" w14:textId="77777777" w:rsidR="00D423EE" w:rsidRDefault="00D423EE" w:rsidP="0082204A">
      <w:pPr>
        <w:jc w:val="center"/>
      </w:pPr>
      <w:r>
        <w:rPr>
          <w:noProof/>
        </w:rPr>
        <w:drawing>
          <wp:inline distT="0" distB="0" distL="0" distR="0" wp14:anchorId="794BD63F" wp14:editId="75B92186">
            <wp:extent cx="4727448" cy="2834449"/>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31">
                      <a:extLst>
                        <a:ext uri="{28A0092B-C50C-407E-A947-70E740481C1C}">
                          <a14:useLocalDpi xmlns:a14="http://schemas.microsoft.com/office/drawing/2010/main" val="0"/>
                        </a:ext>
                      </a:extLst>
                    </a:blip>
                    <a:stretch>
                      <a:fillRect/>
                    </a:stretch>
                  </pic:blipFill>
                  <pic:spPr>
                    <a:xfrm>
                      <a:off x="0" y="0"/>
                      <a:ext cx="4727448" cy="2834449"/>
                    </a:xfrm>
                    <a:prstGeom prst="rect">
                      <a:avLst/>
                    </a:prstGeom>
                  </pic:spPr>
                </pic:pic>
              </a:graphicData>
            </a:graphic>
          </wp:inline>
        </w:drawing>
      </w:r>
    </w:p>
    <w:p w14:paraId="162E4787" w14:textId="1EB83125" w:rsidR="003E5627" w:rsidRDefault="003E5627" w:rsidP="00874CBB">
      <w:pPr>
        <w:pStyle w:val="Caption"/>
      </w:pPr>
      <w:bookmarkStart w:id="76" w:name="_Ref160720479"/>
      <w:bookmarkStart w:id="77" w:name="_Toc202957549"/>
      <w:r w:rsidRPr="009D2AA9">
        <w:t xml:space="preserve">Figure </w:t>
      </w:r>
      <w:fldSimple w:instr=" STYLEREF 1 \s ">
        <w:r w:rsidR="00BF7E93">
          <w:rPr>
            <w:noProof/>
          </w:rPr>
          <w:t>3</w:t>
        </w:r>
      </w:fldSimple>
      <w:r w:rsidRPr="009D2AA9">
        <w:t>.</w:t>
      </w:r>
      <w:fldSimple w:instr=" SEQ Figure \* ARABIC \s 1 ">
        <w:r w:rsidR="00BF7E93">
          <w:rPr>
            <w:noProof/>
          </w:rPr>
          <w:t>14</w:t>
        </w:r>
      </w:fldSimple>
      <w:bookmarkEnd w:id="76"/>
      <w:r w:rsidRPr="009D2AA9">
        <w:t xml:space="preserve">. </w:t>
      </w:r>
      <w:r w:rsidR="009C1998">
        <w:t>PPMCCs for Each Input with Respect to Time of Cladding Rewetting</w:t>
      </w:r>
      <w:bookmarkEnd w:id="77"/>
    </w:p>
    <w:p w14:paraId="28BBEDB5" w14:textId="5A47F928" w:rsidR="00D423EE" w:rsidRDefault="00D423EE" w:rsidP="0082204A">
      <w:r>
        <w:br w:type="page"/>
      </w:r>
    </w:p>
    <w:p w14:paraId="55A913B1" w14:textId="0F01044B" w:rsidR="00555EAD" w:rsidRPr="00637CAA" w:rsidRDefault="00637CAA" w:rsidP="00F22A75">
      <w:r w:rsidRPr="00160138">
        <w:lastRenderedPageBreak/>
        <w:t xml:space="preserve">This suggests that with increasingly fast energy deposition rates, and correspondingly smaller exponential periods, </w:t>
      </w:r>
      <w:r>
        <w:t>the influence of the heat capacity is greater than the transient heating effects on CHF occurrence</w:t>
      </w:r>
      <w:r w:rsidRPr="00160138">
        <w:t xml:space="preserve">. However, since the exponential periods of our proposed experimental tests, with a minimum timescale of 55ms, are relatively slow compared to reported RIA cases for LWRs, with a minimum full width at half maximum (FWHM) of ~25ms, the transients fall into a relatively linear portion of the implemented transient CHF multiplier prior to the exponential region which approaches the 1-10 </w:t>
      </w:r>
      <w:r w:rsidRPr="002907B5">
        <w:t>ms timescale as shown in</w:t>
      </w:r>
      <w:r w:rsidR="00AB151D" w:rsidRPr="002907B5">
        <w:t xml:space="preserve"> </w:t>
      </w:r>
      <w:r w:rsidR="00AB151D" w:rsidRPr="00377123">
        <w:rPr>
          <w:b/>
          <w:bCs/>
        </w:rPr>
        <w:fldChar w:fldCharType="begin"/>
      </w:r>
      <w:r w:rsidR="00AB151D" w:rsidRPr="00377123">
        <w:rPr>
          <w:b/>
          <w:bCs/>
        </w:rPr>
        <w:instrText xml:space="preserve"> REF _Ref197944559 \h </w:instrText>
      </w:r>
      <w:r w:rsidR="002907B5" w:rsidRPr="00377123">
        <w:rPr>
          <w:b/>
          <w:bCs/>
        </w:rPr>
        <w:instrText xml:space="preserve"> \* MERGEFORMAT </w:instrText>
      </w:r>
      <w:r w:rsidR="00AB151D" w:rsidRPr="00377123">
        <w:rPr>
          <w:b/>
          <w:bCs/>
        </w:rPr>
      </w:r>
      <w:r w:rsidR="00AB151D" w:rsidRPr="00377123">
        <w:rPr>
          <w:b/>
          <w:bCs/>
        </w:rPr>
        <w:fldChar w:fldCharType="separate"/>
      </w:r>
      <w:r w:rsidR="00BF7E93" w:rsidRPr="00BF7E93">
        <w:rPr>
          <w:b/>
          <w:bCs/>
        </w:rPr>
        <w:t>Figure 3.15</w:t>
      </w:r>
      <w:r w:rsidR="00AB151D" w:rsidRPr="00377123">
        <w:rPr>
          <w:b/>
          <w:bCs/>
        </w:rPr>
        <w:fldChar w:fldCharType="end"/>
      </w:r>
      <w:r w:rsidRPr="002907B5">
        <w:t xml:space="preserve">. </w:t>
      </w:r>
      <w:r w:rsidRPr="00160138">
        <w:t xml:space="preserve">With larger CHFM values, the CHFM could have a higher PPMCC value, but these pulse timescales currently fall outside the performance </w:t>
      </w:r>
      <w:r w:rsidR="00555EAD" w:rsidRPr="00160138">
        <w:t>capabilities of the current TRTL system.</w:t>
      </w:r>
      <w:r w:rsidR="00555EAD">
        <w:t xml:space="preserve"> Overall, the parameters of highest importance from this analysis are the CHFM, FBM and volumetric heat capacity.</w:t>
      </w:r>
    </w:p>
    <w:p w14:paraId="52655C92" w14:textId="77777777" w:rsidR="00555EAD" w:rsidRPr="00CB09EA" w:rsidRDefault="00555EAD" w:rsidP="00F22A75">
      <w:pPr>
        <w:pStyle w:val="Heading2"/>
      </w:pPr>
      <w:bookmarkStart w:id="78" w:name="_Toc202957458"/>
      <w:r>
        <w:t>The TREAT Facility (INL)</w:t>
      </w:r>
      <w:bookmarkEnd w:id="78"/>
    </w:p>
    <w:p w14:paraId="159D1CC4" w14:textId="77777777" w:rsidR="00555EAD" w:rsidRPr="00CB09EA" w:rsidRDefault="00555EAD" w:rsidP="00F22A75">
      <w:pPr>
        <w:pStyle w:val="Heading3"/>
        <w:spacing w:before="0" w:after="0"/>
      </w:pPr>
      <w:bookmarkStart w:id="79" w:name="_Toc202957459"/>
      <w:r w:rsidRPr="00CB09EA">
        <w:t xml:space="preserve">Background and </w:t>
      </w:r>
      <w:r>
        <w:t>Capabilities</w:t>
      </w:r>
      <w:bookmarkEnd w:id="79"/>
    </w:p>
    <w:p w14:paraId="476548DE" w14:textId="77777777" w:rsidR="00555EAD" w:rsidRDefault="00555EAD" w:rsidP="00F22A75">
      <w:r>
        <w:t xml:space="preserve">TREAT is an air-cooled, graphite moderated reactor at INL capable of fast-transient integral effects tests </w:t>
      </w:r>
      <w:r>
        <w:fldChar w:fldCharType="begin"/>
      </w:r>
      <w:r>
        <w:instrText xml:space="preserve"> ADDIN EN.CITE &lt;EndNote&gt;&lt;Cite&gt;&lt;Author&gt;Bess&lt;/Author&gt;&lt;Year&gt;2019&lt;/Year&gt;&lt;RecNum&gt;443&lt;/RecNum&gt;&lt;DisplayText&gt;[113]&lt;/DisplayText&gt;&lt;record&gt;&lt;rec-number&gt;443&lt;/rec-number&gt;&lt;foreign-keys&gt;&lt;key app="EN" db-id="eseee05sfe5vt6efvr0xapvq20vfdsfp5fvf" timestamp="1711315330"&gt;443&lt;/key&gt;&lt;/foreign-keys&gt;&lt;ref-type name="Journal Article"&gt;17&lt;/ref-type&gt;&lt;contributors&gt;&lt;authors&gt;&lt;author&gt;Bess, John D.&lt;/author&gt;&lt;author&gt;Woolstenhulme, Nicolas E.&lt;/author&gt;&lt;author&gt;Jensen, Colby B.&lt;/author&gt;&lt;author&gt;Parry, James R.&lt;/author&gt;&lt;author&gt;Hill, Connie M.&lt;/author&gt;&lt;/authors&gt;&lt;/contributors&gt;&lt;titles&gt;&lt;title&gt;Nuclear characterization of a general-purpose instrumentation and materials testing location in TREAT&lt;/title&gt;&lt;secondary-title&gt;Annals of Nuclear Energy&lt;/secondary-title&gt;&lt;/titles&gt;&lt;periodical&gt;&lt;full-title&gt;Annals of Nuclear Energy&lt;/full-title&gt;&lt;/periodical&gt;&lt;pages&gt;270-294&lt;/pages&gt;&lt;volume&gt;124&lt;/volume&gt;&lt;keywords&gt;&lt;keyword&gt;In-pile instrumentation&lt;/keyword&gt;&lt;keyword&gt;Irradiation environment&lt;/keyword&gt;&lt;keyword&gt;MCNP&lt;/keyword&gt;&lt;keyword&gt;Nuclear testing&lt;/keyword&gt;&lt;keyword&gt;Reactor characterization&lt;/keyword&gt;&lt;keyword&gt;Transient testing&lt;/keyword&gt;&lt;/keywords&gt;&lt;dates&gt;&lt;year&gt;2019&lt;/year&gt;&lt;pub-dates&gt;&lt;date&gt;2019/02/01/&lt;/date&gt;&lt;/pub-dates&gt;&lt;/dates&gt;&lt;isbn&gt;0306-4549&lt;/isbn&gt;&lt;urls&gt;&lt;related-urls&gt;&lt;url&gt;https://www.sciencedirect.com/science/article/pii/S0306454918305371&lt;/url&gt;&lt;/related-urls&gt;&lt;/urls&gt;&lt;electronic-resource-num&gt;https://doi.org/10.1016/j.anucene.2018.10.011&lt;/electronic-resource-num&gt;&lt;/record&gt;&lt;/Cite&gt;&lt;/EndNote&gt;</w:instrText>
      </w:r>
      <w:r>
        <w:fldChar w:fldCharType="separate"/>
      </w:r>
      <w:r>
        <w:rPr>
          <w:noProof/>
        </w:rPr>
        <w:t>[113]</w:t>
      </w:r>
      <w:r>
        <w:fldChar w:fldCharType="end"/>
      </w:r>
      <w:r>
        <w:t xml:space="preserve">. Treat was initially constructed in the 1950s, and operated until 1994 </w:t>
      </w:r>
      <w:r>
        <w:fldChar w:fldCharType="begin">
          <w:fldData xml:space="preserve">PEVuZE5vdGU+PENpdGU+PEF1dGhvcj5Qb3BlPC9BdXRob3I+PFllYXI+MjAxOTwvWWVhcj48UmVj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</w:fldData>
        </w:fldChar>
      </w:r>
      <w:r>
        <w:instrText xml:space="preserve"> ADDIN EN.CITE </w:instrText>
      </w:r>
      <w:r>
        <w:fldChar w:fldCharType="begin">
          <w:fldData xml:space="preserve">PEVuZE5vdGU+PENpdGU+PEF1dGhvcj5Qb3BlPC9BdXRob3I+PFllYXI+MjAxOTwvWWVhcj48UmVj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</w:fldData>
        </w:fldChar>
      </w:r>
      <w:r>
        <w:instrText xml:space="preserve"> ADDIN EN.CITE.DATA </w:instrText>
      </w:r>
      <w:r>
        <w:fldChar w:fldCharType="end"/>
      </w:r>
      <w:r>
        <w:fldChar w:fldCharType="separate"/>
      </w:r>
      <w:r>
        <w:rPr>
          <w:noProof/>
        </w:rPr>
        <w:t>[113, 114]</w:t>
      </w:r>
      <w:r>
        <w:fldChar w:fldCharType="end"/>
      </w:r>
      <w:r>
        <w:t>. The reactor was restarted in 2017 to help support the need for new</w:t>
      </w:r>
    </w:p>
    <w:p w14:paraId="13A9594C" w14:textId="1747F492" w:rsidR="00555EAD" w:rsidRDefault="00555EAD" w:rsidP="00F22A75">
      <w:r>
        <w:t xml:space="preserve">nuclear data for nuclear fuel development </w:t>
      </w:r>
      <w:r>
        <w:fldChar w:fldCharType="begin"/>
      </w:r>
      <w:r>
        <w:instrText xml:space="preserve"> ADDIN EN.CITE &lt;EndNote&gt;&lt;Cite&gt;&lt;Author&gt;Pope&lt;/Author&gt;&lt;Year&gt;2019&lt;/Year&gt;&lt;RecNum&gt;576&lt;/RecNum&gt;&lt;DisplayText&gt;[114]&lt;/DisplayText&gt;&lt;record&gt;&lt;rec-number&gt;576&lt;/rec-number&gt;&lt;foreign-keys&gt;&lt;key app="EN" db-id="eseee05sfe5vt6efvr0xapvq20vfdsfp5fvf" timestamp="1747331467"&gt;576&lt;/key&gt;&lt;/foreign-keys&gt;&lt;ref-type name="Journal Article"&gt;17&lt;/ref-type&gt;&lt;contributors&gt;&lt;authors&gt;&lt;author&gt;Pope, Chad L.&lt;/author&gt;&lt;author&gt;Jensen Colby B.&lt;/author&gt;&lt;author&gt;Gerstner Douglas M.&lt;/author&gt;&lt;author&gt;and Parry, James R.&lt;/author&gt;&lt;/authors&gt;&lt;/contributors&gt;&lt;titles&gt;&lt;title&gt;Transient Reactor Test (TREAT) Facility Design and Experiment Capability&lt;/title&gt;&lt;secondary-title&gt;Nuclear Technology&lt;/secondary-title&gt;&lt;/titles&gt;&lt;periodical&gt;&lt;full-title&gt;Nuclear Technology&lt;/full-title&gt;&lt;/periodical&gt;&lt;pages&gt;1378-1386&lt;/pages&gt;&lt;volume&gt;205&lt;/volume&gt;&lt;number&gt;10&lt;/number&gt;&lt;dates&gt;&lt;year&gt;2019&lt;/year&gt;&lt;pub-dates&gt;&lt;date&gt;2019/10/03&lt;/date&gt;&lt;/pub-dates&gt;&lt;/dates&gt;&lt;publisher&gt;Taylor &amp;amp; Francis&lt;/publisher&gt;&lt;isbn&gt;0029-5450&lt;/isbn&gt;&lt;urls&gt;&lt;related-urls&gt;&lt;url&gt;https://doi.org/10.1080/00295450.2019.1599615&lt;/url&gt;&lt;/related-urls&gt;&lt;/urls&gt;&lt;electronic-resource-num&gt;10.1080/00295450.2019.1599615&lt;/electronic-resource-num&gt;&lt;/record&gt;&lt;/Cite&gt;&lt;/EndNote&gt;</w:instrText>
      </w:r>
      <w:r>
        <w:fldChar w:fldCharType="separate"/>
      </w:r>
      <w:r>
        <w:rPr>
          <w:noProof/>
        </w:rPr>
        <w:t>[114]</w:t>
      </w:r>
      <w:r>
        <w:fldChar w:fldCharType="end"/>
      </w:r>
      <w:r>
        <w:t xml:space="preserve">. The reactor is fueled with high enriched uranium dispersed through graphite moderator blocks and encased in a zirconium alloy to prevent fission product release </w:t>
      </w:r>
      <w:r>
        <w:fldChar w:fldCharType="begin"/>
      </w:r>
      <w:r>
        <w:instrText xml:space="preserve"> ADDIN EN.CITE &lt;EndNote&gt;&lt;Cite&gt;&lt;Author&gt;Pope&lt;/Author&gt;&lt;Year&gt;2019&lt;/Year&gt;&lt;RecNum&gt;576&lt;/RecNum&gt;&lt;DisplayText&gt;[114]&lt;/DisplayText&gt;&lt;record&gt;&lt;rec-number&gt;576&lt;/rec-number&gt;&lt;foreign-keys&gt;&lt;key app="EN" db-id="eseee05sfe5vt6efvr0xapvq20vfdsfp5fvf" timestamp="1747331467"&gt;576&lt;/key&gt;&lt;/foreign-keys&gt;&lt;ref-type name="Journal Article"&gt;17&lt;/ref-type&gt;&lt;contributors&gt;&lt;authors&gt;&lt;author&gt;Pope, Chad L.&lt;/author&gt;&lt;author&gt;Jensen Colby B.&lt;/author&gt;&lt;author&gt;Gerstner Douglas M.&lt;/author&gt;&lt;author&gt;and Parry, James R.&lt;/author&gt;&lt;/authors&gt;&lt;/contributors&gt;&lt;titles&gt;&lt;title&gt;Transient Reactor Test (TREAT) Facility Design and Experiment Capability&lt;/title&gt;&lt;secondary-title&gt;Nuclear Technology&lt;/secondary-title&gt;&lt;/titles&gt;&lt;periodical&gt;&lt;full-title&gt;Nuclear Technology&lt;/full-title&gt;&lt;/periodical&gt;&lt;pages&gt;1378-1386&lt;/pages&gt;&lt;volume&gt;205&lt;/volume&gt;&lt;number&gt;10&lt;/number&gt;&lt;dates&gt;&lt;year&gt;2019&lt;/year&gt;&lt;pub-dates&gt;&lt;date&gt;2019/10/03&lt;/date&gt;&lt;/pub-dates&gt;&lt;/dates&gt;&lt;publisher&gt;Taylor &amp;amp; Francis&lt;/publisher&gt;&lt;isbn&gt;0029-5450&lt;/isbn&gt;&lt;urls&gt;&lt;related-urls&gt;&lt;url&gt;https://doi.org/10.1080/00295450.2019.1599615&lt;/url&gt;&lt;/related-urls&gt;&lt;/urls&gt;&lt;electronic-resource-num&gt;10.1080/00295450.2019.1599615&lt;/electronic-resource-num&gt;&lt;/record&gt;&lt;/Cite&gt;&lt;/EndNote&gt;</w:instrText>
      </w:r>
      <w:r>
        <w:fldChar w:fldCharType="separate"/>
      </w:r>
      <w:r>
        <w:rPr>
          <w:noProof/>
        </w:rPr>
        <w:t>[114]</w:t>
      </w:r>
      <w:r>
        <w:fldChar w:fldCharType="end"/>
      </w:r>
      <w:r>
        <w:t xml:space="preserve">. TREAT specializes in power pulse transients representative of a reactivity initiated accident, a design basis accident in LWRs, by leveraging fast-acting control rods and the strong thermal feedback effects of the graphite </w:t>
      </w:r>
    </w:p>
    <w:p w14:paraId="4066E6FF" w14:textId="62D37A9F" w:rsidR="00D43F7F" w:rsidRDefault="00D43F7F" w:rsidP="00D43F7F"/>
    <w:p w14:paraId="132070EF" w14:textId="77777777" w:rsidR="00C710AD" w:rsidRDefault="00F75A76" w:rsidP="00D303B3">
      <w:pPr>
        <w:jc w:val="center"/>
      </w:pPr>
      <w:r>
        <w:rPr>
          <w:noProof/>
        </w:rPr>
        <w:drawing>
          <wp:inline distT="0" distB="0" distL="0" distR="0" wp14:anchorId="736D4CA0" wp14:editId="329B8199">
            <wp:extent cx="4823012" cy="3858817"/>
            <wp:effectExtent l="0" t="0" r="3175" b="254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rotWithShape="1">
                    <a:blip r:embed="rId32" cstate="print">
                      <a:extLst>
                        <a:ext uri="{28A0092B-C50C-407E-A947-70E740481C1C}">
                          <a14:useLocalDpi xmlns:a14="http://schemas.microsoft.com/office/drawing/2010/main" val="0"/>
                        </a:ext>
                      </a:extLst>
                    </a:blip>
                    <a:srcRect l="5942" t="7075" r="6949"/>
                    <a:stretch/>
                  </pic:blipFill>
                  <pic:spPr bwMode="auto">
                    <a:xfrm>
                      <a:off x="0" y="0"/>
                      <a:ext cx="4836483" cy="3869595"/>
                    </a:xfrm>
                    <a:prstGeom prst="rect">
                      <a:avLst/>
                    </a:prstGeom>
                    <a:ln>
                      <a:noFill/>
                    </a:ln>
                    <a:extLst>
                      <a:ext uri="{53640926-AAD7-44D8-BBD7-CCE9431645EC}">
                        <a14:shadowObscured xmlns:a14="http://schemas.microsoft.com/office/drawing/2010/main"/>
                      </a:ext>
                    </a:extLst>
                  </pic:spPr>
                </pic:pic>
              </a:graphicData>
            </a:graphic>
          </wp:inline>
        </w:drawing>
      </w:r>
    </w:p>
    <w:p w14:paraId="5E993426" w14:textId="05331C3B" w:rsidR="00C710AD" w:rsidRDefault="00C710AD" w:rsidP="00874CBB">
      <w:pPr>
        <w:pStyle w:val="Caption"/>
      </w:pPr>
      <w:bookmarkStart w:id="80" w:name="_Ref197944559"/>
      <w:bookmarkStart w:id="81" w:name="_Toc202957550"/>
      <w:r w:rsidRPr="009D2AA9">
        <w:t xml:space="preserve">Figure </w:t>
      </w:r>
      <w:fldSimple w:instr=" STYLEREF 1 \s ">
        <w:r w:rsidR="00BF7E93">
          <w:rPr>
            <w:noProof/>
          </w:rPr>
          <w:t>3</w:t>
        </w:r>
      </w:fldSimple>
      <w:r w:rsidRPr="009D2AA9">
        <w:t>.</w:t>
      </w:r>
      <w:fldSimple w:instr=" SEQ Figure \* ARABIC \s 1 ">
        <w:r w:rsidR="00BF7E93">
          <w:rPr>
            <w:noProof/>
          </w:rPr>
          <w:t>15</w:t>
        </w:r>
      </w:fldSimple>
      <w:bookmarkEnd w:id="80"/>
      <w:r w:rsidRPr="009D2AA9">
        <w:t xml:space="preserve">. </w:t>
      </w:r>
      <w:r>
        <w:t xml:space="preserve">CHF Multiplier vs Exponential Period Using the Empirical Model Fit By Hata et al. </w:t>
      </w:r>
      <w:r>
        <w:fldChar w:fldCharType="begin"/>
      </w:r>
      <w:r w:rsidR="003026BC">
        <w:instrText xml:space="preserve"> ADDIN EN.CITE &lt;EndNote&gt;&lt;Cite&gt;&lt;Author&gt;Hata&lt;/Author&gt;&lt;Year&gt;2008&lt;/Year&gt;&lt;RecNum&gt;221&lt;/RecNum&gt;&lt;DisplayText&gt;[66]&lt;/DisplayText&gt;&lt;record&gt;&lt;rec-number&gt;221&lt;/rec-number&gt;&lt;foreign-keys&gt;&lt;key app="EN" db-id="eseee05sfe5vt6efvr0xapvq20vfdsfp5fvf" timestamp="1671681963" guid="3d7f5ddc-57f2-4615-ae9e-6350f2cbb823"&gt;221&lt;/key&gt;&lt;/foreign-keys&gt;&lt;ref-type name="Journal Article"&gt;17&lt;/ref-type&gt;&lt;contributors&gt;&lt;authors&gt;&lt;author&gt;Hata, Koichi&lt;/author&gt;&lt;author&gt;Noda, Nobuaki&lt;/author&gt;&lt;/authors&gt;&lt;/contributors&gt;&lt;titles&gt;&lt;title&gt;Transient Critical Heat Fluxes of Subcooled Water Flow Boiling in a Short Vertical Tube Caused by Exponentially Increasing Heat Inputs&lt;/title&gt;&lt;secondary-title&gt;Journal of Heat Transfer&lt;/secondary-title&gt;&lt;/titles&gt;&lt;periodical&gt;&lt;full-title&gt;Journal of Heat Transfer&lt;/full-title&gt;&lt;/periodical&gt;&lt;volume&gt;130&lt;/volume&gt;&lt;number&gt;5&lt;/number&gt;&lt;dates&gt;&lt;year&gt;2008&lt;/year&gt;&lt;/dates&gt;&lt;isbn&gt;0022-1481&lt;/isbn&gt;&lt;urls&gt;&lt;related-urls&gt;&lt;url&gt;https://doi.org/10.1115/1.2887850&lt;/url&gt;&lt;/related-urls&gt;&lt;/urls&gt;&lt;electronic-resource-num&gt;https://doi.org/10.1115/1.2887850&lt;/electronic-resource-num&gt;&lt;access-date&gt;12/22/2022&lt;/access-date&gt;&lt;/record&gt;&lt;/Cite&gt;&lt;/EndNote&gt;</w:instrText>
      </w:r>
      <w:r>
        <w:fldChar w:fldCharType="separate"/>
      </w:r>
      <w:r w:rsidR="003026BC">
        <w:rPr>
          <w:noProof/>
        </w:rPr>
        <w:t>[66]</w:t>
      </w:r>
      <w:r>
        <w:fldChar w:fldCharType="end"/>
      </w:r>
      <w:r>
        <w:t xml:space="preserve"> With Inlaid Graph of Experimental Test Matrix Periods.</w:t>
      </w:r>
      <w:bookmarkEnd w:id="81"/>
    </w:p>
    <w:p w14:paraId="21A41795" w14:textId="46ED27E6" w:rsidR="00F75A76" w:rsidRDefault="00F75A76" w:rsidP="00D303B3">
      <w:pPr>
        <w:jc w:val="center"/>
      </w:pPr>
      <w:r>
        <w:br w:type="page"/>
      </w:r>
    </w:p>
    <w:p w14:paraId="61F22364" w14:textId="1119C8C9" w:rsidR="00440655" w:rsidRPr="00440655" w:rsidRDefault="00555EAD" w:rsidP="00F22A75">
      <w:r>
        <w:lastRenderedPageBreak/>
        <w:t xml:space="preserve">moderator which drive down reactivity at high temperatures </w:t>
      </w:r>
      <w:r>
        <w:fldChar w:fldCharType="begin"/>
      </w:r>
      <w:r>
        <w:instrText xml:space="preserve"> ADDIN EN.CITE &lt;EndNote&gt;&lt;Cite&gt;&lt;Author&gt;Bess&lt;/Author&gt;&lt;Year&gt;2019&lt;/Year&gt;&lt;RecNum&gt;443&lt;/RecNum&gt;&lt;DisplayText&gt;[113]&lt;/DisplayText&gt;&lt;record&gt;&lt;rec-number&gt;443&lt;/rec-number&gt;&lt;foreign-keys&gt;&lt;key app="EN" db-id="eseee05sfe5vt6efvr0xapvq20vfdsfp5fvf" timestamp="1711315330"&gt;443&lt;/key&gt;&lt;/foreign-keys&gt;&lt;ref-type name="Journal Article"&gt;17&lt;/ref-type&gt;&lt;contributors&gt;&lt;authors&gt;&lt;author&gt;Bess, John D.&lt;/author&gt;&lt;author&gt;Woolstenhulme, Nicolas E.&lt;/author&gt;&lt;author&gt;Jensen, Colby B.&lt;/author&gt;&lt;author&gt;Parry, James R.&lt;/author&gt;&lt;author&gt;Hill, Connie M.&lt;/author&gt;&lt;/authors&gt;&lt;/contributors&gt;&lt;titles&gt;&lt;title&gt;Nuclear characterization of a general-purpose instrumentation and materials testing location in TREAT&lt;/title&gt;&lt;secondary-title&gt;Annals of Nuclear Energy&lt;/secondary-title&gt;&lt;/titles&gt;&lt;periodical&gt;&lt;full-title&gt;Annals of Nuclear Energy&lt;/full-title&gt;&lt;/periodical&gt;&lt;pages&gt;270-294&lt;/pages&gt;&lt;volume&gt;124&lt;/volume&gt;&lt;keywords&gt;&lt;keyword&gt;In-pile instrumentation&lt;/keyword&gt;&lt;keyword&gt;Irradiation environment&lt;/keyword&gt;&lt;keyword&gt;MCNP&lt;/keyword&gt;&lt;keyword&gt;Nuclear testing&lt;/keyword&gt;&lt;keyword&gt;Reactor characterization&lt;/keyword&gt;&lt;keyword&gt;Transient testing&lt;/keyword&gt;&lt;/keywords&gt;&lt;dates&gt;&lt;year&gt;2019&lt;/year&gt;&lt;pub-dates&gt;&lt;date&gt;2019/02/01/&lt;/date&gt;&lt;/pub-dates&gt;&lt;/dates&gt;&lt;isbn&gt;0306-4549&lt;/isbn&gt;&lt;urls&gt;&lt;related-urls&gt;&lt;url&gt;https://www.sciencedirect.com/science/article/pii/S0306454918305371&lt;/url&gt;&lt;/related-urls&gt;&lt;/urls&gt;&lt;electronic-resource-num&gt;https://doi.org/10.1016/j.anucene.2018.10.011&lt;/electronic-resource-num&gt;&lt;/record&gt;&lt;/Cite&gt;&lt;/EndNote&gt;</w:instrText>
      </w:r>
      <w:r>
        <w:fldChar w:fldCharType="separate"/>
      </w:r>
      <w:r>
        <w:rPr>
          <w:noProof/>
        </w:rPr>
        <w:t>[113]</w:t>
      </w:r>
      <w:r>
        <w:fldChar w:fldCharType="end"/>
      </w:r>
      <w:r>
        <w:t xml:space="preserve">. With the capability to operate under steady-state conditions of 120 kWt, and flexible operation modes, the TREAT reactor can also provide various power histories for experiments </w:t>
      </w:r>
      <w:r>
        <w:fldChar w:fldCharType="begin"/>
      </w:r>
      <w:r>
        <w:instrText xml:space="preserve"> ADDIN EN.CITE &lt;EndNote&gt;&lt;Cite&gt;&lt;Author&gt;Bess&lt;/Author&gt;&lt;Year&gt;2019&lt;/Year&gt;&lt;RecNum&gt;443&lt;/RecNum&gt;&lt;DisplayText&gt;[113]&lt;/DisplayText&gt;&lt;record&gt;&lt;rec-number&gt;443&lt;/rec-number&gt;&lt;foreign-keys&gt;&lt;key app="EN" db-id="eseee05sfe5vt6efvr0xapvq20vfdsfp5fvf" timestamp="1711315330"&gt;443&lt;/key&gt;&lt;/foreign-keys&gt;&lt;ref-type name="Journal Article"&gt;17&lt;/ref-type&gt;&lt;contributors&gt;&lt;authors&gt;&lt;author&gt;Bess, John D.&lt;/author&gt;&lt;author&gt;Woolstenhulme, Nicolas E.&lt;/author&gt;&lt;author&gt;Jensen, Colby B.&lt;/author&gt;&lt;author&gt;Parry, James R.&lt;/author&gt;&lt;author&gt;Hill, Connie M.&lt;/author&gt;&lt;/authors&gt;&lt;/contributors&gt;&lt;titles&gt;&lt;title&gt;Nuclear characterization of a general-purpose instrumentation and materials testing location in TREAT&lt;/title&gt;&lt;secondary-title&gt;Annals of Nuclear Energy&lt;/secondary-title&gt;&lt;/titles&gt;&lt;periodical&gt;&lt;full-title&gt;Annals of Nuclear Energy&lt;/full-title&gt;&lt;/periodical&gt;&lt;pages&gt;270-294&lt;/pages&gt;&lt;volume&gt;124&lt;/volume&gt;&lt;keywords&gt;&lt;keyword&gt;In-pile instrumentation&lt;/keyword&gt;&lt;keyword&gt;Irradiation environment&lt;/keyword&gt;&lt;keyword&gt;MCNP&lt;/keyword&gt;&lt;keyword&gt;Nuclear testing&lt;/keyword&gt;&lt;keyword&gt;Reactor characterization&lt;/keyword&gt;&lt;keyword&gt;Transient testing&lt;/keyword&gt;&lt;/keywords&gt;&lt;dates&gt;&lt;year&gt;2019&lt;/year&gt;&lt;pub-dates&gt;&lt;date&gt;2019/02/01/&lt;/date&gt;&lt;/pub-dates&gt;&lt;/dates&gt;&lt;isbn&gt;0306-4549&lt;/isbn&gt;&lt;urls&gt;&lt;related-urls&gt;&lt;url&gt;https://www.sciencedirect.com/science/article/pii/S0306454918305371&lt;/url&gt;&lt;/related-urls&gt;&lt;/urls&gt;&lt;electronic-resource-num&gt;https://doi.org/10.1016/j.anucene.2018.10.011&lt;/electronic-resource-num&gt;&lt;/record&gt;&lt;/Cite&gt;&lt;/EndNote&gt;</w:instrText>
      </w:r>
      <w:r>
        <w:fldChar w:fldCharType="separate"/>
      </w:r>
      <w:r>
        <w:rPr>
          <w:noProof/>
        </w:rPr>
        <w:t>[113]</w:t>
      </w:r>
      <w:r>
        <w:fldChar w:fldCharType="end"/>
      </w:r>
      <w:r>
        <w:t>.</w:t>
      </w:r>
      <w:r w:rsidR="00274F73">
        <w:t xml:space="preserve"> </w:t>
      </w:r>
      <w:r w:rsidR="00485020">
        <w:t xml:space="preserve">Irradiation experiments within the TREAT reactor are typically self-contained and instrumented capsules, facilitated by the lack of a coolant system pressure boundary </w:t>
      </w:r>
      <w:r w:rsidR="00485020">
        <w:fldChar w:fldCharType="begin">
          <w:fldData xml:space="preserve">PEVuZE5vdGU+PENpdGU+PEF1dGhvcj5CZXNzPC9BdXRob3I+PFllYXI+MjAxOTwvWWVhcj48UmVj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</w:fldData>
        </w:fldChar>
      </w:r>
      <w:r w:rsidR="003026BC">
        <w:instrText xml:space="preserve"> ADDIN EN.CITE </w:instrText>
      </w:r>
      <w:r w:rsidR="003026BC">
        <w:fldChar w:fldCharType="begin">
          <w:fldData xml:space="preserve">PEVuZE5vdGU+PENpdGU+PEF1dGhvcj5CZXNzPC9BdXRob3I+PFllYXI+MjAxOTwvWWVhcj48UmVj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</w:fldData>
        </w:fldChar>
      </w:r>
      <w:r w:rsidR="003026BC">
        <w:instrText xml:space="preserve"> ADDIN EN.CITE.DATA </w:instrText>
      </w:r>
      <w:r w:rsidR="003026BC">
        <w:fldChar w:fldCharType="end"/>
      </w:r>
      <w:r w:rsidR="00485020">
        <w:fldChar w:fldCharType="separate"/>
      </w:r>
      <w:r w:rsidR="003026BC">
        <w:rPr>
          <w:noProof/>
        </w:rPr>
        <w:t>[113, 114]</w:t>
      </w:r>
      <w:r w:rsidR="00485020">
        <w:fldChar w:fldCharType="end"/>
      </w:r>
      <w:r w:rsidR="00485020">
        <w:t xml:space="preserve">. Experimental test vehicles replace several of the center fuel assemblies when inserted into the core. The standard experiment, as per the campaigns following the 2017 restart, replaces 2 fuel assemblies </w:t>
      </w:r>
      <w:r w:rsidR="00485020">
        <w:fldChar w:fldCharType="begin"/>
      </w:r>
      <w:r w:rsidR="003026BC">
        <w:instrText xml:space="preserve"> ADDIN EN.CITE &lt;EndNote&gt;&lt;Cite&gt;&lt;Author&gt;Pope&lt;/Author&gt;&lt;Year&gt;2019&lt;/Year&gt;&lt;RecNum&gt;576&lt;/RecNum&gt;&lt;DisplayText&gt;[114]&lt;/DisplayText&gt;&lt;record&gt;&lt;rec-number&gt;576&lt;/rec-number&gt;&lt;foreign-keys&gt;&lt;key app="EN" db-id="eseee05sfe5vt6efvr0xapvq20vfdsfp5fvf" timestamp="1747331467"&gt;576&lt;/key&gt;&lt;/foreign-keys&gt;&lt;ref-type name="Journal Article"&gt;17&lt;/ref-type&gt;&lt;contributors&gt;&lt;authors&gt;&lt;author&gt;Pope, Chad L.&lt;/author&gt;&lt;author&gt;Jensen Colby B.&lt;/author&gt;&lt;author&gt;Gerstner Douglas M.&lt;/author&gt;&lt;author&gt;and Parry, James R.&lt;/author&gt;&lt;/authors&gt;&lt;/contributors&gt;&lt;titles&gt;&lt;title&gt;Transient Reactor Test (TREAT) Facility Design and Experiment Capability&lt;/title&gt;&lt;secondary-title&gt;Nuclear Technology&lt;/secondary-title&gt;&lt;/titles&gt;&lt;periodical&gt;&lt;full-title&gt;Nuclear Technology&lt;/full-title&gt;&lt;/periodical&gt;&lt;pages&gt;1378-1386&lt;/pages&gt;&lt;volume&gt;205&lt;/volume&gt;&lt;number&gt;10&lt;/number&gt;&lt;dates&gt;&lt;year&gt;2019&lt;/year&gt;&lt;pub-dates&gt;&lt;date&gt;2019/10/03&lt;/date&gt;&lt;/pub-dates&gt;&lt;/dates&gt;&lt;publisher&gt;Taylor &amp;amp; Francis&lt;/publisher&gt;&lt;isbn&gt;0029-5450&lt;/isbn&gt;&lt;urls&gt;&lt;related-urls&gt;&lt;url&gt;https://doi.org/10.1080/00295450.2019.1599615&lt;/url&gt;&lt;/related-urls&gt;&lt;/urls&gt;&lt;electronic-resource-num&gt;10.1080/00295450.2019.1599615&lt;/electronic-resource-num&gt;&lt;/record&gt;&lt;/Cite&gt;&lt;/EndNote&gt;</w:instrText>
      </w:r>
      <w:r w:rsidR="00485020">
        <w:fldChar w:fldCharType="separate"/>
      </w:r>
      <w:r w:rsidR="003026BC">
        <w:rPr>
          <w:noProof/>
        </w:rPr>
        <w:t>[114]</w:t>
      </w:r>
      <w:r w:rsidR="00485020">
        <w:fldChar w:fldCharType="end"/>
      </w:r>
      <w:r w:rsidR="00485020">
        <w:t xml:space="preserve">. </w:t>
      </w:r>
    </w:p>
    <w:p w14:paraId="3AC3105E" w14:textId="06103BDB" w:rsidR="00440655" w:rsidRPr="00CB09EA" w:rsidRDefault="00440655" w:rsidP="00F22A75">
      <w:pPr>
        <w:pStyle w:val="Heading3"/>
        <w:spacing w:before="0" w:after="0"/>
      </w:pPr>
      <w:bookmarkStart w:id="82" w:name="_Toc202957460"/>
      <w:r>
        <w:t>The SERTTA Capsule</w:t>
      </w:r>
      <w:bookmarkEnd w:id="82"/>
    </w:p>
    <w:p w14:paraId="1BD0F8CD" w14:textId="4B870D34" w:rsidR="007004BC" w:rsidRDefault="007004BC" w:rsidP="00F22A75">
      <w:r>
        <w:t xml:space="preserve">The apparatus used within the TREAT facility for transient CHF experiments is the CHF-SERTTA capsule; an adaptation of the previously developed MARCH-SERTTA capsule </w:t>
      </w:r>
      <w:r>
        <w:fldChar w:fldCharType="begin"/>
      </w:r>
      <w:r w:rsidR="003026BC">
        <w:instrText xml:space="preserve"> ADDIN EN.CITE &lt;EndNote&gt;&lt;Cite&gt;&lt;Author&gt;Folsom&lt;/Author&gt;&lt;Year&gt;2022&lt;/Year&gt;&lt;RecNum&gt;199&lt;/RecNum&gt;&lt;DisplayText&gt;[45]&lt;/DisplayText&gt;&lt;record&gt;&lt;rec-number&gt;199&lt;/rec-number&gt;&lt;foreign-keys&gt;&lt;key app="EN" db-id="eseee05sfe5vt6efvr0xapvq20vfdsfp5fvf" timestamp="1665414997" guid="53a0dd99-22d5-40bc-b202-6314bbc4f200"&gt;199&lt;/key&gt;&lt;/foreign-keys&gt;&lt;ref-type name="Journal Article"&gt;17&lt;/ref-type&gt;&lt;contributors&gt;&lt;authors&gt;&lt;author&gt;Folsom, Charles P.&lt;/author&gt;&lt;author&gt;Armstrong, Robert J.&lt;/author&gt;&lt;author&gt;Woolstenhulme, Nicolas E.&lt;/author&gt;&lt;author&gt;Fleming, Austin D.&lt;/author&gt;&lt;author&gt;Hill, Connie M.&lt;/author&gt;&lt;author&gt;Jensen, Colby B.&lt;/author&gt;&lt;author&gt;Wachs, Daniel M.&lt;/author&gt;&lt;/authors&gt;&lt;/contributors&gt;&lt;titles&gt;&lt;title&gt;Design of separate-effects In-Pile transient boiling experiments at the TREAT Facility&lt;/title&gt;&lt;secondary-title&gt;Nuclear Engineering and Design&lt;/secondary-title&gt;&lt;/titles&gt;&lt;periodical&gt;&lt;full-title&gt;Nuclear Engineering and Design&lt;/full-title&gt;&lt;/periodical&gt;&lt;pages&gt;111919&lt;/pages&gt;&lt;volume&gt;397&lt;/volume&gt;&lt;keywords&gt;&lt;keyword&gt;Separate-effect testing&lt;/keyword&gt;&lt;keyword&gt;Transient boiling&lt;/keyword&gt;&lt;keyword&gt;Transient critical heat flux&lt;/keyword&gt;&lt;keyword&gt;Reactivity initiated accident&lt;/keyword&gt;&lt;keyword&gt;TREAT&lt;/keyword&gt;&lt;keyword&gt;LWR&lt;/keyword&gt;&lt;/keywords&gt;&lt;dates&gt;&lt;year&gt;2022&lt;/year&gt;&lt;pub-dates&gt;&lt;date&gt;2022/10/01/&lt;/date&gt;&lt;/pub-dates&gt;&lt;/dates&gt;&lt;isbn&gt;0029-5493&lt;/isbn&gt;&lt;urls&gt;&lt;related-urls&gt;&lt;url&gt;https://www.sciencedirect.com/science/article/pii/S0029549322002722&lt;/url&gt;&lt;/related-urls&gt;&lt;/urls&gt;&lt;electronic-resource-num&gt;https://doi.org/10.1016/j.nucengdes.2022.111919&lt;/electronic-resource-num&gt;&lt;/record&gt;&lt;/Cite&gt;&lt;/EndNote&gt;</w:instrText>
      </w:r>
      <w:r>
        <w:fldChar w:fldCharType="separate"/>
      </w:r>
      <w:r w:rsidR="003026BC">
        <w:rPr>
          <w:noProof/>
        </w:rPr>
        <w:t>[45]</w:t>
      </w:r>
      <w:r>
        <w:fldChar w:fldCharType="end"/>
      </w:r>
      <w:r>
        <w:t>. The capsule is split into two regions, a lower region filled with water that contains a submerged heater rodlet and corresponding instrumentation, and an upper region that contains a cover gas used to accommodate the expansion of water and for pressurization of the capsule. The heater rodlet used in these experiments is hourglass-shaped and comprised of 2.05 wt% borated austenitic stainless steel. The (n,</w:t>
      </w:r>
      <w:r>
        <w:sym w:font="Symbol" w:char="F061"/>
      </w:r>
      <w:r>
        <w:t xml:space="preserve">) reaction within b-10 provides volumetric heating to the rod with transients controlled by reactivity insertions within the TREAT reactor. The hourglass shape ensures low power peaking near the ends of the tube and makes CHF tend to occur toward the axial midplane of the rod where the instrumentation is located </w:t>
      </w:r>
      <w:r>
        <w:fldChar w:fldCharType="begin"/>
      </w:r>
      <w:r w:rsidR="003026BC">
        <w:instrText xml:space="preserve"> ADDIN EN.CITE &lt;EndNote&gt;&lt;Cite&gt;&lt;Author&gt;Hill&lt;/Author&gt;&lt;Year&gt;2023&lt;/Year&gt;&lt;RecNum&gt;334&lt;/RecNum&gt;&lt;DisplayText&gt;[115]&lt;/DisplayText&gt;&lt;record&gt;&lt;rec-number&gt;334&lt;/rec-number&gt;&lt;foreign-keys&gt;&lt;key app="EN" db-id="eseee05sfe5vt6efvr0xapvq20vfdsfp5fvf" timestamp="1696882580" guid="9bfcb17e-d151-405b-8849-aa473dbaa459"&gt;334&lt;/key&gt;&lt;/foreign-keys&gt;&lt;ref-type name="Journal Article"&gt;17&lt;/ref-type&gt;&lt;contributors&gt;&lt;authors&gt;&lt;author&gt;Hill, Connie M.&lt;/author&gt;&lt;author&gt;Folsom, Charles P.&lt;/author&gt;&lt;author&gt;Fleming, Austin D.&lt;/author&gt;&lt;author&gt;Armstrong, Robert J.&lt;/author&gt;&lt;author&gt;Woolstenhulme, Nicolas E.&lt;/author&gt;&lt;author&gt;Fishler, Joshua D.&lt;/author&gt;&lt;author&gt;Bess, John D.&lt;/author&gt;&lt;author&gt;Hernandez, Richard&lt;/author&gt;&lt;author&gt;Brown, Nicholas R.&lt;/author&gt;&lt;author&gt;Jensen, Colby B.&lt;/author&gt;&lt;/authors&gt;&lt;/contributors&gt;&lt;titles&gt;&lt;title&gt;A non-fueled nuclear-heated rod for in-pile transient boiling studies&lt;/title&gt;&lt;secondary-title&gt;Nuclear Engineering and Design&lt;/secondary-title&gt;&lt;/titles&gt;&lt;periodical&gt;&lt;full-title&gt;Nuclear Engineering and Design&lt;/full-title&gt;&lt;/periodical&gt;&lt;pages&gt;112508&lt;/pages&gt;&lt;volume&gt;414&lt;/volume&gt;&lt;keywords&gt;&lt;keyword&gt;Critical Heat Flux&lt;/keyword&gt;&lt;keyword&gt;TREAT&lt;/keyword&gt;&lt;keyword&gt;LWR&lt;/keyword&gt;&lt;keyword&gt;RISA&lt;/keyword&gt;&lt;/keywords&gt;&lt;dates&gt;&lt;year&gt;2023&lt;/year&gt;&lt;pub-dates&gt;&lt;date&gt;2023/12/01/&lt;/date&gt;&lt;/pub-dates&gt;&lt;/dates&gt;&lt;isbn&gt;0029-5493&lt;/isbn&gt;&lt;urls&gt;&lt;related-urls&gt;&lt;url&gt;https://www.sciencedirect.com/science/article/pii/S0029549323003576&lt;/url&gt;&lt;/related-urls&gt;&lt;/urls&gt;&lt;electronic-resource-num&gt;https://doi.org/10.1016/j.nucengdes.2023.112508&lt;/electronic-resource-num&gt;&lt;/record&gt;&lt;/Cite&gt;&lt;/EndNote&gt;</w:instrText>
      </w:r>
      <w:r>
        <w:fldChar w:fldCharType="separate"/>
      </w:r>
      <w:r w:rsidR="003026BC">
        <w:rPr>
          <w:noProof/>
        </w:rPr>
        <w:t>[115]</w:t>
      </w:r>
      <w:r>
        <w:fldChar w:fldCharType="end"/>
      </w:r>
      <w:r>
        <w:t xml:space="preserve">. The capsule is fit with several thermocouples on the outer surface of the rodlet for direct temperature measurement, pyrometers within the </w:t>
      </w:r>
      <w:r>
        <w:lastRenderedPageBreak/>
        <w:t>hollow inner region of the rodlet</w:t>
      </w:r>
      <w:r w:rsidRPr="00DC0F07">
        <w:t xml:space="preserve"> </w:t>
      </w:r>
      <w:r>
        <w:t>for indirect temperature measurements, an (n,</w:t>
      </w:r>
      <w:r>
        <w:sym w:font="Symbol" w:char="F061"/>
      </w:r>
      <w:r>
        <w:t xml:space="preserve">) thermometer within the rodlet to gauge energy deposition, and a pair of capacitance plates to determine the occurrence of CHF. A more in-depth description of the capsule can be found in the paper by Folsom et al., and Hill et al. </w:t>
      </w:r>
      <w:r>
        <w:fldChar w:fldCharType="begin">
          <w:fldData xml:space="preserve">PEVuZE5vdGU+PENpdGU+PEF1dGhvcj5Gb2xzb208L0F1dGhvcj48WWVhcj4yMDIyPC9ZZWFyPjxS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</w:fldData>
        </w:fldChar>
      </w:r>
      <w:r w:rsidR="003026BC">
        <w:instrText xml:space="preserve"> ADDIN EN.CITE </w:instrText>
      </w:r>
      <w:r w:rsidR="003026BC">
        <w:fldChar w:fldCharType="begin">
          <w:fldData xml:space="preserve">PEVuZE5vdGU+PENpdGU+PEF1dGhvcj5Gb2xzb208L0F1dGhvcj48WWVhcj4yMDIyPC9ZZWFyPjxS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</w:fldData>
        </w:fldChar>
      </w:r>
      <w:r w:rsidR="003026BC">
        <w:instrText xml:space="preserve"> ADDIN EN.CITE.DATA </w:instrText>
      </w:r>
      <w:r w:rsidR="003026BC">
        <w:fldChar w:fldCharType="end"/>
      </w:r>
      <w:r>
        <w:fldChar w:fldCharType="separate"/>
      </w:r>
      <w:r w:rsidR="003026BC">
        <w:rPr>
          <w:noProof/>
        </w:rPr>
        <w:t>[45, 115]</w:t>
      </w:r>
      <w:r>
        <w:fldChar w:fldCharType="end"/>
      </w:r>
      <w:r>
        <w:t>.</w:t>
      </w:r>
    </w:p>
    <w:p w14:paraId="64A386BB" w14:textId="43E8F646" w:rsidR="007004BC" w:rsidRDefault="007004BC" w:rsidP="00F22A75">
      <w:r>
        <w:t xml:space="preserve">The CHF-SERTTA test matrix is comprised of 14 test transients </w:t>
      </w:r>
      <w:r>
        <w:fldChar w:fldCharType="begin"/>
      </w:r>
      <w:r w:rsidR="003026BC">
        <w:instrText xml:space="preserve"> ADDIN EN.CITE &lt;EndNote&gt;&lt;Cite&gt;&lt;Author&gt;Folsom&lt;/Author&gt;&lt;Year&gt;2022&lt;/Year&gt;&lt;RecNum&gt;199&lt;/RecNum&gt;&lt;DisplayText&gt;[45]&lt;/DisplayText&gt;&lt;record&gt;&lt;rec-number&gt;199&lt;/rec-number&gt;&lt;foreign-keys&gt;&lt;key app="EN" db-id="eseee05sfe5vt6efvr0xapvq20vfdsfp5fvf" timestamp="1665414997" guid="53a0dd99-22d5-40bc-b202-6314bbc4f200"&gt;199&lt;/key&gt;&lt;/foreign-keys&gt;&lt;ref-type name="Journal Article"&gt;17&lt;/ref-type&gt;&lt;contributors&gt;&lt;authors&gt;&lt;author&gt;Folsom, Charles P.&lt;/author&gt;&lt;author&gt;Armstrong, Robert J.&lt;/author&gt;&lt;author&gt;Woolstenhulme, Nicolas E.&lt;/author&gt;&lt;author&gt;Fleming, Austin D.&lt;/author&gt;&lt;author&gt;Hill, Connie M.&lt;/author&gt;&lt;author&gt;Jensen, Colby B.&lt;/author&gt;&lt;author&gt;Wachs, Daniel M.&lt;/author&gt;&lt;/authors&gt;&lt;/contributors&gt;&lt;titles&gt;&lt;title&gt;Design of separate-effects In-Pile transient boiling experiments at the TREAT Facility&lt;/title&gt;&lt;secondary-title&gt;Nuclear Engineering and Design&lt;/secondary-title&gt;&lt;/titles&gt;&lt;periodical&gt;&lt;full-title&gt;Nuclear Engineering and Design&lt;/full-title&gt;&lt;/periodical&gt;&lt;pages&gt;111919&lt;/pages&gt;&lt;volume&gt;397&lt;/volume&gt;&lt;keywords&gt;&lt;keyword&gt;Separate-effect testing&lt;/keyword&gt;&lt;keyword&gt;Transient boiling&lt;/keyword&gt;&lt;keyword&gt;Transient critical heat flux&lt;/keyword&gt;&lt;keyword&gt;Reactivity initiated accident&lt;/keyword&gt;&lt;keyword&gt;TREAT&lt;/keyword&gt;&lt;keyword&gt;LWR&lt;/keyword&gt;&lt;/keywords&gt;&lt;dates&gt;&lt;year&gt;2022&lt;/year&gt;&lt;pub-dates&gt;&lt;date&gt;2022/10/01/&lt;/date&gt;&lt;/pub-dates&gt;&lt;/dates&gt;&lt;isbn&gt;0029-5493&lt;/isbn&gt;&lt;urls&gt;&lt;related-urls&gt;&lt;url&gt;https://www.sciencedirect.com/science/article/pii/S0029549322002722&lt;/url&gt;&lt;/related-urls&gt;&lt;/urls&gt;&lt;electronic-resource-num&gt;https://doi.org/10.1016/j.nucengdes.2022.111919&lt;/electronic-resource-num&gt;&lt;/record&gt;&lt;/Cite&gt;&lt;/EndNote&gt;</w:instrText>
      </w:r>
      <w:r>
        <w:fldChar w:fldCharType="separate"/>
      </w:r>
      <w:r w:rsidR="003026BC">
        <w:rPr>
          <w:noProof/>
        </w:rPr>
        <w:t>[45]</w:t>
      </w:r>
      <w:r>
        <w:fldChar w:fldCharType="end"/>
      </w:r>
      <w:r>
        <w:t xml:space="preserve">. </w:t>
      </w:r>
      <w:r w:rsidR="00597FF5" w:rsidRPr="002C1405">
        <w:rPr>
          <w:b/>
          <w:bCs/>
        </w:rPr>
        <w:fldChar w:fldCharType="begin"/>
      </w:r>
      <w:r w:rsidR="00597FF5" w:rsidRPr="002C1405">
        <w:rPr>
          <w:b/>
          <w:bCs/>
        </w:rPr>
        <w:instrText xml:space="preserve"> REF _Ref160908435 \h </w:instrText>
      </w:r>
      <w:r w:rsidR="003553D6" w:rsidRPr="002C1405">
        <w:rPr>
          <w:b/>
          <w:bCs/>
        </w:rPr>
        <w:instrText xml:space="preserve"> \* MERGEFORMAT </w:instrText>
      </w:r>
      <w:r w:rsidR="00597FF5" w:rsidRPr="002C1405">
        <w:rPr>
          <w:b/>
          <w:bCs/>
        </w:rPr>
      </w:r>
      <w:r w:rsidR="00597FF5" w:rsidRPr="002C1405">
        <w:rPr>
          <w:b/>
          <w:bCs/>
        </w:rPr>
        <w:fldChar w:fldCharType="separate"/>
      </w:r>
      <w:r w:rsidR="00BF7E93" w:rsidRPr="00BF7E93">
        <w:rPr>
          <w:b/>
          <w:bCs/>
        </w:rPr>
        <w:t xml:space="preserve">Table </w:t>
      </w:r>
      <w:r w:rsidR="00BF7E93" w:rsidRPr="00BF7E93">
        <w:rPr>
          <w:b/>
          <w:bCs/>
          <w:noProof/>
        </w:rPr>
        <w:t>3.5</w:t>
      </w:r>
      <w:r w:rsidR="00597FF5" w:rsidRPr="002C1405">
        <w:rPr>
          <w:b/>
          <w:bCs/>
        </w:rPr>
        <w:fldChar w:fldCharType="end"/>
      </w:r>
      <w:r w:rsidR="00597FF5">
        <w:t xml:space="preserve"> </w:t>
      </w:r>
      <w:r>
        <w:t xml:space="preserve">contains 5 selected tests from the full test matrix and is a similar test matrix to that of the TRTL sensitivity analysis; two tests at relatively high and low energy deposition and three tests at the same energy deposition, but with decreasing exponential period. A visualization of </w:t>
      </w:r>
      <w:r w:rsidR="00F22A75">
        <w:t xml:space="preserve">the test matrix is given in </w:t>
      </w:r>
      <w:r w:rsidR="00F22A75" w:rsidRPr="00377123">
        <w:rPr>
          <w:b/>
          <w:bCs/>
        </w:rPr>
        <w:fldChar w:fldCharType="begin"/>
      </w:r>
      <w:r w:rsidR="00F22A75" w:rsidRPr="00377123">
        <w:rPr>
          <w:b/>
          <w:bCs/>
        </w:rPr>
        <w:instrText xml:space="preserve"> REF _Ref160894481 \h </w:instrText>
      </w:r>
      <w:r w:rsidR="00F22A75">
        <w:rPr>
          <w:b/>
          <w:bCs/>
        </w:rPr>
        <w:instrText xml:space="preserve"> \* MERGEFORMAT </w:instrText>
      </w:r>
      <w:r w:rsidR="00F22A75" w:rsidRPr="00377123">
        <w:rPr>
          <w:b/>
          <w:bCs/>
        </w:rPr>
      </w:r>
      <w:r w:rsidR="00F22A75" w:rsidRPr="00377123">
        <w:rPr>
          <w:b/>
          <w:bCs/>
        </w:rPr>
        <w:fldChar w:fldCharType="separate"/>
      </w:r>
      <w:r w:rsidR="00F22A75" w:rsidRPr="00BF7E93">
        <w:rPr>
          <w:b/>
          <w:bCs/>
        </w:rPr>
        <w:t xml:space="preserve">Figure </w:t>
      </w:r>
      <w:r w:rsidR="00F22A75" w:rsidRPr="00BF7E93">
        <w:rPr>
          <w:b/>
          <w:bCs/>
          <w:noProof/>
        </w:rPr>
        <w:t>3.16</w:t>
      </w:r>
      <w:r w:rsidR="00F22A75" w:rsidRPr="00377123">
        <w:rPr>
          <w:b/>
          <w:bCs/>
        </w:rPr>
        <w:fldChar w:fldCharType="end"/>
      </w:r>
      <w:r w:rsidR="00F22A75">
        <w:t xml:space="preserve">. A MCNP/RELAP5-3D model framework was used by INL to replicate experimental tests performed for the CHF-SERTTA capsule and was determined to consistently underpredict the value of CHF, causing large overestimations in the peak temperature of the rodlet </w:t>
      </w:r>
      <w:r w:rsidR="00F22A75">
        <w:fldChar w:fldCharType="begin"/>
      </w:r>
      <w:r w:rsidR="00F22A75">
        <w:instrText xml:space="preserve"> ADDIN EN.CITE &lt;EndNote&gt;&lt;Cite&gt;&lt;Author&gt;Folsom&lt;/Author&gt;&lt;Year&gt;2022&lt;/Year&gt;&lt;RecNum&gt;199&lt;/RecNum&gt;&lt;DisplayText&gt;[45]&lt;/DisplayText&gt;&lt;record&gt;&lt;rec-number&gt;199&lt;/rec-number&gt;&lt;foreign-keys&gt;&lt;key app="EN" db-id="eseee05sfe5vt6efvr0xapvq20vfdsfp5fvf" timestamp="1665414997" guid="53a0dd99-22d5-40bc-b202-6314bbc4f200"&gt;199&lt;/key&gt;&lt;/foreign-keys&gt;&lt;ref-type name="Journal Article"&gt;17&lt;/ref-type&gt;&lt;contributors&gt;&lt;authors&gt;&lt;author&gt;Folsom, Charles P.&lt;/author&gt;&lt;author&gt;Armstrong, Robert J.&lt;/author&gt;&lt;author&gt;Woolstenhulme, Nicolas E.&lt;/author&gt;&lt;author&gt;Fleming, Austin D.&lt;/author&gt;&lt;author&gt;Hill, Connie M.&lt;/author&gt;&lt;author&gt;Jensen, Colby B.&lt;/author&gt;&lt;author&gt;Wachs, Daniel M.&lt;/author&gt;&lt;/authors&gt;&lt;/contributors&gt;&lt;titles&gt;&lt;title&gt;Design of separate-effects In-Pile transient boiling experiments at the TREAT Facility&lt;/title&gt;&lt;secondary-title&gt;Nuclear Engineering and Design&lt;/secondary-title&gt;&lt;/titles&gt;&lt;periodical&gt;&lt;full-title&gt;Nuclear Engineering and Design&lt;/full-title&gt;&lt;/periodical&gt;&lt;pages&gt;111919&lt;/pages&gt;&lt;volume&gt;397&lt;/volume&gt;&lt;keywords&gt;&lt;keyword&gt;Separate-effect testing&lt;/keyword&gt;&lt;keyword&gt;Transient boiling&lt;/keyword&gt;&lt;keyword&gt;Transient critical heat flux&lt;/keyword&gt;&lt;keyword&gt;Reactivity initiated accident&lt;/keyword&gt;&lt;keyword&gt;TREAT&lt;/keyword&gt;&lt;keyword&gt;LWR&lt;/keyword&gt;&lt;/keywords&gt;&lt;dates&gt;&lt;year&gt;2022&lt;/year&gt;&lt;pub-dates&gt;&lt;date&gt;2022/10/01/&lt;/date&gt;&lt;/pub-dates&gt;&lt;/dates&gt;&lt;isbn&gt;0029-5493&lt;/isbn&gt;&lt;urls&gt;&lt;related-urls&gt;&lt;url&gt;https://www.sciencedirect.com/science/article/pii/S0029549322002722&lt;/url&gt;&lt;/related-urls&gt;&lt;/urls&gt;&lt;electronic-resource-num&gt;https://doi.org/10.1016/j.nucengdes.2022.111919&lt;/electronic-resource-num&gt;&lt;/record&gt;&lt;/Cite&gt;&lt;/EndNote&gt;</w:instrText>
      </w:r>
      <w:r w:rsidR="00F22A75">
        <w:fldChar w:fldCharType="separate"/>
      </w:r>
      <w:r w:rsidR="00F22A75">
        <w:rPr>
          <w:noProof/>
        </w:rPr>
        <w:t>[45]</w:t>
      </w:r>
      <w:r w:rsidR="00F22A75">
        <w:fldChar w:fldCharType="end"/>
      </w:r>
      <w:r w:rsidR="00F22A75">
        <w:t>.</w:t>
      </w:r>
    </w:p>
    <w:p w14:paraId="43E8DF64" w14:textId="77777777" w:rsidR="00F22A75" w:rsidRDefault="00F22A75" w:rsidP="00F22A75"/>
    <w:p w14:paraId="72983EB4" w14:textId="77777777" w:rsidR="00F22A75" w:rsidRDefault="00F22A75" w:rsidP="00F22A75"/>
    <w:p w14:paraId="26C9E0FA" w14:textId="1451A72E" w:rsidR="004F5769" w:rsidRPr="009E5CA0" w:rsidRDefault="004F5769" w:rsidP="00874CBB">
      <w:pPr>
        <w:pStyle w:val="Caption"/>
      </w:pPr>
      <w:bookmarkStart w:id="83" w:name="_Ref160908435"/>
      <w:bookmarkStart w:id="84" w:name="_Toc202957520"/>
      <w:r w:rsidRPr="009D2AA9">
        <w:t xml:space="preserve">Table </w:t>
      </w:r>
      <w:fldSimple w:instr=" STYLEREF 1 \s ">
        <w:r w:rsidR="00BF7E93">
          <w:rPr>
            <w:noProof/>
          </w:rPr>
          <w:t>3</w:t>
        </w:r>
      </w:fldSimple>
      <w:r w:rsidRPr="009D2AA9">
        <w:t>.</w:t>
      </w:r>
      <w:fldSimple w:instr=" SEQ Table \* ARABIC \s 1 ">
        <w:r w:rsidR="00BF7E93">
          <w:rPr>
            <w:noProof/>
          </w:rPr>
          <w:t>5</w:t>
        </w:r>
      </w:fldSimple>
      <w:bookmarkEnd w:id="83"/>
      <w:r w:rsidRPr="009D2AA9">
        <w:t xml:space="preserve">. </w:t>
      </w:r>
      <w:r>
        <w:t>CHF-SERTTA Test Matrix for TREAT.</w:t>
      </w:r>
      <w:bookmarkEnd w:id="84"/>
    </w:p>
    <w:tbl>
      <w:tblPr>
        <w:tblW w:w="88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1605"/>
        <w:gridCol w:w="1350"/>
        <w:gridCol w:w="1350"/>
        <w:gridCol w:w="1530"/>
        <w:gridCol w:w="1530"/>
        <w:gridCol w:w="1530"/>
      </w:tblGrid>
      <w:tr w:rsidR="004F5769" w:rsidRPr="00857514" w14:paraId="4FFFE02B" w14:textId="2627BB40" w:rsidTr="004F5769">
        <w:trPr>
          <w:jc w:val="center"/>
        </w:trPr>
        <w:tc>
          <w:tcPr>
            <w:tcW w:w="1605" w:type="dxa"/>
            <w:tcBorders>
              <w:top w:val="double" w:sz="4" w:space="0" w:color="auto"/>
              <w:left w:val="double" w:sz="4" w:space="0" w:color="auto"/>
              <w:bottom w:val="double" w:sz="4" w:space="0" w:color="auto"/>
              <w:right w:val="double" w:sz="4" w:space="0" w:color="auto"/>
            </w:tcBorders>
            <w:vAlign w:val="center"/>
          </w:tcPr>
          <w:p w14:paraId="29C89F81" w14:textId="3B48EDF0" w:rsidR="004F5769" w:rsidRPr="004F5769" w:rsidRDefault="004F5769" w:rsidP="0064374E">
            <w:pPr>
              <w:pStyle w:val="TableText"/>
            </w:pPr>
          </w:p>
        </w:tc>
        <w:tc>
          <w:tcPr>
            <w:tcW w:w="1350" w:type="dxa"/>
            <w:tcBorders>
              <w:top w:val="double" w:sz="4" w:space="0" w:color="auto"/>
              <w:left w:val="double" w:sz="4" w:space="0" w:color="auto"/>
              <w:bottom w:val="double" w:sz="4" w:space="0" w:color="auto"/>
              <w:right w:val="double" w:sz="4" w:space="0" w:color="auto"/>
            </w:tcBorders>
            <w:vAlign w:val="center"/>
          </w:tcPr>
          <w:p w14:paraId="109BD2AF" w14:textId="6DAC8703" w:rsidR="004F5769" w:rsidRPr="004F5769" w:rsidRDefault="004F5769" w:rsidP="0064374E">
            <w:pPr>
              <w:pStyle w:val="TableText"/>
            </w:pPr>
            <w:r w:rsidRPr="004F5769">
              <w:t>CHF-SERTTA-A</w:t>
            </w:r>
          </w:p>
        </w:tc>
        <w:tc>
          <w:tcPr>
            <w:tcW w:w="1350" w:type="dxa"/>
            <w:tcBorders>
              <w:top w:val="double" w:sz="4" w:space="0" w:color="auto"/>
              <w:left w:val="double" w:sz="4" w:space="0" w:color="auto"/>
              <w:bottom w:val="double" w:sz="4" w:space="0" w:color="auto"/>
              <w:right w:val="double" w:sz="4" w:space="0" w:color="auto"/>
            </w:tcBorders>
            <w:vAlign w:val="center"/>
          </w:tcPr>
          <w:p w14:paraId="44EE4D9A" w14:textId="1EB008BA" w:rsidR="004F5769" w:rsidRPr="004F5769" w:rsidRDefault="004F5769" w:rsidP="0064374E">
            <w:pPr>
              <w:pStyle w:val="TableText"/>
            </w:pPr>
            <w:r w:rsidRPr="004F5769">
              <w:t>CHF-SERTTA-B</w:t>
            </w:r>
          </w:p>
        </w:tc>
        <w:tc>
          <w:tcPr>
            <w:tcW w:w="1530" w:type="dxa"/>
            <w:tcBorders>
              <w:top w:val="double" w:sz="4" w:space="0" w:color="auto"/>
              <w:left w:val="double" w:sz="4" w:space="0" w:color="auto"/>
              <w:bottom w:val="double" w:sz="4" w:space="0" w:color="auto"/>
            </w:tcBorders>
            <w:vAlign w:val="center"/>
          </w:tcPr>
          <w:p w14:paraId="0523F879" w14:textId="058863DA" w:rsidR="004F5769" w:rsidRPr="004F5769" w:rsidRDefault="004F5769" w:rsidP="0064374E">
            <w:pPr>
              <w:pStyle w:val="TableText"/>
            </w:pPr>
            <w:r w:rsidRPr="004F5769">
              <w:t>CHF-SERTTA-C1</w:t>
            </w:r>
          </w:p>
        </w:tc>
        <w:tc>
          <w:tcPr>
            <w:tcW w:w="1530" w:type="dxa"/>
            <w:tcBorders>
              <w:top w:val="double" w:sz="4" w:space="0" w:color="auto"/>
              <w:left w:val="double" w:sz="4" w:space="0" w:color="auto"/>
              <w:bottom w:val="double" w:sz="4" w:space="0" w:color="auto"/>
            </w:tcBorders>
            <w:vAlign w:val="center"/>
          </w:tcPr>
          <w:p w14:paraId="6B4D5E1D" w14:textId="5C6B6388" w:rsidR="004F5769" w:rsidRPr="004F5769" w:rsidRDefault="004F5769" w:rsidP="0064374E">
            <w:pPr>
              <w:pStyle w:val="TableText"/>
            </w:pPr>
            <w:r w:rsidRPr="004F5769">
              <w:t>CHF-SERTTA-C2</w:t>
            </w:r>
          </w:p>
        </w:tc>
        <w:tc>
          <w:tcPr>
            <w:tcW w:w="1530" w:type="dxa"/>
            <w:tcBorders>
              <w:top w:val="double" w:sz="4" w:space="0" w:color="auto"/>
              <w:left w:val="double" w:sz="4" w:space="0" w:color="auto"/>
              <w:bottom w:val="double" w:sz="4" w:space="0" w:color="auto"/>
            </w:tcBorders>
          </w:tcPr>
          <w:p w14:paraId="5D475227" w14:textId="1ED6413C" w:rsidR="004F5769" w:rsidRPr="004F5769" w:rsidRDefault="004F5769" w:rsidP="0064374E">
            <w:pPr>
              <w:pStyle w:val="TableText"/>
            </w:pPr>
            <w:r w:rsidRPr="004F5769">
              <w:t>CHF-SERTTA-C3</w:t>
            </w:r>
          </w:p>
        </w:tc>
      </w:tr>
      <w:tr w:rsidR="004F5769" w:rsidRPr="008120CD" w14:paraId="61660679" w14:textId="14277C16" w:rsidTr="004F5769">
        <w:trPr>
          <w:jc w:val="center"/>
        </w:trPr>
        <w:tc>
          <w:tcPr>
            <w:tcW w:w="1605" w:type="dxa"/>
            <w:tcBorders>
              <w:left w:val="double" w:sz="4" w:space="0" w:color="auto"/>
              <w:right w:val="double" w:sz="4" w:space="0" w:color="auto"/>
            </w:tcBorders>
            <w:vAlign w:val="center"/>
          </w:tcPr>
          <w:p w14:paraId="0E1E3D7A" w14:textId="77777777" w:rsidR="004F5769" w:rsidRPr="004F5769" w:rsidRDefault="004F5769" w:rsidP="0064374E">
            <w:pPr>
              <w:pStyle w:val="TableText"/>
            </w:pPr>
            <w:r w:rsidRPr="004F5769">
              <w:t>Pulse FWHM</w:t>
            </w:r>
          </w:p>
          <w:p w14:paraId="2647C3E3" w14:textId="39291762" w:rsidR="004F5769" w:rsidRPr="004F5769" w:rsidRDefault="004F5769" w:rsidP="0064374E">
            <w:pPr>
              <w:pStyle w:val="TableText"/>
            </w:pPr>
            <w:r w:rsidRPr="004F5769">
              <w:t>[ms]</w:t>
            </w:r>
          </w:p>
        </w:tc>
        <w:tc>
          <w:tcPr>
            <w:tcW w:w="1350" w:type="dxa"/>
            <w:tcBorders>
              <w:left w:val="double" w:sz="4" w:space="0" w:color="auto"/>
              <w:right w:val="double" w:sz="4" w:space="0" w:color="auto"/>
            </w:tcBorders>
            <w:vAlign w:val="center"/>
          </w:tcPr>
          <w:p w14:paraId="2A32B561" w14:textId="6C45029D" w:rsidR="004F5769" w:rsidRPr="004F5769" w:rsidRDefault="004F5769" w:rsidP="0064374E">
            <w:pPr>
              <w:pStyle w:val="TableText"/>
            </w:pPr>
            <w:r w:rsidRPr="004F5769">
              <w:t>156</w:t>
            </w:r>
          </w:p>
        </w:tc>
        <w:tc>
          <w:tcPr>
            <w:tcW w:w="1350" w:type="dxa"/>
            <w:tcBorders>
              <w:left w:val="double" w:sz="4" w:space="0" w:color="auto"/>
              <w:right w:val="double" w:sz="4" w:space="0" w:color="auto"/>
            </w:tcBorders>
            <w:vAlign w:val="center"/>
          </w:tcPr>
          <w:p w14:paraId="766522E0" w14:textId="55C89602" w:rsidR="004F5769" w:rsidRPr="004F5769" w:rsidRDefault="004F5769" w:rsidP="0064374E">
            <w:pPr>
              <w:pStyle w:val="TableText"/>
            </w:pPr>
            <w:r w:rsidRPr="004F5769">
              <w:t>109</w:t>
            </w:r>
          </w:p>
        </w:tc>
        <w:tc>
          <w:tcPr>
            <w:tcW w:w="1530" w:type="dxa"/>
            <w:tcBorders>
              <w:left w:val="double" w:sz="4" w:space="0" w:color="auto"/>
            </w:tcBorders>
            <w:vAlign w:val="center"/>
          </w:tcPr>
          <w:p w14:paraId="20F7E702" w14:textId="42160ED1" w:rsidR="004F5769" w:rsidRPr="004F5769" w:rsidRDefault="004F5769" w:rsidP="0064374E">
            <w:pPr>
              <w:pStyle w:val="TableText"/>
            </w:pPr>
            <w:r w:rsidRPr="004F5769">
              <w:t>136</w:t>
            </w:r>
          </w:p>
        </w:tc>
        <w:tc>
          <w:tcPr>
            <w:tcW w:w="1530" w:type="dxa"/>
            <w:tcBorders>
              <w:left w:val="double" w:sz="4" w:space="0" w:color="auto"/>
            </w:tcBorders>
            <w:vAlign w:val="center"/>
          </w:tcPr>
          <w:p w14:paraId="7F0D7F7B" w14:textId="63433BD8" w:rsidR="004F5769" w:rsidRPr="004F5769" w:rsidRDefault="004F5769" w:rsidP="0064374E">
            <w:pPr>
              <w:pStyle w:val="TableText"/>
            </w:pPr>
            <w:r w:rsidRPr="004F5769">
              <w:t>111</w:t>
            </w:r>
          </w:p>
        </w:tc>
        <w:tc>
          <w:tcPr>
            <w:tcW w:w="1530" w:type="dxa"/>
            <w:tcBorders>
              <w:left w:val="double" w:sz="4" w:space="0" w:color="auto"/>
            </w:tcBorders>
            <w:vAlign w:val="center"/>
          </w:tcPr>
          <w:p w14:paraId="49D00A45" w14:textId="255BB818" w:rsidR="004F5769" w:rsidRPr="004F5769" w:rsidRDefault="004F5769" w:rsidP="0064374E">
            <w:pPr>
              <w:pStyle w:val="TableText"/>
            </w:pPr>
            <w:r w:rsidRPr="004F5769">
              <w:t>93</w:t>
            </w:r>
          </w:p>
        </w:tc>
      </w:tr>
      <w:tr w:rsidR="004F5769" w:rsidRPr="00560A5E" w14:paraId="64300616" w14:textId="4D26CE56" w:rsidTr="004F5769">
        <w:trPr>
          <w:jc w:val="center"/>
        </w:trPr>
        <w:tc>
          <w:tcPr>
            <w:tcW w:w="1605" w:type="dxa"/>
            <w:tcBorders>
              <w:left w:val="double" w:sz="4" w:space="0" w:color="auto"/>
              <w:right w:val="double" w:sz="4" w:space="0" w:color="auto"/>
            </w:tcBorders>
            <w:vAlign w:val="center"/>
          </w:tcPr>
          <w:p w14:paraId="22134C7D" w14:textId="31DDE469" w:rsidR="004F5769" w:rsidRPr="004F5769" w:rsidRDefault="004F5769" w:rsidP="0064374E">
            <w:pPr>
              <w:pStyle w:val="TableText"/>
              <w:rPr>
                <w:vertAlign w:val="subscript"/>
              </w:rPr>
            </w:pPr>
            <w:r w:rsidRPr="004F5769">
              <w:t>Exponential Period [ms]</w:t>
            </w:r>
          </w:p>
        </w:tc>
        <w:tc>
          <w:tcPr>
            <w:tcW w:w="1350" w:type="dxa"/>
            <w:tcBorders>
              <w:left w:val="double" w:sz="4" w:space="0" w:color="auto"/>
              <w:right w:val="double" w:sz="4" w:space="0" w:color="auto"/>
            </w:tcBorders>
            <w:vAlign w:val="center"/>
          </w:tcPr>
          <w:p w14:paraId="596A2CE7" w14:textId="469521D9" w:rsidR="004F5769" w:rsidRPr="004F5769" w:rsidRDefault="004F5769" w:rsidP="0064374E">
            <w:pPr>
              <w:pStyle w:val="TableText"/>
            </w:pPr>
            <w:r w:rsidRPr="004F5769">
              <w:t>45</w:t>
            </w:r>
          </w:p>
        </w:tc>
        <w:tc>
          <w:tcPr>
            <w:tcW w:w="1350" w:type="dxa"/>
            <w:tcBorders>
              <w:left w:val="double" w:sz="4" w:space="0" w:color="auto"/>
              <w:right w:val="double" w:sz="4" w:space="0" w:color="auto"/>
            </w:tcBorders>
            <w:vAlign w:val="center"/>
          </w:tcPr>
          <w:p w14:paraId="59497D6C" w14:textId="5BE9B18F" w:rsidR="004F5769" w:rsidRPr="004F5769" w:rsidRDefault="004F5769" w:rsidP="0064374E">
            <w:pPr>
              <w:pStyle w:val="TableText"/>
            </w:pPr>
            <w:r w:rsidRPr="004F5769">
              <w:t>31</w:t>
            </w:r>
          </w:p>
        </w:tc>
        <w:tc>
          <w:tcPr>
            <w:tcW w:w="1530" w:type="dxa"/>
            <w:tcBorders>
              <w:left w:val="double" w:sz="4" w:space="0" w:color="auto"/>
            </w:tcBorders>
            <w:vAlign w:val="center"/>
          </w:tcPr>
          <w:p w14:paraId="735D7A76" w14:textId="4E99B7D2" w:rsidR="004F5769" w:rsidRPr="004F5769" w:rsidRDefault="004F5769" w:rsidP="0064374E">
            <w:pPr>
              <w:pStyle w:val="TableText"/>
            </w:pPr>
            <w:r w:rsidRPr="004F5769">
              <w:t>39</w:t>
            </w:r>
          </w:p>
        </w:tc>
        <w:tc>
          <w:tcPr>
            <w:tcW w:w="1530" w:type="dxa"/>
            <w:tcBorders>
              <w:left w:val="double" w:sz="4" w:space="0" w:color="auto"/>
            </w:tcBorders>
            <w:vAlign w:val="center"/>
          </w:tcPr>
          <w:p w14:paraId="1A159A1B" w14:textId="7A2DD8BD" w:rsidR="004F5769" w:rsidRPr="004F5769" w:rsidRDefault="004F5769" w:rsidP="0064374E">
            <w:pPr>
              <w:pStyle w:val="TableText"/>
            </w:pPr>
            <w:r w:rsidRPr="004F5769">
              <w:t>31</w:t>
            </w:r>
          </w:p>
        </w:tc>
        <w:tc>
          <w:tcPr>
            <w:tcW w:w="1530" w:type="dxa"/>
            <w:tcBorders>
              <w:left w:val="double" w:sz="4" w:space="0" w:color="auto"/>
            </w:tcBorders>
            <w:vAlign w:val="center"/>
          </w:tcPr>
          <w:p w14:paraId="64C687D7" w14:textId="4BE0C89D" w:rsidR="004F5769" w:rsidRPr="004F5769" w:rsidRDefault="004F5769" w:rsidP="0064374E">
            <w:pPr>
              <w:pStyle w:val="TableText"/>
            </w:pPr>
            <w:r w:rsidRPr="004F5769">
              <w:t>26</w:t>
            </w:r>
          </w:p>
        </w:tc>
      </w:tr>
      <w:tr w:rsidR="004F5769" w:rsidRPr="008120CD" w14:paraId="2ADA3C03" w14:textId="2F5631B3" w:rsidTr="004F5769">
        <w:trPr>
          <w:jc w:val="center"/>
        </w:trPr>
        <w:tc>
          <w:tcPr>
            <w:tcW w:w="1605" w:type="dxa"/>
            <w:tcBorders>
              <w:left w:val="double" w:sz="4" w:space="0" w:color="auto"/>
              <w:right w:val="double" w:sz="4" w:space="0" w:color="auto"/>
            </w:tcBorders>
            <w:vAlign w:val="center"/>
          </w:tcPr>
          <w:p w14:paraId="1EBE748C" w14:textId="77777777" w:rsidR="004F5769" w:rsidRPr="004F5769" w:rsidRDefault="004F5769" w:rsidP="0064374E">
            <w:pPr>
              <w:pStyle w:val="TableText"/>
            </w:pPr>
            <w:r w:rsidRPr="004F5769">
              <w:t>Total Energy Deposition</w:t>
            </w:r>
          </w:p>
          <w:p w14:paraId="216678B3" w14:textId="0B89DDBA" w:rsidR="004F5769" w:rsidRPr="004F5769" w:rsidRDefault="004F5769" w:rsidP="0064374E">
            <w:pPr>
              <w:pStyle w:val="TableText"/>
            </w:pPr>
            <w:r w:rsidRPr="004F5769">
              <w:t>[MJ]</w:t>
            </w:r>
          </w:p>
        </w:tc>
        <w:tc>
          <w:tcPr>
            <w:tcW w:w="1350" w:type="dxa"/>
            <w:tcBorders>
              <w:left w:val="double" w:sz="4" w:space="0" w:color="auto"/>
              <w:right w:val="double" w:sz="4" w:space="0" w:color="auto"/>
            </w:tcBorders>
            <w:vAlign w:val="center"/>
          </w:tcPr>
          <w:p w14:paraId="7331246B" w14:textId="3B4D0FC7" w:rsidR="004F5769" w:rsidRPr="004F5769" w:rsidRDefault="004F5769" w:rsidP="0064374E">
            <w:pPr>
              <w:pStyle w:val="TableText"/>
            </w:pPr>
            <w:r w:rsidRPr="004F5769">
              <w:t>1050</w:t>
            </w:r>
          </w:p>
        </w:tc>
        <w:tc>
          <w:tcPr>
            <w:tcW w:w="1350" w:type="dxa"/>
            <w:tcBorders>
              <w:left w:val="double" w:sz="4" w:space="0" w:color="auto"/>
              <w:right w:val="double" w:sz="4" w:space="0" w:color="auto"/>
            </w:tcBorders>
            <w:vAlign w:val="center"/>
          </w:tcPr>
          <w:p w14:paraId="3F4F2252" w14:textId="74B980FE" w:rsidR="004F5769" w:rsidRPr="004F5769" w:rsidRDefault="004F5769" w:rsidP="0064374E">
            <w:pPr>
              <w:pStyle w:val="TableText"/>
            </w:pPr>
            <w:r w:rsidRPr="004F5769">
              <w:t>1800</w:t>
            </w:r>
          </w:p>
        </w:tc>
        <w:tc>
          <w:tcPr>
            <w:tcW w:w="1530" w:type="dxa"/>
            <w:tcBorders>
              <w:left w:val="double" w:sz="4" w:space="0" w:color="auto"/>
            </w:tcBorders>
            <w:vAlign w:val="center"/>
          </w:tcPr>
          <w:p w14:paraId="59E46A98" w14:textId="2A2E8A46" w:rsidR="004F5769" w:rsidRPr="004F5769" w:rsidRDefault="004F5769" w:rsidP="0064374E">
            <w:pPr>
              <w:pStyle w:val="TableText"/>
            </w:pPr>
            <w:r w:rsidRPr="004F5769">
              <w:t>1400</w:t>
            </w:r>
          </w:p>
        </w:tc>
        <w:tc>
          <w:tcPr>
            <w:tcW w:w="1530" w:type="dxa"/>
            <w:tcBorders>
              <w:left w:val="double" w:sz="4" w:space="0" w:color="auto"/>
            </w:tcBorders>
            <w:vAlign w:val="center"/>
          </w:tcPr>
          <w:p w14:paraId="44597F36" w14:textId="567B6483" w:rsidR="004F5769" w:rsidRPr="004F5769" w:rsidRDefault="004F5769" w:rsidP="0064374E">
            <w:pPr>
              <w:pStyle w:val="TableText"/>
            </w:pPr>
            <w:r w:rsidRPr="004F5769">
              <w:t>1400</w:t>
            </w:r>
          </w:p>
        </w:tc>
        <w:tc>
          <w:tcPr>
            <w:tcW w:w="1530" w:type="dxa"/>
            <w:tcBorders>
              <w:left w:val="double" w:sz="4" w:space="0" w:color="auto"/>
            </w:tcBorders>
            <w:vAlign w:val="center"/>
          </w:tcPr>
          <w:p w14:paraId="18BD7DC4" w14:textId="56CBE18F" w:rsidR="004F5769" w:rsidRPr="004F5769" w:rsidRDefault="004F5769" w:rsidP="0064374E">
            <w:pPr>
              <w:pStyle w:val="TableText"/>
            </w:pPr>
            <w:r w:rsidRPr="004F5769">
              <w:t>1400</w:t>
            </w:r>
          </w:p>
        </w:tc>
      </w:tr>
      <w:tr w:rsidR="004F5769" w:rsidRPr="008120CD" w14:paraId="0B4755AF" w14:textId="388E8499" w:rsidTr="004F5769">
        <w:trPr>
          <w:jc w:val="center"/>
        </w:trPr>
        <w:tc>
          <w:tcPr>
            <w:tcW w:w="1605" w:type="dxa"/>
            <w:tcBorders>
              <w:left w:val="double" w:sz="4" w:space="0" w:color="auto"/>
              <w:right w:val="double" w:sz="4" w:space="0" w:color="auto"/>
            </w:tcBorders>
            <w:vAlign w:val="center"/>
          </w:tcPr>
          <w:p w14:paraId="113CFD0F" w14:textId="1BA0B9C9" w:rsidR="004F5769" w:rsidRPr="004F5769" w:rsidRDefault="004F5769" w:rsidP="0064374E">
            <w:pPr>
              <w:pStyle w:val="TableText"/>
            </w:pPr>
            <w:r w:rsidRPr="004F5769">
              <w:t>Critical Heat Flux Multiplier</w:t>
            </w:r>
          </w:p>
        </w:tc>
        <w:tc>
          <w:tcPr>
            <w:tcW w:w="1350" w:type="dxa"/>
            <w:tcBorders>
              <w:left w:val="double" w:sz="4" w:space="0" w:color="auto"/>
              <w:right w:val="double" w:sz="4" w:space="0" w:color="auto"/>
            </w:tcBorders>
            <w:vAlign w:val="center"/>
          </w:tcPr>
          <w:p w14:paraId="6BC4E43D" w14:textId="35F980CD" w:rsidR="004F5769" w:rsidRPr="004F5769" w:rsidRDefault="004F5769" w:rsidP="0064374E">
            <w:pPr>
              <w:pStyle w:val="TableText"/>
            </w:pPr>
            <w:r w:rsidRPr="004F5769">
              <w:t>1.202</w:t>
            </w:r>
          </w:p>
        </w:tc>
        <w:tc>
          <w:tcPr>
            <w:tcW w:w="1350" w:type="dxa"/>
            <w:tcBorders>
              <w:left w:val="double" w:sz="4" w:space="0" w:color="auto"/>
              <w:right w:val="double" w:sz="4" w:space="0" w:color="auto"/>
            </w:tcBorders>
            <w:vAlign w:val="center"/>
          </w:tcPr>
          <w:p w14:paraId="7B74F669" w14:textId="04075D3B" w:rsidR="004F5769" w:rsidRPr="004F5769" w:rsidRDefault="004F5769" w:rsidP="0064374E">
            <w:pPr>
              <w:pStyle w:val="TableText"/>
            </w:pPr>
            <w:r w:rsidRPr="004F5769">
              <w:t>1.261</w:t>
            </w:r>
          </w:p>
        </w:tc>
        <w:tc>
          <w:tcPr>
            <w:tcW w:w="1530" w:type="dxa"/>
            <w:tcBorders>
              <w:left w:val="double" w:sz="4" w:space="0" w:color="auto"/>
            </w:tcBorders>
            <w:vAlign w:val="center"/>
          </w:tcPr>
          <w:p w14:paraId="511E1CE5" w14:textId="232EC974" w:rsidR="004F5769" w:rsidRPr="004F5769" w:rsidRDefault="004F5769" w:rsidP="0064374E">
            <w:pPr>
              <w:pStyle w:val="TableText"/>
            </w:pPr>
            <w:r w:rsidRPr="004F5769">
              <w:t>1.223</w:t>
            </w:r>
          </w:p>
        </w:tc>
        <w:tc>
          <w:tcPr>
            <w:tcW w:w="1530" w:type="dxa"/>
            <w:tcBorders>
              <w:left w:val="double" w:sz="4" w:space="0" w:color="auto"/>
            </w:tcBorders>
            <w:vAlign w:val="center"/>
          </w:tcPr>
          <w:p w14:paraId="0C4DF541" w14:textId="54F32DF2" w:rsidR="004F5769" w:rsidRPr="004F5769" w:rsidRDefault="004F5769" w:rsidP="0064374E">
            <w:pPr>
              <w:pStyle w:val="TableText"/>
            </w:pPr>
            <w:r w:rsidRPr="004F5769">
              <w:t>1.264</w:t>
            </w:r>
          </w:p>
        </w:tc>
        <w:tc>
          <w:tcPr>
            <w:tcW w:w="1530" w:type="dxa"/>
            <w:tcBorders>
              <w:left w:val="double" w:sz="4" w:space="0" w:color="auto"/>
            </w:tcBorders>
            <w:vAlign w:val="center"/>
          </w:tcPr>
          <w:p w14:paraId="4E81A47E" w14:textId="10368FB5" w:rsidR="004F5769" w:rsidRPr="004F5769" w:rsidRDefault="004F5769" w:rsidP="0064374E">
            <w:pPr>
              <w:pStyle w:val="TableText"/>
            </w:pPr>
            <w:r w:rsidRPr="004F5769">
              <w:t>1.298</w:t>
            </w:r>
          </w:p>
        </w:tc>
      </w:tr>
    </w:tbl>
    <w:p w14:paraId="3848A989" w14:textId="77777777" w:rsidR="00D43F7F" w:rsidRDefault="00D43F7F"/>
    <w:p w14:paraId="6710D73C" w14:textId="1ABE47A4" w:rsidR="007C0023" w:rsidRDefault="007C0023">
      <w:pPr>
        <w:rPr>
          <w:b/>
          <w:bCs/>
          <w:i/>
          <w:szCs w:val="26"/>
        </w:rPr>
      </w:pPr>
      <w:r>
        <w:br w:type="page"/>
      </w:r>
    </w:p>
    <w:p w14:paraId="2FFF10F4" w14:textId="27C0CAE0" w:rsidR="00726A56" w:rsidRDefault="00726A56" w:rsidP="00726A56">
      <w:pPr>
        <w:keepNext/>
      </w:pPr>
      <w:r>
        <w:rPr>
          <w:noProof/>
        </w:rPr>
        <w:lastRenderedPageBreak/>
        <w:drawing>
          <wp:inline distT="0" distB="0" distL="0" distR="0" wp14:anchorId="673A2978" wp14:editId="3D55CFB7">
            <wp:extent cx="5943600" cy="44577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pic:cNvPicPr/>
                  </pic:nvPicPr>
                  <pic:blipFill>
                    <a:blip r:embed="rId33">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inline>
        </w:drawing>
      </w:r>
    </w:p>
    <w:p w14:paraId="1F8E3194" w14:textId="6AB410B7" w:rsidR="00726A56" w:rsidRDefault="00726A56" w:rsidP="00874CBB">
      <w:pPr>
        <w:pStyle w:val="Caption"/>
      </w:pPr>
      <w:bookmarkStart w:id="85" w:name="_Ref160894481"/>
      <w:bookmarkStart w:id="86" w:name="_Toc202957551"/>
      <w:r w:rsidRPr="009D2AA9">
        <w:t xml:space="preserve">Figure </w:t>
      </w:r>
      <w:fldSimple w:instr=" STYLEREF 1 \s ">
        <w:r w:rsidR="00BF7E93">
          <w:rPr>
            <w:noProof/>
          </w:rPr>
          <w:t>3</w:t>
        </w:r>
      </w:fldSimple>
      <w:r w:rsidRPr="009D2AA9">
        <w:t>.</w:t>
      </w:r>
      <w:fldSimple w:instr=" SEQ Figure \* ARABIC \s 1 ">
        <w:r w:rsidR="00BF7E93">
          <w:rPr>
            <w:noProof/>
          </w:rPr>
          <w:t>16</w:t>
        </w:r>
      </w:fldSimple>
      <w:bookmarkEnd w:id="85"/>
      <w:r w:rsidRPr="009D2AA9">
        <w:t xml:space="preserve">. </w:t>
      </w:r>
      <w:r>
        <w:t xml:space="preserve">CHF-SERTTA Experimental Campaign Test Matrix Transients </w:t>
      </w:r>
      <w:r>
        <w:fldChar w:fldCharType="begin"/>
      </w:r>
      <w:r w:rsidR="003026BC">
        <w:instrText xml:space="preserve"> ADDIN EN.CITE &lt;EndNote&gt;&lt;Cite&gt;&lt;Author&gt;Folsom&lt;/Author&gt;&lt;Year&gt;2022&lt;/Year&gt;&lt;RecNum&gt;199&lt;/RecNum&gt;&lt;DisplayText&gt;[45]&lt;/DisplayText&gt;&lt;record&gt;&lt;rec-number&gt;199&lt;/rec-number&gt;&lt;foreign-keys&gt;&lt;key app="EN" db-id="eseee05sfe5vt6efvr0xapvq20vfdsfp5fvf" timestamp="1665414997" guid="53a0dd99-22d5-40bc-b202-6314bbc4f200"&gt;199&lt;/key&gt;&lt;/foreign-keys&gt;&lt;ref-type name="Journal Article"&gt;17&lt;/ref-type&gt;&lt;contributors&gt;&lt;authors&gt;&lt;author&gt;Folsom, Charles P.&lt;/author&gt;&lt;author&gt;Armstrong, Robert J.&lt;/author&gt;&lt;author&gt;Woolstenhulme, Nicolas E.&lt;/author&gt;&lt;author&gt;Fleming, Austin D.&lt;/author&gt;&lt;author&gt;Hill, Connie M.&lt;/author&gt;&lt;author&gt;Jensen, Colby B.&lt;/author&gt;&lt;author&gt;Wachs, Daniel M.&lt;/author&gt;&lt;/authors&gt;&lt;/contributors&gt;&lt;titles&gt;&lt;title&gt;Design of separate-effects In-Pile transient boiling experiments at the TREAT Facility&lt;/title&gt;&lt;secondary-title&gt;Nuclear Engineering and Design&lt;/secondary-title&gt;&lt;/titles&gt;&lt;periodical&gt;&lt;full-title&gt;Nuclear Engineering and Design&lt;/full-title&gt;&lt;/periodical&gt;&lt;pages&gt;111919&lt;/pages&gt;&lt;volume&gt;397&lt;/volume&gt;&lt;keywords&gt;&lt;keyword&gt;Separate-effect testing&lt;/keyword&gt;&lt;keyword&gt;Transient boiling&lt;/keyword&gt;&lt;keyword&gt;Transient critical heat flux&lt;/keyword&gt;&lt;keyword&gt;Reactivity initiated accident&lt;/keyword&gt;&lt;keyword&gt;TREAT&lt;/keyword&gt;&lt;keyword&gt;LWR&lt;/keyword&gt;&lt;/keywords&gt;&lt;dates&gt;&lt;year&gt;2022&lt;/year&gt;&lt;pub-dates&gt;&lt;date&gt;2022/10/01/&lt;/date&gt;&lt;/pub-dates&gt;&lt;/dates&gt;&lt;isbn&gt;0029-5493&lt;/isbn&gt;&lt;urls&gt;&lt;related-urls&gt;&lt;url&gt;https://www.sciencedirect.com/science/article/pii/S0029549322002722&lt;/url&gt;&lt;/related-urls&gt;&lt;/urls&gt;&lt;electronic-resource-num&gt;https://doi.org/10.1016/j.nucengdes.2022.111919&lt;/electronic-resource-num&gt;&lt;/record&gt;&lt;/Cite&gt;&lt;/EndNote&gt;</w:instrText>
      </w:r>
      <w:r>
        <w:fldChar w:fldCharType="separate"/>
      </w:r>
      <w:r w:rsidR="003026BC">
        <w:rPr>
          <w:noProof/>
        </w:rPr>
        <w:t>[45]</w:t>
      </w:r>
      <w:r>
        <w:fldChar w:fldCharType="end"/>
      </w:r>
      <w:r>
        <w:t>.</w:t>
      </w:r>
      <w:bookmarkEnd w:id="86"/>
    </w:p>
    <w:p w14:paraId="2A33C80C" w14:textId="77777777" w:rsidR="00726A56" w:rsidRDefault="00726A56" w:rsidP="00726A56">
      <w:pPr>
        <w:keepNext/>
      </w:pPr>
    </w:p>
    <w:p w14:paraId="6BB6BC07" w14:textId="77777777" w:rsidR="00CA2169" w:rsidRDefault="00A04CB9" w:rsidP="00F22A75">
      <w:pPr>
        <w:pStyle w:val="Heading3"/>
        <w:spacing w:before="0" w:after="0"/>
      </w:pPr>
      <w:r>
        <w:br w:type="page"/>
      </w:r>
      <w:bookmarkStart w:id="87" w:name="_Toc202957461"/>
      <w:r w:rsidR="00CA2169">
        <w:lastRenderedPageBreak/>
        <w:t>Model Specification</w:t>
      </w:r>
      <w:bookmarkEnd w:id="87"/>
    </w:p>
    <w:p w14:paraId="5C5858D2" w14:textId="6D760730" w:rsidR="00CA2169" w:rsidRDefault="00CA2169" w:rsidP="00F22A75">
      <w:r>
        <w:t xml:space="preserve">Researchers at INL developed a coupled Monte Carlo N-Particle (MCNP) and RELAP5-3D model to simulate the transient CHF experimental test matrix </w:t>
      </w:r>
      <w:r>
        <w:fldChar w:fldCharType="begin"/>
      </w:r>
      <w:r>
        <w:instrText xml:space="preserve"> ADDIN EN.CITE &lt;EndNote&gt;&lt;Cite&gt;&lt;Author&gt;Folsom&lt;/Author&gt;&lt;Year&gt;2022&lt;/Year&gt;&lt;RecNum&gt;199&lt;/RecNum&gt;&lt;DisplayText&gt;[45]&lt;/DisplayText&gt;&lt;record&gt;&lt;rec-number&gt;199&lt;/rec-number&gt;&lt;foreign-keys&gt;&lt;key app="EN" db-id="eseee05sfe5vt6efvr0xapvq20vfdsfp5fvf" timestamp="1665414997" guid="53a0dd99-22d5-40bc-b202-6314bbc4f200"&gt;199&lt;/key&gt;&lt;/foreign-keys&gt;&lt;ref-type name="Journal Article"&gt;17&lt;/ref-type&gt;&lt;contributors&gt;&lt;authors&gt;&lt;author&gt;Folsom, Charles P.&lt;/author&gt;&lt;author&gt;Armstrong, Robert J.&lt;/author&gt;&lt;author&gt;Woolstenhulme, Nicolas E.&lt;/author&gt;&lt;author&gt;Fleming, Austin D.&lt;/author&gt;&lt;author&gt;Hill, Connie M.&lt;/author&gt;&lt;author&gt;Jensen, Colby B.&lt;/author&gt;&lt;author&gt;Wachs, Daniel M.&lt;/author&gt;&lt;/authors&gt;&lt;/contributors&gt;&lt;titles&gt;&lt;title&gt;Design of separate-effects In-Pile transient boiling experiments at the TREAT Facility&lt;/title&gt;&lt;secondary-title&gt;Nuclear Engineering and Design&lt;/secondary-title&gt;&lt;/titles&gt;&lt;periodical&gt;&lt;full-title&gt;Nuclear Engineering and Design&lt;/full-title&gt;&lt;/periodical&gt;&lt;pages&gt;111919&lt;/pages&gt;&lt;volume&gt;397&lt;/volume&gt;&lt;keywords&gt;&lt;keyword&gt;Separate-effect testing&lt;/keyword&gt;&lt;keyword&gt;Transient boiling&lt;/keyword&gt;&lt;keyword&gt;Transient critical heat flux&lt;/keyword&gt;&lt;keyword&gt;Reactivity initiated accident&lt;/keyword&gt;&lt;keyword&gt;TREAT&lt;/keyword&gt;&lt;keyword&gt;LWR&lt;/keyword&gt;&lt;/keywords&gt;&lt;dates&gt;&lt;year&gt;2022&lt;/year&gt;&lt;pub-dates&gt;&lt;date&gt;2022/10/01/&lt;/date&gt;&lt;/pub-dates&gt;&lt;/dates&gt;&lt;isbn&gt;0029-5493&lt;/isbn&gt;&lt;urls&gt;&lt;related-urls&gt;&lt;url&gt;https://www.sciencedirect.com/science/article/pii/S0029549322002722&lt;/url&gt;&lt;/related-urls&gt;&lt;/urls&gt;&lt;electronic-resource-num&gt;https://doi.org/10.1016/j.nucengdes.2022.111919&lt;/electronic-resource-num&gt;&lt;/record&gt;&lt;/Cite&gt;&lt;/EndNote&gt;</w:instrText>
      </w:r>
      <w:r>
        <w:fldChar w:fldCharType="separate"/>
      </w:r>
      <w:r>
        <w:rPr>
          <w:noProof/>
        </w:rPr>
        <w:t>[45]</w:t>
      </w:r>
      <w:r>
        <w:fldChar w:fldCharType="end"/>
      </w:r>
      <w:r>
        <w:t xml:space="preserve">. The MCNP model was used to generate axial and radial volumetric heating profiles that were applied to the RELAP5-3D model as the heat generation profile for the heater rodlet, then RELAP was run with a TREAT power pulse as the heater rod boundary condition to collect the transient data. A summary of both models can be found in the paper by Folsom et al. </w:t>
      </w:r>
      <w:r>
        <w:fldChar w:fldCharType="begin"/>
      </w:r>
      <w:r>
        <w:instrText xml:space="preserve"> ADDIN EN.CITE &lt;EndNote&gt;&lt;Cite&gt;&lt;Author&gt;Folsom&lt;/Author&gt;&lt;Year&gt;2022&lt;/Year&gt;&lt;RecNum&gt;199&lt;/RecNum&gt;&lt;DisplayText&gt;[45]&lt;/DisplayText&gt;&lt;record&gt;&lt;rec-number&gt;199&lt;/rec-number&gt;&lt;foreign-keys&gt;&lt;key app="EN" db-id="eseee05sfe5vt6efvr0xapvq20vfdsfp5fvf" timestamp="1665414997" guid="53a0dd99-22d5-40bc-b202-6314bbc4f200"&gt;199&lt;/key&gt;&lt;/foreign-keys&gt;&lt;ref-type name="Journal Article"&gt;17&lt;/ref-type&gt;&lt;contributors&gt;&lt;authors&gt;&lt;author&gt;Folsom, Charles P.&lt;/author&gt;&lt;author&gt;Armstrong, Robert J.&lt;/author&gt;&lt;author&gt;Woolstenhulme, Nicolas E.&lt;/author&gt;&lt;author&gt;Fleming, Austin D.&lt;/author&gt;&lt;author&gt;Hill, Connie M.&lt;/author&gt;&lt;author&gt;Jensen, Colby B.&lt;/author&gt;&lt;author&gt;Wachs, Daniel M.&lt;/author&gt;&lt;/authors&gt;&lt;/contributors&gt;&lt;titles&gt;&lt;title&gt;Design of separate-effects In-Pile transient boiling experiments at the TREAT Facility&lt;/title&gt;&lt;secondary-title&gt;Nuclear Engineering and Design&lt;/secondary-title&gt;&lt;/titles&gt;&lt;periodical&gt;&lt;full-title&gt;Nuclear Engineering and Design&lt;/full-title&gt;&lt;/periodical&gt;&lt;pages&gt;111919&lt;/pages&gt;&lt;volume&gt;397&lt;/volume&gt;&lt;keywords&gt;&lt;keyword&gt;Separate-effect testing&lt;/keyword&gt;&lt;keyword&gt;Transient boiling&lt;/keyword&gt;&lt;keyword&gt;Transient critical heat flux&lt;/keyword&gt;&lt;keyword&gt;Reactivity initiated accident&lt;/keyword&gt;&lt;keyword&gt;TREAT&lt;/keyword&gt;&lt;keyword&gt;LWR&lt;/keyword&gt;&lt;/keywords&gt;&lt;dates&gt;&lt;year&gt;2022&lt;/year&gt;&lt;pub-dates&gt;&lt;date&gt;2022/10/01/&lt;/date&gt;&lt;/pub-dates&gt;&lt;/dates&gt;&lt;isbn&gt;0029-5493&lt;/isbn&gt;&lt;urls&gt;&lt;related-urls&gt;&lt;url&gt;https://www.sciencedirect.com/science/article/pii/S0029549322002722&lt;/url&gt;&lt;/related-urls&gt;&lt;/urls&gt;&lt;electronic-resource-num&gt;https://doi.org/10.1016/j.nucengdes.2022.111919&lt;/electronic-resource-num&gt;&lt;/record&gt;&lt;/Cite&gt;&lt;/EndNote&gt;</w:instrText>
      </w:r>
      <w:r>
        <w:fldChar w:fldCharType="separate"/>
      </w:r>
      <w:r>
        <w:rPr>
          <w:noProof/>
        </w:rPr>
        <w:t>[45]</w:t>
      </w:r>
      <w:r>
        <w:fldChar w:fldCharType="end"/>
      </w:r>
      <w:r>
        <w:t xml:space="preserve">, and a more in-depth assessment of the MCNP model is provided by Hill et al. </w:t>
      </w:r>
      <w:r>
        <w:fldChar w:fldCharType="begin"/>
      </w:r>
      <w:r>
        <w:instrText xml:space="preserve"> ADDIN EN.CITE &lt;EndNote&gt;&lt;Cite&gt;&lt;Author&gt;Hill&lt;/Author&gt;&lt;Year&gt;2023&lt;/Year&gt;&lt;RecNum&gt;334&lt;/RecNum&gt;&lt;DisplayText&gt;[115]&lt;/DisplayText&gt;&lt;record&gt;&lt;rec-number&gt;334&lt;/rec-number&gt;&lt;foreign-keys&gt;&lt;key app="EN" db-id="eseee05sfe5vt6efvr0xapvq20vfdsfp5fvf" timestamp="1696882580" guid="9bfcb17e-d151-405b-8849-aa473dbaa459"&gt;334&lt;/key&gt;&lt;/foreign-keys&gt;&lt;ref-type name="Journal Article"&gt;17&lt;/ref-type&gt;&lt;contributors&gt;&lt;authors&gt;&lt;author&gt;Hill, Connie M.&lt;/author&gt;&lt;author&gt;Folsom, Charles P.&lt;/author&gt;&lt;author&gt;Fleming, Austin D.&lt;/author&gt;&lt;author&gt;Armstrong, Robert J.&lt;/author&gt;&lt;author&gt;Woolstenhulme, Nicolas E.&lt;/author&gt;&lt;author&gt;Fishler, Joshua D.&lt;/author&gt;&lt;author&gt;Bess, John D.&lt;/author&gt;&lt;author&gt;Hernandez, Richard&lt;/author&gt;&lt;author&gt;Brown, Nicholas R.&lt;/author&gt;&lt;author&gt;Jensen, Colby B.&lt;/author&gt;&lt;/authors&gt;&lt;/contributors&gt;&lt;titles&gt;&lt;title&gt;A non-fueled nuclear-heated rod for in-pile transient boiling studies&lt;/title&gt;&lt;secondary-title&gt;Nuclear Engineering and Design&lt;/secondary-title&gt;&lt;/titles&gt;&lt;periodical&gt;&lt;full-title&gt;Nuclear Engineering and Design&lt;/full-title&gt;&lt;/periodical&gt;&lt;pages&gt;112508&lt;/pages&gt;&lt;volume&gt;414&lt;/volume&gt;&lt;keywords&gt;&lt;keyword&gt;Critical Heat Flux&lt;/keyword&gt;&lt;keyword&gt;TREAT&lt;/keyword&gt;&lt;keyword&gt;LWR&lt;/keyword&gt;&lt;keyword&gt;RISA&lt;/keyword&gt;&lt;/keywords&gt;&lt;dates&gt;&lt;year&gt;2023&lt;/year&gt;&lt;pub-dates&gt;&lt;date&gt;2023/12/01/&lt;/date&gt;&lt;/pub-dates&gt;&lt;/dates&gt;&lt;isbn&gt;0029-5493&lt;/isbn&gt;&lt;urls&gt;&lt;related-urls&gt;&lt;url&gt;https://www.sciencedirect.com/science/article/pii/S0029549323003576&lt;/url&gt;&lt;/related-urls&gt;&lt;/urls&gt;&lt;electronic-resource-num&gt;https://doi.org/10.1016/j.nucengdes.2023.112508&lt;/electronic-resource-num&gt;&lt;/record&gt;&lt;/Cite&gt;&lt;/EndNote&gt;</w:instrText>
      </w:r>
      <w:r>
        <w:fldChar w:fldCharType="separate"/>
      </w:r>
      <w:r>
        <w:rPr>
          <w:noProof/>
        </w:rPr>
        <w:t>[115]</w:t>
      </w:r>
      <w:r>
        <w:fldChar w:fldCharType="end"/>
      </w:r>
      <w:r>
        <w:t xml:space="preserve">. A simplified nodalization diagram of the CHF-SERTTA capsule, and a nodalization diagram of the hourglass shaped borated heater rod can be found in </w:t>
      </w:r>
      <w:r w:rsidRPr="005E68D7">
        <w:rPr>
          <w:b/>
          <w:bCs/>
        </w:rPr>
        <w:fldChar w:fldCharType="begin"/>
      </w:r>
      <w:r w:rsidRPr="005E68D7">
        <w:rPr>
          <w:b/>
          <w:bCs/>
        </w:rPr>
        <w:instrText xml:space="preserve"> REF _Ref160894517 \h </w:instrText>
      </w:r>
      <w:r>
        <w:rPr>
          <w:b/>
          <w:bCs/>
        </w:rPr>
        <w:instrText xml:space="preserve"> \* MERGEFORMAT </w:instrText>
      </w:r>
      <w:r w:rsidRPr="005E68D7">
        <w:rPr>
          <w:b/>
          <w:bCs/>
        </w:rPr>
      </w:r>
      <w:r w:rsidRPr="005E68D7">
        <w:rPr>
          <w:b/>
          <w:bCs/>
        </w:rPr>
        <w:fldChar w:fldCharType="separate"/>
      </w:r>
      <w:r w:rsidR="00BF7E93" w:rsidRPr="00BF7E93">
        <w:rPr>
          <w:b/>
          <w:bCs/>
        </w:rPr>
        <w:t xml:space="preserve">Figure </w:t>
      </w:r>
      <w:r w:rsidR="00BF7E93" w:rsidRPr="00BF7E93">
        <w:rPr>
          <w:b/>
          <w:bCs/>
          <w:noProof/>
        </w:rPr>
        <w:t>3.17</w:t>
      </w:r>
      <w:r w:rsidRPr="005E68D7">
        <w:rPr>
          <w:b/>
          <w:bCs/>
        </w:rPr>
        <w:fldChar w:fldCharType="end"/>
      </w:r>
      <w:r>
        <w:t xml:space="preserve">. </w:t>
      </w:r>
    </w:p>
    <w:p w14:paraId="24F33520" w14:textId="77777777" w:rsidR="00CA2169" w:rsidRDefault="00CA2169" w:rsidP="00F22A75">
      <w:pPr>
        <w:pStyle w:val="Heading3"/>
        <w:spacing w:before="0" w:after="0"/>
      </w:pPr>
      <w:bookmarkStart w:id="88" w:name="_Toc202957462"/>
      <w:r>
        <w:t>Sensitivity Analysis</w:t>
      </w:r>
      <w:bookmarkEnd w:id="88"/>
    </w:p>
    <w:p w14:paraId="2149C4D3" w14:textId="77777777" w:rsidR="00CA2169" w:rsidRDefault="00CA2169" w:rsidP="00F22A75">
      <w:r>
        <w:t xml:space="preserve">I used the model developed by INL for the CHF-SERTTA capsule to perform a sensitivity analysis using the same inputs and FOMs from the TRTL analysis. The model inputs considered include the boiling </w:t>
      </w:r>
      <w:r w:rsidRPr="002250AE">
        <w:t>heat transfer and CHF multipliers, and the thermal properties of the cladding</w:t>
      </w:r>
      <w:r>
        <w:t xml:space="preserve">. The </w:t>
      </w:r>
      <w:r w:rsidRPr="002250AE">
        <w:t xml:space="preserve">FoMs </w:t>
      </w:r>
      <w:r>
        <w:t>are</w:t>
      </w:r>
      <w:r w:rsidRPr="002250AE">
        <w:t xml:space="preserve"> the peak cladding heat flux, the peak cladding temperature, the time of CHF occurrence, and the time of cladding rewetting. </w:t>
      </w:r>
    </w:p>
    <w:p w14:paraId="26108EF9" w14:textId="77777777" w:rsidR="00CA2169" w:rsidRDefault="00CA2169" w:rsidP="00F22A75">
      <w:r>
        <w:t>There is no reported uncertainty of the thermal properties of the borated stainless steel, specifically volumetric heat capacity and thermal conductivity, used for the treat CHF experiments. To estimate thermal property uncertainty,</w:t>
      </w:r>
      <w:r w:rsidRPr="002250AE">
        <w:t xml:space="preserve"> thermal properties from the initial model were replaced</w:t>
      </w:r>
      <w:r>
        <w:t xml:space="preserve"> with that of SS304 empirically fit by Kim, using a constant density</w:t>
      </w:r>
    </w:p>
    <w:p w14:paraId="50BFD5BB" w14:textId="4F4FC425" w:rsidR="00CA2169" w:rsidRDefault="00CA2169" w:rsidP="00F22A75">
      <w:r>
        <w:t xml:space="preserve">within the solid phase </w:t>
      </w:r>
      <w:r>
        <w:fldChar w:fldCharType="begin"/>
      </w:r>
      <w:r>
        <w:instrText xml:space="preserve"> ADDIN EN.CITE &lt;EndNote&gt;&lt;Cite&gt;&lt;Author&gt;Kim&lt;/Author&gt;&lt;Year&gt;1975&lt;/Year&gt;&lt;RecNum&gt;185&lt;/RecNum&gt;&lt;DisplayText&gt;[107]&lt;/DisplayText&gt;&lt;record&gt;&lt;rec-number&gt;185&lt;/rec-number&gt;&lt;foreign-keys&gt;&lt;key app="EN" db-id="eseee05sfe5vt6efvr0xapvq20vfdsfp5fvf" timestamp="1661187710" guid="841b89de-4d20-4884-8fe6-ed5f17eb0664"&gt;185&lt;/key&gt;&lt;/foreign-keys&gt;&lt;ref-type name="Book"&gt;6&lt;/ref-type&gt;&lt;contributors&gt;&lt;authors&gt;&lt;author&gt;Kim, C. S.&lt;/author&gt;&lt;/authors&gt;&lt;/contributors&gt;&lt;titles&gt;&lt;title&gt;Thermophysical properties of stainless steels&lt;/title&gt;&lt;/titles&gt;&lt;section&gt;1-22&lt;/section&gt;&lt;keywords&gt;&lt;keyword&gt;N50230* -Metals, Ceramics, &amp;amp; Other Materials-Metals &amp;amp; Alloys-Properties, Structure &amp;amp; Phase Studies&lt;/keyword&gt;&lt;keyword&gt;360104* -Materials-Metals &amp;amp; Alloys-Physical Properties&lt;/keyword&gt;&lt;keyword&gt;*STAINLESS STEEL- 316L- THERMODYNAMIC PROPERTIES&lt;/keyword&gt;&lt;keyword&gt;*STAINLESS STEEL-304L- THERMODYNAMIC PROPERTIES&lt;/keyword&gt;&lt;keyword&gt;DATA COMPILATION&lt;/keyword&gt;&lt;keyword&gt;DENSITY&lt;/keyword&gt;&lt;keyword&gt;ENTHALPY&lt;/keyword&gt;&lt;keyword&gt;ENTROPY&lt;/keyword&gt;&lt;keyword&gt;SPECIFIC HEAT&lt;/keyword&gt;&lt;keyword&gt;TABLES&lt;/keyword&gt;&lt;keyword&gt;THERMAL CONDUCTIVITY&lt;/keyword&gt;&lt;keyword&gt;THERMAL EXPANSION&lt;/keyword&gt;&lt;keyword&gt;VAPOR PRESSURE&lt;/keyword&gt;&lt;keyword&gt;VISCOSITY&lt;/keyword&gt;&lt;/keywords&gt;&lt;dates&gt;&lt;year&gt;1975&lt;/year&gt;&lt;pub-dates&gt;&lt;date&gt;Sept.&lt;/date&gt;&lt;/pub-dates&gt;&lt;/dates&gt;&lt;pub-location&gt;United States&lt;/pub-location&gt;&lt;publisher&gt;Argonne National Laboratory Chemical Engineering Division&lt;/publisher&gt;&lt;urls&gt;&lt;related-urls&gt;&lt;url&gt;https://www.osti.gov/biblio/4152287&lt;/url&gt;&lt;url&gt;https://www.osti.gov/servlets/purl/4152287&lt;/url&gt;&lt;/related-urls&gt;&lt;/urls&gt;&lt;custom1&gt;Research Org.: Argonne National Lab., Ill. (USA)&lt;/custom1&gt;&lt;custom2&gt;Sponsor Org.: USDOE&lt;/custom2&gt;&lt;custom3&gt;Report Number: ANL-75-55&lt;/custom3&gt;&lt;custom4&gt;Contract Number: W-31-109-ENG-38&lt;/custom4&gt;&lt;custom5&gt;Availability: Dep. NTIS&lt;/custom5&gt;&lt;electronic-resource-num&gt;https://doi.org/10.2172/4152287&lt;/electronic-resource-num&gt;&lt;language&gt;English&lt;/language&gt;&lt;/record&gt;&lt;/Cite&gt;&lt;/EndNote&gt;</w:instrText>
      </w:r>
      <w:r>
        <w:fldChar w:fldCharType="separate"/>
      </w:r>
      <w:r>
        <w:rPr>
          <w:noProof/>
        </w:rPr>
        <w:t>[107]</w:t>
      </w:r>
      <w:r>
        <w:fldChar w:fldCharType="end"/>
      </w:r>
      <w:r>
        <w:t>. The properties of SS304 and borated stainless steel are</w:t>
      </w:r>
    </w:p>
    <w:p w14:paraId="58A7B063" w14:textId="77777777" w:rsidR="00A04CB9" w:rsidRDefault="00A04CB9">
      <w:pPr>
        <w:rPr>
          <w:b/>
          <w:bCs/>
          <w:i/>
          <w:szCs w:val="26"/>
        </w:rPr>
      </w:pPr>
    </w:p>
    <w:p w14:paraId="483EA9ED" w14:textId="77777777" w:rsidR="00600E41" w:rsidRDefault="00600E41" w:rsidP="00600E41">
      <w:pPr>
        <w:keepNext/>
        <w:jc w:val="center"/>
        <w:rPr>
          <w:noProof/>
        </w:rPr>
      </w:pPr>
      <w:r>
        <w:rPr>
          <w:noProof/>
        </w:rPr>
        <w:drawing>
          <wp:inline distT="0" distB="0" distL="0" distR="0" wp14:anchorId="3BC7AB86" wp14:editId="760C14A2">
            <wp:extent cx="2134661" cy="4257529"/>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34">
                      <a:extLst>
                        <a:ext uri="{28A0092B-C50C-407E-A947-70E740481C1C}">
                          <a14:useLocalDpi xmlns:a14="http://schemas.microsoft.com/office/drawing/2010/main" val="0"/>
                        </a:ext>
                      </a:extLst>
                    </a:blip>
                    <a:stretch>
                      <a:fillRect/>
                    </a:stretch>
                  </pic:blipFill>
                  <pic:spPr>
                    <a:xfrm>
                      <a:off x="0" y="0"/>
                      <a:ext cx="2134661" cy="4257529"/>
                    </a:xfrm>
                    <a:prstGeom prst="rect">
                      <a:avLst/>
                    </a:prstGeom>
                  </pic:spPr>
                </pic:pic>
              </a:graphicData>
            </a:graphic>
          </wp:inline>
        </w:drawing>
      </w:r>
      <w:r>
        <w:rPr>
          <w:noProof/>
        </w:rPr>
        <w:t xml:space="preserve">                 </w:t>
      </w:r>
      <w:r w:rsidRPr="00811ABC">
        <w:rPr>
          <w:noProof/>
        </w:rPr>
        <w:t xml:space="preserve"> </w:t>
      </w:r>
      <w:r>
        <w:rPr>
          <w:noProof/>
        </w:rPr>
        <w:drawing>
          <wp:inline distT="0" distB="0" distL="0" distR="0" wp14:anchorId="48808CB4" wp14:editId="06A2A6FE">
            <wp:extent cx="2185681" cy="4253218"/>
            <wp:effectExtent l="0" t="0" r="0" b="190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a:blip r:embed="rId35">
                      <a:extLst>
                        <a:ext uri="{28A0092B-C50C-407E-A947-70E740481C1C}">
                          <a14:useLocalDpi xmlns:a14="http://schemas.microsoft.com/office/drawing/2010/main" val="0"/>
                        </a:ext>
                      </a:extLst>
                    </a:blip>
                    <a:stretch>
                      <a:fillRect/>
                    </a:stretch>
                  </pic:blipFill>
                  <pic:spPr>
                    <a:xfrm>
                      <a:off x="0" y="0"/>
                      <a:ext cx="2185681" cy="4253218"/>
                    </a:xfrm>
                    <a:prstGeom prst="rect">
                      <a:avLst/>
                    </a:prstGeom>
                  </pic:spPr>
                </pic:pic>
              </a:graphicData>
            </a:graphic>
          </wp:inline>
        </w:drawing>
      </w:r>
    </w:p>
    <w:p w14:paraId="2709BDEB" w14:textId="27C82CE4" w:rsidR="00600E41" w:rsidRDefault="00600E41" w:rsidP="00874CBB">
      <w:pPr>
        <w:pStyle w:val="Caption"/>
      </w:pPr>
      <w:bookmarkStart w:id="89" w:name="_Ref160894517"/>
      <w:bookmarkStart w:id="90" w:name="_Toc202957552"/>
      <w:r w:rsidRPr="009D2AA9">
        <w:t xml:space="preserve">Figure </w:t>
      </w:r>
      <w:fldSimple w:instr=" STYLEREF 1 \s ">
        <w:r w:rsidR="00BF7E93">
          <w:rPr>
            <w:noProof/>
          </w:rPr>
          <w:t>3</w:t>
        </w:r>
      </w:fldSimple>
      <w:r w:rsidRPr="009D2AA9">
        <w:t>.</w:t>
      </w:r>
      <w:fldSimple w:instr=" SEQ Figure \* ARABIC \s 1 ">
        <w:r w:rsidR="00BF7E93">
          <w:rPr>
            <w:noProof/>
          </w:rPr>
          <w:t>17</w:t>
        </w:r>
      </w:fldSimple>
      <w:bookmarkEnd w:id="89"/>
      <w:r w:rsidRPr="009D2AA9">
        <w:t xml:space="preserve">. </w:t>
      </w:r>
      <w:r>
        <w:t xml:space="preserve">CHF-SERTTA Capsule (Left) Nodalization Diagram (Right) Borated Heater Rod Nodalization as Designed by Folsom et. al. </w:t>
      </w:r>
      <w:r>
        <w:fldChar w:fldCharType="begin"/>
      </w:r>
      <w:r w:rsidR="003026BC">
        <w:instrText xml:space="preserve"> ADDIN EN.CITE &lt;EndNote&gt;&lt;Cite&gt;&lt;Author&gt;Folsom&lt;/Author&gt;&lt;Year&gt;2022&lt;/Year&gt;&lt;RecNum&gt;199&lt;/RecNum&gt;&lt;DisplayText&gt;[45]&lt;/DisplayText&gt;&lt;record&gt;&lt;rec-number&gt;199&lt;/rec-number&gt;&lt;foreign-keys&gt;&lt;key app="EN" db-id="eseee05sfe5vt6efvr0xapvq20vfdsfp5fvf" timestamp="1665414997" guid="53a0dd99-22d5-40bc-b202-6314bbc4f200"&gt;199&lt;/key&gt;&lt;/foreign-keys&gt;&lt;ref-type name="Journal Article"&gt;17&lt;/ref-type&gt;&lt;contributors&gt;&lt;authors&gt;&lt;author&gt;Folsom, Charles P.&lt;/author&gt;&lt;author&gt;Armstrong, Robert J.&lt;/author&gt;&lt;author&gt;Woolstenhulme, Nicolas E.&lt;/author&gt;&lt;author&gt;Fleming, Austin D.&lt;/author&gt;&lt;author&gt;Hill, Connie M.&lt;/author&gt;&lt;author&gt;Jensen, Colby B.&lt;/author&gt;&lt;author&gt;Wachs, Daniel M.&lt;/author&gt;&lt;/authors&gt;&lt;/contributors&gt;&lt;titles&gt;&lt;title&gt;Design of separate-effects In-Pile transient boiling experiments at the TREAT Facility&lt;/title&gt;&lt;secondary-title&gt;Nuclear Engineering and Design&lt;/secondary-title&gt;&lt;/titles&gt;&lt;periodical&gt;&lt;full-title&gt;Nuclear Engineering and Design&lt;/full-title&gt;&lt;/periodical&gt;&lt;pages&gt;111919&lt;/pages&gt;&lt;volume&gt;397&lt;/volume&gt;&lt;keywords&gt;&lt;keyword&gt;Separate-effect testing&lt;/keyword&gt;&lt;keyword&gt;Transient boiling&lt;/keyword&gt;&lt;keyword&gt;Transient critical heat flux&lt;/keyword&gt;&lt;keyword&gt;Reactivity initiated accident&lt;/keyword&gt;&lt;keyword&gt;TREAT&lt;/keyword&gt;&lt;keyword&gt;LWR&lt;/keyword&gt;&lt;/keywords&gt;&lt;dates&gt;&lt;year&gt;2022&lt;/year&gt;&lt;pub-dates&gt;&lt;date&gt;2022/10/01/&lt;/date&gt;&lt;/pub-dates&gt;&lt;/dates&gt;&lt;isbn&gt;0029-5493&lt;/isbn&gt;&lt;urls&gt;&lt;related-urls&gt;&lt;url&gt;https://www.sciencedirect.com/science/article/pii/S0029549322002722&lt;/url&gt;&lt;/related-urls&gt;&lt;/urls&gt;&lt;electronic-resource-num&gt;https://doi.org/10.1016/j.nucengdes.2022.111919&lt;/electronic-resource-num&gt;&lt;/record&gt;&lt;/Cite&gt;&lt;/EndNote&gt;</w:instrText>
      </w:r>
      <w:r>
        <w:fldChar w:fldCharType="separate"/>
      </w:r>
      <w:r w:rsidR="003026BC">
        <w:rPr>
          <w:noProof/>
        </w:rPr>
        <w:t>[45]</w:t>
      </w:r>
      <w:r>
        <w:fldChar w:fldCharType="end"/>
      </w:r>
      <w:r>
        <w:t>.</w:t>
      </w:r>
      <w:bookmarkEnd w:id="90"/>
    </w:p>
    <w:p w14:paraId="0B86AA44" w14:textId="77777777" w:rsidR="00600E41" w:rsidRDefault="00600E41">
      <w:r>
        <w:br w:type="page"/>
      </w:r>
    </w:p>
    <w:p w14:paraId="05FF0882" w14:textId="77777777" w:rsidR="00274F73" w:rsidRDefault="00CA2169" w:rsidP="00D43F7F">
      <w:r>
        <w:lastRenderedPageBreak/>
        <w:t xml:space="preserve">comparable, with less than 5% relative error between the empirical data of SS304 until the maximum reported temperature of 1200K. </w:t>
      </w:r>
    </w:p>
    <w:p w14:paraId="261558DC" w14:textId="798750D0" w:rsidR="002C1405" w:rsidRDefault="002C1405" w:rsidP="00D43F7F">
      <w:r>
        <w:t xml:space="preserve">The uncertainty range for each of the remaining parameters is the same as previously discussed within the TRTL sensitivity analysis, but with the implementation of an empirical CHF correlation for pool boiling rather than flow boiling. The implemented correlation, given by Equation </w:t>
      </w:r>
      <w:r>
        <w:fldChar w:fldCharType="begin"/>
      </w:r>
      <w:r>
        <w:instrText xml:space="preserve"> REF _Ref160894588 \h </w:instrText>
      </w:r>
      <w:r>
        <w:fldChar w:fldCharType="separate"/>
      </w:r>
      <w:r w:rsidR="00BF7E93">
        <w:rPr>
          <w:noProof/>
        </w:rPr>
        <w:t>14</w:t>
      </w:r>
      <w:r>
        <w:fldChar w:fldCharType="end"/>
      </w:r>
      <w:r>
        <w:t xml:space="preserve">, was developed by Sakurai for liquid subcooling ranging from 60-80 K matching the range of subcooling for the experimental test matrix </w:t>
      </w:r>
      <w:r>
        <w:fldChar w:fldCharType="begin"/>
      </w:r>
      <w:r w:rsidR="003026BC">
        <w:instrText xml:space="preserve"> ADDIN EN.CITE &lt;EndNote&gt;&lt;Cite&gt;&lt;Author&gt;Sakurai&lt;/Author&gt;&lt;Year&gt;2000&lt;/Year&gt;&lt;RecNum&gt;196&lt;/RecNum&gt;&lt;DisplayText&gt;[50]&lt;/DisplayText&gt;&lt;record&gt;&lt;rec-number&gt;196&lt;/rec-number&gt;&lt;foreign-keys&gt;&lt;key app="EN" db-id="eseee05sfe5vt6efvr0xapvq20vfdsfp5fvf" timestamp="1663769128" guid="f3559ff4-46b9-4fff-80a6-b33a376a6afa"&gt;196&lt;/key&gt;&lt;/foreign-keys&gt;&lt;ref-type name="Journal Article"&gt;17&lt;/ref-type&gt;&lt;contributors&gt;&lt;authors&gt;&lt;author&gt;Sakurai, A.&lt;/author&gt;&lt;/authors&gt;&lt;/contributors&gt;&lt;titles&gt;&lt;title&gt;Mechanisms of transitions to film boiling at CHFs in subcooled and pressurized liquids due to steady and increasing heat inputs&lt;/title&gt;&lt;secondary-title&gt;Nuclear Engineering and Design&lt;/secondary-title&gt;&lt;/titles&gt;&lt;periodical&gt;&lt;full-title&gt;Nuclear Engineering and Design&lt;/full-title&gt;&lt;/periodical&gt;&lt;pages&gt;301-356&lt;/pages&gt;&lt;volume&gt;197&lt;/volume&gt;&lt;number&gt;3&lt;/number&gt;&lt;dates&gt;&lt;year&gt;2000&lt;/year&gt;&lt;pub-dates&gt;&lt;date&gt;2000/05/01/&lt;/date&gt;&lt;/pub-dates&gt;&lt;/dates&gt;&lt;isbn&gt;0029-5493&lt;/isbn&gt;&lt;urls&gt;&lt;related-urls&gt;&lt;url&gt;https://www.sciencedirect.com/science/article/pii/S0029549399003143&lt;/url&gt;&lt;/related-urls&gt;&lt;/urls&gt;&lt;electronic-resource-num&gt;https://doi.org/10.1016/S0029-5493(99)00314-3&lt;/electronic-resource-num&gt;&lt;/record&gt;&lt;/Cite&gt;&lt;/EndNote&gt;</w:instrText>
      </w:r>
      <w:r>
        <w:fldChar w:fldCharType="separate"/>
      </w:r>
      <w:r w:rsidR="003026BC">
        <w:rPr>
          <w:noProof/>
        </w:rPr>
        <w:t>[50]</w:t>
      </w:r>
      <w:r>
        <w:fldChar w:fldCharType="end"/>
      </w:r>
      <w:r>
        <w:t xml:space="preserve">. </w:t>
      </w:r>
    </w:p>
    <w:tbl>
      <w:tblPr>
        <w:tblStyle w:val="TableGrid"/>
        <w:tblW w:w="86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0"/>
        <w:gridCol w:w="7451"/>
        <w:gridCol w:w="561"/>
      </w:tblGrid>
      <w:tr w:rsidR="002C1405" w:rsidRPr="003B3750" w14:paraId="1CA041DE" w14:textId="77777777" w:rsidTr="00AE2101">
        <w:tc>
          <w:tcPr>
            <w:tcW w:w="590" w:type="dxa"/>
            <w:vAlign w:val="center"/>
          </w:tcPr>
          <w:p w14:paraId="1BFEA559" w14:textId="77777777" w:rsidR="002C1405" w:rsidRPr="00E1335E" w:rsidRDefault="002C1405" w:rsidP="00274F73">
            <w:pPr>
              <w:pStyle w:val="Equation"/>
            </w:pPr>
          </w:p>
        </w:tc>
        <w:tc>
          <w:tcPr>
            <w:tcW w:w="7451" w:type="dxa"/>
            <w:vAlign w:val="center"/>
          </w:tcPr>
          <w:p w14:paraId="131A0E5E" w14:textId="77777777" w:rsidR="002C1405" w:rsidRPr="003B3750" w:rsidRDefault="00000000" w:rsidP="00274F73">
            <w:pPr>
              <w:pStyle w:val="Equation"/>
            </w:pPr>
            <m:oMathPara>
              <m:oMath>
                <m:sSub>
                  <m:sSubPr>
                    <m:ctrlPr>
                      <w:rPr>
                        <w:rFonts w:ascii="Cambria Math" w:hAnsi="Cambria Math"/>
                      </w:rPr>
                    </m:ctrlPr>
                  </m:sSubPr>
                  <m:e>
                    <m:r>
                      <w:rPr>
                        <w:rFonts w:ascii="Cambria Math" w:hAnsi="Cambria Math"/>
                      </w:rPr>
                      <m:t>q</m:t>
                    </m:r>
                  </m:e>
                  <m:sub>
                    <m:r>
                      <w:rPr>
                        <w:rFonts w:ascii="Cambria Math" w:hAnsi="Cambria Math"/>
                      </w:rPr>
                      <m:t>tr</m:t>
                    </m:r>
                  </m:sub>
                </m:sSub>
                <m:r>
                  <m:rPr>
                    <m:sty m:val="p"/>
                  </m:rPr>
                  <w:rPr>
                    <w:rFonts w:ascii="Cambria Math" w:hAnsi="Cambria Math"/>
                  </w:rPr>
                  <m:t>=</m:t>
                </m:r>
                <m:sSub>
                  <m:sSubPr>
                    <m:ctrlPr>
                      <w:rPr>
                        <w:rFonts w:ascii="Cambria Math" w:hAnsi="Cambria Math"/>
                      </w:rPr>
                    </m:ctrlPr>
                  </m:sSubPr>
                  <m:e>
                    <m:r>
                      <w:rPr>
                        <w:rFonts w:ascii="Cambria Math" w:hAnsi="Cambria Math"/>
                      </w:rPr>
                      <m:t>q</m:t>
                    </m:r>
                  </m:e>
                  <m:sub>
                    <m:r>
                      <w:rPr>
                        <w:rFonts w:ascii="Cambria Math" w:hAnsi="Cambria Math"/>
                      </w:rPr>
                      <m:t>st</m:t>
                    </m:r>
                  </m:sub>
                </m:sSub>
                <m:r>
                  <m:rPr>
                    <m:sty m:val="p"/>
                  </m:rPr>
                  <w:rPr>
                    <w:rFonts w:ascii="Cambria Math" w:hAnsi="Cambria Math"/>
                  </w:rPr>
                  <m:t>[1+2.3×</m:t>
                </m:r>
                <m:sSup>
                  <m:sSupPr>
                    <m:ctrlPr>
                      <w:rPr>
                        <w:rFonts w:ascii="Cambria Math" w:hAnsi="Cambria Math"/>
                      </w:rPr>
                    </m:ctrlPr>
                  </m:sSupPr>
                  <m:e>
                    <m:r>
                      <m:rPr>
                        <m:sty m:val="p"/>
                      </m:rPr>
                      <w:rPr>
                        <w:rFonts w:ascii="Cambria Math" w:hAnsi="Cambria Math"/>
                      </w:rPr>
                      <m:t>10</m:t>
                    </m:r>
                  </m:e>
                  <m:sup>
                    <m:r>
                      <m:rPr>
                        <m:sty m:val="p"/>
                      </m:rPr>
                      <w:rPr>
                        <w:rFonts w:ascii="Cambria Math" w:hAnsi="Cambria Math"/>
                      </w:rPr>
                      <m:t>-2</m:t>
                    </m:r>
                  </m:sup>
                </m:sSup>
                <m:sSup>
                  <m:sSupPr>
                    <m:ctrlPr>
                      <w:rPr>
                        <w:rFonts w:ascii="Cambria Math" w:hAnsi="Cambria Math"/>
                      </w:rPr>
                    </m:ctrlPr>
                  </m:sSupPr>
                  <m:e>
                    <m:r>
                      <m:rPr>
                        <m:sty m:val="p"/>
                      </m:rPr>
                      <w:rPr>
                        <w:rFonts w:ascii="Cambria Math" w:hAnsi="Cambria Math"/>
                      </w:rPr>
                      <m:t>(</m:t>
                    </m:r>
                    <m:r>
                      <w:rPr>
                        <w:rFonts w:ascii="Cambria Math" w:hAnsi="Cambria Math"/>
                      </w:rPr>
                      <m:t>τ</m:t>
                    </m:r>
                  </m:e>
                  <m:sup>
                    <m:r>
                      <m:rPr>
                        <m:sty m:val="p"/>
                      </m:rPr>
                      <w:rPr>
                        <w:rFonts w:ascii="Cambria Math" w:hAnsi="Cambria Math"/>
                      </w:rPr>
                      <m:t>-0.7</m:t>
                    </m:r>
                  </m:sup>
                </m:sSup>
                <m:r>
                  <m:rPr>
                    <m:sty m:val="p"/>
                  </m:rPr>
                  <w:rPr>
                    <w:rFonts w:ascii="Cambria Math" w:hAnsi="Cambria Math"/>
                  </w:rPr>
                  <m:t>)]</m:t>
                </m:r>
              </m:oMath>
            </m:oMathPara>
          </w:p>
        </w:tc>
        <w:tc>
          <w:tcPr>
            <w:tcW w:w="561" w:type="dxa"/>
            <w:vAlign w:val="center"/>
          </w:tcPr>
          <w:p w14:paraId="69A5E71D" w14:textId="6FE23152" w:rsidR="002C1405" w:rsidRPr="003B3750" w:rsidRDefault="00BF7E93" w:rsidP="00274F73">
            <w:pPr>
              <w:pStyle w:val="Equation"/>
            </w:pPr>
            <w:fldSimple w:instr=" SEQ Equation \* ARABIC ">
              <w:bookmarkStart w:id="91" w:name="_Ref160894588"/>
              <w:r>
                <w:rPr>
                  <w:noProof/>
                </w:rPr>
                <w:t>14</w:t>
              </w:r>
              <w:bookmarkEnd w:id="91"/>
            </w:fldSimple>
          </w:p>
        </w:tc>
      </w:tr>
    </w:tbl>
    <w:p w14:paraId="388507E4" w14:textId="4B0B9E91" w:rsidR="002C1405" w:rsidRDefault="002C1405" w:rsidP="00D43F7F">
      <w:r>
        <w:t>Within this equation, q</w:t>
      </w:r>
      <w:r w:rsidRPr="00527523">
        <w:rPr>
          <w:vertAlign w:val="subscript"/>
        </w:rPr>
        <w:t>st</w:t>
      </w:r>
      <w:r>
        <w:t xml:space="preserve"> is the steady-state CHF value which RELAP5-3D predicts using the Groenveld CHF lookup tables, q</w:t>
      </w:r>
      <w:r w:rsidRPr="00527523">
        <w:rPr>
          <w:vertAlign w:val="subscript"/>
        </w:rPr>
        <w:t>tr</w:t>
      </w:r>
      <w:r>
        <w:t xml:space="preserve"> is the calculated transient CHF value, and </w:t>
      </w:r>
      <w:r>
        <w:sym w:font="Symbol" w:char="F074"/>
      </w:r>
      <w:r>
        <w:t xml:space="preserve"> is the exponential period of the power pulse which was calculated using an exponential fit of the experimental power pulses. Using the transient data from the sensitivity analysis, I also developed a set of performance envelopes for each test case to compare with the experimental results and the original model results.</w:t>
      </w:r>
    </w:p>
    <w:p w14:paraId="5902EADA" w14:textId="633C5C6F" w:rsidR="007004BC" w:rsidRDefault="007004BC" w:rsidP="00D43F7F">
      <w:r>
        <w:t xml:space="preserve">The PPMCCs for each of the multipliers with respect to each </w:t>
      </w:r>
      <w:r w:rsidR="00A139C1">
        <w:t>FOM</w:t>
      </w:r>
      <w:r>
        <w:t xml:space="preserve"> within each case is displayed in</w:t>
      </w:r>
      <w:r w:rsidR="00FF50F7">
        <w:t xml:space="preserve"> </w:t>
      </w:r>
      <w:r w:rsidR="00FF50F7" w:rsidRPr="005E68D7">
        <w:rPr>
          <w:b/>
          <w:bCs/>
        </w:rPr>
        <w:fldChar w:fldCharType="begin"/>
      </w:r>
      <w:r w:rsidR="00FF50F7" w:rsidRPr="005E68D7">
        <w:rPr>
          <w:b/>
          <w:bCs/>
        </w:rPr>
        <w:instrText xml:space="preserve"> REF _Ref160894720 \h </w:instrText>
      </w:r>
      <w:r w:rsidR="005E68D7">
        <w:rPr>
          <w:b/>
          <w:bCs/>
        </w:rPr>
        <w:instrText xml:space="preserve"> \* MERGEFORMAT </w:instrText>
      </w:r>
      <w:r w:rsidR="00FF50F7" w:rsidRPr="005E68D7">
        <w:rPr>
          <w:b/>
          <w:bCs/>
        </w:rPr>
      </w:r>
      <w:r w:rsidR="00FF50F7" w:rsidRPr="005E68D7">
        <w:rPr>
          <w:b/>
          <w:bCs/>
        </w:rPr>
        <w:fldChar w:fldCharType="separate"/>
      </w:r>
      <w:r w:rsidR="00BF7E93" w:rsidRPr="00BF7E93">
        <w:rPr>
          <w:b/>
          <w:bCs/>
        </w:rPr>
        <w:t xml:space="preserve">Figure </w:t>
      </w:r>
      <w:r w:rsidR="00BF7E93" w:rsidRPr="00BF7E93">
        <w:rPr>
          <w:b/>
          <w:bCs/>
          <w:noProof/>
        </w:rPr>
        <w:t>3.18</w:t>
      </w:r>
      <w:r w:rsidR="00FF50F7" w:rsidRPr="005E68D7">
        <w:rPr>
          <w:b/>
          <w:bCs/>
        </w:rPr>
        <w:fldChar w:fldCharType="end"/>
      </w:r>
      <w:r w:rsidR="00FF50F7">
        <w:t xml:space="preserve"> through </w:t>
      </w:r>
      <w:r w:rsidR="00FF50F7" w:rsidRPr="005E68D7">
        <w:rPr>
          <w:b/>
          <w:bCs/>
        </w:rPr>
        <w:fldChar w:fldCharType="begin"/>
      </w:r>
      <w:r w:rsidR="00FF50F7" w:rsidRPr="005E68D7">
        <w:rPr>
          <w:b/>
          <w:bCs/>
        </w:rPr>
        <w:instrText xml:space="preserve"> REF _Ref160894728 \h </w:instrText>
      </w:r>
      <w:r w:rsidR="005E68D7">
        <w:rPr>
          <w:b/>
          <w:bCs/>
        </w:rPr>
        <w:instrText xml:space="preserve"> \* MERGEFORMAT </w:instrText>
      </w:r>
      <w:r w:rsidR="00FF50F7" w:rsidRPr="005E68D7">
        <w:rPr>
          <w:b/>
          <w:bCs/>
        </w:rPr>
      </w:r>
      <w:r w:rsidR="00FF50F7" w:rsidRPr="005E68D7">
        <w:rPr>
          <w:b/>
          <w:bCs/>
        </w:rPr>
        <w:fldChar w:fldCharType="separate"/>
      </w:r>
      <w:r w:rsidR="00BF7E93" w:rsidRPr="00BF7E93">
        <w:rPr>
          <w:b/>
          <w:bCs/>
        </w:rPr>
        <w:t xml:space="preserve">Figure </w:t>
      </w:r>
      <w:r w:rsidR="00BF7E93" w:rsidRPr="00BF7E93">
        <w:rPr>
          <w:b/>
          <w:bCs/>
          <w:noProof/>
        </w:rPr>
        <w:t>3.21</w:t>
      </w:r>
      <w:r w:rsidR="00FF50F7" w:rsidRPr="005E68D7">
        <w:rPr>
          <w:b/>
          <w:bCs/>
        </w:rPr>
        <w:fldChar w:fldCharType="end"/>
      </w:r>
      <w:r>
        <w:t xml:space="preserve">. Within this study, </w:t>
      </w:r>
      <w:r w:rsidR="00A139C1">
        <w:t xml:space="preserve">the results </w:t>
      </w:r>
      <w:r>
        <w:t xml:space="preserve">similar trends to the TRTL study, but with much less importance </w:t>
      </w:r>
      <w:r w:rsidR="00A139C1">
        <w:t>in</w:t>
      </w:r>
      <w:r>
        <w:t xml:space="preserve"> the CHFM. </w:t>
      </w:r>
      <w:r w:rsidR="00A139C1">
        <w:t>T</w:t>
      </w:r>
      <w:r>
        <w:t>he</w:t>
      </w:r>
      <w:r w:rsidR="00A139C1">
        <w:t>se results also show the</w:t>
      </w:r>
      <w:r>
        <w:t xml:space="preserve"> trend of volumetric heat capacity overtaking the CHFM in importance with </w:t>
      </w:r>
      <w:r w:rsidR="00D43F7F">
        <w:t xml:space="preserve">regard to the time of CHF occurrence as the exponential period of the transient increases. However, the trends for this parameter show that there wasn’t a very strong correlation </w:t>
      </w:r>
    </w:p>
    <w:p w14:paraId="6EDABFF4" w14:textId="77777777" w:rsidR="007004BC" w:rsidRDefault="007004BC" w:rsidP="007004BC"/>
    <w:p w14:paraId="046E8FE8" w14:textId="77777777" w:rsidR="00D42001" w:rsidRDefault="00D42001" w:rsidP="00D42001">
      <w:pPr>
        <w:jc w:val="center"/>
      </w:pPr>
      <w:r>
        <w:rPr>
          <w:noProof/>
        </w:rPr>
        <w:drawing>
          <wp:inline distT="0" distB="0" distL="0" distR="0" wp14:anchorId="34D080D5" wp14:editId="3E564C2B">
            <wp:extent cx="4727448" cy="2806165"/>
            <wp:effectExtent l="0" t="0" r="0" b="63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36">
                      <a:extLst>
                        <a:ext uri="{28A0092B-C50C-407E-A947-70E740481C1C}">
                          <a14:useLocalDpi xmlns:a14="http://schemas.microsoft.com/office/drawing/2010/main" val="0"/>
                        </a:ext>
                      </a:extLst>
                    </a:blip>
                    <a:stretch>
                      <a:fillRect/>
                    </a:stretch>
                  </pic:blipFill>
                  <pic:spPr>
                    <a:xfrm>
                      <a:off x="0" y="0"/>
                      <a:ext cx="4727448" cy="2806165"/>
                    </a:xfrm>
                    <a:prstGeom prst="rect">
                      <a:avLst/>
                    </a:prstGeom>
                  </pic:spPr>
                </pic:pic>
              </a:graphicData>
            </a:graphic>
          </wp:inline>
        </w:drawing>
      </w:r>
    </w:p>
    <w:p w14:paraId="534654BD" w14:textId="7B6FD2A7" w:rsidR="00412AE6" w:rsidRDefault="00412AE6" w:rsidP="00874CBB">
      <w:pPr>
        <w:pStyle w:val="Caption"/>
      </w:pPr>
      <w:bookmarkStart w:id="92" w:name="_Ref160894720"/>
      <w:bookmarkStart w:id="93" w:name="_Toc202957553"/>
      <w:r w:rsidRPr="009D2AA9">
        <w:t xml:space="preserve">Figure </w:t>
      </w:r>
      <w:fldSimple w:instr=" STYLEREF 1 \s ">
        <w:r w:rsidR="00BF7E93">
          <w:rPr>
            <w:noProof/>
          </w:rPr>
          <w:t>3</w:t>
        </w:r>
      </w:fldSimple>
      <w:r w:rsidRPr="009D2AA9">
        <w:t>.</w:t>
      </w:r>
      <w:fldSimple w:instr=" SEQ Figure \* ARABIC \s 1 ">
        <w:r w:rsidR="00BF7E93">
          <w:rPr>
            <w:noProof/>
          </w:rPr>
          <w:t>18</w:t>
        </w:r>
      </w:fldSimple>
      <w:bookmarkEnd w:id="92"/>
      <w:r w:rsidRPr="009D2AA9">
        <w:t>.</w:t>
      </w:r>
      <w:r w:rsidRPr="00412AE6">
        <w:t xml:space="preserve"> </w:t>
      </w:r>
      <w:r>
        <w:t>CHF-SERTTA PPMCCs for each input with respect to peak cladding heat flux.</w:t>
      </w:r>
      <w:bookmarkEnd w:id="93"/>
      <w:r>
        <w:t xml:space="preserve"> </w:t>
      </w:r>
    </w:p>
    <w:p w14:paraId="46EE7B7B" w14:textId="1C08369C" w:rsidR="007E632E" w:rsidRDefault="007E632E"/>
    <w:p w14:paraId="0223CDBA" w14:textId="3297FDE3" w:rsidR="007E632E" w:rsidRDefault="007E632E"/>
    <w:p w14:paraId="0BF3B27B" w14:textId="1F12C7F7" w:rsidR="007E632E" w:rsidRDefault="007E632E"/>
    <w:p w14:paraId="1A24B50C" w14:textId="24B0AC7B" w:rsidR="007E632E" w:rsidRDefault="007E632E"/>
    <w:p w14:paraId="28D5B10B" w14:textId="28F5BBFA" w:rsidR="00A40588" w:rsidRDefault="00A40588"/>
    <w:p w14:paraId="76393C82" w14:textId="0CD34D80" w:rsidR="00A40588" w:rsidRDefault="00A40588"/>
    <w:p w14:paraId="38EAF12C" w14:textId="77777777" w:rsidR="00A40588" w:rsidRDefault="00A40588"/>
    <w:p w14:paraId="10DA8C6D" w14:textId="1DBF1753" w:rsidR="00D42001" w:rsidRDefault="00D42001" w:rsidP="00D42001">
      <w:pPr>
        <w:jc w:val="center"/>
      </w:pPr>
      <w:r>
        <w:rPr>
          <w:noProof/>
        </w:rPr>
        <w:lastRenderedPageBreak/>
        <w:drawing>
          <wp:inline distT="0" distB="0" distL="0" distR="0" wp14:anchorId="04C2D2EB" wp14:editId="7C15CBFF">
            <wp:extent cx="4727448" cy="2806165"/>
            <wp:effectExtent l="0" t="0" r="0" b="63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37">
                      <a:extLst>
                        <a:ext uri="{28A0092B-C50C-407E-A947-70E740481C1C}">
                          <a14:useLocalDpi xmlns:a14="http://schemas.microsoft.com/office/drawing/2010/main" val="0"/>
                        </a:ext>
                      </a:extLst>
                    </a:blip>
                    <a:stretch>
                      <a:fillRect/>
                    </a:stretch>
                  </pic:blipFill>
                  <pic:spPr>
                    <a:xfrm>
                      <a:off x="0" y="0"/>
                      <a:ext cx="4727448" cy="2806165"/>
                    </a:xfrm>
                    <a:prstGeom prst="rect">
                      <a:avLst/>
                    </a:prstGeom>
                  </pic:spPr>
                </pic:pic>
              </a:graphicData>
            </a:graphic>
          </wp:inline>
        </w:drawing>
      </w:r>
    </w:p>
    <w:p w14:paraId="4B4D3F99" w14:textId="64AFBBFA" w:rsidR="007E632E" w:rsidRDefault="00412AE6" w:rsidP="00874CBB">
      <w:pPr>
        <w:pStyle w:val="Caption"/>
      </w:pPr>
      <w:bookmarkStart w:id="94" w:name="_Toc202957554"/>
      <w:r w:rsidRPr="009D2AA9">
        <w:t xml:space="preserve">Figure </w:t>
      </w:r>
      <w:fldSimple w:instr=" STYLEREF 1 \s ">
        <w:r w:rsidR="00BF7E93">
          <w:rPr>
            <w:noProof/>
          </w:rPr>
          <w:t>3</w:t>
        </w:r>
      </w:fldSimple>
      <w:r w:rsidRPr="009D2AA9">
        <w:t>.</w:t>
      </w:r>
      <w:fldSimple w:instr=" SEQ Figure \* ARABIC \s 1 ">
        <w:r w:rsidR="00BF7E93">
          <w:rPr>
            <w:noProof/>
          </w:rPr>
          <w:t>19</w:t>
        </w:r>
      </w:fldSimple>
      <w:r w:rsidRPr="009D2AA9">
        <w:t>.</w:t>
      </w:r>
      <w:r w:rsidRPr="00412AE6">
        <w:t xml:space="preserve"> </w:t>
      </w:r>
      <w:r>
        <w:t>CHF-SERTTA PPMCCs for each input with respect to peak outer surface temperature.</w:t>
      </w:r>
      <w:bookmarkEnd w:id="94"/>
      <w:r>
        <w:t xml:space="preserve"> </w:t>
      </w:r>
    </w:p>
    <w:p w14:paraId="720E7D87" w14:textId="77777777" w:rsidR="007E632E" w:rsidRDefault="007E632E">
      <w:pPr>
        <w:rPr>
          <w:rFonts w:ascii="Cambria Math" w:hAnsi="Cambria Math"/>
          <w:iCs/>
          <w:color w:val="000000" w:themeColor="text1"/>
        </w:rPr>
      </w:pPr>
      <w:r>
        <w:br w:type="page"/>
      </w:r>
    </w:p>
    <w:p w14:paraId="61C2A2ED" w14:textId="6D8DC013" w:rsidR="00D42001" w:rsidRDefault="00D42001" w:rsidP="007E632E">
      <w:pPr>
        <w:jc w:val="center"/>
      </w:pPr>
      <w:r>
        <w:rPr>
          <w:noProof/>
        </w:rPr>
        <w:lastRenderedPageBreak/>
        <w:drawing>
          <wp:inline distT="0" distB="0" distL="0" distR="0" wp14:anchorId="5794830A" wp14:editId="09159C4B">
            <wp:extent cx="4727448" cy="2806165"/>
            <wp:effectExtent l="0" t="0" r="0" b="63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38">
                      <a:extLst>
                        <a:ext uri="{28A0092B-C50C-407E-A947-70E740481C1C}">
                          <a14:useLocalDpi xmlns:a14="http://schemas.microsoft.com/office/drawing/2010/main" val="0"/>
                        </a:ext>
                      </a:extLst>
                    </a:blip>
                    <a:stretch>
                      <a:fillRect/>
                    </a:stretch>
                  </pic:blipFill>
                  <pic:spPr>
                    <a:xfrm>
                      <a:off x="0" y="0"/>
                      <a:ext cx="4727448" cy="2806165"/>
                    </a:xfrm>
                    <a:prstGeom prst="rect">
                      <a:avLst/>
                    </a:prstGeom>
                  </pic:spPr>
                </pic:pic>
              </a:graphicData>
            </a:graphic>
          </wp:inline>
        </w:drawing>
      </w:r>
    </w:p>
    <w:p w14:paraId="11E7B8BF" w14:textId="3249198C" w:rsidR="00412AE6" w:rsidRDefault="00412AE6" w:rsidP="00874CBB">
      <w:pPr>
        <w:pStyle w:val="Caption"/>
      </w:pPr>
      <w:bookmarkStart w:id="95" w:name="_Toc202957555"/>
      <w:r w:rsidRPr="009D2AA9">
        <w:t xml:space="preserve">Figure </w:t>
      </w:r>
      <w:fldSimple w:instr=" STYLEREF 1 \s ">
        <w:r w:rsidR="00BF7E93">
          <w:rPr>
            <w:noProof/>
          </w:rPr>
          <w:t>3</w:t>
        </w:r>
      </w:fldSimple>
      <w:r w:rsidRPr="009D2AA9">
        <w:t>.</w:t>
      </w:r>
      <w:fldSimple w:instr=" SEQ Figure \* ARABIC \s 1 ">
        <w:r w:rsidR="00BF7E93">
          <w:rPr>
            <w:noProof/>
          </w:rPr>
          <w:t>20</w:t>
        </w:r>
      </w:fldSimple>
      <w:r w:rsidRPr="009D2AA9">
        <w:t>.</w:t>
      </w:r>
      <w:r w:rsidRPr="00412AE6">
        <w:t xml:space="preserve"> </w:t>
      </w:r>
      <w:r>
        <w:t>CHF-SERTTA PPMCCs for each input with respect to time of CHF occurrence.</w:t>
      </w:r>
      <w:bookmarkEnd w:id="95"/>
    </w:p>
    <w:p w14:paraId="118D8C18" w14:textId="7E4430BC" w:rsidR="00412AE6" w:rsidRDefault="00412AE6" w:rsidP="00D42001"/>
    <w:p w14:paraId="190E8918" w14:textId="5DAE2DAA" w:rsidR="00412AE6" w:rsidRDefault="00412AE6" w:rsidP="00D42001"/>
    <w:p w14:paraId="7E1ACBB0" w14:textId="65052595" w:rsidR="00412AE6" w:rsidRDefault="00412AE6" w:rsidP="00D42001"/>
    <w:p w14:paraId="343052A2" w14:textId="625B52DC" w:rsidR="00412AE6" w:rsidRDefault="00412AE6" w:rsidP="00D42001"/>
    <w:p w14:paraId="64869AB6" w14:textId="1AEA1B53" w:rsidR="00A40588" w:rsidRDefault="00A40588" w:rsidP="00D42001"/>
    <w:p w14:paraId="22270583" w14:textId="4E0B3B92" w:rsidR="00A40588" w:rsidRDefault="00A40588" w:rsidP="00D42001"/>
    <w:p w14:paraId="70B32C20" w14:textId="77777777" w:rsidR="00A40588" w:rsidRDefault="00A40588" w:rsidP="00D42001"/>
    <w:p w14:paraId="645DFAE5" w14:textId="77777777" w:rsidR="00D42001" w:rsidRDefault="00D42001" w:rsidP="00D42001">
      <w:pPr>
        <w:jc w:val="center"/>
      </w:pPr>
      <w:r>
        <w:rPr>
          <w:noProof/>
        </w:rPr>
        <w:lastRenderedPageBreak/>
        <w:drawing>
          <wp:inline distT="0" distB="0" distL="0" distR="0" wp14:anchorId="36501E75" wp14:editId="6FD86F2E">
            <wp:extent cx="4727448" cy="2806165"/>
            <wp:effectExtent l="0" t="0" r="0" b="63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39">
                      <a:extLst>
                        <a:ext uri="{28A0092B-C50C-407E-A947-70E740481C1C}">
                          <a14:useLocalDpi xmlns:a14="http://schemas.microsoft.com/office/drawing/2010/main" val="0"/>
                        </a:ext>
                      </a:extLst>
                    </a:blip>
                    <a:stretch>
                      <a:fillRect/>
                    </a:stretch>
                  </pic:blipFill>
                  <pic:spPr>
                    <a:xfrm>
                      <a:off x="0" y="0"/>
                      <a:ext cx="4727448" cy="2806165"/>
                    </a:xfrm>
                    <a:prstGeom prst="rect">
                      <a:avLst/>
                    </a:prstGeom>
                  </pic:spPr>
                </pic:pic>
              </a:graphicData>
            </a:graphic>
          </wp:inline>
        </w:drawing>
      </w:r>
    </w:p>
    <w:p w14:paraId="575562FD" w14:textId="6F9E43B1" w:rsidR="00412AE6" w:rsidRDefault="00412AE6" w:rsidP="00874CBB">
      <w:pPr>
        <w:pStyle w:val="Caption"/>
      </w:pPr>
      <w:bookmarkStart w:id="96" w:name="_Ref160894728"/>
      <w:bookmarkStart w:id="97" w:name="_Toc202957556"/>
      <w:r w:rsidRPr="009D2AA9">
        <w:t xml:space="preserve">Figure </w:t>
      </w:r>
      <w:fldSimple w:instr=" STYLEREF 1 \s ">
        <w:r w:rsidR="00BF7E93">
          <w:rPr>
            <w:noProof/>
          </w:rPr>
          <w:t>3</w:t>
        </w:r>
      </w:fldSimple>
      <w:r w:rsidRPr="009D2AA9">
        <w:t>.</w:t>
      </w:r>
      <w:fldSimple w:instr=" SEQ Figure \* ARABIC \s 1 ">
        <w:r w:rsidR="00BF7E93">
          <w:rPr>
            <w:noProof/>
          </w:rPr>
          <w:t>21</w:t>
        </w:r>
      </w:fldSimple>
      <w:bookmarkEnd w:id="96"/>
      <w:r w:rsidRPr="009D2AA9">
        <w:t xml:space="preserve">. </w:t>
      </w:r>
      <w:r>
        <w:t>CHF-SERTTA PPMCCs for each input with respect to time of cladding rewetting.</w:t>
      </w:r>
      <w:bookmarkEnd w:id="97"/>
      <w:r>
        <w:t xml:space="preserve">  </w:t>
      </w:r>
    </w:p>
    <w:p w14:paraId="43544DDB" w14:textId="5381FF9D" w:rsidR="00412AE6" w:rsidRDefault="00412AE6">
      <w:r>
        <w:br w:type="page"/>
      </w:r>
    </w:p>
    <w:p w14:paraId="3FC3F895" w14:textId="61E3205D" w:rsidR="002C1405" w:rsidRDefault="00CA2169" w:rsidP="00F22A75">
      <w:r>
        <w:lastRenderedPageBreak/>
        <w:t>between any of the input variables tested, with the peak PPMCC value barely exceeding the minimum importance threshold. With regard to the peak cladding heat flux, the main influence was from the CHFM, but unlike the TRTL results, there is no influence from CHFM with regard to the peak cladding temperature, with the main influence coming</w:t>
      </w:r>
      <w:r w:rsidRPr="00D43F7F">
        <w:t xml:space="preserve"> </w:t>
      </w:r>
      <w:r>
        <w:t xml:space="preserve">solely from the volumetric heat capacity. With regard to the time of clad rewetting, there is once again a large influence from the FBM, but the dependence seems to only be trending more towards the FBM than the volumetric heat capacity for larger energy </w:t>
      </w:r>
      <w:r w:rsidR="00D43F7F">
        <w:t>deposition cases. However, the results somewhat unreliable results for this parameter since there are flashes of film boiling on the cladding past the initial CHF occurrence,</w:t>
      </w:r>
      <w:r w:rsidR="002C1405">
        <w:t>causing discontinuity in the dataset. The main takeaway from these sensitivity studies is the RELAP5-3D model appears is most sensitive to the CHFM, the volumetric heat capacity of the cladding and the FBM with regard to our chosen FoMs within the given sample space.</w:t>
      </w:r>
    </w:p>
    <w:p w14:paraId="5C243FBF" w14:textId="77777777" w:rsidR="002C1405" w:rsidRDefault="002C1405" w:rsidP="00F22A75">
      <w:pPr>
        <w:pStyle w:val="Heading3"/>
        <w:spacing w:before="0" w:after="0"/>
      </w:pPr>
      <w:bookmarkStart w:id="98" w:name="_Toc202957463"/>
      <w:r>
        <w:t>Experimental Comparison</w:t>
      </w:r>
      <w:bookmarkEnd w:id="98"/>
    </w:p>
    <w:p w14:paraId="3D3805D3" w14:textId="0801E944" w:rsidR="002C1405" w:rsidRPr="00D43F7F" w:rsidRDefault="002C1405" w:rsidP="00F22A75">
      <w:pPr>
        <w:rPr>
          <w:rFonts w:eastAsiaTheme="minorEastAsia"/>
          <w:b/>
          <w:bCs/>
          <w:sz w:val="28"/>
          <w:lang w:eastAsia="ko-KR"/>
        </w:rPr>
      </w:pPr>
      <w:r>
        <w:t xml:space="preserve">Comparison of experiments CHF-SERTTA-A transient 2, and CHF-SERTTA-B transient 2, selected as the most representative pulses of their series of tests, are shown in </w:t>
      </w:r>
      <w:r w:rsidRPr="005E68D7">
        <w:rPr>
          <w:b/>
          <w:bCs/>
        </w:rPr>
        <w:fldChar w:fldCharType="begin"/>
      </w:r>
      <w:r w:rsidRPr="005E68D7">
        <w:rPr>
          <w:b/>
          <w:bCs/>
        </w:rPr>
        <w:instrText xml:space="preserve"> REF _Ref160894764 \h </w:instrText>
      </w:r>
      <w:r>
        <w:rPr>
          <w:b/>
          <w:bCs/>
        </w:rPr>
        <w:instrText xml:space="preserve"> \* MERGEFORMAT </w:instrText>
      </w:r>
      <w:r w:rsidRPr="005E68D7">
        <w:rPr>
          <w:b/>
          <w:bCs/>
        </w:rPr>
      </w:r>
      <w:r w:rsidRPr="005E68D7">
        <w:rPr>
          <w:b/>
          <w:bCs/>
        </w:rPr>
        <w:fldChar w:fldCharType="separate"/>
      </w:r>
      <w:r w:rsidR="00BF7E93" w:rsidRPr="00BF7E93">
        <w:rPr>
          <w:b/>
          <w:bCs/>
        </w:rPr>
        <w:t xml:space="preserve">Figure </w:t>
      </w:r>
      <w:r w:rsidR="00BF7E93" w:rsidRPr="00BF7E93">
        <w:rPr>
          <w:b/>
          <w:bCs/>
          <w:noProof/>
        </w:rPr>
        <w:t>3.22</w:t>
      </w:r>
      <w:r w:rsidRPr="005E68D7">
        <w:rPr>
          <w:b/>
          <w:bCs/>
        </w:rPr>
        <w:fldChar w:fldCharType="end"/>
      </w:r>
      <w:r>
        <w:t xml:space="preserve"> and </w:t>
      </w:r>
      <w:r w:rsidRPr="005E68D7">
        <w:rPr>
          <w:b/>
          <w:bCs/>
        </w:rPr>
        <w:fldChar w:fldCharType="begin"/>
      </w:r>
      <w:r w:rsidRPr="005E68D7">
        <w:rPr>
          <w:b/>
          <w:bCs/>
        </w:rPr>
        <w:instrText xml:space="preserve"> REF _Ref160894767 \h </w:instrText>
      </w:r>
      <w:r>
        <w:rPr>
          <w:b/>
          <w:bCs/>
        </w:rPr>
        <w:instrText xml:space="preserve"> \* MERGEFORMAT </w:instrText>
      </w:r>
      <w:r w:rsidRPr="005E68D7">
        <w:rPr>
          <w:b/>
          <w:bCs/>
        </w:rPr>
      </w:r>
      <w:r w:rsidRPr="005E68D7">
        <w:rPr>
          <w:b/>
          <w:bCs/>
        </w:rPr>
        <w:fldChar w:fldCharType="separate"/>
      </w:r>
      <w:r w:rsidR="00BF7E93" w:rsidRPr="00BF7E93">
        <w:rPr>
          <w:b/>
          <w:bCs/>
        </w:rPr>
        <w:t xml:space="preserve">Figure </w:t>
      </w:r>
      <w:r w:rsidR="00BF7E93" w:rsidRPr="00BF7E93">
        <w:rPr>
          <w:b/>
          <w:bCs/>
          <w:noProof/>
        </w:rPr>
        <w:t>3.23</w:t>
      </w:r>
      <w:r w:rsidRPr="005E68D7">
        <w:rPr>
          <w:b/>
          <w:bCs/>
        </w:rPr>
        <w:fldChar w:fldCharType="end"/>
      </w:r>
      <w:r>
        <w:t xml:space="preserve">, respectively. For both cases, the RELAP5-3D model performance envelopes, developed over the sensitivity analysis sample range, are seen to consistently underpredict the experimental value of CHF and significantly overpredict surface </w:t>
      </w:r>
      <w:r w:rsidR="00D43F7F">
        <w:t xml:space="preserve">temperature </w:t>
      </w:r>
      <w:r w:rsidR="00D43F7F">
        <w:fldChar w:fldCharType="begin"/>
      </w:r>
      <w:r w:rsidR="003026BC">
        <w:instrText xml:space="preserve"> ADDIN EN.CITE &lt;EndNote&gt;&lt;Cite&gt;&lt;Author&gt;Folsom&lt;/Author&gt;&lt;Year&gt;2022&lt;/Year&gt;&lt;RecNum&gt;199&lt;/RecNum&gt;&lt;DisplayText&gt;[45]&lt;/DisplayText&gt;&lt;record&gt;&lt;rec-number&gt;199&lt;/rec-number&gt;&lt;foreign-keys&gt;&lt;key app="EN" db-id="eseee05sfe5vt6efvr0xapvq20vfdsfp5fvf" timestamp="1665414997" guid="53a0dd99-22d5-40bc-b202-6314bbc4f200"&gt;199&lt;/key&gt;&lt;/foreign-keys&gt;&lt;ref-type name="Journal Article"&gt;17&lt;/ref-type&gt;&lt;contributors&gt;&lt;authors&gt;&lt;author&gt;Folsom, Charles P.&lt;/author&gt;&lt;author&gt;Armstrong, Robert J.&lt;/author&gt;&lt;author&gt;Woolstenhulme, Nicolas E.&lt;/author&gt;&lt;author&gt;Fleming, Austin D.&lt;/author&gt;&lt;author&gt;Hill, Connie M.&lt;/author&gt;&lt;author&gt;Jensen, Colby B.&lt;/author&gt;&lt;author&gt;Wachs, Daniel M.&lt;/author&gt;&lt;/authors&gt;&lt;/contributors&gt;&lt;titles&gt;&lt;title&gt;Design of separate-effects In-Pile transient boiling experiments at the TREAT Facility&lt;/title&gt;&lt;secondary-title&gt;Nuclear Engineering and Design&lt;/secondary-title&gt;&lt;/titles&gt;&lt;periodical&gt;&lt;full-title&gt;Nuclear Engineering and Design&lt;/full-title&gt;&lt;/periodical&gt;&lt;pages&gt;111919&lt;/pages&gt;&lt;volume&gt;397&lt;/volume&gt;&lt;keywords&gt;&lt;keyword&gt;Separate-effect testing&lt;/keyword&gt;&lt;keyword&gt;Transient boiling&lt;/keyword&gt;&lt;keyword&gt;Transient critical heat flux&lt;/keyword&gt;&lt;keyword&gt;Reactivity initiated accident&lt;/keyword&gt;&lt;keyword&gt;TREAT&lt;/keyword&gt;&lt;keyword&gt;LWR&lt;/keyword&gt;&lt;/keywords&gt;&lt;dates&gt;&lt;year&gt;2022&lt;/year&gt;&lt;pub-dates&gt;&lt;date&gt;2022/10/01/&lt;/date&gt;&lt;/pub-dates&gt;&lt;/dates&gt;&lt;isbn&gt;0029-5493&lt;/isbn&gt;&lt;urls&gt;&lt;related-urls&gt;&lt;url&gt;https://www.sciencedirect.com/science/article/pii/S0029549322002722&lt;/url&gt;&lt;/related-urls&gt;&lt;/urls&gt;&lt;electronic-resource-num&gt;https://doi.org/10.1016/j.nucengdes.2022.111919&lt;/electronic-resource-num&gt;&lt;/record&gt;&lt;/Cite&gt;&lt;/EndNote&gt;</w:instrText>
      </w:r>
      <w:r w:rsidR="00D43F7F">
        <w:fldChar w:fldCharType="separate"/>
      </w:r>
      <w:r w:rsidR="003026BC">
        <w:rPr>
          <w:noProof/>
        </w:rPr>
        <w:t>[45]</w:t>
      </w:r>
      <w:r w:rsidR="00D43F7F">
        <w:fldChar w:fldCharType="end"/>
      </w:r>
      <w:r w:rsidR="00D43F7F">
        <w:t xml:space="preserve">. The large temperature discrepancy for CHF-SERTTA-A is discussed in the original publications and is thought to be an artifact of fin cooling from the </w:t>
      </w:r>
    </w:p>
    <w:p w14:paraId="143BA3E1" w14:textId="77777777" w:rsidR="00412AE6" w:rsidRDefault="00412AE6" w:rsidP="00412AE6">
      <w:pPr>
        <w:jc w:val="center"/>
      </w:pPr>
      <w:r>
        <w:rPr>
          <w:noProof/>
        </w:rPr>
        <w:lastRenderedPageBreak/>
        <w:drawing>
          <wp:inline distT="0" distB="0" distL="0" distR="0" wp14:anchorId="0004D8BC" wp14:editId="54FB5AD8">
            <wp:extent cx="5943600" cy="445770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40">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inline>
        </w:drawing>
      </w:r>
    </w:p>
    <w:p w14:paraId="227D1A7B" w14:textId="3DEBDE85" w:rsidR="00412AE6" w:rsidRDefault="00412AE6" w:rsidP="00874CBB">
      <w:pPr>
        <w:pStyle w:val="Caption"/>
      </w:pPr>
      <w:bookmarkStart w:id="99" w:name="_Ref160894764"/>
      <w:bookmarkStart w:id="100" w:name="_Toc202957557"/>
      <w:r w:rsidRPr="009D2AA9">
        <w:t xml:space="preserve">Figure </w:t>
      </w:r>
      <w:fldSimple w:instr=" STYLEREF 1 \s ">
        <w:r w:rsidR="00BF7E93">
          <w:rPr>
            <w:noProof/>
          </w:rPr>
          <w:t>3</w:t>
        </w:r>
      </w:fldSimple>
      <w:r w:rsidRPr="009D2AA9">
        <w:t>.</w:t>
      </w:r>
      <w:fldSimple w:instr=" SEQ Figure \* ARABIC \s 1 ">
        <w:r w:rsidR="00BF7E93">
          <w:rPr>
            <w:noProof/>
          </w:rPr>
          <w:t>22</w:t>
        </w:r>
      </w:fldSimple>
      <w:bookmarkEnd w:id="99"/>
      <w:r w:rsidRPr="009D2AA9">
        <w:t xml:space="preserve">. </w:t>
      </w:r>
      <w:r>
        <w:t xml:space="preserve">Experimental Case SERTTA-A Transient 2 with Experimental Data From </w:t>
      </w:r>
      <w:r>
        <w:fldChar w:fldCharType="begin"/>
      </w:r>
      <w:r w:rsidR="003026BC">
        <w:instrText xml:space="preserve"> ADDIN EN.CITE &lt;EndNote&gt;&lt;Cite AuthorYear="1"&gt;&lt;Author&gt;Armstrong&lt;/Author&gt;&lt;Year&gt;2021&lt;/Year&gt;&lt;RecNum&gt;356&lt;/RecNum&gt;&lt;DisplayText&gt;R. J. ARMSTRONG, et al. [116]&lt;/DisplayText&gt;&lt;record&gt;&lt;rec-number&gt;356&lt;/rec-number&gt;&lt;foreign-keys&gt;&lt;key app="EN" db-id="eseee05sfe5vt6efvr0xapvq20vfdsfp5fvf" timestamp="1699028378" guid="c18cf736-4769-4c12-b0ca-8db47ed32580"&gt;356&lt;/key&gt;&lt;/foreign-keys&gt;&lt;ref-type name="Conference Paper"&gt;47&lt;/ref-type&gt;&lt;contributors&gt;&lt;authors&gt;&lt;author&gt;Armstrong, Robert J&lt;/author&gt;&lt;author&gt;Folsom, Charles P&lt;/author&gt;&lt;author&gt;Fleming, Austin D&lt;/author&gt;&lt;author&gt;Jensen, Colby B&lt;/author&gt;&lt;/authors&gt;&lt;/contributors&gt;&lt;titles&gt;&lt;title&gt;Results of the CHF-SERTTA In-Pile Transient Boiling Experiments at TREAT&lt;/title&gt;&lt;secondary-title&gt;TopFuel 2021&lt;/secondary-title&gt;&lt;/titles&gt;&lt;number&gt;INL/CON-21-64083-Rev000&lt;/number&gt;&lt;keywords&gt;&lt;keyword&gt;22 - GENERAL STUDIES OF NUCLEAR REACTORS&lt;/keyword&gt;&lt;keyword&gt;TREAT&lt;/keyword&gt;&lt;keyword&gt;critical heat flux&lt;/keyword&gt;&lt;keyword&gt;transient boiling&lt;/keyword&gt;&lt;/keywords&gt;&lt;dates&gt;&lt;year&gt;2021&lt;/year&gt;&lt;pub-dates&gt;&lt;date&gt;10/24/2021 - 10/28/2021&lt;/date&gt;&lt;/pub-dates&gt;&lt;/dates&gt;&lt;pub-location&gt;Santander, Spain&lt;/pub-location&gt;&lt;urls&gt;&lt;related-urls&gt;&lt;url&gt;https://www.osti.gov/biblio/1820615&lt;/url&gt;&lt;url&gt;https://www.osti.gov/servlets/purl/1820615&lt;/url&gt;&lt;/related-urls&gt;&lt;/urls&gt;&lt;custom1&gt;DE-AC07-05ID14517 2021-09-20&lt;/custom1&gt;&lt;language&gt;English&lt;/language&gt;&lt;/record&gt;&lt;/Cite&gt;&lt;/EndNote&gt;</w:instrText>
      </w:r>
      <w:r>
        <w:fldChar w:fldCharType="separate"/>
      </w:r>
      <w:r w:rsidR="003026BC">
        <w:rPr>
          <w:noProof/>
        </w:rPr>
        <w:t>R. J. ARMSTRONG, et al. [116]</w:t>
      </w:r>
      <w:r>
        <w:fldChar w:fldCharType="end"/>
      </w:r>
      <w:r>
        <w:t>.</w:t>
      </w:r>
      <w:bookmarkEnd w:id="100"/>
    </w:p>
    <w:p w14:paraId="0F4C5702" w14:textId="77777777" w:rsidR="007E632E" w:rsidRPr="007E632E" w:rsidRDefault="007E632E" w:rsidP="007E632E"/>
    <w:p w14:paraId="66A78205" w14:textId="77777777" w:rsidR="00412AE6" w:rsidRDefault="00412AE6" w:rsidP="00412AE6">
      <w:pPr>
        <w:jc w:val="center"/>
      </w:pPr>
      <w:r>
        <w:rPr>
          <w:noProof/>
        </w:rPr>
        <w:lastRenderedPageBreak/>
        <w:drawing>
          <wp:inline distT="0" distB="0" distL="0" distR="0" wp14:anchorId="49D8F34D" wp14:editId="22FAA8B7">
            <wp:extent cx="5943600" cy="445770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pic:cNvPicPr/>
                  </pic:nvPicPr>
                  <pic:blipFill>
                    <a:blip r:embed="rId41">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inline>
        </w:drawing>
      </w:r>
    </w:p>
    <w:p w14:paraId="4147F167" w14:textId="47911E05" w:rsidR="00412AE6" w:rsidRDefault="00412AE6" w:rsidP="00874CBB">
      <w:pPr>
        <w:pStyle w:val="Caption"/>
      </w:pPr>
      <w:bookmarkStart w:id="101" w:name="_Ref160894767"/>
      <w:bookmarkStart w:id="102" w:name="_Toc202957558"/>
      <w:r w:rsidRPr="009D2AA9">
        <w:t xml:space="preserve">Figure </w:t>
      </w:r>
      <w:fldSimple w:instr=" STYLEREF 1 \s ">
        <w:r w:rsidR="00BF7E93">
          <w:rPr>
            <w:noProof/>
          </w:rPr>
          <w:t>3</w:t>
        </w:r>
      </w:fldSimple>
      <w:r w:rsidRPr="009D2AA9">
        <w:t>.</w:t>
      </w:r>
      <w:fldSimple w:instr=" SEQ Figure \* ARABIC \s 1 ">
        <w:r w:rsidR="00BF7E93">
          <w:rPr>
            <w:noProof/>
          </w:rPr>
          <w:t>23</w:t>
        </w:r>
      </w:fldSimple>
      <w:bookmarkEnd w:id="101"/>
      <w:r w:rsidRPr="009D2AA9">
        <w:t xml:space="preserve">. </w:t>
      </w:r>
      <w:r>
        <w:t>Experimental Case SERTTA-B</w:t>
      </w:r>
      <w:r w:rsidRPr="00563601">
        <w:t xml:space="preserve"> </w:t>
      </w:r>
      <w:r>
        <w:t xml:space="preserve">Transient 2 with Experimental Data From </w:t>
      </w:r>
      <w:r>
        <w:fldChar w:fldCharType="begin">
          <w:fldData xml:space="preserve">PEVuZE5vdGU+PENpdGUgQXV0aG9yWWVhcj0iMSI+PEF1dGhvcj5Bcm1zdHJvbmc8L0F1dGhvcj48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</w:fldData>
        </w:fldChar>
      </w:r>
      <w:r w:rsidR="003026BC">
        <w:instrText xml:space="preserve"> ADDIN EN.CITE </w:instrText>
      </w:r>
      <w:r w:rsidR="003026BC">
        <w:fldChar w:fldCharType="begin">
          <w:fldData xml:space="preserve">PEVuZE5vdGU+PENpdGUgQXV0aG9yWWVhcj0iMSI+PEF1dGhvcj5Bcm1zdHJvbmc8L0F1dGhvcj48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</w:fldData>
        </w:fldChar>
      </w:r>
      <w:r w:rsidR="003026BC">
        <w:instrText xml:space="preserve"> ADDIN EN.CITE.DATA </w:instrText>
      </w:r>
      <w:r w:rsidR="003026BC">
        <w:fldChar w:fldCharType="end"/>
      </w:r>
      <w:r>
        <w:fldChar w:fldCharType="separate"/>
      </w:r>
      <w:r w:rsidR="003026BC">
        <w:rPr>
          <w:noProof/>
        </w:rPr>
        <w:t>C. P. FOLSOM, et al. [45], R. J. ARMSTRONG, et al. [116]</w:t>
      </w:r>
      <w:r>
        <w:fldChar w:fldCharType="end"/>
      </w:r>
      <w:r>
        <w:t>.</w:t>
      </w:r>
      <w:bookmarkEnd w:id="102"/>
    </w:p>
    <w:p w14:paraId="2C7E45A7" w14:textId="77777777" w:rsidR="00D43F7F" w:rsidRDefault="00D43F7F" w:rsidP="00D43F7F"/>
    <w:p w14:paraId="37385C6E" w14:textId="77777777" w:rsidR="00D43F7F" w:rsidRDefault="00D43F7F" w:rsidP="00D43F7F"/>
    <w:p w14:paraId="0383C6B4" w14:textId="77777777" w:rsidR="00D43F7F" w:rsidRDefault="00D43F7F" w:rsidP="00D43F7F"/>
    <w:p w14:paraId="242B7587" w14:textId="77777777" w:rsidR="00D43F7F" w:rsidRDefault="00D43F7F" w:rsidP="00D43F7F"/>
    <w:p w14:paraId="7B991004" w14:textId="77777777" w:rsidR="00D43F7F" w:rsidRDefault="00D43F7F" w:rsidP="00D43F7F"/>
    <w:p w14:paraId="005D7693" w14:textId="77777777" w:rsidR="00D43F7F" w:rsidRDefault="00D43F7F" w:rsidP="00D43F7F"/>
    <w:p w14:paraId="73CA55C0" w14:textId="77777777" w:rsidR="00D43F7F" w:rsidRDefault="00D43F7F" w:rsidP="00D43F7F"/>
    <w:p w14:paraId="61FDC3F4" w14:textId="1854ADE4" w:rsidR="00D43F7F" w:rsidRPr="00D43F7F" w:rsidRDefault="00CA2169" w:rsidP="00F22A75">
      <w:r>
        <w:lastRenderedPageBreak/>
        <w:t xml:space="preserve">thermocouples welded to the surface of the rod </w:t>
      </w:r>
      <w:r>
        <w:fldChar w:fldCharType="begin">
          <w:fldData xml:space="preserve">PEVuZE5vdGU+PENpdGU+PEF1dGhvcj5Gb2xzb208L0F1dGhvcj48WWVhcj4yMDIyPC9ZZWFyPjxS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</w:fldData>
        </w:fldChar>
      </w:r>
      <w:r>
        <w:instrText xml:space="preserve"> ADDIN EN.CITE </w:instrText>
      </w:r>
      <w:r>
        <w:fldChar w:fldCharType="begin">
          <w:fldData xml:space="preserve">PEVuZE5vdGU+PENpdGU+PEF1dGhvcj5Gb2xzb208L0F1dGhvcj48WWVhcj4yMDIyPC9ZZWFyPjxS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</w:fldData>
        </w:fldChar>
      </w:r>
      <w:r>
        <w:instrText xml:space="preserve"> ADDIN EN.CITE.DATA </w:instrText>
      </w:r>
      <w:r>
        <w:fldChar w:fldCharType="end"/>
      </w:r>
      <w:r>
        <w:fldChar w:fldCharType="separate"/>
      </w:r>
      <w:r>
        <w:rPr>
          <w:noProof/>
        </w:rPr>
        <w:t>[45, 116]</w:t>
      </w:r>
      <w:r>
        <w:fldChar w:fldCharType="end"/>
      </w:r>
      <w:r>
        <w:t xml:space="preserve">. The developed performance envelopes seem to have a slightly better agreement with the post-CHF temperature measurements for case CHF-SERTTA-B, but our model still predicts a much larger peak temperature and a subsequently longer duration of CHF. However, the consistently large discrepancies between the model predictions and the experimental results further necessitates the investigation of transient heating for the prediction of CHF and for pre- and post-CHF boiling heat transfer. Another factor to consider, not investigated within </w:t>
      </w:r>
      <w:r w:rsidR="00D43F7F">
        <w:t xml:space="preserve">this analysis, is the enhanced wettability of the cladding enhancing the CHF due to RISA which is thought to be the cause of more rapid rewetting in transients 2-4 of the CHF-SERTTA-B tests </w:t>
      </w:r>
      <w:r w:rsidR="00D43F7F">
        <w:fldChar w:fldCharType="begin"/>
      </w:r>
      <w:r w:rsidR="003026BC">
        <w:instrText xml:space="preserve"> ADDIN EN.CITE &lt;EndNote&gt;&lt;Cite&gt;&lt;Author&gt;Armstrong&lt;/Author&gt;&lt;Year&gt;2021&lt;/Year&gt;&lt;RecNum&gt;356&lt;/RecNum&gt;&lt;DisplayText&gt;[116]&lt;/DisplayText&gt;&lt;record&gt;&lt;rec-number&gt;356&lt;/rec-number&gt;&lt;foreign-keys&gt;&lt;key app="EN" db-id="eseee05sfe5vt6efvr0xapvq20vfdsfp5fvf" timestamp="1699028378" guid="c18cf736-4769-4c12-b0ca-8db47ed32580"&gt;356&lt;/key&gt;&lt;/foreign-keys&gt;&lt;ref-type name="Conference Paper"&gt;47&lt;/ref-type&gt;&lt;contributors&gt;&lt;authors&gt;&lt;author&gt;Armstrong, Robert J&lt;/author&gt;&lt;author&gt;Folsom, Charles P&lt;/author&gt;&lt;author&gt;Fleming, Austin D&lt;/author&gt;&lt;author&gt;Jensen, Colby B&lt;/author&gt;&lt;/authors&gt;&lt;/contributors&gt;&lt;titles&gt;&lt;title&gt;Results of the CHF-SERTTA In-Pile Transient Boiling Experiments at TREAT&lt;/title&gt;&lt;secondary-title&gt;TopFuel 2021&lt;/secondary-title&gt;&lt;/titles&gt;&lt;number&gt;INL/CON-21-64083-Rev000&lt;/number&gt;&lt;keywords&gt;&lt;keyword&gt;22 - GENERAL STUDIES OF NUCLEAR REACTORS&lt;/keyword&gt;&lt;keyword&gt;TREAT&lt;/keyword&gt;&lt;keyword&gt;critical heat flux&lt;/keyword&gt;&lt;keyword&gt;transient boiling&lt;/keyword&gt;&lt;/keywords&gt;&lt;dates&gt;&lt;year&gt;2021&lt;/year&gt;&lt;pub-dates&gt;&lt;date&gt;10/24/2021 - 10/28/2021&lt;/date&gt;&lt;/pub-dates&gt;&lt;/dates&gt;&lt;pub-location&gt;Santander, Spain&lt;/pub-location&gt;&lt;urls&gt;&lt;related-urls&gt;&lt;url&gt;https://www.osti.gov/biblio/1820615&lt;/url&gt;&lt;url&gt;https://www.osti.gov/servlets/purl/1820615&lt;/url&gt;&lt;/related-urls&gt;&lt;/urls&gt;&lt;custom1&gt;DE-AC07-05ID14517 2021-09-20&lt;/custom1&gt;&lt;language&gt;English&lt;/language&gt;&lt;/record&gt;&lt;/Cite&gt;&lt;/EndNote&gt;</w:instrText>
      </w:r>
      <w:r w:rsidR="00D43F7F">
        <w:fldChar w:fldCharType="separate"/>
      </w:r>
      <w:r w:rsidR="003026BC">
        <w:rPr>
          <w:noProof/>
        </w:rPr>
        <w:t>[116]</w:t>
      </w:r>
      <w:r w:rsidR="00D43F7F">
        <w:fldChar w:fldCharType="end"/>
      </w:r>
      <w:r w:rsidR="00D43F7F">
        <w:t>. This could further contribute to the underprediction of CHF within the model, but would also need further investigation.</w:t>
      </w:r>
    </w:p>
    <w:p w14:paraId="70027CB4" w14:textId="54681D36" w:rsidR="00BD44F4" w:rsidRPr="001C5AA2" w:rsidRDefault="00B513D9" w:rsidP="00F22A75">
      <w:pPr>
        <w:pStyle w:val="Heading2"/>
      </w:pPr>
      <w:bookmarkStart w:id="103" w:name="_Toc202957464"/>
      <w:r>
        <w:t>Pool Boiling Test Chamber</w:t>
      </w:r>
      <w:r w:rsidR="00BD44F4" w:rsidRPr="001C5AA2">
        <w:t xml:space="preserve"> (</w:t>
      </w:r>
      <w:r>
        <w:t>UNM</w:t>
      </w:r>
      <w:r w:rsidR="00BD44F4" w:rsidRPr="001C5AA2">
        <w:t>)</w:t>
      </w:r>
      <w:bookmarkEnd w:id="103"/>
    </w:p>
    <w:p w14:paraId="2A76FCAE" w14:textId="3748183A" w:rsidR="00BD44F4" w:rsidRPr="00CB09EA" w:rsidRDefault="00BD44F4" w:rsidP="00F22A75">
      <w:pPr>
        <w:pStyle w:val="Heading3"/>
        <w:spacing w:before="0" w:after="0"/>
      </w:pPr>
      <w:bookmarkStart w:id="104" w:name="_Toc202957465"/>
      <w:r w:rsidRPr="00CB09EA">
        <w:t xml:space="preserve">Background and </w:t>
      </w:r>
      <w:r w:rsidR="00440655">
        <w:t>Capabilities</w:t>
      </w:r>
      <w:bookmarkEnd w:id="104"/>
    </w:p>
    <w:p w14:paraId="18694681" w14:textId="49A88581" w:rsidR="000B6672" w:rsidRDefault="000D59AD" w:rsidP="00F22A75">
      <w:r>
        <w:t>The pool boiling facility at UNM is</w:t>
      </w:r>
      <w:r w:rsidR="000B6672">
        <w:t xml:space="preserve"> a</w:t>
      </w:r>
      <w:r>
        <w:t>n</w:t>
      </w:r>
      <w:r w:rsidR="000B6672">
        <w:t xml:space="preserve"> 18 x 15 x 23 cm</w:t>
      </w:r>
      <w:r w:rsidR="000B6672">
        <w:rPr>
          <w:vertAlign w:val="superscript"/>
        </w:rPr>
        <w:t>3</w:t>
      </w:r>
      <w:r w:rsidR="000B6672">
        <w:t xml:space="preserve"> boiling chamber made from stainless steel. The chamber is open to the surrounding environment and therefore operates at the atmospheric pressure of Albuquerque, ~84 kPa. The working fluid within the chamber is deionized water and tests are all run from the saturation point of 367 K. The chamber utilizes several heaters to preheat and maintain the temperature of the water, a condenser to recirculate water back into the chamber during transients, and a hot water feed tank to maintain a level of 5 cm above the test section. Tests were run using cylindrical test sections of varying material filled with an isothermal high-temperature </w:t>
      </w:r>
      <w:r w:rsidR="000B6672">
        <w:lastRenderedPageBreak/>
        <w:t xml:space="preserve">cement with 4 thermocouples attached to the inner surface. Additional details regarding the facility can be found in the published experimental results </w:t>
      </w:r>
      <w:r w:rsidR="000B6672">
        <w:fldChar w:fldCharType="begin">
          <w:fldData xml:space="preserve">PEVuZE5vdGU+PENpdGU+PEF1dGhvcj5IZTwvQXV0aG9yPjxZZWFyPjIwMjI8L1llYXI+PFJlY051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</w:fldData>
        </w:fldChar>
      </w:r>
      <w:r w:rsidR="003026BC">
        <w:instrText xml:space="preserve"> ADDIN EN.CITE </w:instrText>
      </w:r>
      <w:r w:rsidR="003026BC">
        <w:fldChar w:fldCharType="begin">
          <w:fldData xml:space="preserve">PEVuZE5vdGU+PENpdGU+PEF1dGhvcj5IZTwvQXV0aG9yPjxZZWFyPjIwMjI8L1llYXI+PFJlY051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</w:fldData>
        </w:fldChar>
      </w:r>
      <w:r w:rsidR="003026BC">
        <w:instrText xml:space="preserve"> ADDIN EN.CITE.DATA </w:instrText>
      </w:r>
      <w:r w:rsidR="003026BC">
        <w:fldChar w:fldCharType="end"/>
      </w:r>
      <w:r w:rsidR="000B6672">
        <w:fldChar w:fldCharType="separate"/>
      </w:r>
      <w:r w:rsidR="003026BC">
        <w:rPr>
          <w:noProof/>
        </w:rPr>
        <w:t>[21, 117]</w:t>
      </w:r>
      <w:r w:rsidR="000B6672">
        <w:fldChar w:fldCharType="end"/>
      </w:r>
      <w:r w:rsidR="000B6672">
        <w:t>.</w:t>
      </w:r>
    </w:p>
    <w:p w14:paraId="1FEB56B9" w14:textId="65C034CC" w:rsidR="00440655" w:rsidRPr="000B6672" w:rsidRDefault="000B6672" w:rsidP="00F22A75">
      <w:r>
        <w:t xml:space="preserve">Two pool boiling experimental test campaigns have been conducted using this boiling facility inspecting the influence of several key factors to boiling heat transfer and CHF prediction. An initial set of tests performing steady state CHF experiments confirmed there is an influence of material thermal properties and surface roughness on CHF prediction and the nucleate boiling heat transfer coefficient </w:t>
      </w:r>
      <w:r>
        <w:fldChar w:fldCharType="begin"/>
      </w:r>
      <w:r w:rsidR="003026BC">
        <w:instrText xml:space="preserve"> ADDIN EN.CITE &lt;EndNote&gt;&lt;Cite&gt;&lt;Author&gt;He&lt;/Author&gt;&lt;Year&gt;2022&lt;/Year&gt;&lt;RecNum&gt;312&lt;/RecNum&gt;&lt;DisplayText&gt;[117]&lt;/DisplayText&gt;&lt;record&gt;&lt;rec-number&gt;312&lt;/rec-number&gt;&lt;foreign-keys&gt;&lt;key app="EN" db-id="eseee05sfe5vt6efvr0xapvq20vfdsfp5fvf" timestamp="1687794088" guid="8e86b387-ad08-4a80-8d06-d9260036dcee"&gt;312&lt;/key&gt;&lt;/foreign-keys&gt;&lt;ref-type name="Journal Article"&gt;17&lt;/ref-type&gt;&lt;contributors&gt;&lt;authors&gt;&lt;author&gt;He, Mingfu&lt;/author&gt;&lt;author&gt;Ali, Amir F.&lt;/author&gt;&lt;author&gt;Chen, Minghui&lt;/author&gt;&lt;/authors&gt;&lt;/contributors&gt;&lt;titles&gt;&lt;title&gt;Steady-state pool boiling heat transfer experimental studies of horizontally-placed tubes&lt;/title&gt;&lt;secondary-title&gt;International Journal of Heat and Mass Transfer&lt;/secondary-title&gt;&lt;/titles&gt;&lt;periodical&gt;&lt;full-title&gt;International journal of heat and mass transfer&lt;/full-title&gt;&lt;/periodical&gt;&lt;pages&gt;123270&lt;/pages&gt;&lt;volume&gt;196&lt;/volume&gt;&lt;keywords&gt;&lt;keyword&gt;Pool boiling heat transfer&lt;/keyword&gt;&lt;keyword&gt;Critical heat flux&lt;/keyword&gt;&lt;keyword&gt;Tubing wall thickness&lt;/keyword&gt;&lt;keyword&gt;Tubing materials&lt;/keyword&gt;&lt;keyword&gt;Accident tolerant fuel cladding&lt;/keyword&gt;&lt;/keywords&gt;&lt;dates&gt;&lt;year&gt;2022&lt;/year&gt;&lt;pub-dates&gt;&lt;date&gt;2022/11/01/&lt;/date&gt;&lt;/pub-dates&gt;&lt;/dates&gt;&lt;isbn&gt;0017-9310&lt;/isbn&gt;&lt;urls&gt;&lt;related-urls&gt;&lt;url&gt;https://www.sciencedirect.com/science/article/pii/S0017931022007402&lt;/url&gt;&lt;/related-urls&gt;&lt;/urls&gt;&lt;electronic-resource-num&gt;https://doi.org/10.1016/j.ijheatmasstransfer.2022.123270&lt;/electronic-resource-num&gt;&lt;/record&gt;&lt;/Cite&gt;&lt;/EndNote&gt;</w:instrText>
      </w:r>
      <w:r>
        <w:fldChar w:fldCharType="separate"/>
      </w:r>
      <w:r w:rsidR="003026BC">
        <w:rPr>
          <w:noProof/>
        </w:rPr>
        <w:t>[117]</w:t>
      </w:r>
      <w:r>
        <w:fldChar w:fldCharType="end"/>
      </w:r>
      <w:r>
        <w:t xml:space="preserve">. The second set of tests changed the tube orientation and increased the heating rate to induce transient CHF effects. Comparing these experiments to the initial study, they confirmed there is additional influence on CHF prediction and the nucleate boiling heat transfer coefficient from both of these factors, but with significant influence specifically from transient heating effects </w:t>
      </w:r>
      <w:r>
        <w:fldChar w:fldCharType="begin"/>
      </w:r>
      <w:r w:rsidR="00025204">
        <w:instrText xml:space="preserve"> ADDIN EN.CITE &lt;EndNote&gt;&lt;Cite&gt;&lt;Author&gt;He&lt;/Author&gt;&lt;Year&gt;2023&lt;/Year&gt;&lt;RecNum&gt;315&lt;/RecNum&gt;&lt;DisplayText&gt;[21]&lt;/DisplayText&gt;&lt;record&gt;&lt;rec-number&gt;315&lt;/rec-number&gt;&lt;foreign-keys&gt;&lt;key app="EN" db-id="eseee05sfe5vt6efvr0xapvq20vfdsfp5fvf" timestamp="1687804618" guid="86e544de-21ee-402d-9cad-cf3e8a0bdb71"&gt;315&lt;/key&gt;&lt;/foreign-keys&gt;&lt;ref-type name="Journal Article"&gt;17&lt;/ref-type&gt;&lt;contributors&gt;&lt;authors&gt;&lt;author&gt;He, Mingfu&lt;/author&gt;&lt;author&gt;Chen, Minghui&lt;/author&gt;&lt;/authors&gt;&lt;/contributors&gt;&lt;titles&gt;&lt;title&gt;Steady-state and power transient critical heat flux experiments of FeCrAl and Zircaloy claddings under saturated pool boiling&lt;/title&gt;&lt;secondary-title&gt;Nuclear Engineering and Design&lt;/secondary-title&gt;&lt;/titles&gt;&lt;periodical&gt;&lt;full-title&gt;Nuclear Engineering and Design&lt;/full-title&gt;&lt;/periodical&gt;&lt;pages&gt;112374&lt;/pages&gt;&lt;volume&gt;410&lt;/volume&gt;&lt;keywords&gt;&lt;keyword&gt;Saturated pool boiling&lt;/keyword&gt;&lt;keyword&gt;Accident tolerant fuel cladding&lt;/keyword&gt;&lt;keyword&gt;Heat transfer coefficients&lt;/keyword&gt;&lt;keyword&gt;Critical heat flux&lt;/keyword&gt;&lt;keyword&gt;Reactivity initiated accidents&lt;/keyword&gt;&lt;/keywords&gt;&lt;dates&gt;&lt;year&gt;2023&lt;/year&gt;&lt;pub-dates&gt;&lt;date&gt;2023/08/15/&lt;/date&gt;&lt;/pub-dates&gt;&lt;/dates&gt;&lt;isbn&gt;0029-5493&lt;/isbn&gt;&lt;urls&gt;&lt;related-urls&gt;&lt;url&gt;https://www.sciencedirect.com/science/article/pii/S0029549323002236&lt;/url&gt;&lt;/related-urls&gt;&lt;/urls&gt;&lt;electronic-resource-num&gt;https://doi.org/10.1016/j.nucengdes.2023.112374&lt;/electronic-resource-num&gt;&lt;/record&gt;&lt;/Cite&gt;&lt;/EndNote&gt;</w:instrText>
      </w:r>
      <w:r>
        <w:fldChar w:fldCharType="separate"/>
      </w:r>
      <w:r w:rsidR="00025204">
        <w:rPr>
          <w:noProof/>
        </w:rPr>
        <w:t>[21]</w:t>
      </w:r>
      <w:r>
        <w:fldChar w:fldCharType="end"/>
      </w:r>
      <w:r>
        <w:t xml:space="preserve">. </w:t>
      </w:r>
    </w:p>
    <w:p w14:paraId="79AF9746" w14:textId="4AB4C065" w:rsidR="000B6672" w:rsidRDefault="00440655" w:rsidP="00F22A75">
      <w:pPr>
        <w:pStyle w:val="Heading3"/>
        <w:spacing w:before="0" w:after="0"/>
      </w:pPr>
      <w:bookmarkStart w:id="105" w:name="_Toc202957466"/>
      <w:r>
        <w:t>Model Development and Verification</w:t>
      </w:r>
      <w:bookmarkEnd w:id="105"/>
    </w:p>
    <w:p w14:paraId="7C09AAF2" w14:textId="36273D46" w:rsidR="005A389B" w:rsidRDefault="000D59AD" w:rsidP="00F22A75">
      <w:r>
        <w:t xml:space="preserve">To further investigate the gaps in the CHF modeling capabilities of the RELAP5-3D code, I performed a comparison with pool boiling CHF experiments performed at UNM </w:t>
      </w:r>
      <w:r>
        <w:fldChar w:fldCharType="begin">
          <w:fldData xml:space="preserve">PEVuZE5vdGU+PENpdGU+PEF1dGhvcj5IZTwvQXV0aG9yPjxZZWFyPjIwMjI8L1llYXI+PFJlY051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</w:fldData>
        </w:fldChar>
      </w:r>
      <w:r w:rsidR="003026BC">
        <w:instrText xml:space="preserve"> ADDIN EN.CITE </w:instrText>
      </w:r>
      <w:r w:rsidR="003026BC">
        <w:fldChar w:fldCharType="begin">
          <w:fldData xml:space="preserve">PEVuZE5vdGU+PENpdGU+PEF1dGhvcj5IZTwvQXV0aG9yPjxZZWFyPjIwMjI8L1llYXI+PFJlY051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</w:fldData>
        </w:fldChar>
      </w:r>
      <w:r w:rsidR="003026BC">
        <w:instrText xml:space="preserve"> ADDIN EN.CITE.DATA </w:instrText>
      </w:r>
      <w:r w:rsidR="003026BC">
        <w:fldChar w:fldCharType="end"/>
      </w:r>
      <w:r>
        <w:fldChar w:fldCharType="separate"/>
      </w:r>
      <w:r w:rsidR="003026BC">
        <w:rPr>
          <w:noProof/>
        </w:rPr>
        <w:t>[21, 117]</w:t>
      </w:r>
      <w:r>
        <w:fldChar w:fldCharType="end"/>
      </w:r>
      <w:r>
        <w:t xml:space="preserve">. </w:t>
      </w:r>
      <w:r w:rsidR="000B6672">
        <w:t xml:space="preserve">To model these experiments, </w:t>
      </w:r>
      <w:r w:rsidR="00097FA1">
        <w:t>I</w:t>
      </w:r>
      <w:r w:rsidR="000B6672">
        <w:t xml:space="preserve"> constructed a corresponding model of the boiling facility using both the horizontal and the vertical test section orientation within RELAP5-3D. A nodalization diagram of the model with a vertically oriented test section is shown in</w:t>
      </w:r>
      <w:r w:rsidR="005B4B00">
        <w:t xml:space="preserve"> </w:t>
      </w:r>
      <w:r w:rsidR="005B4B00" w:rsidRPr="005E68D7">
        <w:rPr>
          <w:b/>
          <w:bCs/>
        </w:rPr>
        <w:fldChar w:fldCharType="begin"/>
      </w:r>
      <w:r w:rsidR="005B4B00" w:rsidRPr="005E68D7">
        <w:rPr>
          <w:b/>
          <w:bCs/>
        </w:rPr>
        <w:instrText xml:space="preserve"> REF _Ref160895636 \h </w:instrText>
      </w:r>
      <w:r w:rsidR="005E68D7">
        <w:rPr>
          <w:b/>
          <w:bCs/>
        </w:rPr>
        <w:instrText xml:space="preserve"> \* MERGEFORMAT </w:instrText>
      </w:r>
      <w:r w:rsidR="005B4B00" w:rsidRPr="005E68D7">
        <w:rPr>
          <w:b/>
          <w:bCs/>
        </w:rPr>
      </w:r>
      <w:r w:rsidR="005B4B00" w:rsidRPr="005E68D7">
        <w:rPr>
          <w:b/>
          <w:bCs/>
        </w:rPr>
        <w:fldChar w:fldCharType="separate"/>
      </w:r>
      <w:r w:rsidR="00BF7E93" w:rsidRPr="00BF7E93">
        <w:rPr>
          <w:b/>
          <w:bCs/>
        </w:rPr>
        <w:t xml:space="preserve">Figure </w:t>
      </w:r>
      <w:r w:rsidR="00BF7E93" w:rsidRPr="00BF7E93">
        <w:rPr>
          <w:b/>
          <w:bCs/>
          <w:noProof/>
        </w:rPr>
        <w:t>3.24</w:t>
      </w:r>
      <w:r w:rsidR="005B4B00" w:rsidRPr="005E68D7">
        <w:rPr>
          <w:b/>
          <w:bCs/>
        </w:rPr>
        <w:fldChar w:fldCharType="end"/>
      </w:r>
      <w:r w:rsidR="000B6672">
        <w:t xml:space="preserve">. This diagram is not to scale, but is meant to give a simplified layout of how the components within the model interact. Included in the diagram is the main pool with wall heaters attached to each volume. </w:t>
      </w:r>
    </w:p>
    <w:p w14:paraId="07876259" w14:textId="2AEB0F6C" w:rsidR="005A389B" w:rsidRDefault="005A389B">
      <w:r>
        <w:rPr>
          <w:noProof/>
        </w:rPr>
        <w:lastRenderedPageBreak/>
        <w:drawing>
          <wp:inline distT="0" distB="0" distL="0" distR="0" wp14:anchorId="579B83C2" wp14:editId="14FD5047">
            <wp:extent cx="5486400" cy="3843671"/>
            <wp:effectExtent l="0" t="0" r="0" b="444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42">
                      <a:extLst>
                        <a:ext uri="{28A0092B-C50C-407E-A947-70E740481C1C}">
                          <a14:useLocalDpi xmlns:a14="http://schemas.microsoft.com/office/drawing/2010/main" val="0"/>
                        </a:ext>
                      </a:extLst>
                    </a:blip>
                    <a:stretch>
                      <a:fillRect/>
                    </a:stretch>
                  </pic:blipFill>
                  <pic:spPr>
                    <a:xfrm>
                      <a:off x="0" y="0"/>
                      <a:ext cx="5489796" cy="3846050"/>
                    </a:xfrm>
                    <a:prstGeom prst="rect">
                      <a:avLst/>
                    </a:prstGeom>
                  </pic:spPr>
                </pic:pic>
              </a:graphicData>
            </a:graphic>
          </wp:inline>
        </w:drawing>
      </w:r>
    </w:p>
    <w:p w14:paraId="599298CA" w14:textId="45A58DDB" w:rsidR="005A389B" w:rsidRDefault="005A389B" w:rsidP="00874CBB">
      <w:pPr>
        <w:pStyle w:val="Caption"/>
      </w:pPr>
      <w:bookmarkStart w:id="106" w:name="_Ref160895636"/>
      <w:bookmarkStart w:id="107" w:name="_Toc202957559"/>
      <w:r w:rsidRPr="009D2AA9">
        <w:t xml:space="preserve">Figure </w:t>
      </w:r>
      <w:fldSimple w:instr=" STYLEREF 1 \s ">
        <w:r w:rsidR="00BF7E93">
          <w:rPr>
            <w:noProof/>
          </w:rPr>
          <w:t>3</w:t>
        </w:r>
      </w:fldSimple>
      <w:r w:rsidRPr="009D2AA9">
        <w:t>.</w:t>
      </w:r>
      <w:fldSimple w:instr=" SEQ Figure \* ARABIC \s 1 ">
        <w:r w:rsidR="00BF7E93">
          <w:rPr>
            <w:noProof/>
          </w:rPr>
          <w:t>24</w:t>
        </w:r>
      </w:fldSimple>
      <w:bookmarkEnd w:id="106"/>
      <w:r w:rsidRPr="009D2AA9">
        <w:t xml:space="preserve">. </w:t>
      </w:r>
      <w:r>
        <w:t>Representative RELAP5-3D Nodalization for the UNM Pool Boiling Facility</w:t>
      </w:r>
      <w:bookmarkEnd w:id="107"/>
    </w:p>
    <w:p w14:paraId="467F7F07" w14:textId="77777777" w:rsidR="00D43F7F" w:rsidRDefault="00D43F7F" w:rsidP="00D43F7F"/>
    <w:p w14:paraId="38F09FE1" w14:textId="77777777" w:rsidR="00D43F7F" w:rsidRDefault="00D43F7F" w:rsidP="00D43F7F"/>
    <w:p w14:paraId="7FD46E1A" w14:textId="77777777" w:rsidR="00D43F7F" w:rsidRDefault="00D43F7F" w:rsidP="00D43F7F"/>
    <w:p w14:paraId="48502A6D" w14:textId="77777777" w:rsidR="00D43F7F" w:rsidRDefault="00D43F7F" w:rsidP="00D43F7F"/>
    <w:p w14:paraId="6529C5AA" w14:textId="77777777" w:rsidR="00D43F7F" w:rsidRDefault="00D43F7F" w:rsidP="00D43F7F"/>
    <w:p w14:paraId="179549D2" w14:textId="77777777" w:rsidR="00D43F7F" w:rsidRDefault="00D43F7F" w:rsidP="00D43F7F"/>
    <w:p w14:paraId="338DE3EB" w14:textId="77777777" w:rsidR="00D43F7F" w:rsidRDefault="00D43F7F" w:rsidP="00D43F7F"/>
    <w:p w14:paraId="5B6DE646" w14:textId="77777777" w:rsidR="00D43F7F" w:rsidRDefault="00D43F7F" w:rsidP="00D43F7F"/>
    <w:p w14:paraId="2EE6FE80" w14:textId="77777777" w:rsidR="00D43F7F" w:rsidRPr="00D43F7F" w:rsidRDefault="00D43F7F" w:rsidP="00D43F7F"/>
    <w:p w14:paraId="22933238" w14:textId="77777777" w:rsidR="00E8287A" w:rsidRDefault="00E8287A" w:rsidP="00E8287A">
      <w:r>
        <w:lastRenderedPageBreak/>
        <w:t xml:space="preserve">The lower section, represented by nodes 1-9, is the bulk pool surrounding the test section and the top section, represented by nodes 9-20, represent smaller axial regions that make up the test section and the spacing between the test section and the condenser. The heaters are controlled such that the water temperature is pre-heated evenly and maintains saturation throughout the transient. The condenser is active throughout the transient and works to condense the water in the top volumes of the system. The test section is modeled as FeCrAl-126Y and is filled with the high temperature cement. Not included in </w:t>
      </w:r>
    </w:p>
    <w:p w14:paraId="3BF41F19" w14:textId="77777777" w:rsidR="00D43F7F" w:rsidRDefault="00D43F7F" w:rsidP="00D43F7F">
      <w:r>
        <w:t>the diagram is the time-dependent volume component that acts as the pressure boundary of the ambient environment and the hot water feed to maintain the tank level. This time dependent volume remains at the saturation temperature and pressure throughout the full transient.</w:t>
      </w:r>
    </w:p>
    <w:p w14:paraId="1352F69F" w14:textId="1F59CED0" w:rsidR="00F97403" w:rsidRDefault="00D43F7F" w:rsidP="00D43F7F">
      <w:r>
        <w:t>The experimental tests that I replicated using the RELAP5-3D model are those using FeCrAl-B126Y under steady state and transient conditions. These tests were run to a heat flux of approximately 450 kW/m</w:t>
      </w:r>
      <w:r>
        <w:rPr>
          <w:vertAlign w:val="superscript"/>
        </w:rPr>
        <w:t>2</w:t>
      </w:r>
      <w:r>
        <w:t xml:space="preserve"> and the transient tests were performed using a Fuchs-RIA power pulse boundary condition as determined by:      </w:t>
      </w:r>
    </w:p>
    <w:tbl>
      <w:tblPr>
        <w:tblStyle w:val="TableGrid"/>
        <w:tblW w:w="86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0"/>
        <w:gridCol w:w="7451"/>
        <w:gridCol w:w="561"/>
      </w:tblGrid>
      <w:tr w:rsidR="00F97403" w:rsidRPr="003B3750" w14:paraId="72577F92" w14:textId="77777777" w:rsidTr="00AE2101">
        <w:tc>
          <w:tcPr>
            <w:tcW w:w="590" w:type="dxa"/>
            <w:vAlign w:val="center"/>
          </w:tcPr>
          <w:p w14:paraId="0CDFB4BA" w14:textId="77777777" w:rsidR="00F97403" w:rsidRPr="00F97403" w:rsidRDefault="00F97403" w:rsidP="00274F73">
            <w:pPr>
              <w:pStyle w:val="Equation"/>
            </w:pPr>
          </w:p>
        </w:tc>
        <w:tc>
          <w:tcPr>
            <w:tcW w:w="7451" w:type="dxa"/>
            <w:vAlign w:val="center"/>
          </w:tcPr>
          <w:p w14:paraId="7D24F000" w14:textId="77777777" w:rsidR="00F97403" w:rsidRPr="00F97403" w:rsidRDefault="00F97403" w:rsidP="00274F73">
            <w:pPr>
              <w:pStyle w:val="Equation"/>
            </w:pPr>
            <m:oMathPara>
              <m:oMath>
                <m:r>
                  <w:rPr>
                    <w:rFonts w:ascii="Cambria Math" w:hAnsi="Cambria Math"/>
                  </w:rPr>
                  <m:t>q</m:t>
                </m:r>
                <m:r>
                  <m:rPr>
                    <m:sty m:val="p"/>
                  </m:rPr>
                  <w:rPr>
                    <w:rFonts w:ascii="Cambria Math" w:hAnsi="Cambria Math"/>
                  </w:rPr>
                  <m:t>(</m:t>
                </m:r>
                <m:r>
                  <w:rPr>
                    <w:rFonts w:ascii="Cambria Math" w:hAnsi="Cambria Math"/>
                  </w:rPr>
                  <m:t>t</m:t>
                </m:r>
                <m:r>
                  <m:rPr>
                    <m:sty m:val="p"/>
                  </m:rPr>
                  <w:rPr>
                    <w:rFonts w:ascii="Cambria Math" w:hAnsi="Cambria Math"/>
                  </w:rPr>
                  <m:t xml:space="preserve">)= </m:t>
                </m:r>
                <m:d>
                  <m:dPr>
                    <m:begChr m:val="{"/>
                    <m:endChr m:val=""/>
                    <m:ctrlPr>
                      <w:rPr>
                        <w:rFonts w:ascii="Cambria Math" w:hAnsi="Cambria Math"/>
                      </w:rPr>
                    </m:ctrlPr>
                  </m:dPr>
                  <m:e>
                    <m:eqArr>
                      <m:eqArrPr>
                        <m:ctrlPr>
                          <w:rPr>
                            <w:rFonts w:ascii="Cambria Math" w:hAnsi="Cambria Math"/>
                          </w:rPr>
                        </m:ctrlPr>
                      </m:eqArrPr>
                      <m:e>
                        <m:f>
                          <m:fPr>
                            <m:ctrlPr>
                              <w:rPr>
                                <w:rFonts w:ascii="Cambria Math" w:hAnsi="Cambria Math"/>
                              </w:rPr>
                            </m:ctrlPr>
                          </m:fPr>
                          <m:num>
                            <m:sSub>
                              <m:sSubPr>
                                <m:ctrlPr>
                                  <w:rPr>
                                    <w:rFonts w:ascii="Cambria Math" w:hAnsi="Cambria Math"/>
                                  </w:rPr>
                                </m:ctrlPr>
                              </m:sSubPr>
                              <m:e>
                                <m:r>
                                  <w:rPr>
                                    <w:rFonts w:ascii="Cambria Math" w:hAnsi="Cambria Math"/>
                                  </w:rPr>
                                  <m:t>q</m:t>
                                </m:r>
                              </m:e>
                              <m:sub>
                                <m:r>
                                  <w:rPr>
                                    <w:rFonts w:ascii="Cambria Math" w:hAnsi="Cambria Math"/>
                                  </w:rPr>
                                  <m:t>m</m:t>
                                </m:r>
                              </m:sub>
                            </m:sSub>
                          </m:num>
                          <m:den>
                            <m:r>
                              <m:rPr>
                                <m:sty m:val="p"/>
                              </m:rPr>
                              <w:rPr>
                                <w:rFonts w:ascii="Cambria Math" w:hAnsi="Cambria Math"/>
                              </w:rPr>
                              <m:t>2</m:t>
                            </m:r>
                            <m:r>
                              <w:rPr>
                                <w:rFonts w:ascii="Cambria Math" w:hAnsi="Cambria Math"/>
                              </w:rPr>
                              <m:t>s</m:t>
                            </m:r>
                          </m:den>
                        </m:f>
                        <m:d>
                          <m:dPr>
                            <m:begChr m:val="["/>
                            <m:endChr m:val="]"/>
                            <m:ctrlPr>
                              <w:rPr>
                                <w:rFonts w:ascii="Cambria Math" w:hAnsi="Cambria Math"/>
                              </w:rPr>
                            </m:ctrlPr>
                          </m:dPr>
                          <m:e>
                            <m:r>
                              <w:rPr>
                                <w:rFonts w:ascii="Cambria Math" w:hAnsi="Cambria Math"/>
                              </w:rPr>
                              <m:t>cos</m:t>
                            </m:r>
                            <m:d>
                              <m:dPr>
                                <m:ctrlPr>
                                  <w:rPr>
                                    <w:rFonts w:ascii="Cambria Math" w:hAnsi="Cambria Math"/>
                                  </w:rPr>
                                </m:ctrlPr>
                              </m:dPr>
                              <m:e>
                                <m:r>
                                  <w:rPr>
                                    <w:rFonts w:ascii="Cambria Math" w:hAnsi="Cambria Math"/>
                                  </w:rPr>
                                  <m:t>π</m:t>
                                </m:r>
                                <m:f>
                                  <m:fPr>
                                    <m:ctrlPr>
                                      <w:rPr>
                                        <w:rFonts w:ascii="Cambria Math" w:hAnsi="Cambria Math"/>
                                      </w:rPr>
                                    </m:ctrlPr>
                                  </m:fPr>
                                  <m:num>
                                    <m:r>
                                      <w:rPr>
                                        <w:rFonts w:ascii="Cambria Math" w:hAnsi="Cambria Math"/>
                                      </w:rPr>
                                      <m:t>t</m:t>
                                    </m:r>
                                    <m:r>
                                      <m:rPr>
                                        <m:sty m:val="p"/>
                                      </m:rPr>
                                      <w:rPr>
                                        <w:rFonts w:ascii="Cambria Math" w:hAnsi="Cambria Math"/>
                                      </w:rPr>
                                      <m:t>-</m:t>
                                    </m:r>
                                    <m:r>
                                      <w:rPr>
                                        <w:rFonts w:ascii="Cambria Math" w:hAnsi="Cambria Math"/>
                                      </w:rPr>
                                      <m:t>s</m:t>
                                    </m:r>
                                  </m:num>
                                  <m:den>
                                    <m:r>
                                      <w:rPr>
                                        <w:rFonts w:ascii="Cambria Math" w:hAnsi="Cambria Math"/>
                                      </w:rPr>
                                      <m:t>s</m:t>
                                    </m:r>
                                  </m:den>
                                </m:f>
                              </m:e>
                            </m:d>
                          </m:e>
                        </m:d>
                        <m:r>
                          <m:rPr>
                            <m:sty m:val="p"/>
                          </m:rPr>
                          <w:rPr>
                            <w:rFonts w:ascii="Cambria Math" w:hAnsi="Cambria Math"/>
                          </w:rPr>
                          <m:t xml:space="preserve">  </m:t>
                        </m:r>
                        <m:r>
                          <w:rPr>
                            <w:rFonts w:ascii="Cambria Math" w:hAnsi="Cambria Math"/>
                          </w:rPr>
                          <m:t>t</m:t>
                        </m:r>
                        <m:r>
                          <m:rPr>
                            <m:sty m:val="p"/>
                          </m:rPr>
                          <w:rPr>
                            <w:rFonts w:ascii="Cambria Math" w:hAnsi="Cambria Math"/>
                          </w:rPr>
                          <m:t xml:space="preserve"> ∈ </m:t>
                        </m:r>
                        <m:d>
                          <m:dPr>
                            <m:begChr m:val="["/>
                            <m:endChr m:val="]"/>
                            <m:ctrlPr>
                              <w:rPr>
                                <w:rFonts w:ascii="Cambria Math" w:hAnsi="Cambria Math"/>
                              </w:rPr>
                            </m:ctrlPr>
                          </m:dPr>
                          <m:e>
                            <m:r>
                              <m:rPr>
                                <m:sty m:val="p"/>
                              </m:rPr>
                              <w:rPr>
                                <w:rFonts w:ascii="Cambria Math" w:hAnsi="Cambria Math"/>
                              </w:rPr>
                              <m:t>0, 2</m:t>
                            </m:r>
                            <m:r>
                              <w:rPr>
                                <w:rFonts w:ascii="Cambria Math" w:hAnsi="Cambria Math"/>
                              </w:rPr>
                              <m:t>s</m:t>
                            </m:r>
                          </m:e>
                        </m:d>
                      </m:e>
                      <m:e>
                        <m:r>
                          <m:rPr>
                            <m:sty m:val="p"/>
                          </m:rPr>
                          <w:rPr>
                            <w:rFonts w:ascii="Cambria Math" w:hAnsi="Cambria Math"/>
                          </w:rPr>
                          <m:t xml:space="preserve">0                                  </m:t>
                        </m:r>
                        <m:r>
                          <m:rPr>
                            <m:nor/>
                          </m:rPr>
                          <m:t>Otherwise</m:t>
                        </m:r>
                      </m:e>
                    </m:eqArr>
                  </m:e>
                </m:d>
              </m:oMath>
            </m:oMathPara>
          </w:p>
        </w:tc>
        <w:tc>
          <w:tcPr>
            <w:tcW w:w="561" w:type="dxa"/>
            <w:vAlign w:val="center"/>
          </w:tcPr>
          <w:p w14:paraId="0D182531" w14:textId="267958D2" w:rsidR="00F97403" w:rsidRPr="00F97403" w:rsidRDefault="00BF7E93" w:rsidP="00274F73">
            <w:pPr>
              <w:pStyle w:val="Equation"/>
            </w:pPr>
            <w:r>
              <w:fldChar w:fldCharType="begin"/>
            </w:r>
            <w:r>
              <w:instrText xml:space="preserve"> SEQ Equation \* ARABIC </w:instrText>
            </w:r>
            <w:r>
              <w:fldChar w:fldCharType="separate"/>
            </w:r>
            <w:r>
              <w:rPr>
                <w:noProof/>
              </w:rPr>
              <w:t>15</w:t>
            </w:r>
            <w:r>
              <w:rPr>
                <w:noProof/>
              </w:rPr>
              <w:fldChar w:fldCharType="end"/>
            </w:r>
          </w:p>
        </w:tc>
      </w:tr>
    </w:tbl>
    <w:p w14:paraId="45450363" w14:textId="59C01DA9" w:rsidR="000B6672" w:rsidRDefault="00F97403" w:rsidP="00E8287A">
      <w:r>
        <w:t>q</w:t>
      </w:r>
      <w:r>
        <w:rPr>
          <w:vertAlign w:val="subscript"/>
        </w:rPr>
        <w:t>m</w:t>
      </w:r>
      <w:r>
        <w:t xml:space="preserve"> represents the peak thermal power of the rod during the transient, t is the problem time and s is a variable that adjusts the heating rate of the rod. For this specific transient, s is set to 8 to match the experimental value and q</w:t>
      </w:r>
      <w:r>
        <w:rPr>
          <w:vertAlign w:val="subscript"/>
        </w:rPr>
        <w:t>m</w:t>
      </w:r>
      <w:r>
        <w:t xml:space="preserve"> was adjusted such that the peak heat flux during the experiment was ~450 kW/m</w:t>
      </w:r>
      <w:r>
        <w:rPr>
          <w:vertAlign w:val="superscript"/>
        </w:rPr>
        <w:t>2</w:t>
      </w:r>
      <w:r>
        <w:t xml:space="preserve">. A test matrix with constant peak power and varying energy deposition rates, by varying the value of s, is shown in </w:t>
      </w:r>
      <w:r w:rsidRPr="005E68D7">
        <w:rPr>
          <w:b/>
          <w:bCs/>
        </w:rPr>
        <w:fldChar w:fldCharType="begin"/>
      </w:r>
      <w:r w:rsidRPr="005E68D7">
        <w:rPr>
          <w:b/>
          <w:bCs/>
        </w:rPr>
        <w:instrText xml:space="preserve"> REF _Ref160895664 \h </w:instrText>
      </w:r>
      <w:r>
        <w:rPr>
          <w:b/>
          <w:bCs/>
        </w:rPr>
        <w:instrText xml:space="preserve"> \* MERGEFORMAT </w:instrText>
      </w:r>
      <w:r w:rsidRPr="005E68D7">
        <w:rPr>
          <w:b/>
          <w:bCs/>
        </w:rPr>
      </w:r>
      <w:r w:rsidRPr="005E68D7">
        <w:rPr>
          <w:b/>
          <w:bCs/>
        </w:rPr>
        <w:fldChar w:fldCharType="separate"/>
      </w:r>
      <w:r w:rsidR="00BF7E93" w:rsidRPr="00BF7E93">
        <w:rPr>
          <w:b/>
          <w:bCs/>
        </w:rPr>
        <w:t xml:space="preserve">Figure </w:t>
      </w:r>
      <w:r w:rsidR="00BF7E93" w:rsidRPr="00BF7E93">
        <w:rPr>
          <w:b/>
          <w:bCs/>
          <w:noProof/>
        </w:rPr>
        <w:t>3.25</w:t>
      </w:r>
      <w:r w:rsidRPr="005E68D7">
        <w:rPr>
          <w:b/>
          <w:bCs/>
        </w:rPr>
        <w:fldChar w:fldCharType="end"/>
      </w:r>
      <w:r>
        <w:t xml:space="preserve">.  </w:t>
      </w:r>
    </w:p>
    <w:p w14:paraId="4D1C3012" w14:textId="3FA5D39C" w:rsidR="005A389B" w:rsidRDefault="005A389B" w:rsidP="005A389B">
      <w:pPr>
        <w:jc w:val="center"/>
      </w:pPr>
      <w:r>
        <w:rPr>
          <w:noProof/>
        </w:rPr>
        <w:lastRenderedPageBreak/>
        <w:drawing>
          <wp:inline distT="0" distB="0" distL="0" distR="0" wp14:anchorId="772BBA8D" wp14:editId="563B4D6C">
            <wp:extent cx="4963923" cy="3473450"/>
            <wp:effectExtent l="0" t="0" r="1905"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5"/>
                    <pic:cNvPicPr/>
                  </pic:nvPicPr>
                  <pic:blipFill>
                    <a:blip r:embed="rId43" cstate="print">
                      <a:extLst>
                        <a:ext uri="{28A0092B-C50C-407E-A947-70E740481C1C}">
                          <a14:useLocalDpi xmlns:a14="http://schemas.microsoft.com/office/drawing/2010/main" val="0"/>
                        </a:ext>
                      </a:extLst>
                    </a:blip>
                    <a:stretch>
                      <a:fillRect/>
                    </a:stretch>
                  </pic:blipFill>
                  <pic:spPr>
                    <a:xfrm>
                      <a:off x="0" y="0"/>
                      <a:ext cx="4974584" cy="3480910"/>
                    </a:xfrm>
                    <a:prstGeom prst="rect">
                      <a:avLst/>
                    </a:prstGeom>
                  </pic:spPr>
                </pic:pic>
              </a:graphicData>
            </a:graphic>
          </wp:inline>
        </w:drawing>
      </w:r>
    </w:p>
    <w:p w14:paraId="4D6D1135" w14:textId="5B09F6EF" w:rsidR="005A389B" w:rsidRDefault="005A389B" w:rsidP="00874CBB">
      <w:pPr>
        <w:pStyle w:val="Caption"/>
      </w:pPr>
      <w:bookmarkStart w:id="108" w:name="_Ref160895664"/>
      <w:bookmarkStart w:id="109" w:name="_Toc202957560"/>
      <w:r w:rsidRPr="009D2AA9">
        <w:t xml:space="preserve">Figure </w:t>
      </w:r>
      <w:fldSimple w:instr=" STYLEREF 1 \s ">
        <w:r w:rsidR="00BF7E93">
          <w:rPr>
            <w:noProof/>
          </w:rPr>
          <w:t>3</w:t>
        </w:r>
      </w:fldSimple>
      <w:r w:rsidRPr="009D2AA9">
        <w:t>.</w:t>
      </w:r>
      <w:fldSimple w:instr=" SEQ Figure \* ARABIC \s 1 ">
        <w:r w:rsidR="00BF7E93">
          <w:rPr>
            <w:noProof/>
          </w:rPr>
          <w:t>25</w:t>
        </w:r>
      </w:fldSimple>
      <w:bookmarkEnd w:id="108"/>
      <w:r w:rsidRPr="009D2AA9">
        <w:t xml:space="preserve">. </w:t>
      </w:r>
      <w:r w:rsidR="005B4B00">
        <w:t xml:space="preserve">Experimental Test Matrix for Vertical Pool Boiling Experiments Using Equation 3 with Varying Values of s </w:t>
      </w:r>
      <w:r w:rsidR="005B4B00">
        <w:fldChar w:fldCharType="begin"/>
      </w:r>
      <w:r w:rsidR="00025204">
        <w:instrText xml:space="preserve"> ADDIN EN.CITE &lt;EndNote&gt;&lt;Cite AuthorYear="1"&gt;&lt;Author&gt;He&lt;/Author&gt;&lt;Year&gt;2023&lt;/Year&gt;&lt;RecNum&gt;315&lt;/RecNum&gt;&lt;DisplayText&gt;M. HE and M. CHEN [21]&lt;/DisplayText&gt;&lt;record&gt;&lt;rec-number&gt;315&lt;/rec-number&gt;&lt;foreign-keys&gt;&lt;key app="EN" db-id="eseee05sfe5vt6efvr0xapvq20vfdsfp5fvf" timestamp="1687804618" guid="86e544de-21ee-402d-9cad-cf3e8a0bdb71"&gt;315&lt;/key&gt;&lt;/foreign-keys&gt;&lt;ref-type name="Journal Article"&gt;17&lt;/ref-type&gt;&lt;contributors&gt;&lt;authors&gt;&lt;author&gt;He, Mingfu&lt;/author&gt;&lt;author&gt;Chen, Minghui&lt;/author&gt;&lt;/authors&gt;&lt;/contributors&gt;&lt;titles&gt;&lt;title&gt;Steady-state and power transient critical heat flux experiments of FeCrAl and Zircaloy claddings under saturated pool boiling&lt;/title&gt;&lt;secondary-title&gt;Nuclear Engineering and Design&lt;/secondary-title&gt;&lt;/titles&gt;&lt;periodical&gt;&lt;full-title&gt;Nuclear Engineering and Design&lt;/full-title&gt;&lt;/periodical&gt;&lt;pages&gt;112374&lt;/pages&gt;&lt;volume&gt;410&lt;/volume&gt;&lt;keywords&gt;&lt;keyword&gt;Saturated pool boiling&lt;/keyword&gt;&lt;keyword&gt;Accident tolerant fuel cladding&lt;/keyword&gt;&lt;keyword&gt;Heat transfer coefficients&lt;/keyword&gt;&lt;keyword&gt;Critical heat flux&lt;/keyword&gt;&lt;keyword&gt;Reactivity initiated accidents&lt;/keyword&gt;&lt;/keywords&gt;&lt;dates&gt;&lt;year&gt;2023&lt;/year&gt;&lt;pub-dates&gt;&lt;date&gt;2023/08/15/&lt;/date&gt;&lt;/pub-dates&gt;&lt;/dates&gt;&lt;isbn&gt;0029-5493&lt;/isbn&gt;&lt;urls&gt;&lt;related-urls&gt;&lt;url&gt;https://www.sciencedirect.com/science/article/pii/S0029549323002236&lt;/url&gt;&lt;/related-urls&gt;&lt;/urls&gt;&lt;electronic-resource-num&gt;https://doi.org/10.1016/j.nucengdes.2023.112374&lt;/electronic-resource-num&gt;&lt;/record&gt;&lt;/Cite&gt;&lt;/EndNote&gt;</w:instrText>
      </w:r>
      <w:r w:rsidR="005B4B00">
        <w:fldChar w:fldCharType="separate"/>
      </w:r>
      <w:r w:rsidR="00025204">
        <w:rPr>
          <w:noProof/>
        </w:rPr>
        <w:t>M. HE and M. CHEN [21]</w:t>
      </w:r>
      <w:r w:rsidR="005B4B00">
        <w:fldChar w:fldCharType="end"/>
      </w:r>
      <w:r w:rsidR="005B4B00">
        <w:t>.</w:t>
      </w:r>
      <w:bookmarkEnd w:id="109"/>
    </w:p>
    <w:p w14:paraId="464CFED9" w14:textId="10B4641E" w:rsidR="005A389B" w:rsidRDefault="005A389B">
      <w:r>
        <w:br w:type="page"/>
      </w:r>
    </w:p>
    <w:p w14:paraId="4F9F7F21" w14:textId="77777777" w:rsidR="00E8287A" w:rsidRDefault="00E8287A" w:rsidP="00F22A75">
      <w:r>
        <w:lastRenderedPageBreak/>
        <w:t>These tests notably do not reach critical heat flux and remain within the nucleate boiling heat transfer regime.</w:t>
      </w:r>
    </w:p>
    <w:p w14:paraId="34DD0801" w14:textId="77777777" w:rsidR="00E8287A" w:rsidRDefault="00E8287A" w:rsidP="00F22A75">
      <w:pPr>
        <w:pStyle w:val="Heading3"/>
        <w:spacing w:before="0" w:after="0"/>
      </w:pPr>
      <w:bookmarkStart w:id="110" w:name="_Toc202957467"/>
      <w:r>
        <w:t>Experimental Comparison</w:t>
      </w:r>
      <w:bookmarkEnd w:id="110"/>
    </w:p>
    <w:p w14:paraId="1E88E13D" w14:textId="77777777" w:rsidR="00E8287A" w:rsidRDefault="00E8287A" w:rsidP="00F22A75">
      <w:r>
        <w:t xml:space="preserve">Several studies including the original experimental studies by UNM have shown the influence of test section orientation on the boiling heat transfer capabilities of the cladding throughout the nucleate boiling regime </w:t>
      </w:r>
      <w:r>
        <w:fldChar w:fldCharType="begin">
          <w:fldData xml:space="preserve">PEVuZE5vdGU+PENpdGU+PEF1dGhvcj5MaWFuZzwvQXV0aG9yPjxZZWFyPjIwMTg8L1llYXI+PFJl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</w:fldData>
        </w:fldChar>
      </w:r>
      <w:r>
        <w:instrText xml:space="preserve"> ADDIN EN.CITE </w:instrText>
      </w:r>
      <w:r>
        <w:fldChar w:fldCharType="begin">
          <w:fldData xml:space="preserve">PEVuZE5vdGU+PENpdGU+PEF1dGhvcj5MaWFuZzwvQXV0aG9yPjxZZWFyPjIwMTg8L1llYXI+PFJl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</w:fldData>
        </w:fldChar>
      </w:r>
      <w:r>
        <w:instrText xml:space="preserve"> ADDIN EN.CITE.DATA </w:instrText>
      </w:r>
      <w:r>
        <w:fldChar w:fldCharType="end"/>
      </w:r>
      <w:r>
        <w:fldChar w:fldCharType="separate"/>
      </w:r>
      <w:r>
        <w:rPr>
          <w:noProof/>
        </w:rPr>
        <w:t>[21, 117, 118]</w:t>
      </w:r>
      <w:r>
        <w:fldChar w:fldCharType="end"/>
      </w:r>
      <w:r>
        <w:t xml:space="preserve">. The angle of orientation of the test section with respect to the bubble motion either enhances or hinders the ability </w:t>
      </w:r>
    </w:p>
    <w:p w14:paraId="3C6A7073" w14:textId="60775480" w:rsidR="00D43F7F" w:rsidRDefault="00D43F7F" w:rsidP="00F22A75">
      <w:r>
        <w:t xml:space="preserve">for the bubbles to lift off of the surface. The nominal value relevant to PWRs is 90 degrees representing a vertically oriented surface. For the horizontal test sections, there is a significant degradation in heat transfer since as the contact angle approaches 180 degrees the motion of bubbles leaving the surface is impeded. This degradation in bubble departure outweighs the enhancement from the top half having an angle of 0 degrees, and causes a lower average heat transfer than with a fully vertical test section </w:t>
      </w:r>
      <w:r>
        <w:fldChar w:fldCharType="begin">
          <w:fldData xml:space="preserve">PEVuZE5vdGU+PENpdGU+PEF1dGhvcj5IZTwvQXV0aG9yPjxZZWFyPjIwMjM8L1llYXI+PFJlY051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</w:fldData>
        </w:fldChar>
      </w:r>
      <w:r w:rsidR="003026BC">
        <w:instrText xml:space="preserve"> ADDIN EN.CITE </w:instrText>
      </w:r>
      <w:r w:rsidR="003026BC">
        <w:fldChar w:fldCharType="begin">
          <w:fldData xml:space="preserve">PEVuZE5vdGU+PENpdGU+PEF1dGhvcj5IZTwvQXV0aG9yPjxZZWFyPjIwMjM8L1llYXI+PFJlY051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</w:fldData>
        </w:fldChar>
      </w:r>
      <w:r w:rsidR="003026BC">
        <w:instrText xml:space="preserve"> ADDIN EN.CITE.DATA </w:instrText>
      </w:r>
      <w:r w:rsidR="003026BC">
        <w:fldChar w:fldCharType="end"/>
      </w:r>
      <w:r>
        <w:fldChar w:fldCharType="separate"/>
      </w:r>
      <w:r w:rsidR="003026BC">
        <w:rPr>
          <w:noProof/>
        </w:rPr>
        <w:t>[21, 117, 118]</w:t>
      </w:r>
      <w:r>
        <w:fldChar w:fldCharType="end"/>
      </w:r>
      <w:r>
        <w:t>.</w:t>
      </w:r>
    </w:p>
    <w:p w14:paraId="73719C2D" w14:textId="7E9CFACE" w:rsidR="00474E39" w:rsidRDefault="00474E39" w:rsidP="00F22A75">
      <w:r>
        <w:t xml:space="preserve">The comparison between the results of the experimental tests and the predictions using the RELAP5-3D model are shown in </w:t>
      </w:r>
      <w:r w:rsidRPr="005E68D7">
        <w:rPr>
          <w:b/>
          <w:bCs/>
        </w:rPr>
        <w:fldChar w:fldCharType="begin"/>
      </w:r>
      <w:r w:rsidRPr="005E68D7">
        <w:rPr>
          <w:b/>
          <w:bCs/>
        </w:rPr>
        <w:instrText xml:space="preserve"> REF _Ref160895674 \h </w:instrText>
      </w:r>
      <w:r>
        <w:rPr>
          <w:b/>
          <w:bCs/>
        </w:rPr>
        <w:instrText xml:space="preserve"> \* MERGEFORMAT </w:instrText>
      </w:r>
      <w:r w:rsidRPr="005E68D7">
        <w:rPr>
          <w:b/>
          <w:bCs/>
        </w:rPr>
      </w:r>
      <w:r w:rsidRPr="005E68D7">
        <w:rPr>
          <w:b/>
          <w:bCs/>
        </w:rPr>
        <w:fldChar w:fldCharType="separate"/>
      </w:r>
      <w:r w:rsidR="00BF7E93" w:rsidRPr="00BF7E93">
        <w:rPr>
          <w:b/>
          <w:bCs/>
        </w:rPr>
        <w:t xml:space="preserve">Figure </w:t>
      </w:r>
      <w:r w:rsidR="00BF7E93" w:rsidRPr="00BF7E93">
        <w:rPr>
          <w:b/>
          <w:bCs/>
          <w:noProof/>
        </w:rPr>
        <w:t>3.26</w:t>
      </w:r>
      <w:r w:rsidRPr="005E68D7">
        <w:rPr>
          <w:b/>
          <w:bCs/>
        </w:rPr>
        <w:fldChar w:fldCharType="end"/>
      </w:r>
      <w:r>
        <w:t xml:space="preserve"> and </w:t>
      </w:r>
      <w:r w:rsidRPr="005E68D7">
        <w:rPr>
          <w:b/>
          <w:bCs/>
        </w:rPr>
        <w:fldChar w:fldCharType="begin"/>
      </w:r>
      <w:r w:rsidRPr="005E68D7">
        <w:rPr>
          <w:b/>
          <w:bCs/>
        </w:rPr>
        <w:instrText xml:space="preserve"> REF _Ref160895676 \h </w:instrText>
      </w:r>
      <w:r>
        <w:rPr>
          <w:b/>
          <w:bCs/>
        </w:rPr>
        <w:instrText xml:space="preserve"> \* MERGEFORMAT </w:instrText>
      </w:r>
      <w:r w:rsidRPr="005E68D7">
        <w:rPr>
          <w:b/>
          <w:bCs/>
        </w:rPr>
      </w:r>
      <w:r w:rsidRPr="005E68D7">
        <w:rPr>
          <w:b/>
          <w:bCs/>
        </w:rPr>
        <w:fldChar w:fldCharType="separate"/>
      </w:r>
      <w:r w:rsidR="00BF7E93" w:rsidRPr="00BF7E93">
        <w:rPr>
          <w:b/>
          <w:bCs/>
        </w:rPr>
        <w:t xml:space="preserve">Figure </w:t>
      </w:r>
      <w:r w:rsidR="00BF7E93" w:rsidRPr="00BF7E93">
        <w:rPr>
          <w:b/>
          <w:bCs/>
          <w:noProof/>
        </w:rPr>
        <w:t>3.27</w:t>
      </w:r>
      <w:r w:rsidRPr="005E68D7">
        <w:rPr>
          <w:b/>
          <w:bCs/>
        </w:rPr>
        <w:fldChar w:fldCharType="end"/>
      </w:r>
      <w:r>
        <w:t>.</w:t>
      </w:r>
    </w:p>
    <w:p w14:paraId="6151ABC9" w14:textId="008E5B92" w:rsidR="00474E39" w:rsidRDefault="00474E39" w:rsidP="00F22A75">
      <w:r>
        <w:t xml:space="preserve">The results of the RELAP5-3D model are identical regardless of the orientation of the test section since the model calculation is 1-D and there is no correlation implemented for bubble departure and crowding. The RELAP5-3D model under transient heat input follows very closely to the steady-state heating results and falls between the horizontal and vertical test section orientations in terms of heat transfer coefficient and wall superheat. The experimental results under transient heating exhibit a highly enhanced </w:t>
      </w:r>
      <w:r>
        <w:br w:type="page"/>
      </w:r>
    </w:p>
    <w:p w14:paraId="46FF7508" w14:textId="77777777" w:rsidR="005A389B" w:rsidRDefault="005A389B" w:rsidP="0082204A">
      <w:pPr>
        <w:jc w:val="center"/>
      </w:pPr>
      <w:r>
        <w:rPr>
          <w:noProof/>
        </w:rPr>
        <w:lastRenderedPageBreak/>
        <w:drawing>
          <wp:inline distT="0" distB="0" distL="0" distR="0" wp14:anchorId="7E8B454E" wp14:editId="444AEA29">
            <wp:extent cx="5486400" cy="3702645"/>
            <wp:effectExtent l="0" t="0" r="0" b="635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44" cstate="print">
                      <a:extLst>
                        <a:ext uri="{28A0092B-C50C-407E-A947-70E740481C1C}">
                          <a14:useLocalDpi xmlns:a14="http://schemas.microsoft.com/office/drawing/2010/main" val="0"/>
                        </a:ext>
                      </a:extLst>
                    </a:blip>
                    <a:stretch>
                      <a:fillRect/>
                    </a:stretch>
                  </pic:blipFill>
                  <pic:spPr>
                    <a:xfrm>
                      <a:off x="0" y="0"/>
                      <a:ext cx="5486400" cy="3702645"/>
                    </a:xfrm>
                    <a:prstGeom prst="rect">
                      <a:avLst/>
                    </a:prstGeom>
                  </pic:spPr>
                </pic:pic>
              </a:graphicData>
            </a:graphic>
          </wp:inline>
        </w:drawing>
      </w:r>
    </w:p>
    <w:p w14:paraId="6C3A02F5" w14:textId="5AC1EBAB" w:rsidR="005A389B" w:rsidRDefault="005A389B" w:rsidP="00874CBB">
      <w:pPr>
        <w:pStyle w:val="Caption"/>
      </w:pPr>
      <w:bookmarkStart w:id="111" w:name="_Ref160895674"/>
      <w:bookmarkStart w:id="112" w:name="_Toc202957561"/>
      <w:r w:rsidRPr="009D2AA9">
        <w:t xml:space="preserve">Figure </w:t>
      </w:r>
      <w:fldSimple w:instr=" STYLEREF 1 \s ">
        <w:r w:rsidR="00BF7E93">
          <w:rPr>
            <w:noProof/>
          </w:rPr>
          <w:t>3</w:t>
        </w:r>
      </w:fldSimple>
      <w:r w:rsidRPr="009D2AA9">
        <w:t>.</w:t>
      </w:r>
      <w:fldSimple w:instr=" SEQ Figure \* ARABIC \s 1 ">
        <w:r w:rsidR="00BF7E93">
          <w:rPr>
            <w:noProof/>
          </w:rPr>
          <w:t>26</w:t>
        </w:r>
      </w:fldSimple>
      <w:bookmarkEnd w:id="111"/>
      <w:r w:rsidRPr="009D2AA9">
        <w:t xml:space="preserve">. </w:t>
      </w:r>
      <w:r>
        <w:t xml:space="preserve">Comparison of Experimental RELAP5-3D Calculated Results for Horizontal and Vertical Test Sections Under Steady-State Conditions </w:t>
      </w:r>
      <w:r>
        <w:fldChar w:fldCharType="begin">
          <w:fldData xml:space="preserve">PEVuZE5vdGU+PENpdGUgQXV0aG9yWWVhcj0iMSI+PEF1dGhvcj5IZTwvQXV0aG9yPjxZZWFyPjIw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</w:fldData>
        </w:fldChar>
      </w:r>
      <w:r w:rsidR="003026BC">
        <w:instrText xml:space="preserve"> ADDIN EN.CITE </w:instrText>
      </w:r>
      <w:r w:rsidR="003026BC">
        <w:fldChar w:fldCharType="begin">
          <w:fldData xml:space="preserve">PEVuZE5vdGU+PENpdGUgQXV0aG9yWWVhcj0iMSI+PEF1dGhvcj5IZTwvQXV0aG9yPjxZZWFyPjIw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</w:fldData>
        </w:fldChar>
      </w:r>
      <w:r w:rsidR="003026BC">
        <w:instrText xml:space="preserve"> ADDIN EN.CITE.DATA </w:instrText>
      </w:r>
      <w:r w:rsidR="003026BC">
        <w:fldChar w:fldCharType="end"/>
      </w:r>
      <w:r>
        <w:fldChar w:fldCharType="separate"/>
      </w:r>
      <w:r w:rsidR="003026BC">
        <w:rPr>
          <w:noProof/>
        </w:rPr>
        <w:t>M. HE and M. CHEN [21], M. HE, A. F. ALI and M. CHEN [117]</w:t>
      </w:r>
      <w:r>
        <w:fldChar w:fldCharType="end"/>
      </w:r>
      <w:r>
        <w:t>.</w:t>
      </w:r>
      <w:bookmarkEnd w:id="112"/>
    </w:p>
    <w:p w14:paraId="1118DDDB" w14:textId="0203D7DB" w:rsidR="005A389B" w:rsidRDefault="005A389B" w:rsidP="005A389B"/>
    <w:p w14:paraId="687C8FFF" w14:textId="0DAD269F" w:rsidR="005A389B" w:rsidRDefault="005A389B" w:rsidP="005A389B"/>
    <w:p w14:paraId="46AF6B57" w14:textId="52B5D0AE" w:rsidR="005A389B" w:rsidRDefault="005A389B" w:rsidP="005A389B"/>
    <w:p w14:paraId="24138884" w14:textId="1C68F99C" w:rsidR="005A389B" w:rsidRDefault="005A389B" w:rsidP="005A389B"/>
    <w:p w14:paraId="023C9E5B" w14:textId="7E329978" w:rsidR="005A389B" w:rsidRDefault="005A389B" w:rsidP="005A389B"/>
    <w:p w14:paraId="763687F4" w14:textId="77777777" w:rsidR="00CF314C" w:rsidRDefault="00CF314C" w:rsidP="005A389B"/>
    <w:p w14:paraId="28B7A1C9" w14:textId="77777777" w:rsidR="005A389B" w:rsidRDefault="005A389B" w:rsidP="0082204A">
      <w:pPr>
        <w:jc w:val="center"/>
      </w:pPr>
      <w:r>
        <w:rPr>
          <w:noProof/>
        </w:rPr>
        <w:lastRenderedPageBreak/>
        <w:drawing>
          <wp:inline distT="0" distB="0" distL="0" distR="0" wp14:anchorId="441F2CEB" wp14:editId="54F3BA4B">
            <wp:extent cx="5486400" cy="3612994"/>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45" cstate="print">
                      <a:extLst>
                        <a:ext uri="{28A0092B-C50C-407E-A947-70E740481C1C}">
                          <a14:useLocalDpi xmlns:a14="http://schemas.microsoft.com/office/drawing/2010/main" val="0"/>
                        </a:ext>
                      </a:extLst>
                    </a:blip>
                    <a:stretch>
                      <a:fillRect/>
                    </a:stretch>
                  </pic:blipFill>
                  <pic:spPr>
                    <a:xfrm>
                      <a:off x="0" y="0"/>
                      <a:ext cx="5486400" cy="3612994"/>
                    </a:xfrm>
                    <a:prstGeom prst="rect">
                      <a:avLst/>
                    </a:prstGeom>
                  </pic:spPr>
                </pic:pic>
              </a:graphicData>
            </a:graphic>
          </wp:inline>
        </w:drawing>
      </w:r>
    </w:p>
    <w:p w14:paraId="234C09F1" w14:textId="423A905C" w:rsidR="005A389B" w:rsidRDefault="005A389B" w:rsidP="00874CBB">
      <w:pPr>
        <w:pStyle w:val="Caption"/>
      </w:pPr>
      <w:bookmarkStart w:id="113" w:name="_Ref160895676"/>
      <w:bookmarkStart w:id="114" w:name="_Toc202957562"/>
      <w:r w:rsidRPr="009D2AA9">
        <w:t xml:space="preserve">Figure </w:t>
      </w:r>
      <w:fldSimple w:instr=" STYLEREF 1 \s ">
        <w:r w:rsidR="00BF7E93">
          <w:rPr>
            <w:noProof/>
          </w:rPr>
          <w:t>3</w:t>
        </w:r>
      </w:fldSimple>
      <w:r w:rsidRPr="009D2AA9">
        <w:t>.</w:t>
      </w:r>
      <w:fldSimple w:instr=" SEQ Figure \* ARABIC \s 1 ">
        <w:r w:rsidR="00BF7E93">
          <w:rPr>
            <w:noProof/>
          </w:rPr>
          <w:t>27</w:t>
        </w:r>
      </w:fldSimple>
      <w:bookmarkEnd w:id="113"/>
      <w:r w:rsidRPr="009D2AA9">
        <w:t xml:space="preserve">. </w:t>
      </w:r>
      <w:r>
        <w:t xml:space="preserve">Comparison of Experimental RELAP5-3D Calculated Results for Horizontal and Vertical Test Sections Under Transient Conditions </w:t>
      </w:r>
      <w:r>
        <w:fldChar w:fldCharType="begin">
          <w:fldData xml:space="preserve">PEVuZE5vdGU+PENpdGUgQXV0aG9yWWVhcj0iMSI+PEF1dGhvcj5IZTwvQXV0aG9yPjxZZWFyPjIw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</w:fldData>
        </w:fldChar>
      </w:r>
      <w:r w:rsidR="003026BC">
        <w:instrText xml:space="preserve"> ADDIN EN.CITE </w:instrText>
      </w:r>
      <w:r w:rsidR="003026BC">
        <w:fldChar w:fldCharType="begin">
          <w:fldData xml:space="preserve">PEVuZE5vdGU+PENpdGUgQXV0aG9yWWVhcj0iMSI+PEF1dGhvcj5IZTwvQXV0aG9yPjxZZWFyPjIw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</w:fldData>
        </w:fldChar>
      </w:r>
      <w:r w:rsidR="003026BC">
        <w:instrText xml:space="preserve"> ADDIN EN.CITE.DATA </w:instrText>
      </w:r>
      <w:r w:rsidR="003026BC">
        <w:fldChar w:fldCharType="end"/>
      </w:r>
      <w:r>
        <w:fldChar w:fldCharType="separate"/>
      </w:r>
      <w:r w:rsidR="003026BC">
        <w:rPr>
          <w:noProof/>
        </w:rPr>
        <w:t>M. HE and M. CHEN [21], M. HE, A. F. ALI and M. CHEN [117]</w:t>
      </w:r>
      <w:r>
        <w:fldChar w:fldCharType="end"/>
      </w:r>
      <w:r>
        <w:t>.</w:t>
      </w:r>
      <w:bookmarkEnd w:id="114"/>
    </w:p>
    <w:p w14:paraId="3077C7A4" w14:textId="77777777" w:rsidR="00CF314C" w:rsidRDefault="00CF314C">
      <w:r>
        <w:br w:type="page"/>
      </w:r>
    </w:p>
    <w:p w14:paraId="1719FB5D" w14:textId="45FC5830" w:rsidR="00D43F7F" w:rsidRDefault="00E8287A" w:rsidP="00F22A75">
      <w:bookmarkStart w:id="115" w:name="_Toc420995905"/>
      <w:bookmarkStart w:id="116" w:name="_Toc422997492"/>
      <w:bookmarkStart w:id="117" w:name="_Toc427156475"/>
      <w:bookmarkEnd w:id="26"/>
      <w:bookmarkEnd w:id="27"/>
      <w:bookmarkEnd w:id="28"/>
      <w:r>
        <w:lastRenderedPageBreak/>
        <w:t xml:space="preserve">heat transfer coefficient before reaching an asymptote as heat flux increases. Through this transient heat transfer mechanism, the cladding reaches a point where at the same heat flux, the heat transfer coefficient is significantly higher and the wall superheat is significantly lower than the corresponding steady state heating values, demonstrating that the transient heating effects have influence throughout the nucleate boiling regime. This further exaggerates the need for implementation of transient heating effects within the </w:t>
      </w:r>
      <w:r w:rsidR="00D43F7F">
        <w:t>boiling heat transfer regimes as well as the prediction of CHF as outlined by the TREAT experimental results.</w:t>
      </w:r>
    </w:p>
    <w:p w14:paraId="5ACCDFAC" w14:textId="77777777" w:rsidR="00D43F7F" w:rsidRPr="00CB09EA" w:rsidRDefault="00D43F7F" w:rsidP="00F22A75">
      <w:pPr>
        <w:pStyle w:val="Heading2"/>
      </w:pPr>
      <w:bookmarkStart w:id="118" w:name="_Toc202957468"/>
      <w:r>
        <w:t>Conclusions and Future Work</w:t>
      </w:r>
      <w:bookmarkEnd w:id="118"/>
    </w:p>
    <w:p w14:paraId="00ADAEDE" w14:textId="77777777" w:rsidR="00D43F7F" w:rsidRPr="00CB09EA" w:rsidRDefault="00D43F7F" w:rsidP="00F22A75">
      <w:pPr>
        <w:pStyle w:val="Heading3"/>
        <w:spacing w:before="0" w:after="0"/>
      </w:pPr>
      <w:bookmarkStart w:id="119" w:name="_Toc202957469"/>
      <w:r>
        <w:t>Conclusions</w:t>
      </w:r>
      <w:bookmarkEnd w:id="119"/>
    </w:p>
    <w:p w14:paraId="3294F223" w14:textId="221A24E9" w:rsidR="00D43F7F" w:rsidRDefault="00D43F7F" w:rsidP="00F22A75">
      <w:r>
        <w:t>From each of the above studies, I have determined that significant gaps in the CHF model</w:t>
      </w:r>
    </w:p>
    <w:p w14:paraId="290CFD6B" w14:textId="4A2618DF" w:rsidR="00E65F0B" w:rsidRDefault="00474E39" w:rsidP="00F22A75">
      <w:r>
        <w:t>predictions of RELAP5-3D lie both within the transient mechanism of CHF and within the boiling heat transfer correlations. The transient effect is prevalent in both sensitivity studies and even following implementation of transient correlations, RELAP5-3D is still seen to underpredict the value of CHF as compared to experimental results. Upon further investigation, I determined that the transient effect also extends to the nucleate boiling heat transfer regime due to large model discrepancies in comparison to the pool boiling experiments of the UNM boiling chamber.</w:t>
      </w:r>
    </w:p>
    <w:p w14:paraId="27316909" w14:textId="496A9BA4" w:rsidR="0048190E" w:rsidRDefault="00E65F0B" w:rsidP="00F22A75">
      <w:r>
        <w:t xml:space="preserve">As shown by the sensitivity analyses, the discrepancies in our predictions for pre- and post-CHF behavior cannot be solved solely through implementation of a correlation for the CHFM since the boiling heat transfer coefficients and cladding thermal properties </w:t>
      </w:r>
      <w:r>
        <w:lastRenderedPageBreak/>
        <w:t xml:space="preserve">contain significant influence as well. However, </w:t>
      </w:r>
      <w:r w:rsidR="0074493C">
        <w:t>I</w:t>
      </w:r>
      <w:r>
        <w:t xml:space="preserve"> cannot definitively quantify the influence of the</w:t>
      </w:r>
      <w:r w:rsidR="00024790">
        <w:t xml:space="preserve"> uncertainty in the</w:t>
      </w:r>
      <w:r>
        <w:t xml:space="preserve"> boiling heat transfer correlations</w:t>
      </w:r>
      <w:r w:rsidR="00B16F74">
        <w:t>.</w:t>
      </w:r>
      <w:r>
        <w:t xml:space="preserve"> </w:t>
      </w:r>
      <w:r w:rsidR="00B16F74">
        <w:t>T</w:t>
      </w:r>
      <w:r>
        <w:t xml:space="preserve">he boiling heat transfer correlations weren’t developed with transient effects in mind </w:t>
      </w:r>
      <w:r>
        <w:fldChar w:fldCharType="begin"/>
      </w:r>
      <w:r w:rsidR="003026BC">
        <w:instrText xml:space="preserve"> ADDIN EN.CITE &lt;EndNote&gt;&lt;Cite&gt;&lt;Author&gt;Visentini&lt;/Author&gt;&lt;Year&gt;2014&lt;/Year&gt;&lt;RecNum&gt;359&lt;/RecNum&gt;&lt;DisplayText&gt;[119]&lt;/DisplayText&gt;&lt;record&gt;&lt;rec-number&gt;359&lt;/rec-number&gt;&lt;foreign-keys&gt;&lt;key app="EN" db-id="eseee05sfe5vt6efvr0xapvq20vfdsfp5fvf" timestamp="1699826534" guid="3cf2326a-8dc6-4011-8ef5-52dc91dba74a"&gt;359&lt;/key&gt;&lt;/foreign-keys&gt;&lt;ref-type name="Journal Article"&gt;17&lt;/ref-type&gt;&lt;contributors&gt;&lt;authors&gt;&lt;author&gt;Visentini, Roberta&lt;/author&gt;&lt;author&gt;Colin, Catherine&lt;/author&gt;&lt;author&gt;Ruyer, Pierre&lt;/author&gt;&lt;/authors&gt;&lt;/contributors&gt;&lt;titles&gt;&lt;title&gt;Experimental investigation of heat transfer in transient boiling&lt;/title&gt;&lt;secondary-title&gt;Experimental Thermal and Fluid Science&lt;/secondary-title&gt;&lt;/titles&gt;&lt;periodical&gt;&lt;full-title&gt;Experimental Thermal and Fluid Science&lt;/full-title&gt;&lt;/periodical&gt;&lt;pages&gt;95-105&lt;/pages&gt;&lt;volume&gt;55&lt;/volume&gt;&lt;keywords&gt;&lt;keyword&gt;Nucleate boiling&lt;/keyword&gt;&lt;keyword&gt;Film boiling&lt;/keyword&gt;&lt;keyword&gt;Transient boiling&lt;/keyword&gt;&lt;keyword&gt;Infra-red thermography&lt;/keyword&gt;&lt;/keywords&gt;&lt;dates&gt;&lt;year&gt;2014&lt;/year&gt;&lt;pub-dates&gt;&lt;date&gt;2014/05/01/&lt;/date&gt;&lt;/pub-dates&gt;&lt;/dates&gt;&lt;isbn&gt;0894-1777&lt;/isbn&gt;&lt;urls&gt;&lt;related-urls&gt;&lt;url&gt;https://www.sciencedirect.com/science/article/pii/S089417771400065X&lt;/url&gt;&lt;/related-urls&gt;&lt;/urls&gt;&lt;electronic-resource-num&gt;https://doi.org/10.1016/j.expthermflusci.2014.02.026&lt;/electronic-resource-num&gt;&lt;/record&gt;&lt;/Cite&gt;&lt;/EndNote&gt;</w:instrText>
      </w:r>
      <w:r>
        <w:fldChar w:fldCharType="separate"/>
      </w:r>
      <w:r w:rsidR="003026BC">
        <w:rPr>
          <w:noProof/>
        </w:rPr>
        <w:t>[119]</w:t>
      </w:r>
      <w:r>
        <w:fldChar w:fldCharType="end"/>
      </w:r>
      <w:r>
        <w:t xml:space="preserve">. The uncertainties of each correlation could very well be much larger than the ~10% reported in the literature when accounting for the transient effect and could greatly outweigh the contributions of the uncertainties in the thermal properties of the cladding. This is evident by a recent calibration study of the pre-CHF behavior of the CHF-SERTTA experimental campaign using RELAP5-3D which determines the CHFM to be about 2 times greater than the steady-state value and a 50% increase in the NBM </w:t>
      </w:r>
      <w:r>
        <w:fldChar w:fldCharType="begin"/>
      </w:r>
      <w:r w:rsidR="003026BC">
        <w:instrText xml:space="preserve"> ADDIN EN.CITE &lt;EndNote&gt;&lt;Cite&gt;&lt;Author&gt;Armstrong&lt;/Author&gt;&lt;Year&gt;2020&lt;/Year&gt;&lt;RecNum&gt;358&lt;/RecNum&gt;&lt;DisplayText&gt;[120]&lt;/DisplayText&gt;&lt;record&gt;&lt;rec-number&gt;358&lt;/rec-number&gt;&lt;foreign-keys&gt;&lt;key app="EN" db-id="eseee05sfe5vt6efvr0xapvq20vfdsfp5fvf" timestamp="1699650818" guid="08d4746e-ce21-429f-a1fc-9f62d67df0b5"&gt;358&lt;/key&gt;&lt;/foreign-keys&gt;&lt;ref-type name="Conference Paper"&gt;47&lt;/ref-type&gt;&lt;contributors&gt;&lt;authors&gt;&lt;author&gt;Armstrong, Robert&lt;/author&gt;&lt;author&gt;Folsom, Charles&lt;/author&gt;&lt;author&gt;Hill, Connie&lt;/author&gt;&lt;author&gt;Jensen, Colby&lt;/author&gt;&lt;/authors&gt;&lt;/contributors&gt;&lt;titles&gt;&lt;title&gt;Calculation of Critical Heat Flux Using an Inverse Heat Transfer Method to Support TREAT Experiment Analysis&lt;/title&gt;&lt;secondary-title&gt;ICONE28-POWER2020&lt;/secondary-title&gt;&lt;/titles&gt;&lt;volume&gt;Volume 3: Student Paper Competition; Thermal-Hydraulics; Verification and Validation&lt;/volume&gt;&lt;dates&gt;&lt;year&gt;2020&lt;/year&gt;&lt;pub-dates&gt;&lt;date&gt;August 2-6&lt;/date&gt;&lt;/pub-dates&gt;&lt;/dates&gt;&lt;urls&gt;&lt;related-urls&gt;&lt;url&gt;https://doi.org/10.1115/ICONE2020-16632&lt;/url&gt;&lt;/related-urls&gt;&lt;/urls&gt;&lt;custom1&gt;V003T13A032&lt;/custom1&gt;&lt;electronic-resource-num&gt;https://doi.org/10.1115/icone2020-16632&lt;/electronic-resource-num&gt;&lt;access-date&gt;11/10/2023&lt;/access-date&gt;&lt;/record&gt;&lt;/Cite&gt;&lt;/EndNote&gt;</w:instrText>
      </w:r>
      <w:r>
        <w:fldChar w:fldCharType="separate"/>
      </w:r>
      <w:r w:rsidR="003026BC">
        <w:rPr>
          <w:noProof/>
        </w:rPr>
        <w:t>[120]</w:t>
      </w:r>
      <w:r>
        <w:fldChar w:fldCharType="end"/>
      </w:r>
      <w:r>
        <w:t xml:space="preserve">. Another calibration study performed for transient flow boiling experiments performed at UNM using RELAP5-3D revealed increases of up to 4x the steady state value of the TBM, increases of up to 1.4x the steady state value for CHF, and large variations from 0.2x to 2.8x the steady state value of the FBM </w:t>
      </w:r>
      <w:r>
        <w:fldChar w:fldCharType="begin"/>
      </w:r>
      <w:r w:rsidR="003026BC">
        <w:instrText xml:space="preserve"> ADDIN EN.CITE &lt;EndNote&gt;&lt;Cite&gt;&lt;Author&gt;Lee&lt;/Author&gt;&lt;Year&gt;2021&lt;/Year&gt;&lt;RecNum&gt;173&lt;/RecNum&gt;&lt;DisplayText&gt;[73]&lt;/DisplayText&gt;&lt;record&gt;&lt;rec-number&gt;173&lt;/rec-number&gt;&lt;foreign-keys&gt;&lt;key app="EN" db-id="eseee05sfe5vt6efvr0xapvq20vfdsfp5fvf" timestamp="1652058313" guid="a5f22b3c-0887-4df6-92d5-3906a4eaaddc"&gt;173&lt;/key&gt;&lt;/foreign-keys&gt;&lt;ref-type name="Journal Article"&gt;17&lt;/ref-type&gt;&lt;contributors&gt;&lt;authors&gt;&lt;author&gt;Lee, Soon K.&lt;/author&gt;&lt;author&gt;Brown, Nicholas R.&lt;/author&gt;&lt;/authors&gt;&lt;/contributors&gt;&lt;titles&gt;&lt;title&gt;Flow boiling transient critical heat flux tests with stainless steel and FeCrAl: Transient correlation implementation, model calibration, and sensitivity analysis&lt;/title&gt;&lt;secondary-title&gt;International Journal of Heat and Mass Transfer&lt;/secondary-title&gt;&lt;/titles&gt;&lt;periodical&gt;&lt;full-title&gt;International journal of heat and mass transfer&lt;/full-title&gt;&lt;/periodical&gt;&lt;pages&gt;121730&lt;/pages&gt;&lt;volume&gt;179&lt;/volume&gt;&lt;keywords&gt;&lt;keyword&gt;Accident-Tolerant Fuel&lt;/keyword&gt;&lt;keyword&gt;Transient Critical Heat Flux&lt;/keyword&gt;&lt;keyword&gt;Reactivity-Initiated Accident&lt;/keyword&gt;&lt;/keywords&gt;&lt;dates&gt;&lt;year&gt;2021&lt;/year&gt;&lt;pub-dates&gt;&lt;date&gt;2021/11/01/&lt;/date&gt;&lt;/pub-dates&gt;&lt;/dates&gt;&lt;isbn&gt;0017-9310&lt;/isbn&gt;&lt;urls&gt;&lt;related-urls&gt;&lt;url&gt;https://www.sciencedirect.com/science/article/pii/S001793102100836X&lt;/url&gt;&lt;/related-urls&gt;&lt;/urls&gt;&lt;electronic-resource-num&gt;https://doi.org/10.1016/j.ijheatmasstransfer.2021.121730&lt;/electronic-resource-num&gt;&lt;/record&gt;&lt;/Cite&gt;&lt;/EndNote&gt;</w:instrText>
      </w:r>
      <w:r>
        <w:fldChar w:fldCharType="separate"/>
      </w:r>
      <w:r w:rsidR="003026BC">
        <w:rPr>
          <w:noProof/>
        </w:rPr>
        <w:t>[73]</w:t>
      </w:r>
      <w:r>
        <w:fldChar w:fldCharType="end"/>
      </w:r>
      <w:r>
        <w:t xml:space="preserve">. </w:t>
      </w:r>
      <w:r w:rsidR="00E2609C">
        <w:t xml:space="preserve">Additional discrepancies in RELAP5-3D post-CHF flow boiling heat transfer have been found through inspection of a flow boiling test capsule designed for TREAT </w:t>
      </w:r>
      <w:r w:rsidR="00E2609C">
        <w:fldChar w:fldCharType="begin"/>
      </w:r>
      <w:r w:rsidR="003026BC">
        <w:instrText xml:space="preserve"> ADDIN EN.CITE &lt;EndNote&gt;&lt;Cite&gt;&lt;Author&gt;Folsom&lt;/Author&gt;&lt;Year&gt;2022&lt;/Year&gt;&lt;RecNum&gt;579&lt;/RecNum&gt;&lt;DisplayText&gt;[121]&lt;/DisplayText&gt;&lt;record&gt;&lt;rec-number&gt;579&lt;/rec-number&gt;&lt;foreign-keys&gt;&lt;key app="EN" db-id="eseee05sfe5vt6efvr0xapvq20vfdsfp5fvf" timestamp="1750088669"&gt;579&lt;/key&gt;&lt;/foreign-keys&gt;&lt;ref-type name="Conference Paper"&gt;47&lt;/ref-type&gt;&lt;contributors&gt;&lt;authors&gt;&lt;author&gt;Folsom, Charles P&lt;/author&gt;&lt;author&gt;Armstrong, Robert J&lt;/author&gt;&lt;author&gt;Woolstenhulme, Nicolas E&lt;/author&gt;&lt;author&gt;Imholte, Devin D&lt;/author&gt;&lt;author&gt;Anderson, Klint Stephens&lt;/author&gt;&lt;author&gt;Jensen, Colby B&lt;/author&gt;&lt;/authors&gt;&lt;/contributors&gt;&lt;titles&gt;&lt;title&gt;Thermal-hydraulic and Fuel Performance Scoping Studies of a Flowing Water Capsule in TREAT&lt;/title&gt;&lt;secondary-title&gt;Conference: TopFuel 2022, Raleigh, NC, 10/09/2022 - 10/13/2022&lt;/secondary-title&gt;&lt;/titles&gt;&lt;pages&gt;Medium: ED&lt;/pages&gt;&lt;number&gt;INL/CON-22-67496-Rev001&lt;/number&gt;&lt;keywords&gt;&lt;keyword&gt;11 - NUCLEAR FUEL CYCLE AND FUEL MATERIALS&lt;/keyword&gt;&lt;keyword&gt;TREAT&lt;/keyword&gt;&lt;keyword&gt;Transient Testing&lt;/keyword&gt;&lt;keyword&gt;TWIST&lt;/keyword&gt;&lt;keyword&gt;RELAP5-3D&lt;/keyword&gt;&lt;keyword&gt;Bison&lt;/keyword&gt;&lt;/keywords&gt;&lt;dates&gt;&lt;year&gt;2022&lt;/year&gt;&lt;/dates&gt;&lt;pub-location&gt;United States&lt;/pub-location&gt;&lt;publisher&gt;Idaho National Laboratory (INL), Idaho Falls, ID (United States)&lt;/publisher&gt;&lt;urls&gt;&lt;related-urls&gt;&lt;url&gt;https://www.osti.gov/biblio/1995776&lt;/url&gt;&lt;url&gt;https://www.osti.gov/servlets/purl/1995776&lt;/url&gt;&lt;/related-urls&gt;&lt;/urls&gt;&lt;custom1&gt;DE-AC07-05ID14517&lt;/custom1&gt;&lt;language&gt;English&lt;/language&gt;&lt;/record&gt;&lt;/Cite&gt;&lt;/EndNote&gt;</w:instrText>
      </w:r>
      <w:r w:rsidR="00E2609C">
        <w:fldChar w:fldCharType="separate"/>
      </w:r>
      <w:r w:rsidR="003026BC">
        <w:rPr>
          <w:noProof/>
        </w:rPr>
        <w:t>[121]</w:t>
      </w:r>
      <w:r w:rsidR="00E2609C">
        <w:fldChar w:fldCharType="end"/>
      </w:r>
      <w:r w:rsidR="003C494F">
        <w:t>. The model</w:t>
      </w:r>
      <w:r w:rsidR="00E2609C">
        <w:t xml:space="preserve"> predict</w:t>
      </w:r>
      <w:r w:rsidR="003C494F">
        <w:t>s</w:t>
      </w:r>
      <w:r w:rsidR="00E2609C">
        <w:t xml:space="preserve"> quicker rewetting under low-flow conditions which is inconsistent with other flow boiling </w:t>
      </w:r>
      <w:r w:rsidR="003C494F">
        <w:t xml:space="preserve">CHF </w:t>
      </w:r>
      <w:r w:rsidR="00E2609C">
        <w:t xml:space="preserve">experiments that show decreased dry-patch duration with increased mass flow </w:t>
      </w:r>
      <w:r w:rsidR="00E2609C">
        <w:fldChar w:fldCharType="begin"/>
      </w:r>
      <w:r w:rsidR="003026BC">
        <w:instrText xml:space="preserve"> ADDIN EN.CITE &lt;EndNote&gt;&lt;Cite&gt;&lt;Author&gt;Choi&lt;/Author&gt;&lt;Year&gt;2020&lt;/Year&gt;&lt;RecNum&gt;580&lt;/RecNum&gt;&lt;DisplayText&gt;[122]&lt;/DisplayText&gt;&lt;record&gt;&lt;rec-number&gt;580&lt;/rec-number&gt;&lt;foreign-keys&gt;&lt;key app="EN" db-id="eseee05sfe5vt6efvr0xapvq20vfdsfp5fvf" timestamp="1750090757"&gt;580&lt;/key&gt;&lt;/foreign-keys&gt;&lt;ref-type name="Journal Article"&gt;17&lt;/ref-type&gt;&lt;contributors&gt;&lt;authors&gt;&lt;author&gt;Choi, Moonhee&lt;/author&gt;&lt;author&gt;Chu, In-Cheol&lt;/author&gt;&lt;author&gt;Kim, Seolha&lt;/author&gt;&lt;author&gt;Jeon, ByongGuk&lt;/author&gt;&lt;author&gt;Jo, HangJin&lt;/author&gt;&lt;/authors&gt;&lt;/contributors&gt;&lt;titles&gt;&lt;title&gt;Direct observation of rewetting failure mechanism at CHF under different subcooled flows&lt;/title&gt;&lt;secondary-title&gt;International Journal of Heat and Mass Transfer&lt;/secondary-title&gt;&lt;/titles&gt;&lt;periodical&gt;&lt;full-title&gt;International journal of heat and mass transfer&lt;/full-title&gt;&lt;/periodical&gt;&lt;pages&gt;120465&lt;/pages&gt;&lt;volume&gt;163&lt;/volume&gt;&lt;keywords&gt;&lt;keyword&gt;Critical heat flux&lt;/keyword&gt;&lt;keyword&gt;Dry patch&lt;/keyword&gt;&lt;keyword&gt;Flow boiling&lt;/keyword&gt;&lt;keyword&gt;Subcooling condition&lt;/keyword&gt;&lt;/keywords&gt;&lt;dates&gt;&lt;year&gt;2020&lt;/year&gt;&lt;pub-dates&gt;&lt;date&gt;2020/12/01/&lt;/date&gt;&lt;/pub-dates&gt;&lt;/dates&gt;&lt;isbn&gt;0017-9310&lt;/isbn&gt;&lt;urls&gt;&lt;related-urls&gt;&lt;url&gt;https://www.sciencedirect.com/science/article/pii/S0017931020334013&lt;/url&gt;&lt;/related-urls&gt;&lt;/urls&gt;&lt;electronic-resource-num&gt;https://doi.org/10.1016/j.ijheatmasstransfer.2020.120465&lt;/electronic-resource-num&gt;&lt;/record&gt;&lt;/Cite&gt;&lt;/EndNote&gt;</w:instrText>
      </w:r>
      <w:r w:rsidR="00E2609C">
        <w:fldChar w:fldCharType="separate"/>
      </w:r>
      <w:r w:rsidR="003026BC">
        <w:rPr>
          <w:noProof/>
        </w:rPr>
        <w:t>[122]</w:t>
      </w:r>
      <w:r w:rsidR="00E2609C">
        <w:fldChar w:fldCharType="end"/>
      </w:r>
      <w:r w:rsidR="00E2609C">
        <w:t>.</w:t>
      </w:r>
      <w:r w:rsidR="0048190E">
        <w:t xml:space="preserve"> </w:t>
      </w:r>
    </w:p>
    <w:p w14:paraId="58B633B0" w14:textId="35D29C19" w:rsidR="00C907E3" w:rsidRDefault="00C907E3" w:rsidP="00F22A75">
      <w:r>
        <w:t xml:space="preserve">I believe that after </w:t>
      </w:r>
      <w:r w:rsidR="009A6013">
        <w:t>implementing</w:t>
      </w:r>
      <w:r>
        <w:t xml:space="preserve"> correlations that account for mechanistic effects such as bubble formation and departure, power shaping, and radiation induced surface activation, and addressing the current issues with model predictions relating to mass flow rate, the sensitivities of each parameter could change drastically. </w:t>
      </w:r>
      <w:r w:rsidR="00925D53">
        <w:t xml:space="preserve">As the majority of the </w:t>
      </w:r>
      <w:r w:rsidR="00925D53">
        <w:lastRenderedPageBreak/>
        <w:t xml:space="preserve">mechanistic models occur in the pre-CHF </w:t>
      </w:r>
      <w:r w:rsidR="00536FF1">
        <w:t>region, I believe that the sensitivity of the nucleate and transition boiling heat transfer regimes will increase and less importance will fall on the CHF multiplier.</w:t>
      </w:r>
      <w:r w:rsidR="004C6458">
        <w:t xml:space="preserve"> </w:t>
      </w:r>
      <w:r w:rsidR="00E7509C">
        <w:t>However, t</w:t>
      </w:r>
      <w:r w:rsidR="004C6458">
        <w:t xml:space="preserve">his </w:t>
      </w:r>
      <w:r w:rsidR="00E7509C">
        <w:t>is also heavily dependent on the implementation in RELAP5-3D so care would have to be taken in setting up the analysis to draw proper conclusions</w:t>
      </w:r>
      <w:r w:rsidR="00073E48">
        <w:t xml:space="preserve">. Within RELAP5-3D each of the boiling heat transfer mechanisms are independent of each other and are </w:t>
      </w:r>
      <w:r w:rsidR="00E40993">
        <w:t xml:space="preserve">individually </w:t>
      </w:r>
      <w:r w:rsidR="00073E48">
        <w:t xml:space="preserve">activated </w:t>
      </w:r>
      <w:r w:rsidR="00E40993">
        <w:t xml:space="preserve">using logic </w:t>
      </w:r>
      <w:r w:rsidR="00073E48">
        <w:t xml:space="preserve">based on the </w:t>
      </w:r>
      <w:r w:rsidR="00E40993">
        <w:t xml:space="preserve">water </w:t>
      </w:r>
      <w:r w:rsidR="00073E48">
        <w:t>quality, wall temperature, and</w:t>
      </w:r>
      <w:r w:rsidR="00B101A6">
        <w:t xml:space="preserve"> interfacial</w:t>
      </w:r>
      <w:r w:rsidR="00073E48">
        <w:t xml:space="preserve"> heat flux.</w:t>
      </w:r>
      <w:r w:rsidR="00F5403A">
        <w:t xml:space="preserve"> Assuming the </w:t>
      </w:r>
      <w:r w:rsidR="003C2592">
        <w:t>implementation of each mechanism falls within the underlying correlations for nucleate, transition and film boiling, the inspection of additional parameters may be needed to isolate the influence from one specific mechanism, which may not be possible without code modification.</w:t>
      </w:r>
      <w:r w:rsidR="00B62124">
        <w:t xml:space="preserve"> </w:t>
      </w:r>
    </w:p>
    <w:p w14:paraId="2272A167" w14:textId="62B547EF" w:rsidR="00440655" w:rsidRPr="00CB09EA" w:rsidRDefault="00440655" w:rsidP="00F22A75">
      <w:pPr>
        <w:pStyle w:val="Heading3"/>
        <w:spacing w:before="0" w:after="0"/>
      </w:pPr>
      <w:bookmarkStart w:id="120" w:name="_Toc202957470"/>
      <w:r>
        <w:t>Proposed Test Matrix</w:t>
      </w:r>
      <w:bookmarkEnd w:id="120"/>
    </w:p>
    <w:p w14:paraId="6471FE5B" w14:textId="7F00B1DD" w:rsidR="00E65F0B" w:rsidRDefault="00E65F0B" w:rsidP="00F22A75">
      <w:r>
        <w:t xml:space="preserve">Working towards addressing the current gaps within the RELAP5-3D model, with emphasis on the transient effect, </w:t>
      </w:r>
      <w:r w:rsidR="0074493C">
        <w:t>I</w:t>
      </w:r>
      <w:r>
        <w:t xml:space="preserve"> have developed a new experimental test matrix for the TRTL facility. The previous test matrix contained data points that were too close to each other in timescale with all the tests having only a range of 15 ms between them. To further exaggerate the enhancement of boiling heat transfer and CHF, and give a wider breadth of data, </w:t>
      </w:r>
      <w:r w:rsidR="0074493C">
        <w:t>I</w:t>
      </w:r>
      <w:r>
        <w:t xml:space="preserve"> propose a matrix of constant energy deposition with exponential periods over several orders of magnitude. This </w:t>
      </w:r>
      <w:r w:rsidR="0074493C">
        <w:t xml:space="preserve">matrix </w:t>
      </w:r>
      <w:r>
        <w:t xml:space="preserve">will able to incorporate a wide variety of pulse durations that span from the tens-of-milliseconds timescale to those approaching steady-state heating. </w:t>
      </w:r>
    </w:p>
    <w:p w14:paraId="7F0A49C2" w14:textId="525F7F18" w:rsidR="00440655" w:rsidRDefault="00E65F0B" w:rsidP="00F22A75">
      <w:r>
        <w:lastRenderedPageBreak/>
        <w:t xml:space="preserve">To develop the test matrix, </w:t>
      </w:r>
      <w:r w:rsidR="0074493C">
        <w:t>I</w:t>
      </w:r>
      <w:r>
        <w:t xml:space="preserve"> sampled a broad sweep of energy depositions and power pulse timescales using the coupled RAVEN/RELAP5-3D model with the </w:t>
      </w:r>
      <w:r w:rsidR="006D5D1E">
        <w:t xml:space="preserve">flow boiling </w:t>
      </w:r>
      <w:r>
        <w:t xml:space="preserve">transient CHF correlation used for the TRTL sensitivity analysis. The limits for energy deposition and timescale were based on limitations of the power supply from the initial sensitivity analysis, with the fastest achievable pulses on the order of ~10ms and ~500 kW </w:t>
      </w:r>
      <w:r>
        <w:fldChar w:fldCharType="begin"/>
      </w:r>
      <w:r w:rsidR="003026BC">
        <w:instrText xml:space="preserve"> ADDIN EN.CITE &lt;EndNote&gt;&lt;Cite&gt;&lt;Author&gt;Marcum&lt;/Author&gt;&lt;Year&gt;2018&lt;/Year&gt;&lt;RecNum&gt;195&lt;/RecNum&gt;&lt;DisplayText&gt;[100]&lt;/DisplayText&gt;&lt;record&gt;&lt;rec-number&gt;195&lt;/rec-number&gt;&lt;foreign-keys&gt;&lt;key app="EN" db-id="eseee05sfe5vt6efvr0xapvq20vfdsfp5fvf" timestamp="1663700033" guid="5c4b1a20-1c6a-4647-9db2-24b663315f0f"&gt;195&lt;/key&gt;&lt;/foreign-keys&gt;&lt;ref-type name="Journal Article"&gt;17&lt;/ref-type&gt;&lt;contributors&gt;&lt;authors&gt;&lt;author&gt;Wade Marcum&lt;/author&gt;&lt;/authors&gt;&lt;/contributors&gt;&lt;titles&gt;&lt;title&gt;OSU-TRTL-991000-TECH-003&lt;/title&gt;&lt;/titles&gt;&lt;dates&gt;&lt;year&gt;2018&lt;/year&gt;&lt;/dates&gt;&lt;urls&gt;&lt;/urls&gt;&lt;/record&gt;&lt;/Cite&gt;&lt;/EndNote&gt;</w:instrText>
      </w:r>
      <w:r>
        <w:fldChar w:fldCharType="separate"/>
      </w:r>
      <w:r w:rsidR="003026BC">
        <w:rPr>
          <w:noProof/>
        </w:rPr>
        <w:t>[100]</w:t>
      </w:r>
      <w:r>
        <w:fldChar w:fldCharType="end"/>
      </w:r>
      <w:r>
        <w:t xml:space="preserve">. Based on these limitations, </w:t>
      </w:r>
      <w:r w:rsidR="0074493C">
        <w:t>I</w:t>
      </w:r>
      <w:r>
        <w:t xml:space="preserve"> sampled the timescale from 10ms to 10s on a log-uniform distribution and the energy deposition from 0 to 25 kJ, accounting for a constant steady state power. This test matrix assumes the use of the initial power supply and the SS-316 heater rod from the sensitivity study rather than one of the new rod designs proposed to be installed in the loop </w:t>
      </w:r>
      <w:r>
        <w:fldChar w:fldCharType="begin"/>
      </w:r>
      <w:r w:rsidR="00853C53">
        <w:instrText xml:space="preserve"> ADDIN EN.CITE &lt;EndNote&gt;&lt;Cite&gt;&lt;Author&gt;Meehan&lt;/Author&gt;&lt;Year&gt;2023&lt;/Year&gt;&lt;RecNum&gt;286&lt;/RecNum&gt;&lt;DisplayText&gt;[23]&lt;/DisplayText&gt;&lt;record&gt;&lt;rec-number&gt;286&lt;/rec-number&gt;&lt;foreign-keys&gt;&lt;key app="EN" db-id="eseee05sfe5vt6efvr0xapvq20vfdsfp5fvf" timestamp="1684260390" guid="2d7d9940-15f6-4d3d-8aca-00adafd39a6d"&gt;286&lt;/key&gt;&lt;/foreign-keys&gt;&lt;ref-type name="Journal Article"&gt;17&lt;/ref-type&gt;&lt;contributors&gt;&lt;authors&gt;&lt;author&gt;Meehan, Nicholas A.&lt;/author&gt;&lt;author&gt;Seo, Seok Bin&lt;/author&gt;&lt;author&gt;Howard, Trevor K.&lt;/author&gt;&lt;author&gt;Brown, Nicholas R.&lt;/author&gt;&lt;/authors&gt;&lt;/contributors&gt;&lt;titles&gt;&lt;title&gt;Sensitivity Analysis of Transient Critical Heat Flux by RIA Under High-Pressure Flow Boiling Conditions in TRTL&lt;/title&gt;&lt;secondary-title&gt;Nuclear Technology&lt;/secondary-title&gt;&lt;/titles&gt;&lt;periodical&gt;&lt;full-title&gt;Nuclear Technology&lt;/full-title&gt;&lt;/periodical&gt;&lt;pages&gt;1-25&lt;/pages&gt;&lt;dates&gt;&lt;year&gt;2023&lt;/year&gt;&lt;/dates&gt;&lt;publisher&gt;Taylor &amp;amp; Francis&lt;/publisher&gt;&lt;isbn&gt;0029-5450&lt;/isbn&gt;&lt;urls&gt;&lt;related-urls&gt;&lt;url&gt;https://doi.org/10.1080/00295450.2023.2195355&lt;/url&gt;&lt;/related-urls&gt;&lt;/urls&gt;&lt;electronic-resource-num&gt;https://doi.org/10.1080/00295450.2023.2195355&lt;/electronic-resource-num&gt;&lt;/record&gt;&lt;/Cite&gt;&lt;/EndNote&gt;</w:instrText>
      </w:r>
      <w:r>
        <w:fldChar w:fldCharType="separate"/>
      </w:r>
      <w:r w:rsidR="00853C53">
        <w:rPr>
          <w:noProof/>
        </w:rPr>
        <w:t>[23]</w:t>
      </w:r>
      <w:r>
        <w:fldChar w:fldCharType="end"/>
      </w:r>
      <w:r>
        <w:t>. The updated power supply will be capable of 24 kW of power which is significantly less than the previous, but the new rod and power supply combination will be able to produce higher heat fluxes at lower power and create less resistance toward heating and allow for faster power pulse timescales. The results of the parametric sweep based on the time of CHF occurrence, and peak cladding surface temperature are shown in</w:t>
      </w:r>
      <w:r w:rsidR="00597FF5">
        <w:t xml:space="preserve"> </w:t>
      </w:r>
      <w:r w:rsidR="00597FF5" w:rsidRPr="005E68D7">
        <w:rPr>
          <w:b/>
          <w:bCs/>
        </w:rPr>
        <w:fldChar w:fldCharType="begin"/>
      </w:r>
      <w:r w:rsidR="00597FF5" w:rsidRPr="005E68D7">
        <w:rPr>
          <w:b/>
          <w:bCs/>
        </w:rPr>
        <w:instrText xml:space="preserve"> REF _Ref160908385 \h </w:instrText>
      </w:r>
      <w:r w:rsidR="005E68D7">
        <w:rPr>
          <w:b/>
          <w:bCs/>
        </w:rPr>
        <w:instrText xml:space="preserve"> \* MERGEFORMAT </w:instrText>
      </w:r>
      <w:r w:rsidR="00597FF5" w:rsidRPr="005E68D7">
        <w:rPr>
          <w:b/>
          <w:bCs/>
        </w:rPr>
      </w:r>
      <w:r w:rsidR="00597FF5" w:rsidRPr="005E68D7">
        <w:rPr>
          <w:b/>
          <w:bCs/>
        </w:rPr>
        <w:fldChar w:fldCharType="separate"/>
      </w:r>
      <w:r w:rsidR="00BF7E93" w:rsidRPr="00BF7E93">
        <w:rPr>
          <w:b/>
          <w:bCs/>
        </w:rPr>
        <w:t xml:space="preserve">Figure </w:t>
      </w:r>
      <w:r w:rsidR="00BF7E93" w:rsidRPr="00BF7E93">
        <w:rPr>
          <w:b/>
          <w:bCs/>
          <w:noProof/>
        </w:rPr>
        <w:t>3.28</w:t>
      </w:r>
      <w:r w:rsidR="00597FF5" w:rsidRPr="005E68D7">
        <w:rPr>
          <w:b/>
          <w:bCs/>
        </w:rPr>
        <w:fldChar w:fldCharType="end"/>
      </w:r>
      <w:r>
        <w:t>. The open-faced markers within the time of CHF graph represent samples that did not reach CHF, while the filled markers reached CHF and correspond with the color bar scale to the right. The proposed test matrix cases with their corresponding exponential period, maximum transient power and calculated CHFM are given in</w:t>
      </w:r>
      <w:r w:rsidR="00B40547">
        <w:t xml:space="preserve"> </w:t>
      </w:r>
      <w:r w:rsidR="00B40547" w:rsidRPr="007258A1">
        <w:rPr>
          <w:b/>
          <w:bCs/>
        </w:rPr>
        <w:fldChar w:fldCharType="begin"/>
      </w:r>
      <w:r w:rsidR="00B40547" w:rsidRPr="007258A1">
        <w:rPr>
          <w:b/>
          <w:bCs/>
        </w:rPr>
        <w:instrText xml:space="preserve"> REF _Ref197961438 \h </w:instrText>
      </w:r>
      <w:r w:rsidR="007258A1">
        <w:rPr>
          <w:b/>
          <w:bCs/>
        </w:rPr>
        <w:instrText xml:space="preserve"> \* MERGEFORMAT </w:instrText>
      </w:r>
      <w:r w:rsidR="00B40547" w:rsidRPr="007258A1">
        <w:rPr>
          <w:b/>
          <w:bCs/>
        </w:rPr>
      </w:r>
      <w:r w:rsidR="00B40547" w:rsidRPr="007258A1">
        <w:rPr>
          <w:b/>
          <w:bCs/>
        </w:rPr>
        <w:fldChar w:fldCharType="separate"/>
      </w:r>
      <w:r w:rsidR="00BF7E93" w:rsidRPr="00BF7E93">
        <w:rPr>
          <w:b/>
          <w:bCs/>
        </w:rPr>
        <w:t xml:space="preserve">Table </w:t>
      </w:r>
      <w:r w:rsidR="00BF7E93" w:rsidRPr="00BF7E93">
        <w:rPr>
          <w:b/>
          <w:bCs/>
          <w:noProof/>
        </w:rPr>
        <w:t>3.6</w:t>
      </w:r>
      <w:r w:rsidR="00B40547" w:rsidRPr="007258A1">
        <w:rPr>
          <w:b/>
          <w:bCs/>
        </w:rPr>
        <w:fldChar w:fldCharType="end"/>
      </w:r>
      <w:r>
        <w:t xml:space="preserve">. For the new test matrix, </w:t>
      </w:r>
      <w:r w:rsidR="0074493C">
        <w:t>I</w:t>
      </w:r>
      <w:r>
        <w:t xml:space="preserve"> propose several tests with a constant energy deposition of 15 kJ and will consist of 6 tests at 10s, 1s, 0.25s, 0.1s, 0.075s, and 0.055s pulse durations. </w:t>
      </w:r>
      <w:r w:rsidR="0074493C">
        <w:t>I</w:t>
      </w:r>
      <w:r>
        <w:t xml:space="preserve"> chose an energy that would reach pulses on the order of 10s of </w:t>
      </w:r>
    </w:p>
    <w:p w14:paraId="295EF4E0" w14:textId="77777777" w:rsidR="00597FF5" w:rsidRDefault="00FF6811" w:rsidP="00597FF5">
      <w:pPr>
        <w:jc w:val="center"/>
      </w:pPr>
      <w:r>
        <w:br w:type="page"/>
      </w:r>
      <w:r w:rsidR="00597FF5">
        <w:rPr>
          <w:noProof/>
        </w:rPr>
        <w:lastRenderedPageBreak/>
        <w:drawing>
          <wp:inline distT="0" distB="0" distL="0" distR="0" wp14:anchorId="2ADB342C" wp14:editId="296D3901">
            <wp:extent cx="4572000" cy="3255579"/>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rotWithShape="1">
                    <a:blip r:embed="rId46" cstate="print">
                      <a:extLst>
                        <a:ext uri="{28A0092B-C50C-407E-A947-70E740481C1C}">
                          <a14:useLocalDpi xmlns:a14="http://schemas.microsoft.com/office/drawing/2010/main" val="0"/>
                        </a:ext>
                      </a:extLst>
                    </a:blip>
                    <a:srcRect l="1502" t="2308" r="1667" b="2412"/>
                    <a:stretch/>
                  </pic:blipFill>
                  <pic:spPr bwMode="auto">
                    <a:xfrm>
                      <a:off x="0" y="0"/>
                      <a:ext cx="4572000" cy="3255579"/>
                    </a:xfrm>
                    <a:prstGeom prst="rect">
                      <a:avLst/>
                    </a:prstGeom>
                    <a:ln>
                      <a:noFill/>
                    </a:ln>
                    <a:extLst>
                      <a:ext uri="{53640926-AAD7-44D8-BBD7-CCE9431645EC}">
                        <a14:shadowObscured xmlns:a14="http://schemas.microsoft.com/office/drawing/2010/main"/>
                      </a:ext>
                    </a:extLst>
                  </pic:spPr>
                </pic:pic>
              </a:graphicData>
            </a:graphic>
          </wp:inline>
        </w:drawing>
      </w:r>
    </w:p>
    <w:p w14:paraId="41FBACEB" w14:textId="6F55DDE4" w:rsidR="00597FF5" w:rsidRDefault="00597FF5" w:rsidP="00597FF5">
      <w:pPr>
        <w:jc w:val="center"/>
      </w:pPr>
      <w:r>
        <w:rPr>
          <w:noProof/>
        </w:rPr>
        <w:drawing>
          <wp:inline distT="0" distB="0" distL="0" distR="0" wp14:anchorId="1BBEAE9C" wp14:editId="6E4F0096">
            <wp:extent cx="4572000" cy="3240248"/>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47" cstate="print">
                      <a:extLst>
                        <a:ext uri="{28A0092B-C50C-407E-A947-70E740481C1C}">
                          <a14:useLocalDpi xmlns:a14="http://schemas.microsoft.com/office/drawing/2010/main" val="0"/>
                        </a:ext>
                      </a:extLst>
                    </a:blip>
                    <a:stretch>
                      <a:fillRect/>
                    </a:stretch>
                  </pic:blipFill>
                  <pic:spPr>
                    <a:xfrm>
                      <a:off x="0" y="0"/>
                      <a:ext cx="4572000" cy="3240248"/>
                    </a:xfrm>
                    <a:prstGeom prst="rect">
                      <a:avLst/>
                    </a:prstGeom>
                  </pic:spPr>
                </pic:pic>
              </a:graphicData>
            </a:graphic>
          </wp:inline>
        </w:drawing>
      </w:r>
    </w:p>
    <w:p w14:paraId="4C2E6784" w14:textId="35C9EB5C" w:rsidR="00597FF5" w:rsidRDefault="00597FF5" w:rsidP="00874CBB">
      <w:pPr>
        <w:pStyle w:val="Caption"/>
      </w:pPr>
      <w:bookmarkStart w:id="121" w:name="_Ref160908385"/>
      <w:bookmarkStart w:id="122" w:name="_Toc202957563"/>
      <w:r w:rsidRPr="009D2AA9">
        <w:t xml:space="preserve">Figure </w:t>
      </w:r>
      <w:fldSimple w:instr=" STYLEREF 1 \s ">
        <w:r w:rsidR="00BF7E93">
          <w:rPr>
            <w:noProof/>
          </w:rPr>
          <w:t>3</w:t>
        </w:r>
      </w:fldSimple>
      <w:r w:rsidRPr="009D2AA9">
        <w:t>.</w:t>
      </w:r>
      <w:fldSimple w:instr=" SEQ Figure \* ARABIC \s 1 ">
        <w:r w:rsidR="00BF7E93">
          <w:rPr>
            <w:noProof/>
          </w:rPr>
          <w:t>28</w:t>
        </w:r>
      </w:fldSimple>
      <w:bookmarkEnd w:id="121"/>
      <w:r w:rsidRPr="009D2AA9">
        <w:t>.</w:t>
      </w:r>
      <w:r w:rsidRPr="00597FF5">
        <w:t xml:space="preserve"> </w:t>
      </w:r>
      <w:r>
        <w:t>Proposed CHF Performance Envelopes for TRTL Power Pulses.</w:t>
      </w:r>
      <w:bookmarkEnd w:id="122"/>
    </w:p>
    <w:p w14:paraId="54820995" w14:textId="1E873ECF" w:rsidR="00B714A0" w:rsidRDefault="00B714A0">
      <w:pPr>
        <w:spacing w:line="240" w:lineRule="auto"/>
      </w:pPr>
      <w:r>
        <w:br w:type="page"/>
      </w:r>
    </w:p>
    <w:p w14:paraId="3400614D" w14:textId="3D41F781" w:rsidR="00597FF5" w:rsidRPr="00F5706E" w:rsidRDefault="00597FF5" w:rsidP="00874CBB">
      <w:pPr>
        <w:pStyle w:val="Caption"/>
      </w:pPr>
      <w:bookmarkStart w:id="123" w:name="_Ref197961438"/>
      <w:bookmarkStart w:id="124" w:name="_Ref160908396"/>
      <w:bookmarkStart w:id="125" w:name="_Toc202957521"/>
      <w:r w:rsidRPr="009D2AA9">
        <w:lastRenderedPageBreak/>
        <w:t xml:space="preserve">Table </w:t>
      </w:r>
      <w:fldSimple w:instr=" STYLEREF 1 \s ">
        <w:r w:rsidR="00BF7E93">
          <w:rPr>
            <w:noProof/>
          </w:rPr>
          <w:t>3</w:t>
        </w:r>
      </w:fldSimple>
      <w:r w:rsidRPr="009D2AA9">
        <w:t>.</w:t>
      </w:r>
      <w:fldSimple w:instr=" SEQ Table \* ARABIC \s 1 ">
        <w:r w:rsidR="00BF7E93">
          <w:rPr>
            <w:noProof/>
          </w:rPr>
          <w:t>6</w:t>
        </w:r>
      </w:fldSimple>
      <w:bookmarkEnd w:id="123"/>
      <w:r w:rsidRPr="009D2AA9">
        <w:t xml:space="preserve">. </w:t>
      </w:r>
      <w:r>
        <w:t>New Proposed</w:t>
      </w:r>
      <w:r w:rsidRPr="00F5706E">
        <w:t xml:space="preserve"> </w:t>
      </w:r>
      <w:r>
        <w:t>Experimental Test Matrix Power Pulse Details.</w:t>
      </w:r>
      <w:bookmarkEnd w:id="124"/>
      <w:bookmarkEnd w:id="125"/>
    </w:p>
    <w:tbl>
      <w:tblPr>
        <w:tblW w:w="9360"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2880"/>
        <w:gridCol w:w="1080"/>
        <w:gridCol w:w="1080"/>
        <w:gridCol w:w="1080"/>
        <w:gridCol w:w="1080"/>
        <w:gridCol w:w="1080"/>
        <w:gridCol w:w="1080"/>
      </w:tblGrid>
      <w:tr w:rsidR="00597FF5" w:rsidRPr="008B0701" w14:paraId="1DE54BD6" w14:textId="77777777" w:rsidTr="00597FF5">
        <w:tc>
          <w:tcPr>
            <w:tcW w:w="2880" w:type="dxa"/>
            <w:tcBorders>
              <w:top w:val="double" w:sz="4" w:space="0" w:color="auto"/>
              <w:left w:val="double" w:sz="4" w:space="0" w:color="auto"/>
              <w:bottom w:val="double" w:sz="4" w:space="0" w:color="auto"/>
              <w:right w:val="double" w:sz="4" w:space="0" w:color="auto"/>
            </w:tcBorders>
            <w:vAlign w:val="center"/>
          </w:tcPr>
          <w:p w14:paraId="6F257EE5" w14:textId="77777777" w:rsidR="00597FF5" w:rsidRPr="00B714A0" w:rsidRDefault="00597FF5" w:rsidP="00B714A0">
            <w:pPr>
              <w:pStyle w:val="TableText"/>
            </w:pPr>
          </w:p>
        </w:tc>
        <w:tc>
          <w:tcPr>
            <w:tcW w:w="1080" w:type="dxa"/>
            <w:tcBorders>
              <w:top w:val="double" w:sz="4" w:space="0" w:color="auto"/>
              <w:left w:val="double" w:sz="4" w:space="0" w:color="auto"/>
              <w:bottom w:val="double" w:sz="4" w:space="0" w:color="auto"/>
            </w:tcBorders>
            <w:vAlign w:val="center"/>
          </w:tcPr>
          <w:p w14:paraId="0C821AFE" w14:textId="77777777" w:rsidR="00597FF5" w:rsidRPr="00B714A0" w:rsidRDefault="00597FF5" w:rsidP="00B714A0">
            <w:pPr>
              <w:pStyle w:val="TableText"/>
            </w:pPr>
            <w:r w:rsidRPr="00B714A0">
              <w:t>Case 1</w:t>
            </w:r>
          </w:p>
        </w:tc>
        <w:tc>
          <w:tcPr>
            <w:tcW w:w="1080" w:type="dxa"/>
            <w:tcBorders>
              <w:top w:val="double" w:sz="4" w:space="0" w:color="auto"/>
              <w:bottom w:val="double" w:sz="4" w:space="0" w:color="auto"/>
            </w:tcBorders>
            <w:vAlign w:val="center"/>
          </w:tcPr>
          <w:p w14:paraId="7652493A" w14:textId="77777777" w:rsidR="00597FF5" w:rsidRPr="00B714A0" w:rsidRDefault="00597FF5" w:rsidP="00B714A0">
            <w:pPr>
              <w:pStyle w:val="TableText"/>
            </w:pPr>
            <w:r w:rsidRPr="00B714A0">
              <w:t>Case 2</w:t>
            </w:r>
          </w:p>
        </w:tc>
        <w:tc>
          <w:tcPr>
            <w:tcW w:w="1080" w:type="dxa"/>
            <w:tcBorders>
              <w:top w:val="double" w:sz="4" w:space="0" w:color="auto"/>
              <w:bottom w:val="double" w:sz="4" w:space="0" w:color="auto"/>
            </w:tcBorders>
            <w:vAlign w:val="center"/>
          </w:tcPr>
          <w:p w14:paraId="4DD036CC" w14:textId="77777777" w:rsidR="00597FF5" w:rsidRPr="00B714A0" w:rsidRDefault="00597FF5" w:rsidP="00B714A0">
            <w:pPr>
              <w:pStyle w:val="TableText"/>
            </w:pPr>
            <w:r w:rsidRPr="00B714A0">
              <w:t>Case 3</w:t>
            </w:r>
          </w:p>
        </w:tc>
        <w:tc>
          <w:tcPr>
            <w:tcW w:w="1080" w:type="dxa"/>
            <w:tcBorders>
              <w:top w:val="double" w:sz="4" w:space="0" w:color="auto"/>
              <w:bottom w:val="double" w:sz="4" w:space="0" w:color="auto"/>
            </w:tcBorders>
            <w:vAlign w:val="center"/>
          </w:tcPr>
          <w:p w14:paraId="47D30C59" w14:textId="77777777" w:rsidR="00597FF5" w:rsidRPr="00B714A0" w:rsidRDefault="00597FF5" w:rsidP="00B714A0">
            <w:pPr>
              <w:pStyle w:val="TableText"/>
            </w:pPr>
            <w:r w:rsidRPr="00B714A0">
              <w:t>Case 4</w:t>
            </w:r>
          </w:p>
        </w:tc>
        <w:tc>
          <w:tcPr>
            <w:tcW w:w="1080" w:type="dxa"/>
            <w:tcBorders>
              <w:top w:val="double" w:sz="4" w:space="0" w:color="auto"/>
              <w:bottom w:val="double" w:sz="4" w:space="0" w:color="auto"/>
            </w:tcBorders>
          </w:tcPr>
          <w:p w14:paraId="068D7CD1" w14:textId="77777777" w:rsidR="00597FF5" w:rsidRPr="00B714A0" w:rsidRDefault="00597FF5" w:rsidP="00B714A0">
            <w:pPr>
              <w:pStyle w:val="TableText"/>
            </w:pPr>
            <w:r w:rsidRPr="00B714A0">
              <w:t>Case 5</w:t>
            </w:r>
          </w:p>
        </w:tc>
        <w:tc>
          <w:tcPr>
            <w:tcW w:w="1080" w:type="dxa"/>
            <w:tcBorders>
              <w:top w:val="double" w:sz="4" w:space="0" w:color="auto"/>
              <w:bottom w:val="double" w:sz="4" w:space="0" w:color="auto"/>
              <w:right w:val="double" w:sz="4" w:space="0" w:color="auto"/>
            </w:tcBorders>
          </w:tcPr>
          <w:p w14:paraId="7CFA002A" w14:textId="77777777" w:rsidR="00597FF5" w:rsidRPr="00B714A0" w:rsidRDefault="00597FF5" w:rsidP="00B714A0">
            <w:pPr>
              <w:pStyle w:val="TableText"/>
            </w:pPr>
            <w:r w:rsidRPr="00B714A0">
              <w:t>Case 6</w:t>
            </w:r>
          </w:p>
        </w:tc>
      </w:tr>
      <w:tr w:rsidR="00597FF5" w:rsidRPr="008B0701" w14:paraId="28E1FE3B" w14:textId="77777777" w:rsidTr="00597FF5">
        <w:trPr>
          <w:trHeight w:val="528"/>
        </w:trPr>
        <w:tc>
          <w:tcPr>
            <w:tcW w:w="2880" w:type="dxa"/>
            <w:tcBorders>
              <w:left w:val="double" w:sz="4" w:space="0" w:color="auto"/>
              <w:right w:val="double" w:sz="4" w:space="0" w:color="auto"/>
            </w:tcBorders>
            <w:vAlign w:val="center"/>
          </w:tcPr>
          <w:p w14:paraId="009B1EE6" w14:textId="77777777" w:rsidR="00597FF5" w:rsidRPr="00B714A0" w:rsidRDefault="00597FF5" w:rsidP="00B714A0">
            <w:pPr>
              <w:pStyle w:val="TableText"/>
            </w:pPr>
            <w:r w:rsidRPr="00B714A0">
              <w:t>Exponential Period [ms]</w:t>
            </w:r>
          </w:p>
        </w:tc>
        <w:tc>
          <w:tcPr>
            <w:tcW w:w="1080" w:type="dxa"/>
            <w:tcBorders>
              <w:left w:val="double" w:sz="4" w:space="0" w:color="auto"/>
            </w:tcBorders>
            <w:vAlign w:val="center"/>
          </w:tcPr>
          <w:p w14:paraId="59FCFBF9" w14:textId="77777777" w:rsidR="00597FF5" w:rsidRPr="00B714A0" w:rsidRDefault="00597FF5" w:rsidP="00B714A0">
            <w:pPr>
              <w:pStyle w:val="TableText"/>
            </w:pPr>
            <w:r w:rsidRPr="00B714A0">
              <w:t>10000</w:t>
            </w:r>
          </w:p>
        </w:tc>
        <w:tc>
          <w:tcPr>
            <w:tcW w:w="1080" w:type="dxa"/>
            <w:vAlign w:val="center"/>
          </w:tcPr>
          <w:p w14:paraId="595B75EB" w14:textId="77777777" w:rsidR="00597FF5" w:rsidRPr="00B714A0" w:rsidRDefault="00597FF5" w:rsidP="00B714A0">
            <w:pPr>
              <w:pStyle w:val="TableText"/>
            </w:pPr>
            <w:r w:rsidRPr="00B714A0">
              <w:t>1000</w:t>
            </w:r>
          </w:p>
        </w:tc>
        <w:tc>
          <w:tcPr>
            <w:tcW w:w="1080" w:type="dxa"/>
            <w:vAlign w:val="center"/>
          </w:tcPr>
          <w:p w14:paraId="24C7A458" w14:textId="77777777" w:rsidR="00597FF5" w:rsidRPr="00B714A0" w:rsidRDefault="00597FF5" w:rsidP="00B714A0">
            <w:pPr>
              <w:pStyle w:val="TableText"/>
            </w:pPr>
            <w:r w:rsidRPr="00B714A0">
              <w:t>250</w:t>
            </w:r>
          </w:p>
        </w:tc>
        <w:tc>
          <w:tcPr>
            <w:tcW w:w="1080" w:type="dxa"/>
            <w:vAlign w:val="center"/>
          </w:tcPr>
          <w:p w14:paraId="19F893FF" w14:textId="77777777" w:rsidR="00597FF5" w:rsidRPr="00B714A0" w:rsidRDefault="00597FF5" w:rsidP="00B714A0">
            <w:pPr>
              <w:pStyle w:val="TableText"/>
            </w:pPr>
            <w:r w:rsidRPr="00B714A0">
              <w:t>100</w:t>
            </w:r>
          </w:p>
        </w:tc>
        <w:tc>
          <w:tcPr>
            <w:tcW w:w="1080" w:type="dxa"/>
            <w:vAlign w:val="center"/>
          </w:tcPr>
          <w:p w14:paraId="705250CF" w14:textId="77777777" w:rsidR="00597FF5" w:rsidRPr="00B714A0" w:rsidRDefault="00597FF5" w:rsidP="00B714A0">
            <w:pPr>
              <w:pStyle w:val="TableText"/>
            </w:pPr>
            <w:r w:rsidRPr="00B714A0">
              <w:t>75</w:t>
            </w:r>
          </w:p>
        </w:tc>
        <w:tc>
          <w:tcPr>
            <w:tcW w:w="1080" w:type="dxa"/>
            <w:tcBorders>
              <w:right w:val="double" w:sz="4" w:space="0" w:color="auto"/>
            </w:tcBorders>
            <w:vAlign w:val="center"/>
          </w:tcPr>
          <w:p w14:paraId="20F317BA" w14:textId="77777777" w:rsidR="00597FF5" w:rsidRPr="00B714A0" w:rsidRDefault="00597FF5" w:rsidP="00B714A0">
            <w:pPr>
              <w:pStyle w:val="TableText"/>
            </w:pPr>
            <w:r w:rsidRPr="00B714A0">
              <w:t>55</w:t>
            </w:r>
          </w:p>
        </w:tc>
      </w:tr>
      <w:tr w:rsidR="00597FF5" w:rsidRPr="008B0701" w14:paraId="4BD76C92" w14:textId="77777777" w:rsidTr="00597FF5">
        <w:trPr>
          <w:trHeight w:val="557"/>
        </w:trPr>
        <w:tc>
          <w:tcPr>
            <w:tcW w:w="2880" w:type="dxa"/>
            <w:tcBorders>
              <w:left w:val="double" w:sz="4" w:space="0" w:color="auto"/>
              <w:right w:val="double" w:sz="4" w:space="0" w:color="auto"/>
            </w:tcBorders>
            <w:vAlign w:val="center"/>
          </w:tcPr>
          <w:p w14:paraId="00E2F81A" w14:textId="77777777" w:rsidR="00597FF5" w:rsidRPr="00B714A0" w:rsidRDefault="00597FF5" w:rsidP="00B714A0">
            <w:pPr>
              <w:pStyle w:val="TableText"/>
            </w:pPr>
            <w:r w:rsidRPr="00B714A0">
              <w:t>Maximum Transient Power [kW]</w:t>
            </w:r>
          </w:p>
        </w:tc>
        <w:tc>
          <w:tcPr>
            <w:tcW w:w="1080" w:type="dxa"/>
            <w:tcBorders>
              <w:left w:val="double" w:sz="4" w:space="0" w:color="auto"/>
            </w:tcBorders>
            <w:vAlign w:val="center"/>
          </w:tcPr>
          <w:p w14:paraId="1E54A8AE" w14:textId="77777777" w:rsidR="00597FF5" w:rsidRPr="00B714A0" w:rsidRDefault="00597FF5" w:rsidP="00B714A0">
            <w:pPr>
              <w:pStyle w:val="TableText"/>
            </w:pPr>
            <w:r w:rsidRPr="00B714A0">
              <w:t>7.58</w:t>
            </w:r>
          </w:p>
        </w:tc>
        <w:tc>
          <w:tcPr>
            <w:tcW w:w="1080" w:type="dxa"/>
            <w:vAlign w:val="center"/>
          </w:tcPr>
          <w:p w14:paraId="30D7EDA2" w14:textId="77777777" w:rsidR="00597FF5" w:rsidRPr="00B714A0" w:rsidRDefault="00597FF5" w:rsidP="00B714A0">
            <w:pPr>
              <w:pStyle w:val="TableText"/>
            </w:pPr>
            <w:r w:rsidRPr="00B714A0">
              <w:t>30.77</w:t>
            </w:r>
          </w:p>
        </w:tc>
        <w:tc>
          <w:tcPr>
            <w:tcW w:w="1080" w:type="dxa"/>
            <w:vAlign w:val="center"/>
          </w:tcPr>
          <w:p w14:paraId="66C43DB2" w14:textId="77777777" w:rsidR="00597FF5" w:rsidRPr="00B714A0" w:rsidRDefault="00597FF5" w:rsidP="00B714A0">
            <w:pPr>
              <w:pStyle w:val="TableText"/>
            </w:pPr>
            <w:r w:rsidRPr="00B714A0">
              <w:t>108.10</w:t>
            </w:r>
          </w:p>
        </w:tc>
        <w:tc>
          <w:tcPr>
            <w:tcW w:w="1080" w:type="dxa"/>
            <w:vAlign w:val="center"/>
          </w:tcPr>
          <w:p w14:paraId="117FD60F" w14:textId="77777777" w:rsidR="00597FF5" w:rsidRPr="00B714A0" w:rsidRDefault="00597FF5" w:rsidP="00B714A0">
            <w:pPr>
              <w:pStyle w:val="TableText"/>
            </w:pPr>
            <w:r w:rsidRPr="00B714A0">
              <w:t>262.74</w:t>
            </w:r>
          </w:p>
        </w:tc>
        <w:tc>
          <w:tcPr>
            <w:tcW w:w="1080" w:type="dxa"/>
            <w:vAlign w:val="center"/>
          </w:tcPr>
          <w:p w14:paraId="7043A6F5" w14:textId="77777777" w:rsidR="00597FF5" w:rsidRPr="00B714A0" w:rsidRDefault="00597FF5" w:rsidP="00B714A0">
            <w:pPr>
              <w:pStyle w:val="TableText"/>
            </w:pPr>
            <w:r w:rsidRPr="00B714A0">
              <w:t>358.66</w:t>
            </w:r>
          </w:p>
        </w:tc>
        <w:tc>
          <w:tcPr>
            <w:tcW w:w="1080" w:type="dxa"/>
            <w:tcBorders>
              <w:right w:val="double" w:sz="4" w:space="0" w:color="auto"/>
            </w:tcBorders>
            <w:vAlign w:val="center"/>
          </w:tcPr>
          <w:p w14:paraId="6E68F6F8" w14:textId="77777777" w:rsidR="00597FF5" w:rsidRPr="00B714A0" w:rsidRDefault="00597FF5" w:rsidP="00B714A0">
            <w:pPr>
              <w:pStyle w:val="TableText"/>
            </w:pPr>
            <w:r w:rsidRPr="00B714A0">
              <w:t>473.62</w:t>
            </w:r>
          </w:p>
        </w:tc>
      </w:tr>
      <w:tr w:rsidR="00597FF5" w:rsidRPr="008B0701" w14:paraId="28886436" w14:textId="77777777" w:rsidTr="00597FF5">
        <w:trPr>
          <w:trHeight w:val="620"/>
        </w:trPr>
        <w:tc>
          <w:tcPr>
            <w:tcW w:w="2880" w:type="dxa"/>
            <w:tcBorders>
              <w:left w:val="double" w:sz="4" w:space="0" w:color="auto"/>
              <w:bottom w:val="double" w:sz="4" w:space="0" w:color="auto"/>
              <w:right w:val="double" w:sz="4" w:space="0" w:color="auto"/>
            </w:tcBorders>
            <w:vAlign w:val="center"/>
          </w:tcPr>
          <w:p w14:paraId="226D0D35" w14:textId="77777777" w:rsidR="00597FF5" w:rsidRPr="00B714A0" w:rsidRDefault="00597FF5" w:rsidP="00B714A0">
            <w:pPr>
              <w:pStyle w:val="TableText"/>
            </w:pPr>
            <w:r w:rsidRPr="00B714A0">
              <w:t>Critical Heat Flux Multiplier</w:t>
            </w:r>
          </w:p>
        </w:tc>
        <w:tc>
          <w:tcPr>
            <w:tcW w:w="1080" w:type="dxa"/>
            <w:tcBorders>
              <w:left w:val="double" w:sz="4" w:space="0" w:color="auto"/>
              <w:bottom w:val="double" w:sz="4" w:space="0" w:color="auto"/>
            </w:tcBorders>
            <w:vAlign w:val="center"/>
          </w:tcPr>
          <w:p w14:paraId="4CA080DF" w14:textId="77777777" w:rsidR="00597FF5" w:rsidRPr="00B714A0" w:rsidRDefault="00597FF5" w:rsidP="00B714A0">
            <w:pPr>
              <w:pStyle w:val="TableText"/>
            </w:pPr>
            <w:r w:rsidRPr="00B714A0">
              <w:t>1.02</w:t>
            </w:r>
          </w:p>
        </w:tc>
        <w:tc>
          <w:tcPr>
            <w:tcW w:w="1080" w:type="dxa"/>
            <w:tcBorders>
              <w:bottom w:val="double" w:sz="4" w:space="0" w:color="auto"/>
            </w:tcBorders>
            <w:vAlign w:val="center"/>
          </w:tcPr>
          <w:p w14:paraId="447CC3F4" w14:textId="77777777" w:rsidR="00597FF5" w:rsidRPr="00B714A0" w:rsidRDefault="00597FF5" w:rsidP="00B714A0">
            <w:pPr>
              <w:pStyle w:val="TableText"/>
            </w:pPr>
            <w:r w:rsidRPr="00B714A0">
              <w:t>1.11</w:t>
            </w:r>
          </w:p>
        </w:tc>
        <w:tc>
          <w:tcPr>
            <w:tcW w:w="1080" w:type="dxa"/>
            <w:tcBorders>
              <w:bottom w:val="double" w:sz="4" w:space="0" w:color="auto"/>
            </w:tcBorders>
            <w:vAlign w:val="center"/>
          </w:tcPr>
          <w:p w14:paraId="0176326C" w14:textId="77777777" w:rsidR="00597FF5" w:rsidRPr="00B714A0" w:rsidRDefault="00597FF5" w:rsidP="00B714A0">
            <w:pPr>
              <w:pStyle w:val="TableText"/>
            </w:pPr>
            <w:r w:rsidRPr="00B714A0">
              <w:t>1.25</w:t>
            </w:r>
          </w:p>
        </w:tc>
        <w:tc>
          <w:tcPr>
            <w:tcW w:w="1080" w:type="dxa"/>
            <w:tcBorders>
              <w:bottom w:val="double" w:sz="4" w:space="0" w:color="auto"/>
            </w:tcBorders>
            <w:vAlign w:val="center"/>
          </w:tcPr>
          <w:p w14:paraId="2E79175A" w14:textId="77777777" w:rsidR="00597FF5" w:rsidRPr="00B714A0" w:rsidRDefault="00597FF5" w:rsidP="00B714A0">
            <w:pPr>
              <w:pStyle w:val="TableText"/>
            </w:pPr>
            <w:r w:rsidRPr="00B714A0">
              <w:t>1.43</w:t>
            </w:r>
          </w:p>
        </w:tc>
        <w:tc>
          <w:tcPr>
            <w:tcW w:w="1080" w:type="dxa"/>
            <w:tcBorders>
              <w:bottom w:val="double" w:sz="4" w:space="0" w:color="auto"/>
            </w:tcBorders>
            <w:vAlign w:val="center"/>
          </w:tcPr>
          <w:p w14:paraId="7681A16C" w14:textId="77777777" w:rsidR="00597FF5" w:rsidRPr="00B714A0" w:rsidRDefault="00597FF5" w:rsidP="00B714A0">
            <w:pPr>
              <w:pStyle w:val="TableText"/>
            </w:pPr>
            <w:r w:rsidRPr="00B714A0">
              <w:t>1.51</w:t>
            </w:r>
          </w:p>
        </w:tc>
        <w:tc>
          <w:tcPr>
            <w:tcW w:w="1080" w:type="dxa"/>
            <w:tcBorders>
              <w:bottom w:val="double" w:sz="4" w:space="0" w:color="auto"/>
              <w:right w:val="double" w:sz="4" w:space="0" w:color="auto"/>
            </w:tcBorders>
            <w:vAlign w:val="center"/>
          </w:tcPr>
          <w:p w14:paraId="661AADBF" w14:textId="77777777" w:rsidR="00597FF5" w:rsidRPr="00B714A0" w:rsidRDefault="00597FF5" w:rsidP="00B714A0">
            <w:pPr>
              <w:pStyle w:val="TableText"/>
            </w:pPr>
            <w:r w:rsidRPr="00B714A0">
              <w:t>1.62</w:t>
            </w:r>
          </w:p>
        </w:tc>
      </w:tr>
    </w:tbl>
    <w:p w14:paraId="035A6062" w14:textId="0EA5DDDE" w:rsidR="00B714A0" w:rsidRDefault="00B714A0" w:rsidP="0073088D">
      <w:pPr>
        <w:rPr>
          <w:lang w:eastAsia="ko-KR"/>
        </w:rPr>
      </w:pPr>
    </w:p>
    <w:p w14:paraId="161F09F5" w14:textId="16B92502" w:rsidR="00D43F7F" w:rsidRDefault="00E8287A" w:rsidP="00F22A75">
      <w:r>
        <w:t xml:space="preserve">milliseconds and would also span slightly above the threshold for CHF occurrence at lower timescales since it has been shown with the TREAT experimental comparisons that the CHF correlations may still be underpredicting the value of CHF. Based on the already </w:t>
      </w:r>
      <w:r w:rsidR="00D43F7F">
        <w:t xml:space="preserve">conservative estimate of CHF within the RELAP5-3D model, the SS-316 cladding should not exceed the melt temperature of ~1600 K within this operating space </w:t>
      </w:r>
      <w:r w:rsidR="00D43F7F">
        <w:fldChar w:fldCharType="begin"/>
      </w:r>
      <w:r w:rsidR="003026BC">
        <w:instrText xml:space="preserve"> ADDIN EN.CITE &lt;EndNote&gt;&lt;Cite&gt;&lt;Author&gt;Kim&lt;/Author&gt;&lt;Year&gt;1975&lt;/Year&gt;&lt;RecNum&gt;185&lt;/RecNum&gt;&lt;DisplayText&gt;[107]&lt;/DisplayText&gt;&lt;record&gt;&lt;rec-number&gt;185&lt;/rec-number&gt;&lt;foreign-keys&gt;&lt;key app="EN" db-id="eseee05sfe5vt6efvr0xapvq20vfdsfp5fvf" timestamp="1661187710" guid="841b89de-4d20-4884-8fe6-ed5f17eb0664"&gt;185&lt;/key&gt;&lt;/foreign-keys&gt;&lt;ref-type name="Book"&gt;6&lt;/ref-type&gt;&lt;contributors&gt;&lt;authors&gt;&lt;author&gt;Kim, C. S.&lt;/author&gt;&lt;/authors&gt;&lt;/contributors&gt;&lt;titles&gt;&lt;title&gt;Thermophysical properties of stainless steels&lt;/title&gt;&lt;/titles&gt;&lt;section&gt;1-22&lt;/section&gt;&lt;keywords&gt;&lt;keyword&gt;N50230* -Metals, Ceramics, &amp;amp; Other Materials-Metals &amp;amp; Alloys-Properties, Structure &amp;amp; Phase Studies&lt;/keyword&gt;&lt;keyword&gt;360104* -Materials-Metals &amp;amp; Alloys-Physical Properties&lt;/keyword&gt;&lt;keyword&gt;*STAINLESS STEEL- 316L- THERMODYNAMIC PROPERTIES&lt;/keyword&gt;&lt;keyword&gt;*STAINLESS STEEL-304L- THERMODYNAMIC PROPERTIES&lt;/keyword&gt;&lt;keyword&gt;DATA COMPILATION&lt;/keyword&gt;&lt;keyword&gt;DENSITY&lt;/keyword&gt;&lt;keyword&gt;ENTHALPY&lt;/keyword&gt;&lt;keyword&gt;ENTROPY&lt;/keyword&gt;&lt;keyword&gt;SPECIFIC HEAT&lt;/keyword&gt;&lt;keyword&gt;TABLES&lt;/keyword&gt;&lt;keyword&gt;THERMAL CONDUCTIVITY&lt;/keyword&gt;&lt;keyword&gt;THERMAL EXPANSION&lt;/keyword&gt;&lt;keyword&gt;VAPOR PRESSURE&lt;/keyword&gt;&lt;keyword&gt;VISCOSITY&lt;/keyword&gt;&lt;/keywords&gt;&lt;dates&gt;&lt;year&gt;1975&lt;/year&gt;&lt;pub-dates&gt;&lt;date&gt;Sept.&lt;/date&gt;&lt;/pub-dates&gt;&lt;/dates&gt;&lt;pub-location&gt;United States&lt;/pub-location&gt;&lt;publisher&gt;Argonne National Laboratory Chemical Engineering Division&lt;/publisher&gt;&lt;urls&gt;&lt;related-urls&gt;&lt;url&gt;https://www.osti.gov/biblio/4152287&lt;/url&gt;&lt;url&gt;https://www.osti.gov/servlets/purl/4152287&lt;/url&gt;&lt;/related-urls&gt;&lt;/urls&gt;&lt;custom1&gt;Research Org.: Argonne National Lab., Ill. (USA)&lt;/custom1&gt;&lt;custom2&gt;Sponsor Org.: USDOE&lt;/custom2&gt;&lt;custom3&gt;Report Number: ANL-75-55&lt;/custom3&gt;&lt;custom4&gt;Contract Number: W-31-109-ENG-38&lt;/custom4&gt;&lt;custom5&gt;Availability: Dep. NTIS&lt;/custom5&gt;&lt;electronic-resource-num&gt;https://doi.org/10.2172/4152287&lt;/electronic-resource-num&gt;&lt;language&gt;English&lt;/language&gt;&lt;/record&gt;&lt;/Cite&gt;&lt;/EndNote&gt;</w:instrText>
      </w:r>
      <w:r w:rsidR="00D43F7F">
        <w:fldChar w:fldCharType="separate"/>
      </w:r>
      <w:r w:rsidR="003026BC">
        <w:rPr>
          <w:noProof/>
        </w:rPr>
        <w:t>[107]</w:t>
      </w:r>
      <w:r w:rsidR="00D43F7F">
        <w:fldChar w:fldCharType="end"/>
      </w:r>
      <w:r w:rsidR="00D43F7F">
        <w:t>.</w:t>
      </w:r>
    </w:p>
    <w:p w14:paraId="4EF9DBFD" w14:textId="77777777" w:rsidR="00B714A0" w:rsidRDefault="00B714A0" w:rsidP="00F22A75">
      <w:pPr>
        <w:pStyle w:val="Heading3"/>
        <w:spacing w:before="0" w:after="0"/>
      </w:pPr>
      <w:bookmarkStart w:id="126" w:name="_Toc202957471"/>
      <w:r>
        <w:t>Proposed Future Work</w:t>
      </w:r>
      <w:bookmarkEnd w:id="126"/>
    </w:p>
    <w:p w14:paraId="62796687" w14:textId="369D22E8" w:rsidR="00B714A0" w:rsidRDefault="00B714A0" w:rsidP="00F22A75">
      <w:r>
        <w:t xml:space="preserve">Another step to take further down the line is to incorporate other mechanistic models for CHF to compare with both the experimental results and the currently implemented CHF correlation. Several correlations that have been investigated in detail in the literature are the bubble interference model, the hydrodynamic instability model, the microlayer dryout model, the hot/dry spot model and the interfacial liftoff model </w:t>
      </w:r>
      <w:r>
        <w:fldChar w:fldCharType="begin"/>
      </w:r>
      <w:r w:rsidR="003026BC">
        <w:instrText xml:space="preserve"> ADDIN EN.CITE &lt;EndNote&gt;&lt;Cite&gt;&lt;Author&gt;Liang&lt;/Author&gt;&lt;Year&gt;2018&lt;/Year&gt;&lt;RecNum&gt;319&lt;/RecNum&gt;&lt;DisplayText&gt;[118]&lt;/DisplayText&gt;&lt;record&gt;&lt;rec-number&gt;319&lt;/rec-number&gt;&lt;foreign-keys&gt;&lt;key app="EN" db-id="eseee05sfe5vt6efvr0xapvq20vfdsfp5fvf" timestamp="1689869977" guid="4211175a-7267-4a5a-afac-bf7855035099"&gt;319&lt;/key&gt;&lt;/foreign-keys&gt;&lt;ref-type name="Journal Article"&gt;17&lt;/ref-type&gt;&lt;contributors&gt;&lt;authors&gt;&lt;author&gt;Liang, Gangtao&lt;/author&gt;&lt;author&gt;Mudawar, Issam&lt;/author&gt;&lt;/authors&gt;&lt;/contributors&gt;&lt;titles&gt;&lt;title&gt;Pool boiling critical heat flux (CHF) – Part 1: Review of mechanisms, models, and correlations&lt;/title&gt;&lt;secondary-title&gt;International Journal of Heat and Mass Transfer&lt;/secondary-title&gt;&lt;/titles&gt;&lt;periodical&gt;&lt;full-title&gt;International journal of heat and mass transfer&lt;/full-title&gt;&lt;/periodical&gt;&lt;pages&gt;1352-1367&lt;/pages&gt;&lt;volume&gt;117&lt;/volume&gt;&lt;keywords&gt;&lt;keyword&gt;Pool boiling&lt;/keyword&gt;&lt;keyword&gt;Critical heat flux (CHF)&lt;/keyword&gt;&lt;keyword&gt;Surface orientation&lt;/keyword&gt;&lt;keyword&gt;Contact angle&lt;/keyword&gt;&lt;/keywords&gt;&lt;dates&gt;&lt;year&gt;2018&lt;/year&gt;&lt;pub-dates&gt;&lt;date&gt;2018/02/01/&lt;/date&gt;&lt;/pub-dates&gt;&lt;/dates&gt;&lt;isbn&gt;0017-9310&lt;/isbn&gt;&lt;urls&gt;&lt;related-urls&gt;&lt;url&gt;https://www.sciencedirect.com/science/article/pii/S0017931017330016&lt;/url&gt;&lt;/related-urls&gt;&lt;/urls&gt;&lt;electronic-resource-num&gt;https://doi.org/10.1016/j.ijheatmasstransfer.2017.09.134&lt;/electronic-resource-num&gt;&lt;/record&gt;&lt;/Cite&gt;&lt;/EndNote&gt;</w:instrText>
      </w:r>
      <w:r>
        <w:fldChar w:fldCharType="separate"/>
      </w:r>
      <w:r w:rsidR="003026BC">
        <w:rPr>
          <w:noProof/>
        </w:rPr>
        <w:t>[118]</w:t>
      </w:r>
      <w:r>
        <w:fldChar w:fldCharType="end"/>
      </w:r>
      <w:r>
        <w:t xml:space="preserve">. An example approach developed by Brown et al. calculates CHF based on a predictive model for dryout of the coolant interface and found good agreement to experimental values </w:t>
      </w:r>
      <w:r>
        <w:fldChar w:fldCharType="begin"/>
      </w:r>
      <w:r w:rsidR="003026BC">
        <w:instrText xml:space="preserve"> ADDIN EN.CITE &lt;EndNote&gt;&lt;Cite&gt;&lt;Author&gt;Brown&lt;/Author&gt;&lt;Year&gt;2020&lt;/Year&gt;&lt;RecNum&gt;321&lt;/RecNum&gt;&lt;DisplayText&gt;[60]&lt;/DisplayText&gt;&lt;record&gt;&lt;rec-number&gt;321&lt;/rec-number&gt;&lt;foreign-keys&gt;&lt;key app="EN" db-id="eseee05sfe5vt6efvr0xapvq20vfdsfp5fvf" timestamp="1690338671" guid="d6398e4e-aaef-4273-8c7c-afa6b8671938"&gt;321&lt;/key&gt;&lt;/foreign-keys&gt;&lt;ref-type name="Journal Article"&gt;17&lt;/ref-type&gt;&lt;contributors&gt;&lt;authors&gt;&lt;author&gt;Brown, Emory&lt;/author&gt;&lt;author&gt;Yan, Yikuan&lt;/author&gt;&lt;author&gt;Marcum, Wade R.&lt;/author&gt;&lt;/authors&gt;&lt;/contributors&gt;&lt;titles&gt;&lt;title&gt;A Novel Method for Predicting Power Transient CHF via the Heterogeneous Spontaneous Nucleation Trigger Mechanism&lt;/title&gt;&lt;secondary-title&gt;Nuclear Technology&lt;/secondary-title&gt;&lt;/titles&gt;&lt;periodical&gt;&lt;full-title&gt;Nuclear Technology&lt;/full-title&gt;&lt;/periodical&gt;&lt;pages&gt;1296-1307&lt;/pages&gt;&lt;volume&gt;206&lt;/volume&gt;&lt;number&gt;9&lt;/number&gt;&lt;dates&gt;&lt;year&gt;2020&lt;/year&gt;&lt;pub-dates&gt;&lt;date&gt;2020/09/01&lt;/date&gt;&lt;/pub-dates&gt;&lt;/dates&gt;&lt;publisher&gt;Taylor &amp;amp; Francis&lt;/publisher&gt;&lt;isbn&gt;0029-5450&lt;/isbn&gt;&lt;urls&gt;&lt;related-urls&gt;&lt;url&gt;https://doi.org/10.1080/00295450.2020.1724730&lt;/url&gt;&lt;/related-urls&gt;&lt;/urls&gt;&lt;electronic-resource-num&gt;https://doi.org/10.1080/00295450.2020.1724730&lt;/electronic-resource-num&gt;&lt;/record&gt;&lt;/Cite&gt;&lt;/EndNote&gt;</w:instrText>
      </w:r>
      <w:r>
        <w:fldChar w:fldCharType="separate"/>
      </w:r>
      <w:r w:rsidR="003026BC">
        <w:rPr>
          <w:noProof/>
        </w:rPr>
        <w:t>[60]</w:t>
      </w:r>
      <w:r>
        <w:fldChar w:fldCharType="end"/>
      </w:r>
      <w:r>
        <w:t xml:space="preserve">. The RELAP5-3D model does not account for physical surface attributes such as nucleation site activation or physical bubble interactions such as liftoff and crowding. Methods that incorporate pre-determined predictions of CHF based on parameters such as </w:t>
      </w:r>
      <w:r>
        <w:lastRenderedPageBreak/>
        <w:t>power pulse timescale or wall temperatures should be feasible with our current calculation methods while methods that incorporate a real-time prediction of the CHF multiplier will require additional framework to redefine the heat structures within RELAP5-3D at each timestep. Following implementation of transient correlations for all boiling heat transfer regimes, a new sensitivity analysis can be performed and compared to the steady-state RELAP5-3D model. This sensitivity analysis would likely also incorporate the Sobol analysis rather than the Pearson analysis to determine if there are higher order effects and the cases would be separated by the occurrence of CHF to avoid any potential discontinuities within the data that could skew the results.</w:t>
      </w:r>
    </w:p>
    <w:p w14:paraId="6F0B78C2" w14:textId="68C76369" w:rsidR="00B714A0" w:rsidRDefault="00B714A0" w:rsidP="00F22A75">
      <w:pPr>
        <w:rPr>
          <w:lang w:eastAsia="ko-KR"/>
        </w:rPr>
      </w:pPr>
      <w:r>
        <w:rPr>
          <w:lang w:eastAsia="ko-KR"/>
        </w:rPr>
        <w:t xml:space="preserve">The CHF case study outlined gaps within the RELAP5-3D transient boiling heat transfer models including inconsistencies in the prediction of pre- and post- CHF transient boiling heat transfer as demonstrated in </w:t>
      </w:r>
      <w:r w:rsidRPr="00F22A75">
        <w:rPr>
          <w:b/>
          <w:bCs/>
          <w:lang w:eastAsia="ko-KR"/>
        </w:rPr>
        <w:fldChar w:fldCharType="begin"/>
      </w:r>
      <w:r w:rsidRPr="00F22A75">
        <w:rPr>
          <w:b/>
          <w:bCs/>
          <w:lang w:eastAsia="ko-KR"/>
        </w:rPr>
        <w:instrText xml:space="preserve"> REF _Ref160895674 \h </w:instrText>
      </w:r>
      <w:r w:rsidRPr="00F22A75">
        <w:rPr>
          <w:b/>
          <w:bCs/>
          <w:lang w:eastAsia="ko-KR"/>
        </w:rPr>
      </w:r>
      <w:r w:rsidR="00F22A75">
        <w:rPr>
          <w:b/>
          <w:bCs/>
          <w:lang w:eastAsia="ko-KR"/>
        </w:rPr>
        <w:instrText xml:space="preserve"> \* MERGEFORMAT </w:instrText>
      </w:r>
      <w:r w:rsidRPr="00F22A75">
        <w:rPr>
          <w:b/>
          <w:bCs/>
          <w:lang w:eastAsia="ko-KR"/>
        </w:rPr>
        <w:fldChar w:fldCharType="separate"/>
      </w:r>
      <w:r w:rsidR="00BF7E93" w:rsidRPr="00F22A75">
        <w:rPr>
          <w:b/>
          <w:bCs/>
        </w:rPr>
        <w:t xml:space="preserve">Figure </w:t>
      </w:r>
      <w:r w:rsidR="00BF7E93" w:rsidRPr="00F22A75">
        <w:rPr>
          <w:b/>
          <w:bCs/>
          <w:noProof/>
        </w:rPr>
        <w:t>3</w:t>
      </w:r>
      <w:r w:rsidR="00BF7E93" w:rsidRPr="00F22A75">
        <w:rPr>
          <w:b/>
          <w:bCs/>
        </w:rPr>
        <w:t>.</w:t>
      </w:r>
      <w:r w:rsidR="00BF7E93" w:rsidRPr="00F22A75">
        <w:rPr>
          <w:b/>
          <w:bCs/>
          <w:noProof/>
        </w:rPr>
        <w:t>26</w:t>
      </w:r>
      <w:r w:rsidRPr="00F22A75">
        <w:rPr>
          <w:b/>
          <w:bCs/>
          <w:lang w:eastAsia="ko-KR"/>
        </w:rPr>
        <w:fldChar w:fldCharType="end"/>
      </w:r>
      <w:r>
        <w:rPr>
          <w:lang w:eastAsia="ko-KR"/>
        </w:rPr>
        <w:t xml:space="preserve"> and </w:t>
      </w:r>
      <w:r w:rsidRPr="00F22A75">
        <w:rPr>
          <w:b/>
          <w:bCs/>
          <w:lang w:eastAsia="ko-KR"/>
        </w:rPr>
        <w:fldChar w:fldCharType="begin"/>
      </w:r>
      <w:r w:rsidRPr="00F22A75">
        <w:rPr>
          <w:b/>
          <w:bCs/>
          <w:lang w:eastAsia="ko-KR"/>
        </w:rPr>
        <w:instrText xml:space="preserve"> REF _Ref160894767 \h </w:instrText>
      </w:r>
      <w:r w:rsidRPr="00F22A75">
        <w:rPr>
          <w:b/>
          <w:bCs/>
          <w:lang w:eastAsia="ko-KR"/>
        </w:rPr>
      </w:r>
      <w:r w:rsidR="00F22A75">
        <w:rPr>
          <w:b/>
          <w:bCs/>
          <w:lang w:eastAsia="ko-KR"/>
        </w:rPr>
        <w:instrText xml:space="preserve"> \* MERGEFORMAT </w:instrText>
      </w:r>
      <w:r w:rsidRPr="00F22A75">
        <w:rPr>
          <w:b/>
          <w:bCs/>
          <w:lang w:eastAsia="ko-KR"/>
        </w:rPr>
        <w:fldChar w:fldCharType="separate"/>
      </w:r>
      <w:r w:rsidR="00BF7E93" w:rsidRPr="00F22A75">
        <w:rPr>
          <w:b/>
          <w:bCs/>
        </w:rPr>
        <w:t xml:space="preserve">Figure </w:t>
      </w:r>
      <w:r w:rsidR="00BF7E93" w:rsidRPr="00F22A75">
        <w:rPr>
          <w:b/>
          <w:bCs/>
          <w:noProof/>
        </w:rPr>
        <w:t>3</w:t>
      </w:r>
      <w:r w:rsidR="00BF7E93" w:rsidRPr="00F22A75">
        <w:rPr>
          <w:b/>
          <w:bCs/>
        </w:rPr>
        <w:t>.</w:t>
      </w:r>
      <w:r w:rsidR="00BF7E93" w:rsidRPr="00F22A75">
        <w:rPr>
          <w:b/>
          <w:bCs/>
          <w:noProof/>
        </w:rPr>
        <w:t>23</w:t>
      </w:r>
      <w:r w:rsidRPr="00F22A75">
        <w:rPr>
          <w:b/>
          <w:bCs/>
          <w:lang w:eastAsia="ko-KR"/>
        </w:rPr>
        <w:fldChar w:fldCharType="end"/>
      </w:r>
      <w:r w:rsidRPr="00F22A75">
        <w:rPr>
          <w:b/>
          <w:bCs/>
          <w:lang w:eastAsia="ko-KR"/>
        </w:rPr>
        <w:t>,</w:t>
      </w:r>
      <w:r>
        <w:rPr>
          <w:lang w:eastAsia="ko-KR"/>
        </w:rPr>
        <w:t xml:space="preserve"> respectively. The sensitivity analysis of the RELAP5-3D models using the considered parameters gives little to no insight on what basic parameters are most impactful towards the prediction of CHF and cladding temperature during an RIA since much of the underlying physics during fast transients are not captured. The proposed test matrix can help to address the phenomena behind the transition between steady state and transient CHF, but overall, more data will be needed on the fundamental effects within pre- and post- CHF transient boiling heat transfer. Inspection of post-CHF heat transfer can be performed in conjunction with CHF experiments, so new experimental capabilities should be established inspecting pre-CHF transient boiling heat transfer.</w:t>
      </w:r>
    </w:p>
    <w:p w14:paraId="46A85E18" w14:textId="5FFA81A0" w:rsidR="0073088D" w:rsidRDefault="0073088D" w:rsidP="0073088D">
      <w:pPr>
        <w:rPr>
          <w:lang w:eastAsia="ko-KR"/>
        </w:rPr>
      </w:pPr>
      <w:r>
        <w:rPr>
          <w:lang w:eastAsia="ko-KR"/>
        </w:rPr>
        <w:lastRenderedPageBreak/>
        <w:t xml:space="preserve">An avenue for future work that can address the inconsistencies within pre-CHF transient boiling heat transfer includes the development and implementation of mechanistic models for bubble crowding and departure. As per He et. al. </w:t>
      </w:r>
      <w:r>
        <w:rPr>
          <w:lang w:eastAsia="ko-KR"/>
        </w:rPr>
        <w:fldChar w:fldCharType="begin"/>
      </w:r>
      <w:r w:rsidR="003026BC">
        <w:rPr>
          <w:lang w:eastAsia="ko-KR"/>
        </w:rPr>
        <w:instrText xml:space="preserve"> ADDIN EN.CITE &lt;EndNote&gt;&lt;Cite&gt;&lt;Author&gt;He&lt;/Author&gt;&lt;Year&gt;2022&lt;/Year&gt;&lt;RecNum&gt;312&lt;/RecNum&gt;&lt;DisplayText&gt;[117]&lt;/DisplayText&gt;&lt;record&gt;&lt;rec-number&gt;312&lt;/rec-number&gt;&lt;foreign-keys&gt;&lt;key app="EN" db-id="eseee05sfe5vt6efvr0xapvq20vfdsfp5fvf" timestamp="1687794088" guid="8e86b387-ad08-4a80-8d06-d9260036dcee"&gt;312&lt;/key&gt;&lt;/foreign-keys&gt;&lt;ref-type name="Journal Article"&gt;17&lt;/ref-type&gt;&lt;contributors&gt;&lt;authors&gt;&lt;author&gt;He, Mingfu&lt;/author&gt;&lt;author&gt;Ali, Amir F.&lt;/author&gt;&lt;author&gt;Chen, Minghui&lt;/author&gt;&lt;/authors&gt;&lt;/contributors&gt;&lt;titles&gt;&lt;title&gt;Steady-state pool boiling heat transfer experimental studies of horizontally-placed tubes&lt;/title&gt;&lt;secondary-title&gt;International Journal of Heat and Mass Transfer&lt;/secondary-title&gt;&lt;/titles&gt;&lt;periodical&gt;&lt;full-title&gt;International journal of heat and mass transfer&lt;/full-title&gt;&lt;/periodical&gt;&lt;pages&gt;123270&lt;/pages&gt;&lt;volume&gt;196&lt;/volume&gt;&lt;keywords&gt;&lt;keyword&gt;Pool boiling heat transfer&lt;/keyword&gt;&lt;keyword&gt;Critical heat flux&lt;/keyword&gt;&lt;keyword&gt;Tubing wall thickness&lt;/keyword&gt;&lt;keyword&gt;Tubing materials&lt;/keyword&gt;&lt;keyword&gt;Accident tolerant fuel cladding&lt;/keyword&gt;&lt;/keywords&gt;&lt;dates&gt;&lt;year&gt;2022&lt;/year&gt;&lt;pub-dates&gt;&lt;date&gt;2022/11/01/&lt;/date&gt;&lt;/pub-dates&gt;&lt;/dates&gt;&lt;isbn&gt;0017-9310&lt;/isbn&gt;&lt;urls&gt;&lt;related-urls&gt;&lt;url&gt;https://www.sciencedirect.com/science/article/pii/S0017931022007402&lt;/url&gt;&lt;/related-urls&gt;&lt;/urls&gt;&lt;electronic-resource-num&gt;https://doi.org/10.1016/j.ijheatmasstransfer.2022.123270&lt;/electronic-resource-num&gt;&lt;/record&gt;&lt;/Cite&gt;&lt;/EndNote&gt;</w:instrText>
      </w:r>
      <w:r>
        <w:rPr>
          <w:lang w:eastAsia="ko-KR"/>
        </w:rPr>
        <w:fldChar w:fldCharType="separate"/>
      </w:r>
      <w:r w:rsidR="003026BC">
        <w:rPr>
          <w:noProof/>
          <w:lang w:eastAsia="ko-KR"/>
        </w:rPr>
        <w:t>[117]</w:t>
      </w:r>
      <w:r>
        <w:rPr>
          <w:lang w:eastAsia="ko-KR"/>
        </w:rPr>
        <w:fldChar w:fldCharType="end"/>
      </w:r>
      <w:r>
        <w:rPr>
          <w:lang w:eastAsia="ko-KR"/>
        </w:rPr>
        <w:t xml:space="preserve">, the mechanistic effects on the pool boiling heat transfer and bubble dynamics stemming from the thermal-physical properties of cladding are not well understood. Many individual empirical correlations have been developed to characterize this behavior, but are limited to a specifically defined set of experimental conditions </w:t>
      </w:r>
      <w:r>
        <w:rPr>
          <w:lang w:eastAsia="ko-KR"/>
        </w:rPr>
        <w:fldChar w:fldCharType="begin"/>
      </w:r>
      <w:r w:rsidR="003026BC">
        <w:rPr>
          <w:lang w:eastAsia="ko-KR"/>
        </w:rPr>
        <w:instrText xml:space="preserve"> ADDIN EN.CITE &lt;EndNote&gt;&lt;Cite&gt;&lt;Author&gt;Stojanović&lt;/Author&gt;&lt;Year&gt;2022&lt;/Year&gt;&lt;RecNum&gt;578&lt;/RecNum&gt;&lt;DisplayText&gt;[123]&lt;/DisplayText&gt;&lt;record&gt;&lt;rec-number&gt;578&lt;/rec-number&gt;&lt;foreign-keys&gt;&lt;key app="EN" db-id="eseee05sfe5vt6efvr0xapvq20vfdsfp5fvf" timestamp="1747852729"&gt;578&lt;/key&gt;&lt;/foreign-keys&gt;&lt;ref-type name="Journal Article"&gt;17&lt;/ref-type&gt;&lt;contributors&gt;&lt;authors&gt;&lt;author&gt;Andrijana D. Stojanović&lt;/author&gt;&lt;author&gt;Srđan V. Belošević&lt;/author&gt;&lt;author&gt;Nenad Đ. Crnomarković&lt;/author&gt;&lt;author&gt;Ivan D. Tomanović&lt;/author&gt;&lt;author&gt;Aleksandar R. Milićević&lt;/author&gt;&lt;/authors&gt;&lt;/contributors&gt;&lt;titles&gt;&lt;title&gt;Nucleate pool boiling heat transfer: Review of models and bubble dynamics parameters&lt;/title&gt;&lt;secondary-title&gt;Thermal Science&lt;/secondary-title&gt;&lt;/titles&gt;&lt;periodical&gt;&lt;full-title&gt;Thermal Science&lt;/full-title&gt;&lt;/periodical&gt;&lt;pages&gt;157-174&lt;/pages&gt;&lt;volume&gt;26&lt;/volume&gt;&lt;number&gt;1&lt;/number&gt;&lt;num-vols&gt;A&lt;/num-vols&gt;&lt;dates&gt;&lt;year&gt;2022&lt;/year&gt;&lt;pub-dates&gt;&lt;date&gt;2022&lt;/date&gt;&lt;/pub-dates&gt;&lt;/dates&gt;&lt;urls&gt;&lt;/urls&gt;&lt;electronic-resource-num&gt;https://doi.org/10.2298/TSCI200111069S&lt;/electronic-resource-num&gt;&lt;/record&gt;&lt;/Cite&gt;&lt;/EndNote&gt;</w:instrText>
      </w:r>
      <w:r>
        <w:rPr>
          <w:lang w:eastAsia="ko-KR"/>
        </w:rPr>
        <w:fldChar w:fldCharType="separate"/>
      </w:r>
      <w:r w:rsidR="003026BC">
        <w:rPr>
          <w:noProof/>
          <w:lang w:eastAsia="ko-KR"/>
        </w:rPr>
        <w:t>[123]</w:t>
      </w:r>
      <w:r>
        <w:rPr>
          <w:lang w:eastAsia="ko-KR"/>
        </w:rPr>
        <w:fldChar w:fldCharType="end"/>
      </w:r>
      <w:r>
        <w:rPr>
          <w:lang w:eastAsia="ko-KR"/>
        </w:rPr>
        <w:t xml:space="preserve">. Overall, there is a need for further fundamental tests that use as little parameters as possible to try to isolate bubble dynamics </w:t>
      </w:r>
      <w:r>
        <w:rPr>
          <w:lang w:eastAsia="ko-KR"/>
        </w:rPr>
        <w:fldChar w:fldCharType="begin"/>
      </w:r>
      <w:r w:rsidR="003026BC">
        <w:rPr>
          <w:lang w:eastAsia="ko-KR"/>
        </w:rPr>
        <w:instrText xml:space="preserve"> ADDIN EN.CITE &lt;EndNote&gt;&lt;Cite&gt;&lt;Author&gt;Stojanović&lt;/Author&gt;&lt;Year&gt;2022&lt;/Year&gt;&lt;RecNum&gt;578&lt;/RecNum&gt;&lt;DisplayText&gt;[123]&lt;/DisplayText&gt;&lt;record&gt;&lt;rec-number&gt;578&lt;/rec-number&gt;&lt;foreign-keys&gt;&lt;key app="EN" db-id="eseee05sfe5vt6efvr0xapvq20vfdsfp5fvf" timestamp="1747852729"&gt;578&lt;/key&gt;&lt;/foreign-keys&gt;&lt;ref-type name="Journal Article"&gt;17&lt;/ref-type&gt;&lt;contributors&gt;&lt;authors&gt;&lt;author&gt;Andrijana D. Stojanović&lt;/author&gt;&lt;author&gt;Srđan V. Belošević&lt;/author&gt;&lt;author&gt;Nenad Đ. Crnomarković&lt;/author&gt;&lt;author&gt;Ivan D. Tomanović&lt;/author&gt;&lt;author&gt;Aleksandar R. Milićević&lt;/author&gt;&lt;/authors&gt;&lt;/contributors&gt;&lt;titles&gt;&lt;title&gt;Nucleate pool boiling heat transfer: Review of models and bubble dynamics parameters&lt;/title&gt;&lt;secondary-title&gt;Thermal Science&lt;/secondary-title&gt;&lt;/titles&gt;&lt;periodical&gt;&lt;full-title&gt;Thermal Science&lt;/full-title&gt;&lt;/periodical&gt;&lt;pages&gt;157-174&lt;/pages&gt;&lt;volume&gt;26&lt;/volume&gt;&lt;number&gt;1&lt;/number&gt;&lt;num-vols&gt;A&lt;/num-vols&gt;&lt;dates&gt;&lt;year&gt;2022&lt;/year&gt;&lt;pub-dates&gt;&lt;date&gt;2022&lt;/date&gt;&lt;/pub-dates&gt;&lt;/dates&gt;&lt;urls&gt;&lt;/urls&gt;&lt;electronic-resource-num&gt;https://doi.org/10.2298/TSCI200111069S&lt;/electronic-resource-num&gt;&lt;/record&gt;&lt;/Cite&gt;&lt;/EndNote&gt;</w:instrText>
      </w:r>
      <w:r>
        <w:rPr>
          <w:lang w:eastAsia="ko-KR"/>
        </w:rPr>
        <w:fldChar w:fldCharType="separate"/>
      </w:r>
      <w:r w:rsidR="003026BC">
        <w:rPr>
          <w:noProof/>
          <w:lang w:eastAsia="ko-KR"/>
        </w:rPr>
        <w:t>[123]</w:t>
      </w:r>
      <w:r>
        <w:rPr>
          <w:lang w:eastAsia="ko-KR"/>
        </w:rPr>
        <w:fldChar w:fldCharType="end"/>
      </w:r>
      <w:r>
        <w:rPr>
          <w:lang w:eastAsia="ko-KR"/>
        </w:rPr>
        <w:t xml:space="preserve">. Exploration into the fundamentals of bubble dynamics can be done using the same methodology presented in </w:t>
      </w:r>
      <w:r>
        <w:rPr>
          <w:lang w:eastAsia="ko-KR"/>
        </w:rPr>
        <w:fldChar w:fldCharType="begin"/>
      </w:r>
      <w:r>
        <w:rPr>
          <w:lang w:eastAsia="ko-KR"/>
        </w:rPr>
        <w:instrText xml:space="preserve"> REF _Ref160193959 \h </w:instrText>
      </w:r>
      <w:r>
        <w:rPr>
          <w:lang w:eastAsia="ko-KR"/>
        </w:rPr>
      </w:r>
      <w:r>
        <w:rPr>
          <w:lang w:eastAsia="ko-KR"/>
        </w:rPr>
        <w:fldChar w:fldCharType="separate"/>
      </w:r>
      <w:r w:rsidR="00BF7E93">
        <w:t xml:space="preserve">Figure </w:t>
      </w:r>
      <w:r w:rsidR="00BF7E93">
        <w:rPr>
          <w:noProof/>
        </w:rPr>
        <w:t>2</w:t>
      </w:r>
      <w:r w:rsidR="00BF7E93">
        <w:t>.</w:t>
      </w:r>
      <w:r w:rsidR="00BF7E93">
        <w:rPr>
          <w:noProof/>
        </w:rPr>
        <w:t>2</w:t>
      </w:r>
      <w:r>
        <w:rPr>
          <w:lang w:eastAsia="ko-KR"/>
        </w:rPr>
        <w:fldChar w:fldCharType="end"/>
      </w:r>
      <w:r>
        <w:rPr>
          <w:lang w:eastAsia="ko-KR"/>
        </w:rPr>
        <w:t xml:space="preserve"> using an iterative loop between predictive modeling and experiments.</w:t>
      </w:r>
    </w:p>
    <w:p w14:paraId="1DC4FE5D" w14:textId="1FC8F7EB" w:rsidR="00CD6042" w:rsidRPr="00D61DF2" w:rsidRDefault="00846AEB" w:rsidP="00FF6811">
      <w:r>
        <w:t xml:space="preserve">Future work for further analysis of the TREAT experimental data would be to incorporate the enhancement of CHF due to RISA which was unaccounted for within this analysis. There have been several experimental studies that relate irradiation dose to an increase in wettability and a corresponding decrease in contact angle of the coolant with respect to the surface </w:t>
      </w:r>
      <w:r>
        <w:fldChar w:fldCharType="begin">
          <w:fldData xml:space="preserve">PEVuZE5vdGU+PENpdGU+PEF1dGhvcj5TZXNoYWRyaTwvQXV0aG9yPjxZZWFyPjIwMjA8L1llYXI+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</w:fldData>
        </w:fldChar>
      </w:r>
      <w:r w:rsidR="003026BC">
        <w:instrText xml:space="preserve"> ADDIN EN.CITE </w:instrText>
      </w:r>
      <w:r w:rsidR="003026BC">
        <w:fldChar w:fldCharType="begin">
          <w:fldData xml:space="preserve">PEVuZE5vdGU+PENpdGU+PEF1dGhvcj5TZXNoYWRyaTwvQXV0aG9yPjxZZWFyPjIwMjA8L1llYXI+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</w:fldData>
        </w:fldChar>
      </w:r>
      <w:r w:rsidR="003026BC">
        <w:instrText xml:space="preserve"> ADDIN EN.CITE.DATA </w:instrText>
      </w:r>
      <w:r w:rsidR="003026BC">
        <w:fldChar w:fldCharType="end"/>
      </w:r>
      <w:r>
        <w:fldChar w:fldCharType="separate"/>
      </w:r>
      <w:r w:rsidR="003026BC">
        <w:rPr>
          <w:noProof/>
        </w:rPr>
        <w:t>[56, 57]</w:t>
      </w:r>
      <w:r>
        <w:fldChar w:fldCharType="end"/>
      </w:r>
      <w:r>
        <w:t xml:space="preserve">. Data from these studies may be used in conjunction with developed correlations that relate a receding contact angle with an enhancement in CHF </w:t>
      </w:r>
      <w:r>
        <w:fldChar w:fldCharType="begin">
          <w:fldData xml:space="preserve">PEVuZE5vdGU+PENpdGU+PEF1dGhvcj5LYW5kbGlrYXI8L0F1dGhvcj48WWVhcj4yMDAxPC9ZZWFy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</w:fldData>
        </w:fldChar>
      </w:r>
      <w:r w:rsidR="003026BC">
        <w:instrText xml:space="preserve"> ADDIN EN.CITE </w:instrText>
      </w:r>
      <w:r w:rsidR="003026BC">
        <w:fldChar w:fldCharType="begin">
          <w:fldData xml:space="preserve">PEVuZE5vdGU+PENpdGU+PEF1dGhvcj5LYW5kbGlrYXI8L0F1dGhvcj48WWVhcj4yMDAxPC9ZZWFy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</w:fldData>
        </w:fldChar>
      </w:r>
      <w:r w:rsidR="003026BC">
        <w:instrText xml:space="preserve"> ADDIN EN.CITE.DATA </w:instrText>
      </w:r>
      <w:r w:rsidR="003026BC">
        <w:fldChar w:fldCharType="end"/>
      </w:r>
      <w:r>
        <w:fldChar w:fldCharType="separate"/>
      </w:r>
      <w:r w:rsidR="003026BC">
        <w:rPr>
          <w:noProof/>
        </w:rPr>
        <w:t>[58, 59]</w:t>
      </w:r>
      <w:r>
        <w:fldChar w:fldCharType="end"/>
      </w:r>
      <w:r>
        <w:t>. This would likely be added to the model as a separate factor within the calculation of the CHFM and would be accounted for separately from the transient multiplier within the sensitivity analysis.</w:t>
      </w:r>
      <w:r w:rsidR="0073088D">
        <w:br w:type="page"/>
      </w:r>
    </w:p>
    <w:p w14:paraId="55DE78E2" w14:textId="4BF26EA2" w:rsidR="003B2848" w:rsidRDefault="00F634C6" w:rsidP="00F22A75">
      <w:pPr>
        <w:pStyle w:val="Heading1"/>
        <w:spacing w:line="480" w:lineRule="auto"/>
      </w:pPr>
      <w:bookmarkStart w:id="127" w:name="_Toc202957472"/>
      <w:bookmarkEnd w:id="115"/>
      <w:bookmarkEnd w:id="116"/>
      <w:bookmarkEnd w:id="117"/>
      <w:r>
        <w:lastRenderedPageBreak/>
        <w:t>Case Study 2</w:t>
      </w:r>
      <w:bookmarkEnd w:id="127"/>
    </w:p>
    <w:p w14:paraId="5EAAF5F1" w14:textId="3A545747" w:rsidR="003B2848" w:rsidRDefault="000C2346" w:rsidP="00F22A75">
      <w:pPr>
        <w:pStyle w:val="Heading2"/>
      </w:pPr>
      <w:bookmarkStart w:id="128" w:name="_Toc202957473"/>
      <w:r>
        <w:t xml:space="preserve">Separate Effects </w:t>
      </w:r>
      <w:r w:rsidR="0081725E">
        <w:t>Fuel Performance Testing</w:t>
      </w:r>
      <w:bookmarkEnd w:id="128"/>
    </w:p>
    <w:p w14:paraId="67C85D02" w14:textId="77777777" w:rsidR="00C255FB" w:rsidRDefault="00C255FB" w:rsidP="00F22A75">
      <w:r>
        <w:t xml:space="preserve">The work associated with this case study has been published or submitted for publication </w:t>
      </w:r>
      <w:r>
        <w:fldChar w:fldCharType="begin">
          <w:fldData xml:space="preserve">PEVuZE5vdGU+PENpdGU+PEF1dGhvcj5NZWVoYW48L0F1dGhvcj48WWVhcj4yMDI1PC9ZZWFyPjxS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</w:fldData>
        </w:fldChar>
      </w:r>
      <w:r>
        <w:instrText xml:space="preserve"> ADDIN EN.CITE </w:instrText>
      </w:r>
      <w:r>
        <w:fldChar w:fldCharType="begin">
          <w:fldData xml:space="preserve">PEVuZE5vdGU+PENpdGU+PEF1dGhvcj5NZWVoYW48L0F1dGhvcj48WWVhcj4yMDI1PC9ZZWFyPjxS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</w:fldData>
        </w:fldChar>
      </w:r>
      <w:r>
        <w:instrText xml:space="preserve"> ADDIN EN.CITE.DATA </w:instrText>
      </w:r>
      <w:r>
        <w:fldChar w:fldCharType="end"/>
      </w:r>
      <w:r>
        <w:fldChar w:fldCharType="separate"/>
      </w:r>
      <w:r>
        <w:rPr>
          <w:noProof/>
        </w:rPr>
        <w:t>[25, 26]</w:t>
      </w:r>
      <w:r>
        <w:fldChar w:fldCharType="end"/>
      </w:r>
      <w:r>
        <w:t xml:space="preserve">  and is modified to give a cohesive overview of the work. Specifically:</w:t>
      </w:r>
    </w:p>
    <w:p w14:paraId="0CA4F56A" w14:textId="7DC4C363" w:rsidR="00C255FB" w:rsidRDefault="00C255FB" w:rsidP="00F22A75">
      <w:pPr>
        <w:ind w:left="720"/>
        <w:rPr>
          <w:noProof/>
        </w:rPr>
      </w:pPr>
      <w:r>
        <w:t xml:space="preserve">- </w:t>
      </w:r>
      <w:r w:rsidRPr="00921EA0">
        <w:rPr>
          <w:noProof/>
        </w:rPr>
        <w:t xml:space="preserve">N. A. MEEHAN, et al., “Identifying high-impact and high-uncertainty parameters in MiniFuel model predictions,” Journal of Nuclear Materials, 609, (2025); </w:t>
      </w:r>
      <w:hyperlink r:id="rId48" w:history="1">
        <w:r w:rsidRPr="002C73F8">
          <w:t>https://doi.org/10.1016/j.jnucmat.2025.155745</w:t>
        </w:r>
      </w:hyperlink>
      <w:r w:rsidRPr="002C73F8">
        <w:t>.</w:t>
      </w:r>
    </w:p>
    <w:p w14:paraId="2F679543" w14:textId="77777777" w:rsidR="00C255FB" w:rsidRPr="00921EA0" w:rsidRDefault="00C255FB" w:rsidP="00F22A75">
      <w:r>
        <w:rPr>
          <w:noProof/>
        </w:rPr>
        <w:t>and</w:t>
      </w:r>
    </w:p>
    <w:p w14:paraId="391EA5B8" w14:textId="3252A140" w:rsidR="00C255FB" w:rsidRDefault="00C255FB" w:rsidP="00F22A75">
      <w:pPr>
        <w:ind w:left="720"/>
        <w:rPr>
          <w:noProof/>
        </w:rPr>
      </w:pPr>
      <w:r>
        <w:rPr>
          <w:noProof/>
        </w:rPr>
        <w:t xml:space="preserve">- </w:t>
      </w:r>
      <w:r w:rsidRPr="00921EA0">
        <w:rPr>
          <w:noProof/>
        </w:rPr>
        <w:t xml:space="preserve">N. A. MEEHAN, et al., “Sensitivity Analysis of Thermal Contact Conductance Modeling to Inform MiniFuel Irradiation Capsule Designs for Minimizing Fuel Temperature Variance,” To be submitted for publication, (2025); </w:t>
      </w:r>
    </w:p>
    <w:p w14:paraId="01EFC4A4" w14:textId="14E40DC1" w:rsidR="00C255FB" w:rsidRDefault="00083610" w:rsidP="00F22A75">
      <w:pPr>
        <w:rPr>
          <w:noProof/>
        </w:rPr>
      </w:pPr>
      <w:r>
        <w:t>To support</w:t>
      </w:r>
      <w:r w:rsidR="000A4369">
        <w:t xml:space="preserve"> fuel qualificatio</w:t>
      </w:r>
      <w:r w:rsidR="004F4531">
        <w:t>n</w:t>
      </w:r>
      <w:r w:rsidR="008215F8">
        <w:t>,</w:t>
      </w:r>
      <w:r w:rsidR="004F4531">
        <w:t xml:space="preserve"> experiments are performed in test reactors and </w:t>
      </w:r>
      <w:r w:rsidR="008215F8">
        <w:t>independent experimental facilities at universities.</w:t>
      </w:r>
      <w:r w:rsidR="00F1795A">
        <w:t xml:space="preserve"> </w:t>
      </w:r>
      <w:r w:rsidR="00D51850">
        <w:fldChar w:fldCharType="begin"/>
      </w:r>
      <w:r w:rsidR="00D51850">
        <w:instrText xml:space="preserve"> REF _Ref197859193 \r \h </w:instrText>
      </w:r>
      <w:r w:rsidR="00D51850">
        <w:fldChar w:fldCharType="separate"/>
      </w:r>
      <w:r w:rsidR="00BF7E93">
        <w:t>Chapter 3:</w:t>
      </w:r>
      <w:r w:rsidR="00D51850">
        <w:fldChar w:fldCharType="end"/>
      </w:r>
      <w:r w:rsidR="00D51850">
        <w:t xml:space="preserve"> discussed several separate effects test facilities for fuel performance at OSU, UNM, and INL. This section will discuss separate effects </w:t>
      </w:r>
      <w:r w:rsidR="00FF551B">
        <w:t xml:space="preserve">testing </w:t>
      </w:r>
      <w:r w:rsidR="00D51850">
        <w:t>capabilities that can support the fuel qualification process,</w:t>
      </w:r>
      <w:r w:rsidR="000957C6">
        <w:t xml:space="preserve"> beginning with</w:t>
      </w:r>
      <w:r w:rsidR="001D7CDF">
        <w:t xml:space="preserve"> tests performed in the</w:t>
      </w:r>
      <w:r w:rsidR="000957C6">
        <w:t xml:space="preserve"> Halden</w:t>
      </w:r>
      <w:r w:rsidR="001D7CDF">
        <w:t xml:space="preserve"> reactor</w:t>
      </w:r>
      <w:r w:rsidR="000957C6">
        <w:t xml:space="preserve"> and</w:t>
      </w:r>
      <w:r w:rsidR="00D51850">
        <w:t xml:space="preserve"> ultimately focusing on MiniFuel experiments within HFIR at ORNL.</w:t>
      </w:r>
      <w:r w:rsidR="00F604A3">
        <w:t xml:space="preserve"> </w:t>
      </w:r>
    </w:p>
    <w:p w14:paraId="2451EB32" w14:textId="7940D4F3" w:rsidR="0081725E" w:rsidRDefault="0081725E" w:rsidP="00F22A75">
      <w:pPr>
        <w:pStyle w:val="Heading3"/>
        <w:spacing w:before="0" w:after="0"/>
      </w:pPr>
      <w:bookmarkStart w:id="129" w:name="_Toc202957474"/>
      <w:r>
        <w:t>Halden Irradiation Tests</w:t>
      </w:r>
      <w:bookmarkEnd w:id="129"/>
    </w:p>
    <w:p w14:paraId="4C116658" w14:textId="273B91A4" w:rsidR="0047619B" w:rsidRDefault="00642F6E" w:rsidP="00F22A75">
      <w:r>
        <w:t>The Halden reactor is a</w:t>
      </w:r>
      <w:r w:rsidR="00283CAB">
        <w:t xml:space="preserve"> 20 MWt</w:t>
      </w:r>
      <w:r>
        <w:t xml:space="preserve"> research reactor in Norway that accommodated</w:t>
      </w:r>
      <w:r w:rsidR="0047619B">
        <w:t xml:space="preserve"> irradiation</w:t>
      </w:r>
      <w:r>
        <w:t xml:space="preserve"> tests for nuclear fuel, cladding and structural materials</w:t>
      </w:r>
      <w:r w:rsidR="00283CAB">
        <w:t xml:space="preserve"> </w:t>
      </w:r>
      <w:r w:rsidR="00283CAB">
        <w:fldChar w:fldCharType="begin"/>
      </w:r>
      <w:r w:rsidR="003026BC">
        <w:instrText xml:space="preserve"> ADDIN EN.CITE &lt;EndNote&gt;&lt;Cite&gt;&lt;Author&gt;Holcombe&lt;/Author&gt;&lt;Year&gt;2018&lt;/Year&gt;&lt;RecNum&gt;505&lt;/RecNum&gt;&lt;DisplayText&gt;[124]&lt;/DisplayText&gt;&lt;record&gt;&lt;rec-number&gt;505&lt;/rec-number&gt;&lt;foreign-keys&gt;&lt;key app="EN" db-id="eseee05sfe5vt6efvr0xapvq20vfdsfp5fvf" timestamp="1719884725"&gt;505&lt;/key&gt;&lt;/foreign-keys&gt;&lt;ref-type name="Report"&gt;27&lt;/ref-type&gt;&lt;contributors&gt;&lt;authors&gt;&lt;author&gt;Holcombe, S&lt;/author&gt;&lt;author&gt;HAUGEN, KM&lt;/author&gt;&lt;author&gt;Kvalem, J&lt;/author&gt;&lt;author&gt;Andersson, V&lt;/author&gt;&lt;author&gt;HANSEN, JH&lt;/author&gt;&lt;author&gt;KLEEMANN, HJ&lt;/author&gt;&lt;author&gt;Reistad, O&lt;/author&gt;&lt;/authors&gt;&lt;/contributors&gt;&lt;titles&gt;&lt;title&gt;Nuclear Fuel and Materials Research, Experimental Capabilities, and Continuation of the Halden Reactor Project After the Permanent Shutdown of the Halden Reactor&lt;/title&gt;&lt;/titles&gt;&lt;dates&gt;&lt;year&gt;2018&lt;/year&gt;&lt;pub-dates&gt;&lt;date&gt;Sept&lt;/date&gt;&lt;/pub-dates&gt;&lt;/dates&gt;&lt;urls&gt;&lt;/urls&gt;&lt;/record&gt;&lt;/Cite&gt;&lt;/EndNote&gt;</w:instrText>
      </w:r>
      <w:r w:rsidR="00283CAB">
        <w:fldChar w:fldCharType="separate"/>
      </w:r>
      <w:r w:rsidR="003026BC">
        <w:rPr>
          <w:noProof/>
        </w:rPr>
        <w:t>[124]</w:t>
      </w:r>
      <w:r w:rsidR="00283CAB">
        <w:fldChar w:fldCharType="end"/>
      </w:r>
      <w:r>
        <w:t>.</w:t>
      </w:r>
      <w:r w:rsidR="00283CAB">
        <w:t xml:space="preserve"> </w:t>
      </w:r>
      <w:r>
        <w:t xml:space="preserve"> </w:t>
      </w:r>
      <w:r w:rsidR="0070441C">
        <w:t>The reactor supported up to 30 simultaneous experiments and could</w:t>
      </w:r>
      <w:r w:rsidR="00283CAB">
        <w:t xml:space="preserve"> inspect the performance of fuel </w:t>
      </w:r>
      <w:r w:rsidR="00283CAB">
        <w:lastRenderedPageBreak/>
        <w:t>under nominal and transient operation as well as during anticipated operational occurrences</w:t>
      </w:r>
      <w:r w:rsidR="0070441C">
        <w:t xml:space="preserve"> </w:t>
      </w:r>
      <w:r w:rsidR="0070441C">
        <w:fldChar w:fldCharType="begin"/>
      </w:r>
      <w:r w:rsidR="003026BC">
        <w:instrText xml:space="preserve"> ADDIN EN.CITE &lt;EndNote&gt;&lt;Cite&gt;&lt;Author&gt;McGrath&lt;/Author&gt;&lt;Year&gt;2011&lt;/Year&gt;&lt;RecNum&gt;503&lt;/RecNum&gt;&lt;DisplayText&gt;[125]&lt;/DisplayText&gt;&lt;record&gt;&lt;rec-number&gt;503&lt;/rec-number&gt;&lt;foreign-keys&gt;&lt;key app="EN" db-id="eseee05sfe5vt6efvr0xapvq20vfdsfp5fvf" timestamp="1719884621"&gt;503&lt;/key&gt;&lt;/foreign-keys&gt;&lt;ref-type name="Report"&gt;27&lt;/ref-type&gt;&lt;contributors&gt;&lt;authors&gt;&lt;author&gt;McGrath, M. A.&lt;/author&gt;&lt;author&gt;Volkov, B.&lt;/author&gt;&lt;/authors&gt;&lt;/contributors&gt;&lt;titles&gt;&lt;title&gt;Role of Halden Reactor Project for world-wide nuclear energy development&lt;/title&gt;&lt;alt-title&gt;[]&lt;/alt-title&gt;&lt;/titles&gt;&lt;keywords&gt;&lt;keyword&gt;&amp;quot;21 SPECIFIC NUCLEAR REACTORS AND ASSOCIATED PLANTS&amp;quot;&lt;/keyword&gt;&lt;keyword&gt;&amp;quot;GLOBAL ASPECTS&amp;quot;&lt;/keyword&gt;&lt;keyword&gt;&amp;quot;ECONOMICS&amp;quot;&lt;/keyword&gt;&lt;keyword&gt;&amp;quot;NUCLEAR POWER PLANTS&amp;quot;&lt;/keyword&gt;&lt;keyword&gt;&amp;quot;REACTOR OPERATION&amp;quot;&lt;/keyword&gt;&lt;keyword&gt;&amp;quot;GOVERNMENT POLICIES&amp;quot;&lt;/keyword&gt;&lt;keyword&gt;&amp;quot;ENERGY POLICY&amp;quot;&lt;/keyword&gt;&lt;keyword&gt;&amp;quot;WASTE MANAGEMENT&amp;quot;&lt;/keyword&gt;&lt;keyword&gt;&amp;quot;REACTOR SAFETY&amp;quot;&lt;/keyword&gt;&lt;/keywords&gt;&lt;dates&gt;&lt;year&gt;2011&lt;/year&gt;&lt;pub-dates&gt;&lt;date&gt;2011-07-01&lt;/date&gt;&lt;/pub-dates&gt;&lt;/dates&gt;&lt;pub-location&gt;Norway&lt;/pub-location&gt;&lt;urls&gt;&lt;related-urls&gt;&lt;url&gt;https://www.osti.gov/etdeweb/servlets/purl/22001932&lt;/url&gt;&lt;/related-urls&gt;&lt;/urls&gt;&lt;custom1&gt;Institutt for Energiteknikk, Halden (Norway)&lt;/custom1&gt;&lt;custom3&gt;IFE/HR/E-11/004&lt;/custom3&gt;&lt;custom5&gt;Commercial reproduction prohibited. Available from ETDE as OSTI ID: 22001932; Also available directly at: http://www.ife.no/en/publications/2011/nusp/role-of-halden-reactor-project-for-world-wide-nuclear-energy-development/at_download/Attachmentfile&lt;/custom5&gt;&lt;electronic-resource-num&gt;https://doi.org/&amp;#xD;Conference: 6. international research-to-practice conference &amp;apos;Topical issues of uranium industry&amp;apos;, Almaty (Kazakstan (Kazakhstan)), 15-16 Sep 2010&lt;/electronic-resource-num&gt;&lt;language&gt;English&lt;/language&gt;&lt;/record&gt;&lt;/Cite&gt;&lt;/EndNote&gt;</w:instrText>
      </w:r>
      <w:r w:rsidR="0070441C">
        <w:fldChar w:fldCharType="separate"/>
      </w:r>
      <w:r w:rsidR="003026BC">
        <w:rPr>
          <w:noProof/>
        </w:rPr>
        <w:t>[125]</w:t>
      </w:r>
      <w:r w:rsidR="0070441C">
        <w:fldChar w:fldCharType="end"/>
      </w:r>
      <w:r w:rsidR="00283CAB">
        <w:t>.</w:t>
      </w:r>
      <w:r w:rsidR="0070441C">
        <w:t xml:space="preserve"> The primary research goals of Halden were to inspect the operational performance of LWR fuel, focusing primarily on UO</w:t>
      </w:r>
      <w:r w:rsidR="0070441C">
        <w:rPr>
          <w:vertAlign w:val="subscript"/>
        </w:rPr>
        <w:t>2</w:t>
      </w:r>
      <w:r w:rsidR="0070441C">
        <w:t xml:space="preserve"> fuel and Zr alloy cladding to support licensing of new fuels and the development of fuel performance codes</w:t>
      </w:r>
      <w:r w:rsidR="00193D66">
        <w:t xml:space="preserve"> </w:t>
      </w:r>
      <w:r w:rsidR="00193D66">
        <w:fldChar w:fldCharType="begin"/>
      </w:r>
      <w:r w:rsidR="003026BC">
        <w:instrText xml:space="preserve"> ADDIN EN.CITE &lt;EndNote&gt;&lt;Cite&gt;&lt;Author&gt;McGrath&lt;/Author&gt;&lt;Year&gt;2011&lt;/Year&gt;&lt;RecNum&gt;503&lt;/RecNum&gt;&lt;DisplayText&gt;[125]&lt;/DisplayText&gt;&lt;record&gt;&lt;rec-number&gt;503&lt;/rec-number&gt;&lt;foreign-keys&gt;&lt;key app="EN" db-id="eseee05sfe5vt6efvr0xapvq20vfdsfp5fvf" timestamp="1719884621"&gt;503&lt;/key&gt;&lt;/foreign-keys&gt;&lt;ref-type name="Report"&gt;27&lt;/ref-type&gt;&lt;contributors&gt;&lt;authors&gt;&lt;author&gt;McGrath, M. A.&lt;/author&gt;&lt;author&gt;Volkov, B.&lt;/author&gt;&lt;/authors&gt;&lt;/contributors&gt;&lt;titles&gt;&lt;title&gt;Role of Halden Reactor Project for world-wide nuclear energy development&lt;/title&gt;&lt;alt-title&gt;[]&lt;/alt-title&gt;&lt;/titles&gt;&lt;keywords&gt;&lt;keyword&gt;&amp;quot;21 SPECIFIC NUCLEAR REACTORS AND ASSOCIATED PLANTS&amp;quot;&lt;/keyword&gt;&lt;keyword&gt;&amp;quot;GLOBAL ASPECTS&amp;quot;&lt;/keyword&gt;&lt;keyword&gt;&amp;quot;ECONOMICS&amp;quot;&lt;/keyword&gt;&lt;keyword&gt;&amp;quot;NUCLEAR POWER PLANTS&amp;quot;&lt;/keyword&gt;&lt;keyword&gt;&amp;quot;REACTOR OPERATION&amp;quot;&lt;/keyword&gt;&lt;keyword&gt;&amp;quot;GOVERNMENT POLICIES&amp;quot;&lt;/keyword&gt;&lt;keyword&gt;&amp;quot;ENERGY POLICY&amp;quot;&lt;/keyword&gt;&lt;keyword&gt;&amp;quot;WASTE MANAGEMENT&amp;quot;&lt;/keyword&gt;&lt;keyword&gt;&amp;quot;REACTOR SAFETY&amp;quot;&lt;/keyword&gt;&lt;/keywords&gt;&lt;dates&gt;&lt;year&gt;2011&lt;/year&gt;&lt;pub-dates&gt;&lt;date&gt;2011-07-01&lt;/date&gt;&lt;/pub-dates&gt;&lt;/dates&gt;&lt;pub-location&gt;Norway&lt;/pub-location&gt;&lt;urls&gt;&lt;related-urls&gt;&lt;url&gt;https://www.osti.gov/etdeweb/servlets/purl/22001932&lt;/url&gt;&lt;/related-urls&gt;&lt;/urls&gt;&lt;custom1&gt;Institutt for Energiteknikk, Halden (Norway)&lt;/custom1&gt;&lt;custom3&gt;IFE/HR/E-11/004&lt;/custom3&gt;&lt;custom5&gt;Commercial reproduction prohibited. Available from ETDE as OSTI ID: 22001932; Also available directly at: http://www.ife.no/en/publications/2011/nusp/role-of-halden-reactor-project-for-world-wide-nuclear-energy-development/at_download/Attachmentfile&lt;/custom5&gt;&lt;electronic-resource-num&gt;https://doi.org/&amp;#xD;Conference: 6. international research-to-practice conference &amp;apos;Topical issues of uranium industry&amp;apos;, Almaty (Kazakstan (Kazakhstan)), 15-16 Sep 2010&lt;/electronic-resource-num&gt;&lt;language&gt;English&lt;/language&gt;&lt;/record&gt;&lt;/Cite&gt;&lt;/EndNote&gt;</w:instrText>
      </w:r>
      <w:r w:rsidR="00193D66">
        <w:fldChar w:fldCharType="separate"/>
      </w:r>
      <w:r w:rsidR="003026BC">
        <w:rPr>
          <w:noProof/>
        </w:rPr>
        <w:t>[125]</w:t>
      </w:r>
      <w:r w:rsidR="00193D66">
        <w:fldChar w:fldCharType="end"/>
      </w:r>
      <w:r w:rsidR="0070441C">
        <w:t xml:space="preserve">. </w:t>
      </w:r>
    </w:p>
    <w:p w14:paraId="178C3C7A" w14:textId="59A70D80" w:rsidR="005919BC" w:rsidRDefault="007A1C7D" w:rsidP="00F22A75">
      <w:r>
        <w:t>Several campaigns were performed inspecting effects of high burnup</w:t>
      </w:r>
      <w:r w:rsidR="00B15D4A">
        <w:t xml:space="preserve"> in UO</w:t>
      </w:r>
      <w:r w:rsidR="00B15D4A">
        <w:rPr>
          <w:vertAlign w:val="subscript"/>
        </w:rPr>
        <w:t>2</w:t>
      </w:r>
      <w:r>
        <w:t xml:space="preserve"> including restructuring microstructure in the rim region, degradation of thermal conductivity, and fission gas release</w:t>
      </w:r>
      <w:r w:rsidR="00C12820">
        <w:t xml:space="preserve"> </w:t>
      </w:r>
      <w:r w:rsidR="00C12820">
        <w:fldChar w:fldCharType="begin">
          <w:fldData xml:space="preserve">PEVuZE5vdGU+PENpdGU+PEF1dGhvcj5WaXRhbnphPC9BdXRob3I+PFllYXI+MTk5ODwvWWVhcj48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</w:fldData>
        </w:fldChar>
      </w:r>
      <w:r w:rsidR="003026BC">
        <w:instrText xml:space="preserve"> ADDIN EN.CITE </w:instrText>
      </w:r>
      <w:r w:rsidR="003026BC">
        <w:fldChar w:fldCharType="begin">
          <w:fldData xml:space="preserve">PEVuZE5vdGU+PENpdGU+PEF1dGhvcj5WaXRhbnphPC9BdXRob3I+PFllYXI+MTk5ODwvWWVhcj48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</w:fldData>
        </w:fldChar>
      </w:r>
      <w:r w:rsidR="003026BC">
        <w:instrText xml:space="preserve"> ADDIN EN.CITE.DATA </w:instrText>
      </w:r>
      <w:r w:rsidR="003026BC">
        <w:fldChar w:fldCharType="end"/>
      </w:r>
      <w:r w:rsidR="00C12820">
        <w:fldChar w:fldCharType="separate"/>
      </w:r>
      <w:r w:rsidR="003026BC">
        <w:rPr>
          <w:noProof/>
        </w:rPr>
        <w:t>[126-128]</w:t>
      </w:r>
      <w:r w:rsidR="00C12820">
        <w:fldChar w:fldCharType="end"/>
      </w:r>
      <w:r>
        <w:t>.</w:t>
      </w:r>
      <w:r w:rsidR="00DF6481">
        <w:t xml:space="preserve"> As these effects are all sensitive to temperature</w:t>
      </w:r>
      <w:r w:rsidR="00270F40">
        <w:t xml:space="preserve"> and temperature gradients</w:t>
      </w:r>
      <w:r w:rsidR="00DF6481">
        <w:t>,</w:t>
      </w:r>
      <w:r w:rsidR="00270F40">
        <w:t xml:space="preserve"> a separate effects capability was established to </w:t>
      </w:r>
      <w:r w:rsidR="00E52438">
        <w:t>provide isothermal irradiation samples with a uniform radial temperature profile. Th</w:t>
      </w:r>
      <w:r w:rsidR="00FF2210">
        <w:t xml:space="preserve">is was done by developing rodlets that change the design of the pellet stack found in traditional LWR fuel. Rather than a stack of full-sized fuel pellets, </w:t>
      </w:r>
      <w:r w:rsidR="00E31871">
        <w:t>thin fuel disks were individually sandwiched between two disks of molybdenum (Mo). The thin fuel disk design minimized temperature gradients in the axial and radial direction and the Mo spacer disks acted as additional heat sinks for the fuel in the axial direction.</w:t>
      </w:r>
      <w:r w:rsidR="00257B2C">
        <w:t xml:space="preserve"> Specific irradiation temperatures were achieved by adjusting the Mo thickness and varying the fill gas composition within the rod between pure He and pure Ar.</w:t>
      </w:r>
    </w:p>
    <w:p w14:paraId="4F38BDD1" w14:textId="12FC0AEA" w:rsidR="005C2BB1" w:rsidRDefault="005C2BB1" w:rsidP="00F22A75">
      <w:r w:rsidRPr="0074556C">
        <w:t xml:space="preserve">The Halden reactor, which served as an irradiation effects test bed for </w:t>
      </w:r>
      <w:r>
        <w:t xml:space="preserve">LWR </w:t>
      </w:r>
      <w:r w:rsidRPr="0074556C">
        <w:t>fuels, cease</w:t>
      </w:r>
      <w:r>
        <w:t>d</w:t>
      </w:r>
      <w:r w:rsidRPr="0074556C">
        <w:t xml:space="preserve"> operation in 2018 </w:t>
      </w:r>
      <w:r w:rsidRPr="0074556C">
        <w:fldChar w:fldCharType="begin">
          <w:fldData xml:space="preserve">PEVuZE5vdGU+PENpdGU+PEF1dGhvcj5Ib2xjb21iZTwvQXV0aG9yPjxZZWFyPjIwMTg8L1llYXI+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</w:fldData>
        </w:fldChar>
      </w:r>
      <w:r w:rsidR="003026BC">
        <w:instrText xml:space="preserve"> ADDIN EN.CITE </w:instrText>
      </w:r>
      <w:r w:rsidR="003026BC">
        <w:fldChar w:fldCharType="begin">
          <w:fldData xml:space="preserve">PEVuZE5vdGU+PENpdGU+PEF1dGhvcj5Ib2xjb21iZTwvQXV0aG9yPjxZZWFyPjIwMTg8L1llYXI+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</w:fldData>
        </w:fldChar>
      </w:r>
      <w:r w:rsidR="003026BC">
        <w:instrText xml:space="preserve"> ADDIN EN.CITE.DATA </w:instrText>
      </w:r>
      <w:r w:rsidR="003026BC">
        <w:fldChar w:fldCharType="end"/>
      </w:r>
      <w:r w:rsidRPr="0074556C">
        <w:fldChar w:fldCharType="separate"/>
      </w:r>
      <w:r w:rsidR="003026BC">
        <w:rPr>
          <w:noProof/>
        </w:rPr>
        <w:t>[124, 125, 129]</w:t>
      </w:r>
      <w:r w:rsidRPr="0074556C">
        <w:fldChar w:fldCharType="end"/>
      </w:r>
      <w:r w:rsidRPr="0074556C">
        <w:t xml:space="preserve">. As historic integral test facilities continue to shut down, there is a rising need to bolster irradiation testing capabilities </w:t>
      </w:r>
      <w:r w:rsidRPr="0074556C">
        <w:fldChar w:fldCharType="begin"/>
      </w:r>
      <w:r w:rsidR="003026BC">
        <w:instrText xml:space="preserve"> ADDIN EN.CITE &lt;EndNote&gt;&lt;Cite&gt;&lt;Author&gt;Woolstenhulme&lt;/Author&gt;&lt;Year&gt;2022&lt;/Year&gt;&lt;RecNum&gt;506&lt;/RecNum&gt;&lt;DisplayText&gt;[130]&lt;/DisplayText&gt;&lt;record&gt;&lt;rec-number&gt;506&lt;/rec-number&gt;&lt;foreign-keys&gt;&lt;key app="EN" db-id="eseee05sfe5vt6efvr0xapvq20vfdsfp5fvf" timestamp="1719885232"&gt;506&lt;/key&gt;&lt;/foreign-keys&gt;&lt;ref-type name="Conference Proceedings"&gt;10&lt;/ref-type&gt;&lt;contributors&gt;&lt;authors&gt;&lt;author&gt;Woolstenhulme, Nicolas E.&lt;/author&gt;&lt;author&gt;Durtschi, Brian P.&lt;/author&gt;&lt;author&gt;Folsom, Charles P.&lt;/author&gt;&lt;author&gt;Holcombe, Scott&lt;/author&gt;&lt;author&gt;Jensen, Colby B.&lt;/author&gt;&lt;author&gt;Kamerman, David W.&lt;/author&gt;&lt;author&gt;Labossiere-Hickman, Travis J.&lt;/author&gt;&lt;author&gt;Oldham, Nate&lt;/author&gt;&lt;author&gt;Wachs, Daniel M.&lt;/author&gt;&lt;/authors&gt;&lt;/contributors&gt;&lt;titles&gt;&lt;title&gt;Pellet Cladding Interaction In-Reactor Ramp Testing in a World without the Halden Boiling Water Reactor&lt;/title&gt;&lt;/titles&gt;&lt;keywords&gt;&lt;keyword&gt;11 - NUCLEAR FUEL CYCLE AND FUEL MATERIALS&lt;/keyword&gt;&lt;keyword&gt;PCI&lt;/keyword&gt;&lt;keyword&gt;Ramp Testing&lt;/keyword&gt;&lt;/keywords&gt;&lt;dates&gt;&lt;year&gt;2022&lt;/year&gt;&lt;pub-dates&gt;&lt;date&gt;2022-10-12&lt;/date&gt;&lt;/pub-dates&gt;&lt;/dates&gt;&lt;pub-location&gt;United States&lt;/pub-location&gt;&lt;urls&gt;&lt;related-urls&gt;&lt;url&gt;https://www.osti.gov/biblio/2202389&lt;/url&gt;&lt;url&gt;https://www.osti.gov/servlets/purl/2202389&lt;/url&gt;&lt;/related-urls&gt;&lt;/urls&gt;&lt;custom1&gt;Research Org.: Idaho National Laboratory (INL), Idaho Falls, ID (United States)&lt;/custom1&gt;&lt;custom2&gt;Sponsor Org.: USDOE Office of Nuclear Energy (NE)&lt;/custom2&gt;&lt;custom3&gt;Report Number: INL/CON-22-67371-Rev000&lt;/custom3&gt;&lt;custom4&gt;Contract Number: DE-AC07-05ID14517&lt;/custom4&gt;&lt;electronic-resource-num&gt;Conference: Top Fuel 2022, Raliegh NC, 10/09/2022 - 10/13/2022&lt;/electronic-resource-num&gt;&lt;language&gt;English&lt;/language&gt;&lt;/record&gt;&lt;/Cite&gt;&lt;/EndNote&gt;</w:instrText>
      </w:r>
      <w:r w:rsidRPr="0074556C">
        <w:fldChar w:fldCharType="separate"/>
      </w:r>
      <w:r w:rsidR="003026BC">
        <w:rPr>
          <w:noProof/>
        </w:rPr>
        <w:t>[130]</w:t>
      </w:r>
      <w:r w:rsidRPr="0074556C">
        <w:fldChar w:fldCharType="end"/>
      </w:r>
      <w:r w:rsidRPr="0074556C">
        <w:t xml:space="preserve">. A recent report has proposed using the Advanced Test Reactor to take over some of the Halden reactor’s test capability, but gaps in experimental capabilities still remain </w:t>
      </w:r>
      <w:r w:rsidRPr="0074556C">
        <w:fldChar w:fldCharType="begin"/>
      </w:r>
      <w:r w:rsidR="003026BC">
        <w:instrText xml:space="preserve"> ADDIN EN.CITE &lt;EndNote&gt;&lt;Cite&gt;&lt;Author&gt;Woolstenhulme&lt;/Author&gt;&lt;Year&gt;2022&lt;/Year&gt;&lt;RecNum&gt;506&lt;/RecNum&gt;&lt;DisplayText&gt;[130]&lt;/DisplayText&gt;&lt;record&gt;&lt;rec-number&gt;506&lt;/rec-number&gt;&lt;foreign-keys&gt;&lt;key app="EN" db-id="eseee05sfe5vt6efvr0xapvq20vfdsfp5fvf" timestamp="1719885232"&gt;506&lt;/key&gt;&lt;/foreign-keys&gt;&lt;ref-type name="Conference Proceedings"&gt;10&lt;/ref-type&gt;&lt;contributors&gt;&lt;authors&gt;&lt;author&gt;Woolstenhulme, Nicolas E.&lt;/author&gt;&lt;author&gt;Durtschi, Brian P.&lt;/author&gt;&lt;author&gt;Folsom, Charles P.&lt;/author&gt;&lt;author&gt;Holcombe, Scott&lt;/author&gt;&lt;author&gt;Jensen, Colby B.&lt;/author&gt;&lt;author&gt;Kamerman, David W.&lt;/author&gt;&lt;author&gt;Labossiere-Hickman, Travis J.&lt;/author&gt;&lt;author&gt;Oldham, Nate&lt;/author&gt;&lt;author&gt;Wachs, Daniel M.&lt;/author&gt;&lt;/authors&gt;&lt;/contributors&gt;&lt;titles&gt;&lt;title&gt;Pellet Cladding Interaction In-Reactor Ramp Testing in a World without the Halden Boiling Water Reactor&lt;/title&gt;&lt;/titles&gt;&lt;keywords&gt;&lt;keyword&gt;11 - NUCLEAR FUEL CYCLE AND FUEL MATERIALS&lt;/keyword&gt;&lt;keyword&gt;PCI&lt;/keyword&gt;&lt;keyword&gt;Ramp Testing&lt;/keyword&gt;&lt;/keywords&gt;&lt;dates&gt;&lt;year&gt;2022&lt;/year&gt;&lt;pub-dates&gt;&lt;date&gt;2022-10-12&lt;/date&gt;&lt;/pub-dates&gt;&lt;/dates&gt;&lt;pub-location&gt;United States&lt;/pub-location&gt;&lt;urls&gt;&lt;related-urls&gt;&lt;url&gt;https://www.osti.gov/biblio/2202389&lt;/url&gt;&lt;url&gt;https://www.osti.gov/servlets/purl/2202389&lt;/url&gt;&lt;/related-urls&gt;&lt;/urls&gt;&lt;custom1&gt;Research Org.: Idaho National Laboratory (INL), Idaho Falls, ID (United States)&lt;/custom1&gt;&lt;custom2&gt;Sponsor Org.: USDOE Office of Nuclear Energy (NE)&lt;/custom2&gt;&lt;custom3&gt;Report Number: INL/CON-22-67371-Rev000&lt;/custom3&gt;&lt;custom4&gt;Contract Number: DE-AC07-05ID14517&lt;/custom4&gt;&lt;electronic-resource-num&gt;Conference: Top Fuel 2022, Raliegh NC, 10/09/2022 - 10/13/2022&lt;/electronic-resource-num&gt;&lt;language&gt;English&lt;/language&gt;&lt;/record&gt;&lt;/Cite&gt;&lt;/EndNote&gt;</w:instrText>
      </w:r>
      <w:r w:rsidRPr="0074556C">
        <w:fldChar w:fldCharType="separate"/>
      </w:r>
      <w:r w:rsidR="003026BC">
        <w:rPr>
          <w:noProof/>
        </w:rPr>
        <w:t>[130]</w:t>
      </w:r>
      <w:r w:rsidRPr="0074556C">
        <w:fldChar w:fldCharType="end"/>
      </w:r>
      <w:r w:rsidRPr="0074556C">
        <w:t xml:space="preserve">. </w:t>
      </w:r>
    </w:p>
    <w:p w14:paraId="3FE3E195" w14:textId="1EAEC7D7" w:rsidR="0081725E" w:rsidRDefault="0081725E" w:rsidP="00F22A75">
      <w:pPr>
        <w:pStyle w:val="Heading3"/>
        <w:spacing w:before="0" w:after="0"/>
      </w:pPr>
      <w:bookmarkStart w:id="130" w:name="_Toc202957475"/>
      <w:r>
        <w:lastRenderedPageBreak/>
        <w:t>MiniFuel Irradiation Tests</w:t>
      </w:r>
      <w:bookmarkEnd w:id="130"/>
    </w:p>
    <w:p w14:paraId="432A6DDF" w14:textId="78D1E260" w:rsidR="00EC424C" w:rsidRPr="0074556C" w:rsidRDefault="00EC424C" w:rsidP="00F22A75">
      <w:r w:rsidRPr="0074556C">
        <w:t xml:space="preserve">HFIR is an 85 MWt flux-trap type reactor with an annular core of highly enriched uranium fuel plates surrounding a moderating center region </w:t>
      </w:r>
      <w:r w:rsidRPr="0074556C">
        <w:fldChar w:fldCharType="begin">
          <w:fldData xml:space="preserve">PEVuZE5vdGU+PENpdGU+PEF1dGhvcj5DaGFuZGxlcjwvQXV0aG9yPjxZZWFyPjIwMjA8L1llYXI+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==
</w:fldData>
        </w:fldChar>
      </w:r>
      <w:r w:rsidR="003026BC">
        <w:instrText xml:space="preserve"> ADDIN EN.CITE </w:instrText>
      </w:r>
      <w:r w:rsidR="003026BC">
        <w:fldChar w:fldCharType="begin">
          <w:fldData xml:space="preserve">PEVuZE5vdGU+PENpdGU+PEF1dGhvcj5DaGFuZGxlcjwvQXV0aG9yPjxZZWFyPjIwMjA8L1llYXI+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==
</w:fldData>
        </w:fldChar>
      </w:r>
      <w:r w:rsidR="003026BC">
        <w:instrText xml:space="preserve"> ADDIN EN.CITE.DATA </w:instrText>
      </w:r>
      <w:r w:rsidR="003026BC">
        <w:fldChar w:fldCharType="end"/>
      </w:r>
      <w:r w:rsidRPr="0074556C">
        <w:fldChar w:fldCharType="separate"/>
      </w:r>
      <w:r w:rsidR="003026BC">
        <w:rPr>
          <w:noProof/>
        </w:rPr>
        <w:t>[131, 132]</w:t>
      </w:r>
      <w:r w:rsidRPr="0074556C">
        <w:fldChar w:fldCharType="end"/>
      </w:r>
      <w:r w:rsidRPr="0074556C">
        <w:t>. HFIR’s core is surrounded by beryllium reflectors and a set of inner and outer control plates. MiniFuel experiments are conducted in the small vertical experimental facilities (VXF</w:t>
      </w:r>
      <w:r>
        <w:t>s</w:t>
      </w:r>
      <w:r w:rsidRPr="0074556C">
        <w:t xml:space="preserve">) within the permanent beryllium reflector, and in the removable beryllium (RB) reflector </w:t>
      </w:r>
      <w:r w:rsidRPr="0074556C">
        <w:fldChar w:fldCharType="begin"/>
      </w:r>
      <w:r w:rsidR="003026BC">
        <w:instrText xml:space="preserve"> ADDIN EN.CITE &lt;EndNote&gt;&lt;Cite&gt;&lt;Author&gt;Gorton&lt;/Author&gt;&lt;Year&gt;2024&lt;/Year&gt;&lt;RecNum&gt;507&lt;/RecNum&gt;&lt;DisplayText&gt;[133]&lt;/DisplayText&gt;&lt;record&gt;&lt;rec-number&gt;507&lt;/rec-number&gt;&lt;foreign-keys&gt;&lt;key app="EN" db-id="eseee05sfe5vt6efvr0xapvq20vfdsfp5fvf" timestamp="1721161778"&gt;507&lt;/key&gt;&lt;/foreign-keys&gt;&lt;ref-type name="Journal Article"&gt;17&lt;/ref-type&gt;&lt;contributors&gt;&lt;authors&gt;&lt;author&gt;Gorton, Jacob&lt;/author&gt;&lt;author&gt;Le Coq, Annabelle&lt;/author&gt;&lt;author&gt;Wallen, Zane G.&lt;/author&gt;&lt;author&gt;Petrie, Christian M.&lt;/author&gt;&lt;author&gt;White, Joshua T.&lt;/author&gt;&lt;author&gt;Dunwoody, John T.&lt;/author&gt;&lt;author&gt;Mann, Shane&lt;/author&gt;&lt;author&gt;Capps, Nathan A.&lt;/author&gt;&lt;author&gt;Nelson, Andrew T.&lt;/author&gt;&lt;/authors&gt;&lt;/contributors&gt;&lt;titles&gt;&lt;title&gt;Separate effects irradiation testing targeting fission gas release from Cr-doped UO2&lt;/title&gt;&lt;secondary-title&gt;Nuclear Engineering and Design&lt;/secondary-title&gt;&lt;/titles&gt;&lt;periodical&gt;&lt;full-title&gt;Nuclear Engineering and Design&lt;/full-title&gt;&lt;/periodical&gt;&lt;volume&gt;In Review&lt;/volume&gt;&lt;dates&gt;&lt;year&gt;2024&lt;/year&gt;&lt;/dates&gt;&lt;urls&gt;&lt;/urls&gt;&lt;/record&gt;&lt;/Cite&gt;&lt;/EndNote&gt;</w:instrText>
      </w:r>
      <w:r w:rsidRPr="0074556C">
        <w:fldChar w:fldCharType="separate"/>
      </w:r>
      <w:r w:rsidR="003026BC">
        <w:rPr>
          <w:noProof/>
        </w:rPr>
        <w:t>[133]</w:t>
      </w:r>
      <w:r w:rsidRPr="0074556C">
        <w:fldChar w:fldCharType="end"/>
      </w:r>
      <w:r w:rsidRPr="0074556C">
        <w:t>. The RB and VXF irradiation locations have an average thermal neutron flux of ~</w:t>
      </w:r>
      <w:r w:rsidR="0031654F">
        <w:t>1.3</w:t>
      </w:r>
      <w:r w:rsidRPr="0074556C">
        <w:sym w:font="Symbol" w:char="F0B4"/>
      </w:r>
      <w:r w:rsidRPr="0074556C">
        <w:t>10</w:t>
      </w:r>
      <w:r w:rsidRPr="0074556C">
        <w:rPr>
          <w:vertAlign w:val="superscript"/>
        </w:rPr>
        <w:t>1</w:t>
      </w:r>
      <w:r w:rsidR="0031654F">
        <w:rPr>
          <w:vertAlign w:val="superscript"/>
        </w:rPr>
        <w:t>5</w:t>
      </w:r>
      <w:r w:rsidRPr="0074556C">
        <w:t xml:space="preserve"> n/cm</w:t>
      </w:r>
      <w:r w:rsidRPr="0074556C">
        <w:rPr>
          <w:vertAlign w:val="superscript"/>
        </w:rPr>
        <w:t>2</w:t>
      </w:r>
      <w:r>
        <w:t>/</w:t>
      </w:r>
      <w:r w:rsidRPr="0074556C">
        <w:t>s and ~7</w:t>
      </w:r>
      <w:r w:rsidRPr="0074556C">
        <w:sym w:font="Symbol" w:char="F0B4"/>
      </w:r>
      <w:r w:rsidRPr="0074556C">
        <w:t>10</w:t>
      </w:r>
      <w:r w:rsidRPr="0074556C">
        <w:rPr>
          <w:vertAlign w:val="superscript"/>
        </w:rPr>
        <w:t>1</w:t>
      </w:r>
      <w:r w:rsidR="0031654F">
        <w:rPr>
          <w:vertAlign w:val="superscript"/>
        </w:rPr>
        <w:t>4</w:t>
      </w:r>
      <w:r w:rsidRPr="0074556C">
        <w:t xml:space="preserve"> n/cm</w:t>
      </w:r>
      <w:r w:rsidRPr="0074556C">
        <w:rPr>
          <w:vertAlign w:val="superscript"/>
        </w:rPr>
        <w:t>2</w:t>
      </w:r>
      <w:r>
        <w:t>/</w:t>
      </w:r>
      <w:r w:rsidRPr="0074556C">
        <w:t xml:space="preserve">s, respectively, and provide higher fission rates as compared to typical </w:t>
      </w:r>
      <w:r>
        <w:t>pressurized water reactor</w:t>
      </w:r>
      <w:r w:rsidRPr="0074556C">
        <w:t xml:space="preserve"> thermal neutron fluxes of ~1</w:t>
      </w:r>
      <w:r w:rsidRPr="0074556C">
        <w:sym w:font="Symbol" w:char="F0B4"/>
      </w:r>
      <w:r w:rsidRPr="0074556C">
        <w:t>10</w:t>
      </w:r>
      <w:r w:rsidRPr="0074556C">
        <w:rPr>
          <w:vertAlign w:val="superscript"/>
        </w:rPr>
        <w:t>13</w:t>
      </w:r>
      <w:r w:rsidRPr="0074556C">
        <w:t xml:space="preserve"> n/cm</w:t>
      </w:r>
      <w:r w:rsidRPr="0074556C">
        <w:rPr>
          <w:vertAlign w:val="superscript"/>
        </w:rPr>
        <w:t>2</w:t>
      </w:r>
      <w:r>
        <w:t>/</w:t>
      </w:r>
      <w:r w:rsidRPr="0074556C">
        <w:t xml:space="preserve">s </w:t>
      </w:r>
      <w:r w:rsidRPr="0074556C">
        <w:fldChar w:fldCharType="begin"/>
      </w:r>
      <w:r>
        <w:instrText xml:space="preserve"> ADDIN EN.CITE &lt;EndNote&gt;&lt;Cite&gt;&lt;Author&gt;Petrie&lt;/Author&gt;&lt;Year&gt;2019&lt;/Year&gt;&lt;RecNum&gt;330&lt;/RecNum&gt;&lt;DisplayText&gt;[22]&lt;/DisplayText&gt;&lt;record&gt;&lt;rec-number&gt;330&lt;/rec-number&gt;&lt;foreign-keys&gt;&lt;key app="EN" db-id="eseee05sfe5vt6efvr0xapvq20vfdsfp5fvf" timestamp="1694799017" guid="87a38962-dc46-43d3-b93c-17a925259823"&gt;330&lt;/key&gt;&lt;/foreign-keys&gt;&lt;ref-type name="Journal Article"&gt;17&lt;/ref-type&gt;&lt;contributors&gt;&lt;authors&gt;&lt;author&gt;Petrie, Christian M.&lt;/author&gt;&lt;author&gt;Burns, Joseph R.&lt;/author&gt;&lt;author&gt;Raftery, Alicia M.&lt;/author&gt;&lt;author&gt;Nelson, Andrew T.&lt;/author&gt;&lt;author&gt;Terrani, Kurt A.&lt;/author&gt;&lt;/authors&gt;&lt;/contributors&gt;&lt;titles&gt;&lt;title&gt;Separate effects irradiation testing of miniature fuel specimens&lt;/title&gt;&lt;secondary-title&gt;Journal of Nuclear Materials&lt;/secondary-title&gt;&lt;/titles&gt;&lt;periodical&gt;&lt;full-title&gt;Journal of Nuclear Materials&lt;/full-title&gt;&lt;/periodical&gt;&lt;pages&gt;151783&lt;/pages&gt;&lt;volume&gt;526&lt;/volume&gt;&lt;keywords&gt;&lt;keyword&gt;Fuel&lt;/keyword&gt;&lt;keyword&gt;Irradiation&lt;/keyword&gt;&lt;keyword&gt;Separate effects&lt;/keyword&gt;&lt;keyword&gt;Burnup&lt;/keyword&gt;&lt;/keywords&gt;&lt;dates&gt;&lt;year&gt;2019&lt;/year&gt;&lt;pub-dates&gt;&lt;date&gt;2019/12/01/&lt;/date&gt;&lt;/pub-dates&gt;&lt;/dates&gt;&lt;isbn&gt;0022-3115&lt;/isbn&gt;&lt;urls&gt;&lt;related-urls&gt;&lt;url&gt;https://www.sciencedirect.com/science/article/pii/S0022311519304155&lt;/url&gt;&lt;/related-urls&gt;&lt;/urls&gt;&lt;electronic-resource-num&gt;https://doi.org/10.1016/j.jnucmat.2019.151783&lt;/electronic-resource-num&gt;&lt;/record&gt;&lt;/Cite&gt;&lt;/EndNote&gt;</w:instrText>
      </w:r>
      <w:r w:rsidRPr="0074556C">
        <w:fldChar w:fldCharType="separate"/>
      </w:r>
      <w:r>
        <w:rPr>
          <w:noProof/>
        </w:rPr>
        <w:t>[22]</w:t>
      </w:r>
      <w:r w:rsidRPr="0074556C">
        <w:fldChar w:fldCharType="end"/>
      </w:r>
      <w:r w:rsidRPr="0074556C">
        <w:t xml:space="preserve">. </w:t>
      </w:r>
    </w:p>
    <w:p w14:paraId="4DC1E898" w14:textId="3D5430E1" w:rsidR="003F463F" w:rsidRDefault="007C3E4D" w:rsidP="00F22A75">
      <w:r>
        <w:t>MiniFuel is a high-throughput separate effects test platform for nuclear fuels developed at</w:t>
      </w:r>
      <w:r w:rsidR="00C7108D">
        <w:t xml:space="preserve"> </w:t>
      </w:r>
      <w:r>
        <w:t xml:space="preserve">ORNL for use in HFIR to facilitate accelerated irradiation and time to data collection </w:t>
      </w:r>
      <w:r>
        <w:fldChar w:fldCharType="begin"/>
      </w:r>
      <w:r>
        <w:instrText xml:space="preserve"> ADDIN EN.CITE &lt;EndNote&gt;&lt;Cite&gt;&lt;Author&gt;Petrie&lt;/Author&gt;&lt;Year&gt;2019&lt;/Year&gt;&lt;RecNum&gt;330&lt;/RecNum&gt;&lt;DisplayText&gt;[22]&lt;/DisplayText&gt;&lt;record&gt;&lt;rec-number&gt;330&lt;/rec-number&gt;&lt;foreign-keys&gt;&lt;key app="EN" db-id="eseee05sfe5vt6efvr0xapvq20vfdsfp5fvf" timestamp="1694799017" guid="87a38962-dc46-43d3-b93c-17a925259823"&gt;330&lt;/key&gt;&lt;/foreign-keys&gt;&lt;ref-type name="Journal Article"&gt;17&lt;/ref-type&gt;&lt;contributors&gt;&lt;authors&gt;&lt;author&gt;Petrie, Christian M.&lt;/author&gt;&lt;author&gt;Burns, Joseph R.&lt;/author&gt;&lt;author&gt;Raftery, Alicia M.&lt;/author&gt;&lt;author&gt;Nelson, Andrew T.&lt;/author&gt;&lt;author&gt;Terrani, Kurt A.&lt;/author&gt;&lt;/authors&gt;&lt;/contributors&gt;&lt;titles&gt;&lt;title&gt;Separate effects irradiation testing of miniature fuel specimens&lt;/title&gt;&lt;secondary-title&gt;Journal of Nuclear Materials&lt;/secondary-title&gt;&lt;/titles&gt;&lt;periodical&gt;&lt;full-title&gt;Journal of Nuclear Materials&lt;/full-title&gt;&lt;/periodical&gt;&lt;pages&gt;151783&lt;/pages&gt;&lt;volume&gt;526&lt;/volume&gt;&lt;keywords&gt;&lt;keyword&gt;Fuel&lt;/keyword&gt;&lt;keyword&gt;Irradiation&lt;/keyword&gt;&lt;keyword&gt;Separate effects&lt;/keyword&gt;&lt;keyword&gt;Burnup&lt;/keyword&gt;&lt;/keywords&gt;&lt;dates&gt;&lt;year&gt;2019&lt;/year&gt;&lt;pub-dates&gt;&lt;date&gt;2019/12/01/&lt;/date&gt;&lt;/pub-dates&gt;&lt;/dates&gt;&lt;isbn&gt;0022-3115&lt;/isbn&gt;&lt;urls&gt;&lt;related-urls&gt;&lt;url&gt;https://www.sciencedirect.com/science/article/pii/S0022311519304155&lt;/url&gt;&lt;/related-urls&gt;&lt;/urls&gt;&lt;electronic-resource-num&gt;https://doi.org/10.1016/j.jnucmat.2019.151783&lt;/electronic-resource-num&gt;&lt;/record&gt;&lt;/Cite&gt;&lt;/EndNote&gt;</w:instrText>
      </w:r>
      <w:r>
        <w:fldChar w:fldCharType="separate"/>
      </w:r>
      <w:r>
        <w:rPr>
          <w:noProof/>
        </w:rPr>
        <w:t>[22]</w:t>
      </w:r>
      <w:r>
        <w:fldChar w:fldCharType="end"/>
      </w:r>
      <w:r>
        <w:t xml:space="preserve">. </w:t>
      </w:r>
      <w:r w:rsidR="00E14E0E" w:rsidRPr="0074556C">
        <w:t xml:space="preserve">A detailed description of the MiniFuel design for the VXF and RB irradiation positions are given by Petrie et al. </w:t>
      </w:r>
      <w:r w:rsidR="00E14E0E" w:rsidRPr="0074556C">
        <w:fldChar w:fldCharType="begin"/>
      </w:r>
      <w:r w:rsidR="00E14E0E">
        <w:instrText xml:space="preserve"> ADDIN EN.CITE &lt;EndNote&gt;&lt;Cite&gt;&lt;Author&gt;Petrie&lt;/Author&gt;&lt;Year&gt;2019&lt;/Year&gt;&lt;RecNum&gt;330&lt;/RecNum&gt;&lt;DisplayText&gt;[22]&lt;/DisplayText&gt;&lt;record&gt;&lt;rec-number&gt;330&lt;/rec-number&gt;&lt;foreign-keys&gt;&lt;key app="EN" db-id="eseee05sfe5vt6efvr0xapvq20vfdsfp5fvf" timestamp="1694799017" guid="87a38962-dc46-43d3-b93c-17a925259823"&gt;330&lt;/key&gt;&lt;/foreign-keys&gt;&lt;ref-type name="Journal Article"&gt;17&lt;/ref-type&gt;&lt;contributors&gt;&lt;authors&gt;&lt;author&gt;Petrie, Christian M.&lt;/author&gt;&lt;author&gt;Burns, Joseph R.&lt;/author&gt;&lt;author&gt;Raftery, Alicia M.&lt;/author&gt;&lt;author&gt;Nelson, Andrew T.&lt;/author&gt;&lt;author&gt;Terrani, Kurt A.&lt;/author&gt;&lt;/authors&gt;&lt;/contributors&gt;&lt;titles&gt;&lt;title&gt;Separate effects irradiation testing of miniature fuel specimens&lt;/title&gt;&lt;secondary-title&gt;Journal of Nuclear Materials&lt;/secondary-title&gt;&lt;/titles&gt;&lt;periodical&gt;&lt;full-title&gt;Journal of Nuclear Materials&lt;/full-title&gt;&lt;/periodical&gt;&lt;pages&gt;151783&lt;/pages&gt;&lt;volume&gt;526&lt;/volume&gt;&lt;keywords&gt;&lt;keyword&gt;Fuel&lt;/keyword&gt;&lt;keyword&gt;Irradiation&lt;/keyword&gt;&lt;keyword&gt;Separate effects&lt;/keyword&gt;&lt;keyword&gt;Burnup&lt;/keyword&gt;&lt;/keywords&gt;&lt;dates&gt;&lt;year&gt;2019&lt;/year&gt;&lt;pub-dates&gt;&lt;date&gt;2019/12/01/&lt;/date&gt;&lt;/pub-dates&gt;&lt;/dates&gt;&lt;isbn&gt;0022-3115&lt;/isbn&gt;&lt;urls&gt;&lt;related-urls&gt;&lt;url&gt;https://www.sciencedirect.com/science/article/pii/S0022311519304155&lt;/url&gt;&lt;/related-urls&gt;&lt;/urls&gt;&lt;electronic-resource-num&gt;https://doi.org/10.1016/j.jnucmat.2019.151783&lt;/electronic-resource-num&gt;&lt;/record&gt;&lt;/Cite&gt;&lt;/EndNote&gt;</w:instrText>
      </w:r>
      <w:r w:rsidR="00E14E0E" w:rsidRPr="0074556C">
        <w:fldChar w:fldCharType="separate"/>
      </w:r>
      <w:r w:rsidR="00E14E0E">
        <w:rPr>
          <w:noProof/>
        </w:rPr>
        <w:t>[22]</w:t>
      </w:r>
      <w:r w:rsidR="00E14E0E" w:rsidRPr="0074556C">
        <w:fldChar w:fldCharType="end"/>
      </w:r>
      <w:r w:rsidR="00E14E0E" w:rsidRPr="0074556C">
        <w:t xml:space="preserve">, and Gorton et al. </w:t>
      </w:r>
      <w:r w:rsidR="00E14E0E" w:rsidRPr="0074556C">
        <w:fldChar w:fldCharType="begin"/>
      </w:r>
      <w:r w:rsidR="003026BC">
        <w:instrText xml:space="preserve"> ADDIN EN.CITE &lt;EndNote&gt;&lt;Cite&gt;&lt;Author&gt;Gorton&lt;/Author&gt;&lt;Year&gt;2024&lt;/Year&gt;&lt;RecNum&gt;507&lt;/RecNum&gt;&lt;DisplayText&gt;[133]&lt;/DisplayText&gt;&lt;record&gt;&lt;rec-number&gt;507&lt;/rec-number&gt;&lt;foreign-keys&gt;&lt;key app="EN" db-id="eseee05sfe5vt6efvr0xapvq20vfdsfp5fvf" timestamp="1721161778"&gt;507&lt;/key&gt;&lt;/foreign-keys&gt;&lt;ref-type name="Journal Article"&gt;17&lt;/ref-type&gt;&lt;contributors&gt;&lt;authors&gt;&lt;author&gt;Gorton, Jacob&lt;/author&gt;&lt;author&gt;Le Coq, Annabelle&lt;/author&gt;&lt;author&gt;Wallen, Zane G.&lt;/author&gt;&lt;author&gt;Petrie, Christian M.&lt;/author&gt;&lt;author&gt;White, Joshua T.&lt;/author&gt;&lt;author&gt;Dunwoody, John T.&lt;/author&gt;&lt;author&gt;Mann, Shane&lt;/author&gt;&lt;author&gt;Capps, Nathan A.&lt;/author&gt;&lt;author&gt;Nelson, Andrew T.&lt;/author&gt;&lt;/authors&gt;&lt;/contributors&gt;&lt;titles&gt;&lt;title&gt;Separate effects irradiation testing targeting fission gas release from Cr-doped UO2&lt;/title&gt;&lt;secondary-title&gt;Nuclear Engineering and Design&lt;/secondary-title&gt;&lt;/titles&gt;&lt;periodical&gt;&lt;full-title&gt;Nuclear Engineering and Design&lt;/full-title&gt;&lt;/periodical&gt;&lt;volume&gt;In Review&lt;/volume&gt;&lt;dates&gt;&lt;year&gt;2024&lt;/year&gt;&lt;/dates&gt;&lt;urls&gt;&lt;/urls&gt;&lt;/record&gt;&lt;/Cite&gt;&lt;/EndNote&gt;</w:instrText>
      </w:r>
      <w:r w:rsidR="00E14E0E" w:rsidRPr="0074556C">
        <w:fldChar w:fldCharType="separate"/>
      </w:r>
      <w:r w:rsidR="003026BC">
        <w:rPr>
          <w:noProof/>
        </w:rPr>
        <w:t>[133]</w:t>
      </w:r>
      <w:r w:rsidR="00E14E0E" w:rsidRPr="0074556C">
        <w:fldChar w:fldCharType="end"/>
      </w:r>
      <w:r w:rsidR="00E14E0E" w:rsidRPr="0074556C">
        <w:t xml:space="preserve">, respectively. In summary, </w:t>
      </w:r>
      <w:r w:rsidR="00E14E0E">
        <w:t>a set of</w:t>
      </w:r>
      <w:r w:rsidR="00E14E0E" w:rsidRPr="0074556C">
        <w:t xml:space="preserve"> subcapsules each contain miniature fuel specimen</w:t>
      </w:r>
      <w:r w:rsidR="00C04323">
        <w:t>(</w:t>
      </w:r>
      <w:r w:rsidR="00E14E0E" w:rsidRPr="0074556C">
        <w:t>s</w:t>
      </w:r>
      <w:r w:rsidR="00C04323">
        <w:t>)</w:t>
      </w:r>
      <w:r w:rsidR="00E14E0E" w:rsidRPr="0074556C">
        <w:t xml:space="preserve"> that sit on a chemically inert </w:t>
      </w:r>
      <w:r w:rsidR="00C04323">
        <w:t>dish</w:t>
      </w:r>
      <w:r w:rsidR="00E14E0E" w:rsidRPr="0074556C">
        <w:t xml:space="preserve">. A heater tube is placed on top of the </w:t>
      </w:r>
      <w:r w:rsidR="00C04323">
        <w:t>dish</w:t>
      </w:r>
      <w:r w:rsidR="00E14E0E" w:rsidRPr="0074556C">
        <w:t xml:space="preserve"> </w:t>
      </w:r>
      <w:r w:rsidR="00C04323">
        <w:t>which</w:t>
      </w:r>
      <w:r w:rsidR="00E14E0E" w:rsidRPr="0074556C">
        <w:t xml:space="preserve"> </w:t>
      </w:r>
      <w:r w:rsidR="00C04323">
        <w:t>generates</w:t>
      </w:r>
      <w:r w:rsidR="00E14E0E" w:rsidRPr="0074556C">
        <w:t xml:space="preserve"> the majority of the </w:t>
      </w:r>
      <w:r w:rsidR="00D41371">
        <w:t>sub</w:t>
      </w:r>
      <w:r w:rsidR="00E14E0E" w:rsidRPr="0074556C">
        <w:t xml:space="preserve">capsule heating via gamma interactions. The subcapsules contain a SiC thermometry rod for passive temperature measurements that are determined during PIE </w:t>
      </w:r>
      <w:r w:rsidR="00E14E0E" w:rsidRPr="0074556C">
        <w:fldChar w:fldCharType="begin"/>
      </w:r>
      <w:r w:rsidR="003026BC">
        <w:instrText xml:space="preserve"> ADDIN EN.CITE &lt;EndNote&gt;&lt;Cite&gt;&lt;Author&gt;Field&lt;/Author&gt;&lt;Year&gt;2019&lt;/Year&gt;&lt;RecNum&gt;426&lt;/RecNum&gt;&lt;DisplayText&gt;[134]&lt;/DisplayText&gt;&lt;record&gt;&lt;rec-number&gt;426&lt;/rec-number&gt;&lt;foreign-keys&gt;&lt;key app="EN" db-id="eseee05sfe5vt6efvr0xapvq20vfdsfp5fvf" timestamp="1710043936"&gt;426&lt;/key&gt;&lt;/foreign-keys&gt;&lt;ref-type name="Journal Article"&gt;17&lt;/ref-type&gt;&lt;contributors&gt;&lt;authors&gt;&lt;author&gt;Field, Kevin G.&lt;/author&gt;&lt;author&gt;McDuffee, Joel L.&lt;/author&gt;&lt;author&gt;Geringer, Josina W.&lt;/author&gt;&lt;author&gt;Petrie, Christian M.&lt;/author&gt;&lt;author&gt;Katoh, Yutai&lt;/author&gt;&lt;/authors&gt;&lt;/contributors&gt;&lt;titles&gt;&lt;title&gt;Evaluation of the continuous dilatometer method of silicon carbide thermometry for passive irradiation temperature determination&lt;/title&gt;&lt;secondary-title&gt;Nuclear Instruments and Methods in Physics Research Section B: Beam Interactions with Materials and Atoms&lt;/secondary-title&gt;&lt;/titles&gt;&lt;periodical&gt;&lt;full-title&gt;Nuclear Instruments and Methods in Physics Research Section B: Beam Interactions with Materials and Atoms&lt;/full-title&gt;&lt;/periodical&gt;&lt;pages&gt;46-56&lt;/pages&gt;&lt;volume&gt;445&lt;/volume&gt;&lt;keywords&gt;&lt;keyword&gt;Silicon carbide (SiC)&lt;/keyword&gt;&lt;keyword&gt;Passive irradiation temperature monitor&lt;/keyword&gt;&lt;keyword&gt;Dilatometry&lt;/keyword&gt;&lt;keyword&gt;Annealing&lt;/keyword&gt;&lt;/keywords&gt;&lt;dates&gt;&lt;year&gt;2019&lt;/year&gt;&lt;pub-dates&gt;&lt;date&gt;2019/04/15/&lt;/date&gt;&lt;/pub-dates&gt;&lt;/dates&gt;&lt;isbn&gt;0168-583X&lt;/isbn&gt;&lt;urls&gt;&lt;related-urls&gt;&lt;url&gt;https://www.sciencedirect.com/science/article/pii/S0168583X19301016&lt;/url&gt;&lt;/related-urls&gt;&lt;/urls&gt;&lt;electronic-resource-num&gt;https://doi.org/10.1016/j.nimb.2019.02.022&lt;/electronic-resource-num&gt;&lt;/record&gt;&lt;/Cite&gt;&lt;/EndNote&gt;</w:instrText>
      </w:r>
      <w:r w:rsidR="00E14E0E" w:rsidRPr="0074556C">
        <w:fldChar w:fldCharType="separate"/>
      </w:r>
      <w:r w:rsidR="003026BC">
        <w:rPr>
          <w:noProof/>
        </w:rPr>
        <w:t>[134]</w:t>
      </w:r>
      <w:r w:rsidR="00E14E0E" w:rsidRPr="0074556C">
        <w:fldChar w:fldCharType="end"/>
      </w:r>
      <w:r w:rsidR="00E14E0E" w:rsidRPr="0074556C">
        <w:t xml:space="preserve">. Grafoil insulator disks are used to ensure </w:t>
      </w:r>
      <w:r w:rsidR="00E14E0E">
        <w:t xml:space="preserve">that </w:t>
      </w:r>
      <w:r w:rsidR="00E14E0E" w:rsidRPr="0074556C">
        <w:t xml:space="preserve">the heater tube does not move. The subcapsules are filled with </w:t>
      </w:r>
      <w:r w:rsidR="00E14E0E">
        <w:t>helium</w:t>
      </w:r>
      <w:r w:rsidR="00E14E0E" w:rsidRPr="0074556C">
        <w:t xml:space="preserve"> gas</w:t>
      </w:r>
      <w:r w:rsidR="00E14E0E">
        <w:t>,</w:t>
      </w:r>
      <w:r w:rsidR="00E14E0E" w:rsidRPr="0074556C">
        <w:t xml:space="preserve"> and an endcap is welded to the top of the </w:t>
      </w:r>
      <w:r w:rsidR="00D41371">
        <w:t>sub</w:t>
      </w:r>
      <w:r w:rsidR="00E14E0E" w:rsidRPr="0074556C">
        <w:t xml:space="preserve">capsule to ensure hermiticity throughout irradiation. The subcapsules are fit within </w:t>
      </w:r>
      <w:r w:rsidR="0029623D">
        <w:t>a</w:t>
      </w:r>
      <w:r w:rsidR="00E14E0E" w:rsidRPr="0074556C">
        <w:t xml:space="preserve"> target</w:t>
      </w:r>
      <w:r w:rsidR="0029623D">
        <w:t xml:space="preserve"> housing</w:t>
      </w:r>
      <w:r w:rsidR="00E14E0E" w:rsidRPr="0074556C">
        <w:t xml:space="preserve"> using centering thimbles and springs on each end</w:t>
      </w:r>
      <w:r w:rsidR="00EE5D78">
        <w:t>. T</w:t>
      </w:r>
      <w:r w:rsidR="00C04323">
        <w:t xml:space="preserve">he target </w:t>
      </w:r>
      <w:r w:rsidR="00EE5D78">
        <w:t xml:space="preserve">housing </w:t>
      </w:r>
      <w:r w:rsidR="00C04323">
        <w:t xml:space="preserve">is </w:t>
      </w:r>
      <w:r w:rsidR="00C04323">
        <w:lastRenderedPageBreak/>
        <w:t>filled with a gas composition which can vary from pure He to pure Ar</w:t>
      </w:r>
      <w:r w:rsidR="00EE5D78">
        <w:t xml:space="preserve"> and sealed</w:t>
      </w:r>
      <w:r w:rsidR="00E14E0E" w:rsidRPr="0074556C">
        <w:t xml:space="preserve">. An ANSYS rendering of a MiniFuel target, subcapsule, and axisymmetric cross section of a subcapsule with labeled components </w:t>
      </w:r>
      <w:r w:rsidR="00E14E0E">
        <w:t>is</w:t>
      </w:r>
      <w:r w:rsidR="00E14E0E" w:rsidRPr="0074556C">
        <w:t xml:space="preserve"> shown in </w:t>
      </w:r>
      <w:r w:rsidR="00E14E0E" w:rsidRPr="005E68D7">
        <w:rPr>
          <w:b/>
          <w:bCs/>
        </w:rPr>
        <w:fldChar w:fldCharType="begin"/>
      </w:r>
      <w:r w:rsidR="00E14E0E" w:rsidRPr="005E68D7">
        <w:rPr>
          <w:b/>
          <w:bCs/>
        </w:rPr>
        <w:instrText xml:space="preserve"> REF _Ref197939534 \h </w:instrText>
      </w:r>
      <w:r w:rsidR="00C33C61" w:rsidRPr="005E68D7">
        <w:rPr>
          <w:b/>
          <w:bCs/>
        </w:rPr>
        <w:instrText xml:space="preserve"> \* MERGEFORMAT </w:instrText>
      </w:r>
      <w:r w:rsidR="00E14E0E" w:rsidRPr="005E68D7">
        <w:rPr>
          <w:b/>
          <w:bCs/>
        </w:rPr>
      </w:r>
      <w:r w:rsidR="00E14E0E" w:rsidRPr="005E68D7">
        <w:rPr>
          <w:b/>
          <w:bCs/>
        </w:rPr>
        <w:fldChar w:fldCharType="separate"/>
      </w:r>
      <w:r w:rsidR="00BF7E93" w:rsidRPr="00BF7E93">
        <w:rPr>
          <w:b/>
          <w:bCs/>
        </w:rPr>
        <w:t xml:space="preserve">Figure </w:t>
      </w:r>
      <w:r w:rsidR="00BF7E93" w:rsidRPr="00BF7E93">
        <w:rPr>
          <w:b/>
          <w:bCs/>
          <w:noProof/>
        </w:rPr>
        <w:t>4.1</w:t>
      </w:r>
      <w:r w:rsidR="00E14E0E" w:rsidRPr="005E68D7">
        <w:rPr>
          <w:b/>
          <w:bCs/>
        </w:rPr>
        <w:fldChar w:fldCharType="end"/>
      </w:r>
      <w:r w:rsidR="00E14E0E" w:rsidRPr="0074556C">
        <w:t>. A summary of</w:t>
      </w:r>
      <w:r w:rsidR="00E14E0E">
        <w:t xml:space="preserve"> </w:t>
      </w:r>
      <w:r w:rsidR="00E14E0E" w:rsidRPr="0074556C">
        <w:t>material</w:t>
      </w:r>
      <w:r w:rsidR="00E14E0E">
        <w:t>s</w:t>
      </w:r>
      <w:r w:rsidR="00E14E0E" w:rsidRPr="0074556C">
        <w:t xml:space="preserve"> commonly used for each component </w:t>
      </w:r>
      <w:r w:rsidR="00E14E0E">
        <w:t>is</w:t>
      </w:r>
      <w:r w:rsidR="00E14E0E" w:rsidRPr="0074556C">
        <w:t xml:space="preserve"> given in</w:t>
      </w:r>
      <w:r w:rsidR="00B13C5E">
        <w:t xml:space="preserve"> </w:t>
      </w:r>
      <w:r w:rsidR="00B13C5E" w:rsidRPr="007258A1">
        <w:rPr>
          <w:b/>
          <w:bCs/>
        </w:rPr>
        <w:fldChar w:fldCharType="begin"/>
      </w:r>
      <w:r w:rsidR="00B13C5E" w:rsidRPr="007258A1">
        <w:rPr>
          <w:b/>
          <w:bCs/>
        </w:rPr>
        <w:instrText xml:space="preserve"> REF _Ref198131660 \h </w:instrText>
      </w:r>
      <w:r w:rsidR="007258A1">
        <w:rPr>
          <w:b/>
          <w:bCs/>
        </w:rPr>
        <w:instrText xml:space="preserve"> \* MERGEFORMAT </w:instrText>
      </w:r>
      <w:r w:rsidR="00B13C5E" w:rsidRPr="007258A1">
        <w:rPr>
          <w:b/>
          <w:bCs/>
        </w:rPr>
      </w:r>
      <w:r w:rsidR="00B13C5E" w:rsidRPr="007258A1">
        <w:rPr>
          <w:b/>
          <w:bCs/>
        </w:rPr>
        <w:fldChar w:fldCharType="separate"/>
      </w:r>
      <w:r w:rsidR="00BF7E93" w:rsidRPr="00BF7E93">
        <w:rPr>
          <w:b/>
          <w:bCs/>
        </w:rPr>
        <w:t xml:space="preserve">Table </w:t>
      </w:r>
      <w:r w:rsidR="00BF7E93" w:rsidRPr="00BF7E93">
        <w:rPr>
          <w:b/>
          <w:bCs/>
          <w:noProof/>
        </w:rPr>
        <w:t>4.1</w:t>
      </w:r>
      <w:r w:rsidR="00B13C5E" w:rsidRPr="007258A1">
        <w:rPr>
          <w:b/>
          <w:bCs/>
        </w:rPr>
        <w:fldChar w:fldCharType="end"/>
      </w:r>
      <w:r w:rsidR="00E14E0E" w:rsidRPr="0074556C">
        <w:t xml:space="preserve">. </w:t>
      </w:r>
    </w:p>
    <w:p w14:paraId="61A97E0A" w14:textId="48D732CA" w:rsidR="00147085" w:rsidRDefault="00D43F7F" w:rsidP="00F22A75">
      <w:r w:rsidRPr="0074556C">
        <w:t xml:space="preserve">Subcapsules </w:t>
      </w:r>
      <w:r>
        <w:t xml:space="preserve">are </w:t>
      </w:r>
      <w:r w:rsidRPr="0074556C">
        <w:t xml:space="preserve">analyzed post-irradiation for fission gas release (FGR), fuel swelling, microstructure characterization, irradiation temperature, and other specific parameters as dictated by the experimental sponsor </w:t>
      </w:r>
      <w:r w:rsidRPr="0074556C">
        <w:fldChar w:fldCharType="begin">
          <w:fldData xml:space="preserve">PEVuZE5vdGU+PENpdGU+PEF1dGhvcj5SYWZ0ZXJ5PC9BdXRob3I+PFllYXI+MjAxODwvWWVhcj48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</w:fldData>
        </w:fldChar>
      </w:r>
      <w:r w:rsidR="003026BC">
        <w:instrText xml:space="preserve"> ADDIN EN.CITE </w:instrText>
      </w:r>
      <w:r w:rsidR="003026BC">
        <w:fldChar w:fldCharType="begin">
          <w:fldData xml:space="preserve">PEVuZE5vdGU+PENpdGU+PEF1dGhvcj5SYWZ0ZXJ5PC9BdXRob3I+PFllYXI+MjAxODwvWWVhcj48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</w:fldData>
        </w:fldChar>
      </w:r>
      <w:r w:rsidR="003026BC">
        <w:instrText xml:space="preserve"> ADDIN EN.CITE.DATA </w:instrText>
      </w:r>
      <w:r w:rsidR="003026BC">
        <w:fldChar w:fldCharType="end"/>
      </w:r>
      <w:r w:rsidRPr="0074556C">
        <w:fldChar w:fldCharType="separate"/>
      </w:r>
      <w:r w:rsidR="003026BC">
        <w:rPr>
          <w:noProof/>
        </w:rPr>
        <w:t>[134-137]</w:t>
      </w:r>
      <w:r w:rsidRPr="0074556C">
        <w:fldChar w:fldCharType="end"/>
      </w:r>
      <w:r w:rsidRPr="0074556C">
        <w:t>.</w:t>
      </w:r>
      <w:r>
        <w:t xml:space="preserve"> A detailed process for the disassembly </w:t>
      </w:r>
      <w:r w:rsidR="00147085">
        <w:t xml:space="preserve">and examination of the subcapsules is given in a report by Raftery et. al </w:t>
      </w:r>
      <w:r w:rsidR="00147085">
        <w:fldChar w:fldCharType="begin"/>
      </w:r>
      <w:r w:rsidR="00147085">
        <w:instrText xml:space="preserve"> ADDIN EN.CITE &lt;EndNote&gt;&lt;Cite&gt;&lt;Author&gt;Raftery&lt;/Author&gt;&lt;Year&gt;2018&lt;/Year&gt;&lt;RecNum&gt;425&lt;/RecNum&gt;&lt;DisplayText&gt;[135]&lt;/DisplayText&gt;&lt;record&gt;&lt;rec-number&gt;425&lt;/rec-number&gt;&lt;foreign-keys&gt;&lt;key app="EN" db-id="eseee05sfe5vt6efvr0xapvq20vfdsfp5fvf" timestamp="1710039912"&gt;425&lt;/key&gt;&lt;/foreign-keys&gt;&lt;ref-type name="Report"&gt;27&lt;/ref-type&gt;&lt;contributors&gt;&lt;authors&gt;&lt;author&gt;Raftery, Alicia M.&lt;/author&gt;&lt;author&gt;Morris, Robert Noel&lt;/author&gt;&lt;author&gt;Smith, Kurt R.&lt;/author&gt;&lt;author&gt;Helmreich, Grant W.&lt;/author&gt;&lt;author&gt;Petrie, Christian M.&lt;/author&gt;&lt;author&gt;Terrani, Kurt A.&lt;/author&gt;&lt;author&gt;Nelson, Andrew T.&lt;/author&gt;&lt;/authors&gt;&lt;/contributors&gt;&lt;titles&gt;&lt;title&gt;Development of a characterization methodology for post-irradiation examination of miniature fuel specimens&lt;/title&gt;&lt;/titles&gt;&lt;dates&gt;&lt;year&gt;2018&lt;/year&gt;&lt;pub-dates&gt;&lt;date&gt;2018-08-01&lt;/date&gt;&lt;/pub-dates&gt;&lt;/dates&gt;&lt;pub-location&gt;United States&lt;/pub-location&gt;&lt;urls&gt;&lt;related-urls&gt;&lt;url&gt;https://www.osti.gov/biblio/1474563&lt;/url&gt;&lt;url&gt;https://www.osti.gov/servlets/purl/1474563&lt;/url&gt;&lt;/related-urls&gt;&lt;/urls&gt;&lt;custom1&gt;Research Org.: Oak Ridge National Laboratory (ORNL), Oak Ridge, TN (United States)&lt;/custom1&gt;&lt;custom2&gt;Sponsor Org.: USDOE&lt;/custom2&gt;&lt;custom3&gt;Report Number: ORNL/SPR-2018/918&lt;/custom3&gt;&lt;custom4&gt;Contract Number: AC05-00OR22725&lt;/custom4&gt;&lt;electronic-resource-num&gt;10.2172/1474563&lt;/electronic-resource-num&gt;&lt;language&gt;English&lt;/language&gt;&lt;/record&gt;&lt;/Cite&gt;&lt;/EndNote&gt;</w:instrText>
      </w:r>
      <w:r w:rsidR="00147085">
        <w:fldChar w:fldCharType="separate"/>
      </w:r>
      <w:r w:rsidR="00147085">
        <w:rPr>
          <w:noProof/>
        </w:rPr>
        <w:t>[135]</w:t>
      </w:r>
      <w:r w:rsidR="00147085">
        <w:fldChar w:fldCharType="end"/>
      </w:r>
      <w:r w:rsidR="00147085">
        <w:t xml:space="preserve">. Not included in the report is the method for irradiation temperature measurements which is determined through continuous dilatometry (CD) analysis of the silicon carbide (SiC) thermometry rod within each subcapsule </w:t>
      </w:r>
      <w:r w:rsidR="00147085">
        <w:fldChar w:fldCharType="begin"/>
      </w:r>
      <w:r w:rsidR="00147085">
        <w:instrText xml:space="preserve"> ADDIN EN.CITE &lt;EndNote&gt;&lt;Cite&gt;&lt;Author&gt;Field&lt;/Author&gt;&lt;Year&gt;2019&lt;/Year&gt;&lt;RecNum&gt;426&lt;/RecNum&gt;&lt;DisplayText&gt;[134]&lt;/DisplayText&gt;&lt;record&gt;&lt;rec-number&gt;426&lt;/rec-number&gt;&lt;foreign-keys&gt;&lt;key app="EN" db-id="eseee05sfe5vt6efvr0xapvq20vfdsfp5fvf" timestamp="1710043936"&gt;426&lt;/key&gt;&lt;/foreign-keys&gt;&lt;ref-type name="Journal Article"&gt;17&lt;/ref-type&gt;&lt;contributors&gt;&lt;authors&gt;&lt;author&gt;Field, Kevin G.&lt;/author&gt;&lt;author&gt;McDuffee, Joel L.&lt;/author&gt;&lt;author&gt;Geringer, Josina W.&lt;/author&gt;&lt;author&gt;Petrie, Christian M.&lt;/author&gt;&lt;author&gt;Katoh, Yutai&lt;/author&gt;&lt;/authors&gt;&lt;/contributors&gt;&lt;titles&gt;&lt;title&gt;Evaluation of the continuous dilatometer method of silicon carbide thermometry for passive irradiation temperature determination&lt;/title&gt;&lt;secondary-title&gt;Nuclear Instruments and Methods in Physics Research Section B: Beam Interactions with Materials and Atoms&lt;/secondary-title&gt;&lt;/titles&gt;&lt;periodical&gt;&lt;full-title&gt;Nuclear Instruments and Methods in Physics Research Section B: Beam Interactions with Materials and Atoms&lt;/full-title&gt;&lt;/periodical&gt;&lt;pages&gt;46-56&lt;/pages&gt;&lt;volume&gt;445&lt;/volume&gt;&lt;keywords&gt;&lt;keyword&gt;Silicon carbide (SiC)&lt;/keyword&gt;&lt;keyword&gt;Passive irradiation temperature monitor&lt;/keyword&gt;&lt;keyword&gt;Dilatometry&lt;/keyword&gt;&lt;keyword&gt;Annealing&lt;/keyword&gt;&lt;/keywords&gt;&lt;dates&gt;&lt;year&gt;2019&lt;/year&gt;&lt;pub-dates&gt;&lt;date&gt;2019/04/15/&lt;/date&gt;&lt;/pub-dates&gt;&lt;/dates&gt;&lt;isbn&gt;0168-583X&lt;/isbn&gt;&lt;urls&gt;&lt;related-urls&gt;&lt;url&gt;https://www.sciencedirect.com/science/article/pii/S0168583X19301016&lt;/url&gt;&lt;/related-urls&gt;&lt;/urls&gt;&lt;electronic-resource-num&gt;https://doi.org/10.1016/j.nimb.2019.02.022&lt;/electronic-resource-num&gt;&lt;/record&gt;&lt;/Cite&gt;&lt;/EndNote&gt;</w:instrText>
      </w:r>
      <w:r w:rsidR="00147085">
        <w:fldChar w:fldCharType="separate"/>
      </w:r>
      <w:r w:rsidR="00147085">
        <w:rPr>
          <w:noProof/>
        </w:rPr>
        <w:t>[134]</w:t>
      </w:r>
      <w:r w:rsidR="00147085">
        <w:fldChar w:fldCharType="end"/>
      </w:r>
      <w:r w:rsidR="00147085">
        <w:t>.</w:t>
      </w:r>
    </w:p>
    <w:p w14:paraId="005F0FAC" w14:textId="3E1D4E2F" w:rsidR="00C33C61" w:rsidRDefault="00147085" w:rsidP="00F22A75">
      <w:r>
        <w:t>MiniFuel s</w:t>
      </w:r>
      <w:r w:rsidRPr="0074556C">
        <w:t xml:space="preserve">ubcapsules are designed to decouple the fuel temperature from the fission rate to allow for accelerated fission rates at a constant and controllable temperature. The </w:t>
      </w:r>
      <w:r>
        <w:t xml:space="preserve">fuel is sized such that the </w:t>
      </w:r>
      <w:r w:rsidRPr="0074556C">
        <w:t>main heat source within the capsule is gamma heating generated within the metallic components from prompt gammas emitted from the HFIR fuel</w:t>
      </w:r>
      <w:r>
        <w:t xml:space="preserve"> and that </w:t>
      </w:r>
      <w:r w:rsidRPr="0074556C">
        <w:t>temperature gradients across the specimen</w:t>
      </w:r>
      <w:r>
        <w:t xml:space="preserve"> are </w:t>
      </w:r>
      <w:r w:rsidRPr="0074556C">
        <w:t>minimize</w:t>
      </w:r>
      <w:r>
        <w:t>d</w:t>
      </w:r>
      <w:r w:rsidRPr="0074556C">
        <w:t>.</w:t>
      </w:r>
      <w:r>
        <w:t xml:space="preserve"> This allows the surrounding material to act as a constant temperature heat sink for the fuel unlike traditional fuel rods where rod temperature is driven by heat generated through fission</w:t>
      </w:r>
      <w:r w:rsidRPr="0074556C">
        <w:t xml:space="preserve">. </w:t>
      </w:r>
      <w:r>
        <w:t>Subcapsule</w:t>
      </w:r>
      <w:r w:rsidRPr="0074556C">
        <w:t xml:space="preserve"> irradiation temperature</w:t>
      </w:r>
      <w:r>
        <w:t>s are</w:t>
      </w:r>
      <w:r w:rsidRPr="0074556C">
        <w:t xml:space="preserve"> controlled via the gas gap between the</w:t>
      </w:r>
      <w:r>
        <w:t xml:space="preserve"> subcapsule </w:t>
      </w:r>
      <w:r w:rsidRPr="0074556C">
        <w:t>holder outer diameter and the target housing inner diameter and the target fill gas</w:t>
      </w:r>
      <w:r>
        <w:t xml:space="preserve"> composition</w:t>
      </w:r>
      <w:r w:rsidRPr="0074556C">
        <w:t xml:space="preserve">. </w:t>
      </w:r>
      <w:r>
        <w:t>F</w:t>
      </w:r>
      <w:r w:rsidRPr="0074556C">
        <w:t>uel specimen burnup</w:t>
      </w:r>
      <w:r>
        <w:t xml:space="preserve"> rates</w:t>
      </w:r>
      <w:r w:rsidRPr="0074556C">
        <w:t xml:space="preserve"> and component heat generation rates </w:t>
      </w:r>
      <w:r w:rsidR="00C33C61">
        <w:br w:type="page"/>
      </w:r>
    </w:p>
    <w:p w14:paraId="330DD7EE" w14:textId="5F45081E" w:rsidR="008A4249" w:rsidRPr="0074556C" w:rsidRDefault="008A4249" w:rsidP="008A4249">
      <w:r w:rsidRPr="0074556C">
        <w:rPr>
          <w:noProof/>
        </w:rPr>
        <w:lastRenderedPageBreak/>
        <w:drawing>
          <wp:inline distT="0" distB="0" distL="0" distR="0" wp14:anchorId="57F86ECB" wp14:editId="70BF5283">
            <wp:extent cx="5486400" cy="308610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49" cstate="print">
                      <a:extLst>
                        <a:ext uri="{28A0092B-C50C-407E-A947-70E740481C1C}">
                          <a14:useLocalDpi xmlns:a14="http://schemas.microsoft.com/office/drawing/2010/main" val="0"/>
                        </a:ext>
                      </a:extLst>
                    </a:blip>
                    <a:stretch>
                      <a:fillRect/>
                    </a:stretch>
                  </pic:blipFill>
                  <pic:spPr>
                    <a:xfrm>
                      <a:off x="0" y="0"/>
                      <a:ext cx="5486400" cy="3086100"/>
                    </a:xfrm>
                    <a:prstGeom prst="rect">
                      <a:avLst/>
                    </a:prstGeom>
                  </pic:spPr>
                </pic:pic>
              </a:graphicData>
            </a:graphic>
          </wp:inline>
        </w:drawing>
      </w:r>
    </w:p>
    <w:p w14:paraId="4AFBAA26" w14:textId="6F450963" w:rsidR="006A6C43" w:rsidRDefault="008A4249" w:rsidP="00D43F7F">
      <w:pPr>
        <w:spacing w:line="240" w:lineRule="auto"/>
      </w:pPr>
      <w:bookmarkStart w:id="131" w:name="_Ref197939534"/>
      <w:bookmarkStart w:id="132" w:name="_Toc202957564"/>
      <w:r>
        <w:t xml:space="preserve">Figure </w:t>
      </w:r>
      <w:fldSimple w:instr=" STYLEREF 1 \s ">
        <w:r w:rsidR="00BF7E93">
          <w:rPr>
            <w:noProof/>
          </w:rPr>
          <w:t>4</w:t>
        </w:r>
      </w:fldSimple>
      <w:r>
        <w:t>.</w:t>
      </w:r>
      <w:fldSimple w:instr=" SEQ Figure \* ARABIC \s 1 ">
        <w:r w:rsidR="00BF7E93">
          <w:rPr>
            <w:noProof/>
          </w:rPr>
          <w:t>1</w:t>
        </w:r>
      </w:fldSimple>
      <w:bookmarkEnd w:id="131"/>
      <w:r>
        <w:t>.</w:t>
      </w:r>
      <w:r w:rsidRPr="0074556C">
        <w:t xml:space="preserve"> ANSYS rendering of a </w:t>
      </w:r>
      <w:r>
        <w:t>M</w:t>
      </w:r>
      <w:r w:rsidRPr="0074556C">
        <w:t>ini</w:t>
      </w:r>
      <w:r>
        <w:t>F</w:t>
      </w:r>
      <w:r w:rsidRPr="0074556C">
        <w:t xml:space="preserve">uel a) </w:t>
      </w:r>
      <w:r>
        <w:t>t</w:t>
      </w:r>
      <w:r w:rsidRPr="0074556C">
        <w:t>arget</w:t>
      </w:r>
      <w:r>
        <w:t>,</w:t>
      </w:r>
      <w:r w:rsidRPr="0074556C">
        <w:t xml:space="preserve"> b) </w:t>
      </w:r>
      <w:r>
        <w:t>s</w:t>
      </w:r>
      <w:r w:rsidRPr="0074556C">
        <w:t>ubcapsule</w:t>
      </w:r>
      <w:r>
        <w:t>,</w:t>
      </w:r>
      <w:r w:rsidRPr="0074556C">
        <w:t xml:space="preserve"> c) </w:t>
      </w:r>
      <w:r>
        <w:t>a</w:t>
      </w:r>
      <w:r w:rsidRPr="0074556C">
        <w:t>xisymmetric subcapsule.</w:t>
      </w:r>
      <w:bookmarkStart w:id="133" w:name="_Ref198117408"/>
      <w:bookmarkEnd w:id="132"/>
    </w:p>
    <w:p w14:paraId="5A885897" w14:textId="7C7030A7" w:rsidR="00E07D61" w:rsidRDefault="00E07D61">
      <w:pPr>
        <w:spacing w:line="240" w:lineRule="auto"/>
      </w:pPr>
      <w:r>
        <w:br w:type="page"/>
      </w:r>
    </w:p>
    <w:p w14:paraId="7088A0C2" w14:textId="715AC24E" w:rsidR="00354895" w:rsidRPr="00354895" w:rsidRDefault="00B13C5E" w:rsidP="00874CBB">
      <w:pPr>
        <w:pStyle w:val="Caption"/>
      </w:pPr>
      <w:bookmarkStart w:id="134" w:name="_Ref198131660"/>
      <w:bookmarkStart w:id="135" w:name="_Toc202957522"/>
      <w:bookmarkEnd w:id="133"/>
      <w:r w:rsidRPr="009D2AA9">
        <w:lastRenderedPageBreak/>
        <w:t xml:space="preserve">Table </w:t>
      </w:r>
      <w:fldSimple w:instr=" STYLEREF 1 \s ">
        <w:r w:rsidR="00BF7E93">
          <w:rPr>
            <w:noProof/>
          </w:rPr>
          <w:t>4</w:t>
        </w:r>
      </w:fldSimple>
      <w:r w:rsidRPr="009D2AA9">
        <w:t>.</w:t>
      </w:r>
      <w:fldSimple w:instr=" SEQ Table \* ARABIC \s 1 ">
        <w:r w:rsidR="00BF7E93">
          <w:rPr>
            <w:noProof/>
          </w:rPr>
          <w:t>1</w:t>
        </w:r>
      </w:fldSimple>
      <w:bookmarkEnd w:id="134"/>
      <w:r w:rsidRPr="009D2AA9">
        <w:t xml:space="preserve">. </w:t>
      </w:r>
      <w:r w:rsidR="008A4249" w:rsidRPr="0074556C">
        <w:t xml:space="preserve">Materials used for each component within MiniFuel designs </w:t>
      </w:r>
      <w:r w:rsidR="008A4249" w:rsidRPr="0074556C">
        <w:fldChar w:fldCharType="begin">
          <w:fldData xml:space="preserve">PEVuZE5vdGU+PENpdGU+PEF1dGhvcj5QZXRyaWU8L0F1dGhvcj48WWVhcj4yMDE5PC9ZZWFyPjxS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</w:fldData>
        </w:fldChar>
      </w:r>
      <w:r w:rsidR="003026BC">
        <w:instrText xml:space="preserve"> ADDIN EN.CITE </w:instrText>
      </w:r>
      <w:r w:rsidR="003026BC">
        <w:fldChar w:fldCharType="begin">
          <w:fldData xml:space="preserve">PEVuZE5vdGU+PENpdGU+PEF1dGhvcj5QZXRyaWU8L0F1dGhvcj48WWVhcj4yMDE5PC9ZZWFyPjxS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</w:fldData>
        </w:fldChar>
      </w:r>
      <w:r w:rsidR="003026BC">
        <w:instrText xml:space="preserve"> ADDIN EN.CITE.DATA </w:instrText>
      </w:r>
      <w:r w:rsidR="003026BC">
        <w:fldChar w:fldCharType="end"/>
      </w:r>
      <w:r w:rsidR="008A4249" w:rsidRPr="0074556C">
        <w:fldChar w:fldCharType="separate"/>
      </w:r>
      <w:r w:rsidR="003026BC">
        <w:rPr>
          <w:noProof/>
        </w:rPr>
        <w:t>[22, 138]</w:t>
      </w:r>
      <w:r w:rsidR="008A4249" w:rsidRPr="0074556C">
        <w:fldChar w:fldCharType="end"/>
      </w:r>
      <w:r w:rsidR="008A4249" w:rsidRPr="0074556C">
        <w:t>.</w:t>
      </w:r>
      <w:bookmarkEnd w:id="135"/>
    </w:p>
    <w:tbl>
      <w:tblPr>
        <w:tblW w:w="8190"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4140"/>
        <w:gridCol w:w="4050"/>
      </w:tblGrid>
      <w:tr w:rsidR="008A4249" w:rsidRPr="0074556C" w14:paraId="2D17F51C" w14:textId="77777777" w:rsidTr="00AE2101">
        <w:tc>
          <w:tcPr>
            <w:tcW w:w="4140" w:type="dxa"/>
            <w:tcBorders>
              <w:top w:val="double" w:sz="4" w:space="0" w:color="auto"/>
              <w:left w:val="double" w:sz="4" w:space="0" w:color="auto"/>
              <w:bottom w:val="double" w:sz="4" w:space="0" w:color="auto"/>
              <w:right w:val="double" w:sz="4" w:space="0" w:color="auto"/>
            </w:tcBorders>
            <w:vAlign w:val="center"/>
          </w:tcPr>
          <w:p w14:paraId="2419713F" w14:textId="77777777" w:rsidR="008A4249" w:rsidRPr="00E07D61" w:rsidRDefault="008A4249" w:rsidP="00E07D61">
            <w:pPr>
              <w:pStyle w:val="TableText"/>
            </w:pPr>
            <w:r w:rsidRPr="00E07D61">
              <w:t>Component</w:t>
            </w:r>
          </w:p>
        </w:tc>
        <w:tc>
          <w:tcPr>
            <w:tcW w:w="4050" w:type="dxa"/>
            <w:tcBorders>
              <w:top w:val="double" w:sz="4" w:space="0" w:color="auto"/>
              <w:left w:val="double" w:sz="4" w:space="0" w:color="auto"/>
              <w:bottom w:val="double" w:sz="4" w:space="0" w:color="auto"/>
            </w:tcBorders>
            <w:vAlign w:val="center"/>
          </w:tcPr>
          <w:p w14:paraId="7F1A400B" w14:textId="77777777" w:rsidR="008A4249" w:rsidRPr="00E07D61" w:rsidRDefault="008A4249" w:rsidP="00E07D61">
            <w:pPr>
              <w:pStyle w:val="TableText"/>
            </w:pPr>
            <w:r w:rsidRPr="00E07D61">
              <w:t>Material</w:t>
            </w:r>
          </w:p>
        </w:tc>
      </w:tr>
      <w:tr w:rsidR="008A4249" w:rsidRPr="0074556C" w14:paraId="7064BEBA" w14:textId="77777777" w:rsidTr="00AE2101">
        <w:trPr>
          <w:trHeight w:val="528"/>
        </w:trPr>
        <w:tc>
          <w:tcPr>
            <w:tcW w:w="4140" w:type="dxa"/>
            <w:tcBorders>
              <w:left w:val="double" w:sz="4" w:space="0" w:color="auto"/>
              <w:right w:val="double" w:sz="4" w:space="0" w:color="auto"/>
            </w:tcBorders>
            <w:vAlign w:val="center"/>
          </w:tcPr>
          <w:p w14:paraId="0B230A9E" w14:textId="77777777" w:rsidR="008A4249" w:rsidRPr="00E07D61" w:rsidRDefault="008A4249" w:rsidP="00E07D61">
            <w:pPr>
              <w:pStyle w:val="TableText"/>
            </w:pPr>
            <w:r w:rsidRPr="00E07D61">
              <w:t>Holder, Endcap, Thimbles</w:t>
            </w:r>
          </w:p>
        </w:tc>
        <w:tc>
          <w:tcPr>
            <w:tcW w:w="4050" w:type="dxa"/>
            <w:tcBorders>
              <w:left w:val="double" w:sz="4" w:space="0" w:color="auto"/>
            </w:tcBorders>
            <w:vAlign w:val="center"/>
          </w:tcPr>
          <w:p w14:paraId="5A5B01E6" w14:textId="77777777" w:rsidR="008A4249" w:rsidRPr="00E07D61" w:rsidRDefault="008A4249" w:rsidP="00E07D61">
            <w:pPr>
              <w:pStyle w:val="TableText"/>
            </w:pPr>
            <w:r w:rsidRPr="00E07D61">
              <w:t xml:space="preserve">Ti or Mo* </w:t>
            </w:r>
          </w:p>
        </w:tc>
      </w:tr>
      <w:tr w:rsidR="008A4249" w:rsidRPr="0074556C" w14:paraId="789ED7C6" w14:textId="77777777" w:rsidTr="00AE2101">
        <w:trPr>
          <w:trHeight w:val="557"/>
        </w:trPr>
        <w:tc>
          <w:tcPr>
            <w:tcW w:w="4140" w:type="dxa"/>
            <w:tcBorders>
              <w:left w:val="double" w:sz="4" w:space="0" w:color="auto"/>
              <w:right w:val="double" w:sz="4" w:space="0" w:color="auto"/>
            </w:tcBorders>
            <w:vAlign w:val="center"/>
          </w:tcPr>
          <w:p w14:paraId="63F5CE2B" w14:textId="77777777" w:rsidR="008A4249" w:rsidRPr="00E07D61" w:rsidRDefault="008A4249" w:rsidP="00E07D61">
            <w:pPr>
              <w:pStyle w:val="TableText"/>
            </w:pPr>
            <w:r w:rsidRPr="00E07D61">
              <w:t>Thermometry</w:t>
            </w:r>
          </w:p>
        </w:tc>
        <w:tc>
          <w:tcPr>
            <w:tcW w:w="4050" w:type="dxa"/>
            <w:tcBorders>
              <w:left w:val="double" w:sz="4" w:space="0" w:color="auto"/>
            </w:tcBorders>
            <w:vAlign w:val="center"/>
          </w:tcPr>
          <w:p w14:paraId="67F33756" w14:textId="77777777" w:rsidR="008A4249" w:rsidRPr="00E07D61" w:rsidRDefault="008A4249" w:rsidP="00E07D61">
            <w:pPr>
              <w:pStyle w:val="TableText"/>
            </w:pPr>
            <w:r w:rsidRPr="00E07D61">
              <w:t>SiC</w:t>
            </w:r>
          </w:p>
        </w:tc>
      </w:tr>
      <w:tr w:rsidR="008A4249" w:rsidRPr="0074556C" w14:paraId="5981A1A7" w14:textId="77777777" w:rsidTr="00AE2101">
        <w:trPr>
          <w:trHeight w:val="620"/>
        </w:trPr>
        <w:tc>
          <w:tcPr>
            <w:tcW w:w="4140" w:type="dxa"/>
            <w:tcBorders>
              <w:left w:val="double" w:sz="4" w:space="0" w:color="auto"/>
              <w:right w:val="double" w:sz="4" w:space="0" w:color="auto"/>
            </w:tcBorders>
            <w:vAlign w:val="center"/>
          </w:tcPr>
          <w:p w14:paraId="00C8B89A" w14:textId="77777777" w:rsidR="008A4249" w:rsidRPr="00E07D61" w:rsidRDefault="008A4249" w:rsidP="00E07D61">
            <w:pPr>
              <w:pStyle w:val="TableText"/>
            </w:pPr>
            <w:r w:rsidRPr="00E07D61">
              <w:t>Tube, Dish</w:t>
            </w:r>
          </w:p>
        </w:tc>
        <w:tc>
          <w:tcPr>
            <w:tcW w:w="4050" w:type="dxa"/>
            <w:tcBorders>
              <w:left w:val="double" w:sz="4" w:space="0" w:color="auto"/>
            </w:tcBorders>
            <w:vAlign w:val="center"/>
          </w:tcPr>
          <w:p w14:paraId="2F5E8E30" w14:textId="77777777" w:rsidR="008A4249" w:rsidRPr="00E07D61" w:rsidRDefault="008A4249" w:rsidP="00E07D61">
            <w:pPr>
              <w:pStyle w:val="TableText"/>
            </w:pPr>
            <w:r w:rsidRPr="00E07D61">
              <w:t>Mo</w:t>
            </w:r>
          </w:p>
        </w:tc>
      </w:tr>
      <w:tr w:rsidR="008A4249" w:rsidRPr="0074556C" w14:paraId="4CF15927" w14:textId="77777777" w:rsidTr="00AE2101">
        <w:trPr>
          <w:trHeight w:val="620"/>
        </w:trPr>
        <w:tc>
          <w:tcPr>
            <w:tcW w:w="4140" w:type="dxa"/>
            <w:tcBorders>
              <w:left w:val="double" w:sz="4" w:space="0" w:color="auto"/>
              <w:right w:val="double" w:sz="4" w:space="0" w:color="auto"/>
            </w:tcBorders>
            <w:vAlign w:val="center"/>
          </w:tcPr>
          <w:p w14:paraId="5D235D51" w14:textId="77777777" w:rsidR="008A4249" w:rsidRPr="00E07D61" w:rsidRDefault="008A4249" w:rsidP="00E07D61">
            <w:pPr>
              <w:pStyle w:val="TableText"/>
            </w:pPr>
            <w:r w:rsidRPr="00E07D61">
              <w:t>Insulator disks</w:t>
            </w:r>
          </w:p>
        </w:tc>
        <w:tc>
          <w:tcPr>
            <w:tcW w:w="4050" w:type="dxa"/>
            <w:tcBorders>
              <w:left w:val="double" w:sz="4" w:space="0" w:color="auto"/>
            </w:tcBorders>
            <w:vAlign w:val="center"/>
          </w:tcPr>
          <w:p w14:paraId="30BFE643" w14:textId="77777777" w:rsidR="008A4249" w:rsidRPr="00E07D61" w:rsidRDefault="008A4249" w:rsidP="00E07D61">
            <w:pPr>
              <w:pStyle w:val="TableText"/>
            </w:pPr>
            <w:r w:rsidRPr="00E07D61">
              <w:t>Grafoil</w:t>
            </w:r>
          </w:p>
        </w:tc>
      </w:tr>
      <w:tr w:rsidR="008A4249" w:rsidRPr="0074556C" w14:paraId="6E71C2C6" w14:textId="77777777" w:rsidTr="00AE2101">
        <w:trPr>
          <w:trHeight w:val="620"/>
        </w:trPr>
        <w:tc>
          <w:tcPr>
            <w:tcW w:w="4140" w:type="dxa"/>
            <w:tcBorders>
              <w:left w:val="double" w:sz="4" w:space="0" w:color="auto"/>
              <w:right w:val="double" w:sz="4" w:space="0" w:color="auto"/>
            </w:tcBorders>
            <w:vAlign w:val="center"/>
          </w:tcPr>
          <w:p w14:paraId="61F60B93" w14:textId="77777777" w:rsidR="008A4249" w:rsidRPr="00E07D61" w:rsidRDefault="008A4249" w:rsidP="00E07D61">
            <w:pPr>
              <w:pStyle w:val="TableText"/>
            </w:pPr>
            <w:r w:rsidRPr="00E07D61">
              <w:t>Fuel</w:t>
            </w:r>
          </w:p>
        </w:tc>
        <w:tc>
          <w:tcPr>
            <w:tcW w:w="4050" w:type="dxa"/>
            <w:tcBorders>
              <w:left w:val="double" w:sz="4" w:space="0" w:color="auto"/>
            </w:tcBorders>
            <w:vAlign w:val="center"/>
          </w:tcPr>
          <w:p w14:paraId="37270183" w14:textId="77777777" w:rsidR="008A4249" w:rsidRPr="00E07D61" w:rsidRDefault="008A4249" w:rsidP="00E07D61">
            <w:pPr>
              <w:pStyle w:val="TableText"/>
            </w:pPr>
            <w:r w:rsidRPr="00E07D61">
              <w:t>Variable</w:t>
            </w:r>
          </w:p>
        </w:tc>
      </w:tr>
      <w:tr w:rsidR="008A4249" w:rsidRPr="0074556C" w14:paraId="4102BB05" w14:textId="77777777" w:rsidTr="00AE2101">
        <w:trPr>
          <w:trHeight w:val="620"/>
        </w:trPr>
        <w:tc>
          <w:tcPr>
            <w:tcW w:w="4140" w:type="dxa"/>
            <w:tcBorders>
              <w:left w:val="double" w:sz="4" w:space="0" w:color="auto"/>
              <w:right w:val="double" w:sz="4" w:space="0" w:color="auto"/>
            </w:tcBorders>
            <w:vAlign w:val="center"/>
          </w:tcPr>
          <w:p w14:paraId="1D4A0B03" w14:textId="77777777" w:rsidR="008A4249" w:rsidRPr="00E07D61" w:rsidRDefault="008A4249" w:rsidP="00E07D61">
            <w:pPr>
              <w:pStyle w:val="TableText"/>
            </w:pPr>
            <w:r w:rsidRPr="00E07D61">
              <w:t>Housing</w:t>
            </w:r>
          </w:p>
        </w:tc>
        <w:tc>
          <w:tcPr>
            <w:tcW w:w="4050" w:type="dxa"/>
            <w:tcBorders>
              <w:left w:val="double" w:sz="4" w:space="0" w:color="auto"/>
            </w:tcBorders>
            <w:vAlign w:val="center"/>
          </w:tcPr>
          <w:p w14:paraId="3C9526EA" w14:textId="77777777" w:rsidR="008A4249" w:rsidRPr="00E07D61" w:rsidRDefault="008A4249" w:rsidP="00E07D61">
            <w:pPr>
              <w:pStyle w:val="TableText"/>
            </w:pPr>
            <w:r w:rsidRPr="00E07D61">
              <w:t>304 Stainless Steel</w:t>
            </w:r>
          </w:p>
        </w:tc>
      </w:tr>
      <w:tr w:rsidR="008A4249" w:rsidRPr="0074556C" w14:paraId="222475B9" w14:textId="77777777" w:rsidTr="00AE2101">
        <w:trPr>
          <w:trHeight w:val="620"/>
        </w:trPr>
        <w:tc>
          <w:tcPr>
            <w:tcW w:w="4140" w:type="dxa"/>
            <w:tcBorders>
              <w:left w:val="double" w:sz="4" w:space="0" w:color="auto"/>
              <w:right w:val="double" w:sz="4" w:space="0" w:color="auto"/>
            </w:tcBorders>
            <w:vAlign w:val="center"/>
          </w:tcPr>
          <w:p w14:paraId="20CD8AC1" w14:textId="77777777" w:rsidR="008A4249" w:rsidRPr="00E07D61" w:rsidRDefault="008A4249" w:rsidP="00E07D61">
            <w:pPr>
              <w:pStyle w:val="TableText"/>
            </w:pPr>
            <w:r w:rsidRPr="00E07D61">
              <w:t>Fill Gas</w:t>
            </w:r>
          </w:p>
        </w:tc>
        <w:tc>
          <w:tcPr>
            <w:tcW w:w="4050" w:type="dxa"/>
            <w:tcBorders>
              <w:left w:val="double" w:sz="4" w:space="0" w:color="auto"/>
            </w:tcBorders>
            <w:vAlign w:val="center"/>
          </w:tcPr>
          <w:p w14:paraId="0850E316" w14:textId="77777777" w:rsidR="008A4249" w:rsidRPr="00E07D61" w:rsidRDefault="008A4249" w:rsidP="00E07D61">
            <w:pPr>
              <w:pStyle w:val="TableText"/>
            </w:pPr>
            <w:r w:rsidRPr="00E07D61">
              <w:t>He, Ar, or He–Ar mixture</w:t>
            </w:r>
          </w:p>
        </w:tc>
      </w:tr>
    </w:tbl>
    <w:p w14:paraId="6BC4EC8E" w14:textId="77777777" w:rsidR="008A4249" w:rsidRPr="0074556C" w:rsidRDefault="008A4249" w:rsidP="00E07D61">
      <w:pPr>
        <w:pStyle w:val="TableText"/>
      </w:pPr>
      <w:r w:rsidRPr="0074556C">
        <w:t>* Ti6Al4V or Mo for VXF targets, Mo only for RB targets.</w:t>
      </w:r>
    </w:p>
    <w:p w14:paraId="512A4A3F" w14:textId="5E6F40A8" w:rsidR="00E07D61" w:rsidRDefault="00E07D61">
      <w:pPr>
        <w:spacing w:line="240" w:lineRule="auto"/>
      </w:pPr>
      <w:r>
        <w:br w:type="page"/>
      </w:r>
    </w:p>
    <w:p w14:paraId="3D1FCC27" w14:textId="77777777" w:rsidR="00147085" w:rsidRPr="0074556C" w:rsidRDefault="00147085" w:rsidP="00147085">
      <w:r w:rsidRPr="0074556C">
        <w:lastRenderedPageBreak/>
        <w:t xml:space="preserve">(HGRs) are dependent upon the irradiation location within the reactor (RB or VXF) and the target position within the basket. </w:t>
      </w:r>
    </w:p>
    <w:p w14:paraId="7A53136A" w14:textId="31AFEFD8" w:rsidR="00B43800" w:rsidRDefault="00B43800" w:rsidP="00D43F7F">
      <w:r w:rsidRPr="0074556C">
        <w:t>The design of MiniFuel is similar to that of the separate effects irradiation campaigns performed within the Halden reactor</w:t>
      </w:r>
      <w:r>
        <w:t xml:space="preserve"> </w:t>
      </w:r>
      <w:r>
        <w:fldChar w:fldCharType="begin">
          <w:fldData xml:space="preserve">PEVuZE5vdGU+PENpdGU+PEF1dGhvcj5Ob2lyb3Q8L0F1dGhvcj48WWVhcj4yMDE0PC9ZZWFyPjxS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</w:fldData>
        </w:fldChar>
      </w:r>
      <w:r w:rsidR="003026BC">
        <w:instrText xml:space="preserve"> ADDIN EN.CITE </w:instrText>
      </w:r>
      <w:r w:rsidR="003026BC">
        <w:fldChar w:fldCharType="begin">
          <w:fldData xml:space="preserve">PEVuZE5vdGU+PENpdGU+PEF1dGhvcj5Ob2lyb3Q8L0F1dGhvcj48WWVhcj4yMDE0PC9ZZWFyPjxS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</w:fldData>
        </w:fldChar>
      </w:r>
      <w:r w:rsidR="003026BC">
        <w:instrText xml:space="preserve"> ADDIN EN.CITE.DATA </w:instrText>
      </w:r>
      <w:r w:rsidR="003026BC">
        <w:fldChar w:fldCharType="end"/>
      </w:r>
      <w:r>
        <w:fldChar w:fldCharType="separate"/>
      </w:r>
      <w:r w:rsidR="003026BC">
        <w:rPr>
          <w:noProof/>
        </w:rPr>
        <w:t>[126-128]</w:t>
      </w:r>
      <w:r>
        <w:fldChar w:fldCharType="end"/>
      </w:r>
      <w:r w:rsidRPr="0074556C">
        <w:t>.</w:t>
      </w:r>
      <w:r>
        <w:t xml:space="preserve"> However, </w:t>
      </w:r>
      <w:r w:rsidRPr="0074556C">
        <w:t>MiniFuel irradiation targets offer several distinct advantages over the Halden rodlet design. The use of individual test capsules allows for greater experimental flexibility within each target. MiniFuel dis</w:t>
      </w:r>
      <w:r>
        <w:t>k</w:t>
      </w:r>
      <w:r w:rsidRPr="0074556C">
        <w:t>s are ~1/10 the size of the Halden dis</w:t>
      </w:r>
      <w:r>
        <w:t>k</w:t>
      </w:r>
      <w:r w:rsidRPr="0074556C">
        <w:t>s, allowing further control over irradiation temperature and burnup by limiting burnup and heat generated through fission</w:t>
      </w:r>
      <w:r>
        <w:t>.</w:t>
      </w:r>
      <w:r w:rsidRPr="0074556C">
        <w:t xml:space="preserve"> </w:t>
      </w:r>
      <w:r>
        <w:t>The fuel specimens are not sandwiched between the Mo, which minimiz</w:t>
      </w:r>
      <w:r w:rsidR="00845A4F">
        <w:t>es</w:t>
      </w:r>
      <w:r>
        <w:t xml:space="preserve"> mechanical interactions with the surrounding components and the</w:t>
      </w:r>
      <w:r w:rsidRPr="0074556C">
        <w:t xml:space="preserve"> use of HFIR irradiation positions </w:t>
      </w:r>
      <w:r>
        <w:t>allows</w:t>
      </w:r>
      <w:r w:rsidRPr="0074556C">
        <w:t xml:space="preserve"> for a greater range of potential operating conditions at more accelerated fission rates</w:t>
      </w:r>
      <w:r>
        <w:t xml:space="preserve"> than achievable within Halden</w:t>
      </w:r>
      <w:r w:rsidRPr="0074556C">
        <w:t xml:space="preserve"> </w:t>
      </w:r>
      <w:r w:rsidRPr="0074556C">
        <w:fldChar w:fldCharType="begin">
          <w:fldData xml:space="preserve">PEVuZE5vdGU+PENpdGU+PEF1dGhvcj5TY29sYXJvPC9BdXRob3I+PFllYXI+MjAyMTwvWWVhcj48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==
</w:fldData>
        </w:fldChar>
      </w:r>
      <w:r w:rsidR="003026BC">
        <w:instrText xml:space="preserve"> ADDIN EN.CITE </w:instrText>
      </w:r>
      <w:r w:rsidR="003026BC">
        <w:fldChar w:fldCharType="begin">
          <w:fldData xml:space="preserve">PEVuZE5vdGU+PENpdGU+PEF1dGhvcj5TY29sYXJvPC9BdXRob3I+PFllYXI+MjAyMTwvWWVhcj48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==
</w:fldData>
        </w:fldChar>
      </w:r>
      <w:r w:rsidR="003026BC">
        <w:instrText xml:space="preserve"> ADDIN EN.CITE.DATA </w:instrText>
      </w:r>
      <w:r w:rsidR="003026BC">
        <w:fldChar w:fldCharType="end"/>
      </w:r>
      <w:r w:rsidRPr="0074556C">
        <w:fldChar w:fldCharType="separate"/>
      </w:r>
      <w:r w:rsidR="003026BC">
        <w:rPr>
          <w:noProof/>
        </w:rPr>
        <w:t>[22, 127, 139]</w:t>
      </w:r>
      <w:r w:rsidRPr="0074556C">
        <w:fldChar w:fldCharType="end"/>
      </w:r>
      <w:r w:rsidRPr="0074556C">
        <w:t>.</w:t>
      </w:r>
      <w:r>
        <w:t xml:space="preserve"> </w:t>
      </w:r>
    </w:p>
    <w:p w14:paraId="4816A6FB" w14:textId="368C6CA0" w:rsidR="00C04095" w:rsidRDefault="00C04095" w:rsidP="00D43F7F">
      <w:r w:rsidRPr="0074556C">
        <w:t xml:space="preserve">A high-throughput separate effects capability such as MiniFuel has the potential to support AFQ. Terrani et al. </w:t>
      </w:r>
      <w:r w:rsidRPr="0074556C">
        <w:fldChar w:fldCharType="begin"/>
      </w:r>
      <w:r>
        <w:instrText xml:space="preserve"> ADDIN EN.CITE &lt;EndNote&gt;&lt;Cite&gt;&lt;Author&gt;Terrani&lt;/Author&gt;&lt;Year&gt;2020&lt;/Year&gt;&lt;RecNum&gt;329&lt;/RecNum&gt;&lt;DisplayText&gt;[10]&lt;/DisplayText&gt;&lt;record&gt;&lt;rec-number&gt;329&lt;/rec-number&gt;&lt;foreign-keys&gt;&lt;key app="EN" db-id="eseee05sfe5vt6efvr0xapvq20vfdsfp5fvf" timestamp="1694799015" guid="2592c69c-465c-42e8-985f-10ae1a4393f8"&gt;329&lt;/key&gt;&lt;/foreign-keys&gt;&lt;ref-type name="Journal Article"&gt;17&lt;/ref-type&gt;&lt;contributors&gt;&lt;authors&gt;&lt;author&gt;Terrani, Kurt A.&lt;/author&gt;&lt;author&gt;Capps, Nathan A.&lt;/author&gt;&lt;author&gt;Kerr, Matthew J.&lt;/author&gt;&lt;author&gt;Back, Christina A.&lt;/author&gt;&lt;author&gt;Nelson, Andrew T.&lt;/author&gt;&lt;author&gt;Wirth, Brian D.&lt;/author&gt;&lt;author&gt;Hayes, Steven L.&lt;/author&gt;&lt;author&gt;Stanek, Chris R.&lt;/author&gt;&lt;/authors&gt;&lt;/contributors&gt;&lt;titles&gt;&lt;title&gt;Accelerating nuclear fuel development and qualification: Modeling and simulation integrated with separate-effects testing&lt;/title&gt;&lt;secondary-title&gt;Journal of Nuclear Materials&lt;/secondary-title&gt;&lt;/titles&gt;&lt;periodical&gt;&lt;full-title&gt;Journal of Nuclear Materials&lt;/full-title&gt;&lt;/periodical&gt;&lt;pages&gt;152267&lt;/pages&gt;&lt;volume&gt;539&lt;/volume&gt;&lt;dates&gt;&lt;year&gt;2020&lt;/year&gt;&lt;pub-dates&gt;&lt;date&gt;2020/10/01/&lt;/date&gt;&lt;/pub-dates&gt;&lt;/dates&gt;&lt;isbn&gt;0022-3115&lt;/isbn&gt;&lt;urls&gt;&lt;related-urls&gt;&lt;url&gt;https://www.sciencedirect.com/science/article/pii/S0022311519316733&lt;/url&gt;&lt;/related-urls&gt;&lt;/urls&gt;&lt;electronic-resource-num&gt;https://doi.org/10.1016/j.jnucmat.2020.152267&lt;/electronic-resource-num&gt;&lt;/record&gt;&lt;/Cite&gt;&lt;/EndNote&gt;</w:instrText>
      </w:r>
      <w:r w:rsidRPr="0074556C">
        <w:fldChar w:fldCharType="separate"/>
      </w:r>
      <w:r>
        <w:rPr>
          <w:noProof/>
        </w:rPr>
        <w:t>[10]</w:t>
      </w:r>
      <w:r w:rsidRPr="0074556C">
        <w:fldChar w:fldCharType="end"/>
      </w:r>
      <w:r w:rsidRPr="0074556C">
        <w:t xml:space="preserve"> proposed a methodology for AFQ that leverages rapid design iteration between separate effects experiments and computational model development for enhanced mapping of fuel irradiation performance. The goal of this iterative process is to map out regions of high uncertainty within computational models and design new experiments to reduce the model uncertainty. The framework established </w:t>
      </w:r>
      <w:r>
        <w:t>by</w:t>
      </w:r>
      <w:r w:rsidRPr="0074556C">
        <w:t xml:space="preserve"> </w:t>
      </w:r>
      <w:r>
        <w:t>the</w:t>
      </w:r>
      <w:r w:rsidRPr="0074556C">
        <w:t xml:space="preserve"> series of sensitivity analyses </w:t>
      </w:r>
      <w:r>
        <w:t xml:space="preserve">presented herein </w:t>
      </w:r>
      <w:r w:rsidRPr="0074556C">
        <w:t xml:space="preserve">could easily be adapted to fit the needs of AFQ. </w:t>
      </w:r>
    </w:p>
    <w:p w14:paraId="3E8316A4" w14:textId="14714638" w:rsidR="00B43800" w:rsidRDefault="00B43800" w:rsidP="007245A9">
      <w:pPr>
        <w:pStyle w:val="Heading3"/>
      </w:pPr>
      <w:bookmarkStart w:id="136" w:name="_Toc202957476"/>
      <w:r>
        <w:lastRenderedPageBreak/>
        <w:t>Past MiniFuel Experimental Campaigns</w:t>
      </w:r>
      <w:bookmarkEnd w:id="136"/>
    </w:p>
    <w:p w14:paraId="7A466088" w14:textId="15A16763" w:rsidR="00A7125E" w:rsidRDefault="00A7125E" w:rsidP="00D43F7F">
      <w:r>
        <w:t xml:space="preserve">MiniFuel has been </w:t>
      </w:r>
      <w:r w:rsidRPr="0074556C">
        <w:t>leveraged across several experimental campaigns to investigate the performance of fuels</w:t>
      </w:r>
      <w:r>
        <w:t xml:space="preserve"> at temperatures spanning ~200</w:t>
      </w:r>
      <w:r w:rsidRPr="00C31F71">
        <w:rPr>
          <w:vertAlign w:val="superscript"/>
        </w:rPr>
        <w:t>°</w:t>
      </w:r>
      <w:r w:rsidRPr="00C31F71">
        <w:rPr>
          <w:rFonts w:hint="eastAsia"/>
        </w:rPr>
        <w:t>C</w:t>
      </w:r>
      <w:r>
        <w:t>-900</w:t>
      </w:r>
      <w:r w:rsidRPr="00C31F71">
        <w:rPr>
          <w:vertAlign w:val="superscript"/>
        </w:rPr>
        <w:t>°</w:t>
      </w:r>
      <w:r w:rsidRPr="00C31F71">
        <w:rPr>
          <w:rFonts w:hint="eastAsia"/>
        </w:rPr>
        <w:t>C</w:t>
      </w:r>
      <w:r w:rsidRPr="00C31F71">
        <w:rPr>
          <w:rFonts w:asciiTheme="minorHAnsi" w:eastAsiaTheme="minorEastAsia" w:hAnsi="+mn-ea" w:cstheme="minorBidi"/>
          <w:color w:val="000000" w:themeColor="text1"/>
          <w:kern w:val="24"/>
          <w:position w:val="11"/>
          <w:sz w:val="36"/>
          <w:szCs w:val="36"/>
          <w:vertAlign w:val="superscript"/>
        </w:rPr>
        <w:t xml:space="preserve"> </w:t>
      </w:r>
      <w:r>
        <w:t xml:space="preserve">utilizing the VXFs in HFIR’s permanent beryllium reflector region </w:t>
      </w:r>
      <w:r>
        <w:fldChar w:fldCharType="begin">
          <w:fldData xml:space="preserve">PEVuZE5vdGU+PENpdGU+PEF1dGhvcj5QZXRyaWU8L0F1dGhvcj48WWVhcj4yMDE5PC9ZZWFyPjxS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</w:fldData>
        </w:fldChar>
      </w:r>
      <w:r w:rsidR="003026BC">
        <w:instrText xml:space="preserve"> ADDIN EN.CITE </w:instrText>
      </w:r>
      <w:r w:rsidR="003026BC">
        <w:fldChar w:fldCharType="begin">
          <w:fldData xml:space="preserve">PEVuZE5vdGU+PENpdGU+PEF1dGhvcj5QZXRyaWU8L0F1dGhvcj48WWVhcj4yMDE5PC9ZZWFyPjxS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</w:fldData>
        </w:fldChar>
      </w:r>
      <w:r w:rsidR="003026BC">
        <w:instrText xml:space="preserve"> ADDIN EN.CITE.DATA </w:instrText>
      </w:r>
      <w:r w:rsidR="003026BC">
        <w:fldChar w:fldCharType="end"/>
      </w:r>
      <w:r>
        <w:fldChar w:fldCharType="separate"/>
      </w:r>
      <w:r w:rsidR="003026BC">
        <w:rPr>
          <w:noProof/>
        </w:rPr>
        <w:t>[22, 136, 140, 141]</w:t>
      </w:r>
      <w:r>
        <w:fldChar w:fldCharType="end"/>
      </w:r>
      <w:r w:rsidRPr="0074556C">
        <w:t>.</w:t>
      </w:r>
      <w:r>
        <w:t xml:space="preserve"> </w:t>
      </w:r>
      <w:r w:rsidR="003F463F">
        <w:t xml:space="preserve">These </w:t>
      </w:r>
      <w:r w:rsidRPr="0074556C">
        <w:t>experimental campaign</w:t>
      </w:r>
      <w:r w:rsidR="003F463F">
        <w:t xml:space="preserve">s have </w:t>
      </w:r>
      <w:r w:rsidRPr="0074556C">
        <w:t>investigate</w:t>
      </w:r>
      <w:r w:rsidR="003F463F">
        <w:t>d</w:t>
      </w:r>
      <w:r w:rsidRPr="0074556C">
        <w:t xml:space="preserve"> the performance of low</w:t>
      </w:r>
      <w:r>
        <w:t>-</w:t>
      </w:r>
      <w:r w:rsidRPr="0074556C">
        <w:t>enriched uranium (LEU) fuels</w:t>
      </w:r>
      <w:r>
        <w:t>,</w:t>
      </w:r>
      <w:r w:rsidRPr="0074556C">
        <w:t xml:space="preserve"> including UO</w:t>
      </w:r>
      <w:r w:rsidRPr="0074556C">
        <w:rPr>
          <w:vertAlign w:val="subscript"/>
        </w:rPr>
        <w:t>2</w:t>
      </w:r>
      <w:r w:rsidRPr="0074556C">
        <w:t>, UN, UC, UMo, and U</w:t>
      </w:r>
      <w:r w:rsidRPr="0074556C">
        <w:rPr>
          <w:vertAlign w:val="subscript"/>
        </w:rPr>
        <w:t>3</w:t>
      </w:r>
      <w:r w:rsidRPr="0074556C">
        <w:t>Si</w:t>
      </w:r>
      <w:r w:rsidRPr="0074556C">
        <w:rPr>
          <w:vertAlign w:val="subscript"/>
        </w:rPr>
        <w:t>2</w:t>
      </w:r>
      <w:r w:rsidRPr="0074556C">
        <w:t xml:space="preserve"> in bare kernel, disc, fully ceramic microencapsulated (FCM), and tristructural isotropic (TRISO) fuel forms </w:t>
      </w:r>
      <w:r w:rsidRPr="0074556C">
        <w:fldChar w:fldCharType="begin">
          <w:fldData xml:space="preserve">PEVuZE5vdGU+PENpdGU+PEF1dGhvcj5MZSBDb3E8L0F1dGhvcj48WWVhcj4yMDIyPC9ZZWFyPjxS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==
</w:fldData>
        </w:fldChar>
      </w:r>
      <w:r w:rsidR="003026BC">
        <w:instrText xml:space="preserve"> ADDIN EN.CITE </w:instrText>
      </w:r>
      <w:r w:rsidR="003026BC">
        <w:fldChar w:fldCharType="begin">
          <w:fldData xml:space="preserve">PEVuZE5vdGU+PENpdGU+PEF1dGhvcj5MZSBDb3E8L0F1dGhvcj48WWVhcj4yMDIyPC9ZZWFyPjxS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==
</w:fldData>
        </w:fldChar>
      </w:r>
      <w:r w:rsidR="003026BC">
        <w:instrText xml:space="preserve"> ADDIN EN.CITE.DATA </w:instrText>
      </w:r>
      <w:r w:rsidR="003026BC">
        <w:fldChar w:fldCharType="end"/>
      </w:r>
      <w:r w:rsidRPr="0074556C">
        <w:fldChar w:fldCharType="separate"/>
      </w:r>
      <w:r w:rsidR="003026BC">
        <w:rPr>
          <w:noProof/>
        </w:rPr>
        <w:t>[137, 138, 141-146]</w:t>
      </w:r>
      <w:r w:rsidRPr="0074556C">
        <w:fldChar w:fldCharType="end"/>
      </w:r>
      <w:r w:rsidRPr="0074556C">
        <w:t xml:space="preserve">. </w:t>
      </w:r>
      <w:r w:rsidR="003F463F">
        <w:t xml:space="preserve">The MiniFuel platform has recently been extended to utilize the RB region of the core to enable higher temperature irradiations and fuel specimen fission rates roughly three times that of VXF, however PIE has yet to be performed on these experiments </w:t>
      </w:r>
      <w:r w:rsidR="003F463F">
        <w:fldChar w:fldCharType="begin">
          <w:fldData xml:space="preserve">PEVuZE5vdGU+PENpdGU+PEF1dGhvcj5Hb3J0b248L0F1dGhvcj48WWVhcj4yMDI0PC9ZZWFyPjxS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</w:fldData>
        </w:fldChar>
      </w:r>
      <w:r w:rsidR="003026BC">
        <w:instrText xml:space="preserve"> ADDIN EN.CITE </w:instrText>
      </w:r>
      <w:r w:rsidR="003026BC">
        <w:fldChar w:fldCharType="begin">
          <w:fldData xml:space="preserve">PEVuZE5vdGU+PENpdGU+PEF1dGhvcj5Hb3J0b248L0F1dGhvcj48WWVhcj4yMDI0PC9ZZWFyPjxS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</w:fldData>
        </w:fldChar>
      </w:r>
      <w:r w:rsidR="003026BC">
        <w:instrText xml:space="preserve"> ADDIN EN.CITE.DATA </w:instrText>
      </w:r>
      <w:r w:rsidR="003026BC">
        <w:fldChar w:fldCharType="end"/>
      </w:r>
      <w:r w:rsidR="003F463F">
        <w:fldChar w:fldCharType="separate"/>
      </w:r>
      <w:r w:rsidR="003026BC">
        <w:rPr>
          <w:noProof/>
        </w:rPr>
        <w:t>[131, 147]</w:t>
      </w:r>
      <w:r w:rsidR="003F463F">
        <w:fldChar w:fldCharType="end"/>
      </w:r>
      <w:r w:rsidR="003F463F">
        <w:t xml:space="preserve">. </w:t>
      </w:r>
    </w:p>
    <w:p w14:paraId="3AAAACFC" w14:textId="4F973859" w:rsidR="00E07D61" w:rsidRDefault="00421D1C" w:rsidP="00E07D61">
      <w:r>
        <w:t xml:space="preserve">The first MiniFuel experiments, denoted MF01 and MF02 were designed for the continued development of uranium nitride (UN) tristructural isotropic (TRISO) fuel </w:t>
      </w:r>
      <w:r>
        <w:fldChar w:fldCharType="begin">
          <w:fldData xml:space="preserve">PEVuZE5vdGU+PENpdGU+PEF1dGhvcj5QZXRyaWU8L0F1dGhvcj48WWVhcj4yMDE5PC9ZZWFyPjxS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</w:fldData>
        </w:fldChar>
      </w:r>
      <w:r w:rsidR="003026BC">
        <w:instrText xml:space="preserve"> ADDIN EN.CITE </w:instrText>
      </w:r>
      <w:r w:rsidR="003026BC">
        <w:fldChar w:fldCharType="begin">
          <w:fldData xml:space="preserve">PEVuZE5vdGU+PENpdGU+PEF1dGhvcj5QZXRyaWU8L0F1dGhvcj48WWVhcj4yMDE5PC9ZZWFyPjxS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</w:fldData>
        </w:fldChar>
      </w:r>
      <w:r w:rsidR="003026BC">
        <w:instrText xml:space="preserve"> ADDIN EN.CITE.DATA </w:instrText>
      </w:r>
      <w:r w:rsidR="003026BC">
        <w:fldChar w:fldCharType="end"/>
      </w:r>
      <w:r>
        <w:fldChar w:fldCharType="separate"/>
      </w:r>
      <w:r w:rsidR="003026BC">
        <w:rPr>
          <w:noProof/>
        </w:rPr>
        <w:t>[22, 137]</w:t>
      </w:r>
      <w:r>
        <w:fldChar w:fldCharType="end"/>
      </w:r>
      <w:r>
        <w:t xml:space="preserve">. A summary of the experimental conditions for each subcapsule within the test matrix are shown in </w:t>
      </w:r>
      <w:r w:rsidRPr="007258A1">
        <w:rPr>
          <w:b/>
          <w:bCs/>
        </w:rPr>
        <w:fldChar w:fldCharType="begin"/>
      </w:r>
      <w:r w:rsidRPr="007258A1">
        <w:rPr>
          <w:b/>
          <w:bCs/>
        </w:rPr>
        <w:instrText xml:space="preserve"> REF _Ref161053579 \h </w:instrText>
      </w:r>
      <w:r w:rsidR="007258A1">
        <w:rPr>
          <w:b/>
          <w:bCs/>
        </w:rPr>
        <w:instrText xml:space="preserve"> \* MERGEFORMAT </w:instrText>
      </w:r>
      <w:r w:rsidRPr="007258A1">
        <w:rPr>
          <w:b/>
          <w:bCs/>
        </w:rPr>
      </w:r>
      <w:r w:rsidRPr="007258A1">
        <w:rPr>
          <w:b/>
          <w:bCs/>
        </w:rPr>
        <w:fldChar w:fldCharType="separate"/>
      </w:r>
      <w:r w:rsidR="00BF7E93" w:rsidRPr="00BF7E93">
        <w:rPr>
          <w:b/>
          <w:bCs/>
        </w:rPr>
        <w:t xml:space="preserve">Table </w:t>
      </w:r>
      <w:r w:rsidR="00BF7E93" w:rsidRPr="00BF7E93">
        <w:rPr>
          <w:b/>
          <w:bCs/>
          <w:noProof/>
        </w:rPr>
        <w:t>4.2</w:t>
      </w:r>
      <w:r w:rsidRPr="007258A1">
        <w:rPr>
          <w:b/>
          <w:bCs/>
        </w:rPr>
        <w:fldChar w:fldCharType="end"/>
      </w:r>
      <w:r>
        <w:t>.</w:t>
      </w:r>
      <w:r w:rsidR="0094193C" w:rsidRPr="0094193C">
        <w:t xml:space="preserve"> </w:t>
      </w:r>
      <w:r w:rsidR="0094193C">
        <w:t xml:space="preserve">This study was intended as a scoping study looking at different fuel compositions including bare uranium mononitride and monocarbide, U(C,N), varying in both carbide to nitride ratio and fuel density, kernels with integrated burnable absorber in the form of gadolinium, and several TRISO particles with varying layer composition </w:t>
      </w:r>
      <w:r w:rsidR="0094193C">
        <w:fldChar w:fldCharType="begin"/>
      </w:r>
      <w:r w:rsidR="003026BC">
        <w:instrText xml:space="preserve"> ADDIN EN.CITE &lt;EndNote&gt;&lt;Cite&gt;&lt;Author&gt;Harp&lt;/Author&gt;&lt;Year&gt;2021&lt;/Year&gt;&lt;RecNum&gt;422&lt;/RecNum&gt;&lt;DisplayText&gt;[137]&lt;/DisplayText&gt;&lt;record&gt;&lt;rec-number&gt;422&lt;/rec-number&gt;&lt;foreign-keys&gt;&lt;key app="EN" db-id="eseee05sfe5vt6efvr0xapvq20vfdsfp5fvf" timestamp="1710037058"&gt;422&lt;/key&gt;&lt;/foreign-keys&gt;&lt;ref-type name="Journal Article"&gt;17&lt;/ref-type&gt;&lt;contributors&gt;&lt;authors&gt;&lt;author&gt;Harp, Jason M.&lt;/author&gt;&lt;author&gt;Morris, Robert N.&lt;/author&gt;&lt;author&gt;Petrie, Christian M.&lt;/author&gt;&lt;author&gt;Burns, Joseph R.&lt;/author&gt;&lt;author&gt;Terrani, Kurt A.&lt;/author&gt;&lt;/authors&gt;&lt;/contributors&gt;&lt;titles&gt;&lt;title&gt;Postirradiation examination from separate effects irradiation testing of uranium nitride kernels and coated particles&lt;/title&gt;&lt;secondary-title&gt;Journal of Nuclear Materials&lt;/secondary-title&gt;&lt;/titles&gt;&lt;periodical&gt;&lt;full-title&gt;Journal of Nuclear Materials&lt;/full-title&gt;&lt;/periodical&gt;&lt;pages&gt;152696&lt;/pages&gt;&lt;volume&gt;544&lt;/volume&gt;&lt;keywords&gt;&lt;keyword&gt;Separate effects&lt;/keyword&gt;&lt;keyword&gt;Irradiation testing&lt;/keyword&gt;&lt;keyword&gt;Postirradiation examination&lt;/keyword&gt;&lt;keyword&gt;Uranium nitride&lt;/keyword&gt;&lt;keyword&gt;TRISO&lt;/keyword&gt;&lt;/keywords&gt;&lt;dates&gt;&lt;year&gt;2021&lt;/year&gt;&lt;pub-dates&gt;&lt;date&gt;2021/02/01/&lt;/date&gt;&lt;/pub-dates&gt;&lt;/dates&gt;&lt;isbn&gt;0022-3115&lt;/isbn&gt;&lt;urls&gt;&lt;related-urls&gt;&lt;url&gt;https://www.sciencedirect.com/science/article/pii/S0022311520313040&lt;/url&gt;&lt;/related-urls&gt;&lt;/urls&gt;&lt;electronic-resource-num&gt;https://doi.org/10.1016/j.jnucmat.2020.152696&lt;/electronic-resource-num&gt;&lt;/record&gt;&lt;/Cite&gt;&lt;/EndNote&gt;</w:instrText>
      </w:r>
      <w:r w:rsidR="0094193C">
        <w:fldChar w:fldCharType="separate"/>
      </w:r>
      <w:r w:rsidR="003026BC">
        <w:rPr>
          <w:noProof/>
        </w:rPr>
        <w:t>[137]</w:t>
      </w:r>
      <w:r w:rsidR="0094193C">
        <w:fldChar w:fldCharType="end"/>
      </w:r>
      <w:r w:rsidR="0094193C">
        <w:t xml:space="preserve">. MF01 and MF02 were placed in the HFIR VXF irradiation positions within the outer reflector of the core in June 2018 with target burnups of 1% </w:t>
      </w:r>
      <w:r w:rsidR="008110D5">
        <w:t xml:space="preserve">FIMA and 6% FIMA respectfully  </w:t>
      </w:r>
      <w:r w:rsidR="008110D5">
        <w:fldChar w:fldCharType="begin"/>
      </w:r>
      <w:r w:rsidR="003026BC">
        <w:instrText xml:space="preserve"> ADDIN EN.CITE &lt;EndNote&gt;&lt;Cite&gt;&lt;Author&gt;Harp&lt;/Author&gt;&lt;Year&gt;2021&lt;/Year&gt;&lt;RecNum&gt;422&lt;/RecNum&gt;&lt;DisplayText&gt;[137]&lt;/DisplayText&gt;&lt;record&gt;&lt;rec-number&gt;422&lt;/rec-number&gt;&lt;foreign-keys&gt;&lt;key app="EN" db-id="eseee05sfe5vt6efvr0xapvq20vfdsfp5fvf" timestamp="1710037058"&gt;422&lt;/key&gt;&lt;/foreign-keys&gt;&lt;ref-type name="Journal Article"&gt;17&lt;/ref-type&gt;&lt;contributors&gt;&lt;authors&gt;&lt;author&gt;Harp, Jason M.&lt;/author&gt;&lt;author&gt;Morris, Robert N.&lt;/author&gt;&lt;author&gt;Petrie, Christian M.&lt;/author&gt;&lt;author&gt;Burns, Joseph R.&lt;/author&gt;&lt;author&gt;Terrani, Kurt A.&lt;/author&gt;&lt;/authors&gt;&lt;/contributors&gt;&lt;titles&gt;&lt;title&gt;Postirradiation examination from separate effects irradiation testing of uranium nitride kernels and coated particles&lt;/title&gt;&lt;secondary-title&gt;Journal of Nuclear Materials&lt;/secondary-title&gt;&lt;/titles&gt;&lt;periodical&gt;&lt;full-title&gt;Journal of Nuclear Materials&lt;/full-title&gt;&lt;/periodical&gt;&lt;pages&gt;152696&lt;/pages&gt;&lt;volume&gt;544&lt;/volume&gt;&lt;keywords&gt;&lt;keyword&gt;Separate effects&lt;/keyword&gt;&lt;keyword&gt;Irradiation testing&lt;/keyword&gt;&lt;keyword&gt;Postirradiation examination&lt;/keyword&gt;&lt;keyword&gt;Uranium nitride&lt;/keyword&gt;&lt;keyword&gt;TRISO&lt;/keyword&gt;&lt;/keywords&gt;&lt;dates&gt;&lt;year&gt;2021&lt;/year&gt;&lt;pub-dates&gt;&lt;date&gt;2021/02/01/&lt;/date&gt;&lt;/pub-dates&gt;&lt;/dates&gt;&lt;isbn&gt;0022-3115&lt;/isbn&gt;&lt;urls&gt;&lt;related-urls&gt;&lt;url&gt;https://www.sciencedirect.com/science/article/pii/S0022311520313040&lt;/url&gt;&lt;/related-urls&gt;&lt;/urls&gt;&lt;electronic-resource-num&gt;https://doi.org/10.1016/j.jnucmat.2020.152696&lt;/electronic-resource-num&gt;&lt;/record&gt;&lt;/Cite&gt;&lt;/EndNote&gt;</w:instrText>
      </w:r>
      <w:r w:rsidR="008110D5">
        <w:fldChar w:fldCharType="separate"/>
      </w:r>
      <w:r w:rsidR="003026BC">
        <w:rPr>
          <w:noProof/>
        </w:rPr>
        <w:t>[137]</w:t>
      </w:r>
      <w:r w:rsidR="008110D5">
        <w:fldChar w:fldCharType="end"/>
      </w:r>
      <w:r w:rsidR="008110D5">
        <w:t xml:space="preserve">. Other notable MiniFuel experiments that have </w:t>
      </w:r>
      <w:r w:rsidR="00E07D61">
        <w:br w:type="page"/>
      </w:r>
    </w:p>
    <w:p w14:paraId="475E8A70" w14:textId="5375CD66" w:rsidR="00D360AF" w:rsidRDefault="00D360AF" w:rsidP="00874CBB">
      <w:pPr>
        <w:pStyle w:val="Caption"/>
      </w:pPr>
      <w:bookmarkStart w:id="137" w:name="_Ref161053579"/>
      <w:bookmarkStart w:id="138" w:name="_Toc202957523"/>
      <w:r w:rsidRPr="009D2AA9">
        <w:lastRenderedPageBreak/>
        <w:t xml:space="preserve">Table </w:t>
      </w:r>
      <w:fldSimple w:instr=" STYLEREF 1 \s ">
        <w:r w:rsidR="00BF7E93">
          <w:rPr>
            <w:noProof/>
          </w:rPr>
          <w:t>4</w:t>
        </w:r>
      </w:fldSimple>
      <w:r w:rsidRPr="009D2AA9">
        <w:t>.</w:t>
      </w:r>
      <w:fldSimple w:instr=" SEQ Table \* ARABIC \s 1 ">
        <w:r w:rsidR="00BF7E93">
          <w:rPr>
            <w:noProof/>
          </w:rPr>
          <w:t>2</w:t>
        </w:r>
      </w:fldSimple>
      <w:bookmarkEnd w:id="137"/>
      <w:r w:rsidRPr="009D2AA9">
        <w:t xml:space="preserve">. </w:t>
      </w:r>
      <w:r>
        <w:t xml:space="preserve">MF01/MF02 Irradiation Test Matrix </w:t>
      </w:r>
      <w:r>
        <w:fldChar w:fldCharType="begin">
          <w:fldData xml:space="preserve">PEVuZE5vdGU+PENpdGU+PEF1dGhvcj5QZXRyaWU8L0F1dGhvcj48WWVhcj4yMDE5PC9ZZWFyPjxS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</w:fldData>
        </w:fldChar>
      </w:r>
      <w:r w:rsidR="003026BC">
        <w:instrText xml:space="preserve"> ADDIN EN.CITE </w:instrText>
      </w:r>
      <w:r w:rsidR="003026BC">
        <w:fldChar w:fldCharType="begin">
          <w:fldData xml:space="preserve">PEVuZE5vdGU+PENpdGU+PEF1dGhvcj5QZXRyaWU8L0F1dGhvcj48WWVhcj4yMDE5PC9ZZWFyPjxS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</w:fldData>
        </w:fldChar>
      </w:r>
      <w:r w:rsidR="003026BC">
        <w:instrText xml:space="preserve"> ADDIN EN.CITE.DATA </w:instrText>
      </w:r>
      <w:r w:rsidR="003026BC">
        <w:fldChar w:fldCharType="end"/>
      </w:r>
      <w:r>
        <w:fldChar w:fldCharType="separate"/>
      </w:r>
      <w:r w:rsidR="003026BC">
        <w:rPr>
          <w:noProof/>
        </w:rPr>
        <w:t>[22, 137]</w:t>
      </w:r>
      <w:r>
        <w:fldChar w:fldCharType="end"/>
      </w:r>
      <w:r>
        <w:t>.</w:t>
      </w:r>
      <w:bookmarkEnd w:id="138"/>
    </w:p>
    <w:tbl>
      <w:tblPr>
        <w:tblW w:w="104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1515"/>
        <w:gridCol w:w="1980"/>
        <w:gridCol w:w="1440"/>
        <w:gridCol w:w="1530"/>
        <w:gridCol w:w="1260"/>
        <w:gridCol w:w="1170"/>
        <w:gridCol w:w="1530"/>
      </w:tblGrid>
      <w:tr w:rsidR="00D360AF" w:rsidRPr="004F5769" w14:paraId="3E3B6F08" w14:textId="77777777" w:rsidTr="00AE2101">
        <w:trPr>
          <w:jc w:val="center"/>
        </w:trPr>
        <w:tc>
          <w:tcPr>
            <w:tcW w:w="1515" w:type="dxa"/>
            <w:tcBorders>
              <w:top w:val="double" w:sz="4" w:space="0" w:color="auto"/>
              <w:left w:val="double" w:sz="4" w:space="0" w:color="auto"/>
              <w:bottom w:val="double" w:sz="4" w:space="0" w:color="auto"/>
              <w:right w:val="double" w:sz="4" w:space="0" w:color="auto"/>
            </w:tcBorders>
            <w:vAlign w:val="center"/>
          </w:tcPr>
          <w:p w14:paraId="10F1C67A" w14:textId="77777777" w:rsidR="00D360AF" w:rsidRDefault="00D360AF" w:rsidP="00E07D61">
            <w:pPr>
              <w:pStyle w:val="TableText"/>
            </w:pPr>
            <w:r>
              <w:t>Subcapsule Position by RAS*</w:t>
            </w:r>
          </w:p>
          <w:p w14:paraId="2657FD5B" w14:textId="77777777" w:rsidR="00D360AF" w:rsidRPr="004F5769" w:rsidRDefault="00D360AF" w:rsidP="00E07D61">
            <w:pPr>
              <w:pStyle w:val="TableText"/>
            </w:pPr>
          </w:p>
        </w:tc>
        <w:tc>
          <w:tcPr>
            <w:tcW w:w="1980" w:type="dxa"/>
            <w:tcBorders>
              <w:top w:val="double" w:sz="4" w:space="0" w:color="auto"/>
              <w:left w:val="double" w:sz="4" w:space="0" w:color="auto"/>
              <w:bottom w:val="double" w:sz="4" w:space="0" w:color="auto"/>
              <w:right w:val="double" w:sz="4" w:space="0" w:color="auto"/>
            </w:tcBorders>
            <w:vAlign w:val="center"/>
          </w:tcPr>
          <w:p w14:paraId="189F4708" w14:textId="77777777" w:rsidR="00D360AF" w:rsidRDefault="00D360AF" w:rsidP="00E07D61">
            <w:pPr>
              <w:pStyle w:val="TableText"/>
            </w:pPr>
            <w:r>
              <w:t>Fuel Composition</w:t>
            </w:r>
          </w:p>
          <w:p w14:paraId="3174AF83" w14:textId="77777777" w:rsidR="00D360AF" w:rsidRDefault="00D360AF" w:rsidP="00E07D61">
            <w:pPr>
              <w:pStyle w:val="TableText"/>
            </w:pPr>
          </w:p>
          <w:p w14:paraId="647DF181" w14:textId="77777777" w:rsidR="00D360AF" w:rsidRPr="004F5769" w:rsidRDefault="00D360AF" w:rsidP="00E07D61">
            <w:pPr>
              <w:pStyle w:val="TableText"/>
            </w:pPr>
          </w:p>
        </w:tc>
        <w:tc>
          <w:tcPr>
            <w:tcW w:w="1440" w:type="dxa"/>
            <w:tcBorders>
              <w:top w:val="double" w:sz="4" w:space="0" w:color="auto"/>
              <w:left w:val="double" w:sz="4" w:space="0" w:color="auto"/>
              <w:bottom w:val="double" w:sz="4" w:space="0" w:color="auto"/>
              <w:right w:val="double" w:sz="4" w:space="0" w:color="auto"/>
            </w:tcBorders>
            <w:vAlign w:val="center"/>
          </w:tcPr>
          <w:p w14:paraId="4EA6D58D" w14:textId="77777777" w:rsidR="00D360AF" w:rsidRPr="004F5769" w:rsidRDefault="00D360AF" w:rsidP="00E07D61">
            <w:pPr>
              <w:pStyle w:val="TableText"/>
            </w:pPr>
            <w:r>
              <w:t>Kernel Theoretic Density (%)</w:t>
            </w:r>
          </w:p>
        </w:tc>
        <w:tc>
          <w:tcPr>
            <w:tcW w:w="1530" w:type="dxa"/>
            <w:tcBorders>
              <w:top w:val="double" w:sz="4" w:space="0" w:color="auto"/>
              <w:left w:val="double" w:sz="4" w:space="0" w:color="auto"/>
              <w:bottom w:val="double" w:sz="4" w:space="0" w:color="auto"/>
            </w:tcBorders>
            <w:vAlign w:val="center"/>
          </w:tcPr>
          <w:p w14:paraId="715B6D71" w14:textId="77777777" w:rsidR="00D360AF" w:rsidRDefault="00D360AF" w:rsidP="00E07D61">
            <w:pPr>
              <w:pStyle w:val="TableText"/>
            </w:pPr>
            <w:r>
              <w:rPr>
                <w:vertAlign w:val="superscript"/>
              </w:rPr>
              <w:t>235</w:t>
            </w:r>
            <w:r>
              <w:t xml:space="preserve">U Enrichment </w:t>
            </w:r>
          </w:p>
          <w:p w14:paraId="5B82857B" w14:textId="77777777" w:rsidR="00D360AF" w:rsidRDefault="00D360AF" w:rsidP="00E07D61">
            <w:pPr>
              <w:pStyle w:val="TableText"/>
            </w:pPr>
          </w:p>
          <w:p w14:paraId="39479C39" w14:textId="77777777" w:rsidR="00D360AF" w:rsidRPr="004F258B" w:rsidRDefault="00D360AF" w:rsidP="00E07D61">
            <w:pPr>
              <w:pStyle w:val="TableText"/>
            </w:pPr>
            <w:r>
              <w:t>(wt. %)</w:t>
            </w:r>
          </w:p>
        </w:tc>
        <w:tc>
          <w:tcPr>
            <w:tcW w:w="1260" w:type="dxa"/>
            <w:tcBorders>
              <w:top w:val="double" w:sz="4" w:space="0" w:color="auto"/>
              <w:left w:val="double" w:sz="4" w:space="0" w:color="auto"/>
              <w:bottom w:val="double" w:sz="4" w:space="0" w:color="auto"/>
            </w:tcBorders>
          </w:tcPr>
          <w:p w14:paraId="0B40F6B3" w14:textId="77777777" w:rsidR="00D360AF" w:rsidRDefault="00D360AF" w:rsidP="00E07D61">
            <w:pPr>
              <w:pStyle w:val="TableText"/>
            </w:pPr>
            <w:r>
              <w:t xml:space="preserve">Target Burnup </w:t>
            </w:r>
          </w:p>
          <w:p w14:paraId="5644E926" w14:textId="77777777" w:rsidR="00D360AF" w:rsidRDefault="00D360AF" w:rsidP="00E07D61">
            <w:pPr>
              <w:pStyle w:val="TableText"/>
            </w:pPr>
          </w:p>
          <w:p w14:paraId="2CB13285" w14:textId="77777777" w:rsidR="00D360AF" w:rsidRPr="004F5769" w:rsidRDefault="00D360AF" w:rsidP="00E07D61">
            <w:pPr>
              <w:pStyle w:val="TableText"/>
            </w:pPr>
            <w:r>
              <w:t>(% FIMA)</w:t>
            </w:r>
          </w:p>
        </w:tc>
        <w:tc>
          <w:tcPr>
            <w:tcW w:w="1170" w:type="dxa"/>
            <w:tcBorders>
              <w:top w:val="double" w:sz="4" w:space="0" w:color="auto"/>
              <w:left w:val="double" w:sz="4" w:space="0" w:color="auto"/>
              <w:bottom w:val="double" w:sz="4" w:space="0" w:color="auto"/>
            </w:tcBorders>
          </w:tcPr>
          <w:p w14:paraId="24EBD862" w14:textId="77777777" w:rsidR="00D360AF" w:rsidRDefault="00D360AF" w:rsidP="00E07D61">
            <w:pPr>
              <w:pStyle w:val="TableText"/>
            </w:pPr>
            <w:r>
              <w:t>Target Temp</w:t>
            </w:r>
          </w:p>
          <w:p w14:paraId="06D8E6B2" w14:textId="77777777" w:rsidR="00D360AF" w:rsidRDefault="00D360AF" w:rsidP="00E07D61">
            <w:pPr>
              <w:pStyle w:val="TableText"/>
            </w:pPr>
          </w:p>
          <w:p w14:paraId="4A16EBE4" w14:textId="77777777" w:rsidR="00D360AF" w:rsidRDefault="00D360AF" w:rsidP="00E07D61">
            <w:pPr>
              <w:pStyle w:val="TableText"/>
            </w:pPr>
            <w:r>
              <w:t>(</w:t>
            </w:r>
            <w:r>
              <w:sym w:font="Symbol" w:char="F0B0"/>
            </w:r>
            <w:r>
              <w:t>C)</w:t>
            </w:r>
          </w:p>
        </w:tc>
        <w:tc>
          <w:tcPr>
            <w:tcW w:w="1530" w:type="dxa"/>
            <w:tcBorders>
              <w:top w:val="double" w:sz="4" w:space="0" w:color="auto"/>
              <w:left w:val="double" w:sz="4" w:space="0" w:color="auto"/>
              <w:bottom w:val="double" w:sz="4" w:space="0" w:color="auto"/>
            </w:tcBorders>
          </w:tcPr>
          <w:p w14:paraId="6C6470A1" w14:textId="77777777" w:rsidR="00D360AF" w:rsidRDefault="00D360AF" w:rsidP="00E07D61">
            <w:pPr>
              <w:pStyle w:val="TableText"/>
            </w:pPr>
            <w:r>
              <w:t>Fillgas</w:t>
            </w:r>
          </w:p>
          <w:p w14:paraId="6441B26B" w14:textId="77777777" w:rsidR="00D360AF" w:rsidRDefault="00D360AF" w:rsidP="00E07D61">
            <w:pPr>
              <w:pStyle w:val="TableText"/>
            </w:pPr>
          </w:p>
          <w:p w14:paraId="47669C4C" w14:textId="77777777" w:rsidR="00D360AF" w:rsidRDefault="00D360AF" w:rsidP="00E07D61">
            <w:pPr>
              <w:pStyle w:val="TableText"/>
            </w:pPr>
          </w:p>
          <w:p w14:paraId="4686D8E4" w14:textId="411670C7" w:rsidR="00D360AF" w:rsidRDefault="00D360AF" w:rsidP="00E07D61">
            <w:pPr>
              <w:pStyle w:val="TableText"/>
            </w:pPr>
            <w:r>
              <w:t>(%</w:t>
            </w:r>
            <w:r w:rsidR="006D3B0F">
              <w:t xml:space="preserve"> by vol</w:t>
            </w:r>
            <w:r>
              <w:t>)</w:t>
            </w:r>
          </w:p>
        </w:tc>
      </w:tr>
      <w:tr w:rsidR="00D360AF" w:rsidRPr="004F5769" w14:paraId="06CCB9C4" w14:textId="77777777" w:rsidTr="00AE2101">
        <w:trPr>
          <w:jc w:val="center"/>
        </w:trPr>
        <w:tc>
          <w:tcPr>
            <w:tcW w:w="1515" w:type="dxa"/>
            <w:tcBorders>
              <w:left w:val="double" w:sz="4" w:space="0" w:color="auto"/>
              <w:right w:val="double" w:sz="4" w:space="0" w:color="auto"/>
            </w:tcBorders>
            <w:vAlign w:val="center"/>
          </w:tcPr>
          <w:p w14:paraId="091F5555" w14:textId="77777777" w:rsidR="00D360AF" w:rsidRPr="004F5769" w:rsidRDefault="00D360AF" w:rsidP="00E07D61">
            <w:pPr>
              <w:pStyle w:val="TableText"/>
            </w:pPr>
            <w:r>
              <w:t>221/321</w:t>
            </w:r>
          </w:p>
        </w:tc>
        <w:tc>
          <w:tcPr>
            <w:tcW w:w="1980" w:type="dxa"/>
            <w:tcBorders>
              <w:left w:val="double" w:sz="4" w:space="0" w:color="auto"/>
              <w:right w:val="double" w:sz="4" w:space="0" w:color="auto"/>
            </w:tcBorders>
            <w:vAlign w:val="center"/>
          </w:tcPr>
          <w:p w14:paraId="1219660A" w14:textId="77777777" w:rsidR="00D360AF" w:rsidRDefault="00D360AF" w:rsidP="00E07D61">
            <w:pPr>
              <w:pStyle w:val="TableText"/>
            </w:pPr>
            <w:r>
              <w:t>UC</w:t>
            </w:r>
            <w:r>
              <w:rPr>
                <w:vertAlign w:val="subscript"/>
              </w:rPr>
              <w:t>.20</w:t>
            </w:r>
            <w:r>
              <w:t>N</w:t>
            </w:r>
            <w:r>
              <w:rPr>
                <w:vertAlign w:val="subscript"/>
              </w:rPr>
              <w:t>.80</w:t>
            </w:r>
          </w:p>
          <w:p w14:paraId="736C3E09" w14:textId="77777777" w:rsidR="00D360AF" w:rsidRPr="004F5769" w:rsidRDefault="00D360AF" w:rsidP="00E07D61">
            <w:pPr>
              <w:pStyle w:val="TableText"/>
            </w:pPr>
            <w:r>
              <w:t>Kernels</w:t>
            </w:r>
          </w:p>
        </w:tc>
        <w:tc>
          <w:tcPr>
            <w:tcW w:w="1440" w:type="dxa"/>
            <w:tcBorders>
              <w:left w:val="double" w:sz="4" w:space="0" w:color="auto"/>
              <w:right w:val="double" w:sz="4" w:space="0" w:color="auto"/>
            </w:tcBorders>
            <w:vAlign w:val="center"/>
          </w:tcPr>
          <w:p w14:paraId="1A94C626" w14:textId="77777777" w:rsidR="00D360AF" w:rsidRPr="004F5769" w:rsidRDefault="00D360AF" w:rsidP="00E07D61">
            <w:pPr>
              <w:pStyle w:val="TableText"/>
            </w:pPr>
            <w:r>
              <w:t>94.9</w:t>
            </w:r>
          </w:p>
        </w:tc>
        <w:tc>
          <w:tcPr>
            <w:tcW w:w="1530" w:type="dxa"/>
            <w:tcBorders>
              <w:left w:val="double" w:sz="4" w:space="0" w:color="auto"/>
            </w:tcBorders>
            <w:vAlign w:val="center"/>
          </w:tcPr>
          <w:p w14:paraId="5882626A" w14:textId="77777777" w:rsidR="00D360AF" w:rsidRPr="004F5769" w:rsidRDefault="00D360AF" w:rsidP="00E07D61">
            <w:pPr>
              <w:pStyle w:val="TableText"/>
            </w:pPr>
            <w:r>
              <w:t>0.22</w:t>
            </w:r>
          </w:p>
        </w:tc>
        <w:tc>
          <w:tcPr>
            <w:tcW w:w="1260" w:type="dxa"/>
            <w:tcBorders>
              <w:left w:val="double" w:sz="4" w:space="0" w:color="auto"/>
            </w:tcBorders>
            <w:vAlign w:val="center"/>
          </w:tcPr>
          <w:p w14:paraId="1D0668B5" w14:textId="77777777" w:rsidR="00D360AF" w:rsidRPr="004F5769" w:rsidRDefault="00D360AF" w:rsidP="00E07D61">
            <w:pPr>
              <w:pStyle w:val="TableText"/>
            </w:pPr>
            <w:r>
              <w:t>1/6</w:t>
            </w:r>
          </w:p>
        </w:tc>
        <w:tc>
          <w:tcPr>
            <w:tcW w:w="1170" w:type="dxa"/>
            <w:tcBorders>
              <w:left w:val="double" w:sz="4" w:space="0" w:color="auto"/>
            </w:tcBorders>
            <w:vAlign w:val="center"/>
          </w:tcPr>
          <w:p w14:paraId="19EBA652" w14:textId="77777777" w:rsidR="00D360AF" w:rsidRPr="004F5769" w:rsidRDefault="00D360AF" w:rsidP="00E07D61">
            <w:pPr>
              <w:pStyle w:val="TableText"/>
            </w:pPr>
            <w:r>
              <w:t>500/600</w:t>
            </w:r>
          </w:p>
        </w:tc>
        <w:tc>
          <w:tcPr>
            <w:tcW w:w="1530" w:type="dxa"/>
            <w:tcBorders>
              <w:left w:val="double" w:sz="4" w:space="0" w:color="auto"/>
            </w:tcBorders>
          </w:tcPr>
          <w:p w14:paraId="005864F8" w14:textId="77777777" w:rsidR="00D360AF" w:rsidRDefault="00D360AF" w:rsidP="00E07D61">
            <w:pPr>
              <w:pStyle w:val="TableText"/>
            </w:pPr>
            <w:r>
              <w:t>40.5% He</w:t>
            </w:r>
          </w:p>
          <w:p w14:paraId="5A263504" w14:textId="77777777" w:rsidR="00D360AF" w:rsidRDefault="00D360AF" w:rsidP="00E07D61">
            <w:pPr>
              <w:pStyle w:val="TableText"/>
            </w:pPr>
            <w:r>
              <w:t>Balance Ar</w:t>
            </w:r>
          </w:p>
        </w:tc>
      </w:tr>
      <w:tr w:rsidR="00D360AF" w:rsidRPr="004F5769" w14:paraId="47E190C9" w14:textId="77777777" w:rsidTr="00AE2101">
        <w:trPr>
          <w:jc w:val="center"/>
        </w:trPr>
        <w:tc>
          <w:tcPr>
            <w:tcW w:w="1515" w:type="dxa"/>
            <w:tcBorders>
              <w:left w:val="double" w:sz="4" w:space="0" w:color="auto"/>
              <w:right w:val="double" w:sz="4" w:space="0" w:color="auto"/>
            </w:tcBorders>
            <w:vAlign w:val="center"/>
          </w:tcPr>
          <w:p w14:paraId="76FF57DC" w14:textId="77777777" w:rsidR="00D360AF" w:rsidRPr="004F5769" w:rsidRDefault="00D360AF" w:rsidP="00E07D61">
            <w:pPr>
              <w:pStyle w:val="TableText"/>
              <w:rPr>
                <w:vertAlign w:val="subscript"/>
              </w:rPr>
            </w:pPr>
            <w:r>
              <w:t>222/322</w:t>
            </w:r>
          </w:p>
        </w:tc>
        <w:tc>
          <w:tcPr>
            <w:tcW w:w="1980" w:type="dxa"/>
            <w:tcBorders>
              <w:left w:val="double" w:sz="4" w:space="0" w:color="auto"/>
              <w:right w:val="double" w:sz="4" w:space="0" w:color="auto"/>
            </w:tcBorders>
            <w:vAlign w:val="center"/>
          </w:tcPr>
          <w:p w14:paraId="3CDA93F3" w14:textId="77777777" w:rsidR="00D360AF" w:rsidRDefault="00D360AF" w:rsidP="00E07D61">
            <w:pPr>
              <w:pStyle w:val="TableText"/>
            </w:pPr>
            <w:r>
              <w:t>UC</w:t>
            </w:r>
            <w:r>
              <w:rPr>
                <w:vertAlign w:val="subscript"/>
              </w:rPr>
              <w:t>.15</w:t>
            </w:r>
            <w:r>
              <w:t>N</w:t>
            </w:r>
            <w:r>
              <w:rPr>
                <w:vertAlign w:val="subscript"/>
              </w:rPr>
              <w:t>.85</w:t>
            </w:r>
          </w:p>
          <w:p w14:paraId="286AA307" w14:textId="77777777" w:rsidR="00D360AF" w:rsidRPr="004F5769" w:rsidRDefault="00D360AF" w:rsidP="00E07D61">
            <w:pPr>
              <w:pStyle w:val="TableText"/>
            </w:pPr>
            <w:r>
              <w:t>Kernels</w:t>
            </w:r>
          </w:p>
        </w:tc>
        <w:tc>
          <w:tcPr>
            <w:tcW w:w="1440" w:type="dxa"/>
            <w:tcBorders>
              <w:left w:val="double" w:sz="4" w:space="0" w:color="auto"/>
              <w:right w:val="double" w:sz="4" w:space="0" w:color="auto"/>
            </w:tcBorders>
            <w:vAlign w:val="center"/>
          </w:tcPr>
          <w:p w14:paraId="1DFCFD8A" w14:textId="77777777" w:rsidR="00D360AF" w:rsidRPr="004F5769" w:rsidRDefault="00D360AF" w:rsidP="00E07D61">
            <w:pPr>
              <w:pStyle w:val="TableText"/>
            </w:pPr>
            <w:r>
              <w:t>90.6</w:t>
            </w:r>
          </w:p>
        </w:tc>
        <w:tc>
          <w:tcPr>
            <w:tcW w:w="1530" w:type="dxa"/>
            <w:tcBorders>
              <w:left w:val="double" w:sz="4" w:space="0" w:color="auto"/>
            </w:tcBorders>
            <w:vAlign w:val="center"/>
          </w:tcPr>
          <w:p w14:paraId="0D97613E" w14:textId="77777777" w:rsidR="00D360AF" w:rsidRPr="004F5769" w:rsidRDefault="00D360AF" w:rsidP="00E07D61">
            <w:pPr>
              <w:pStyle w:val="TableText"/>
            </w:pPr>
            <w:r>
              <w:t>0.71</w:t>
            </w:r>
          </w:p>
        </w:tc>
        <w:tc>
          <w:tcPr>
            <w:tcW w:w="1260" w:type="dxa"/>
            <w:tcBorders>
              <w:left w:val="double" w:sz="4" w:space="0" w:color="auto"/>
            </w:tcBorders>
            <w:vAlign w:val="center"/>
          </w:tcPr>
          <w:p w14:paraId="037A2D4B" w14:textId="77777777" w:rsidR="00D360AF" w:rsidRPr="004F5769" w:rsidRDefault="00D360AF" w:rsidP="00E07D61">
            <w:pPr>
              <w:pStyle w:val="TableText"/>
            </w:pPr>
            <w:r>
              <w:t>1/6</w:t>
            </w:r>
          </w:p>
        </w:tc>
        <w:tc>
          <w:tcPr>
            <w:tcW w:w="1170" w:type="dxa"/>
            <w:tcBorders>
              <w:left w:val="double" w:sz="4" w:space="0" w:color="auto"/>
            </w:tcBorders>
            <w:vAlign w:val="center"/>
          </w:tcPr>
          <w:p w14:paraId="01283858" w14:textId="77777777" w:rsidR="00D360AF" w:rsidRPr="004F5769" w:rsidRDefault="00D360AF" w:rsidP="00E07D61">
            <w:pPr>
              <w:pStyle w:val="TableText"/>
            </w:pPr>
            <w:r>
              <w:t>500/600</w:t>
            </w:r>
          </w:p>
        </w:tc>
        <w:tc>
          <w:tcPr>
            <w:tcW w:w="1530" w:type="dxa"/>
            <w:tcBorders>
              <w:left w:val="double" w:sz="4" w:space="0" w:color="auto"/>
            </w:tcBorders>
          </w:tcPr>
          <w:p w14:paraId="7F062DE1" w14:textId="77777777" w:rsidR="00D360AF" w:rsidRDefault="00D360AF" w:rsidP="00E07D61">
            <w:pPr>
              <w:pStyle w:val="TableText"/>
            </w:pPr>
            <w:r>
              <w:t>40.5% He</w:t>
            </w:r>
          </w:p>
          <w:p w14:paraId="2B1B0D7F" w14:textId="77777777" w:rsidR="00D360AF" w:rsidRDefault="00D360AF" w:rsidP="00E07D61">
            <w:pPr>
              <w:pStyle w:val="TableText"/>
            </w:pPr>
            <w:r>
              <w:t>Balance Ar</w:t>
            </w:r>
          </w:p>
        </w:tc>
      </w:tr>
      <w:tr w:rsidR="00D360AF" w:rsidRPr="004F5769" w14:paraId="2B0B39FC" w14:textId="77777777" w:rsidTr="00AE2101">
        <w:trPr>
          <w:jc w:val="center"/>
        </w:trPr>
        <w:tc>
          <w:tcPr>
            <w:tcW w:w="1515" w:type="dxa"/>
            <w:tcBorders>
              <w:left w:val="double" w:sz="4" w:space="0" w:color="auto"/>
              <w:right w:val="double" w:sz="4" w:space="0" w:color="auto"/>
            </w:tcBorders>
            <w:vAlign w:val="center"/>
          </w:tcPr>
          <w:p w14:paraId="337C4C15" w14:textId="77777777" w:rsidR="00D360AF" w:rsidRPr="004F5769" w:rsidRDefault="00D360AF" w:rsidP="00E07D61">
            <w:pPr>
              <w:pStyle w:val="TableText"/>
            </w:pPr>
            <w:r>
              <w:t>223/323</w:t>
            </w:r>
          </w:p>
        </w:tc>
        <w:tc>
          <w:tcPr>
            <w:tcW w:w="1980" w:type="dxa"/>
            <w:tcBorders>
              <w:left w:val="double" w:sz="4" w:space="0" w:color="auto"/>
              <w:right w:val="double" w:sz="4" w:space="0" w:color="auto"/>
            </w:tcBorders>
            <w:vAlign w:val="center"/>
          </w:tcPr>
          <w:p w14:paraId="427F8C08" w14:textId="77777777" w:rsidR="00D360AF" w:rsidRPr="004F5769" w:rsidRDefault="00D360AF" w:rsidP="00E07D61">
            <w:pPr>
              <w:pStyle w:val="TableText"/>
            </w:pPr>
            <w:r>
              <w:t>U</w:t>
            </w:r>
            <w:r>
              <w:rPr>
                <w:vertAlign w:val="subscript"/>
              </w:rPr>
              <w:t>.89</w:t>
            </w:r>
            <w:r>
              <w:t>Gd</w:t>
            </w:r>
            <w:r>
              <w:rPr>
                <w:vertAlign w:val="subscript"/>
              </w:rPr>
              <w:t>.11</w:t>
            </w:r>
            <w:r>
              <w:t>C</w:t>
            </w:r>
            <w:r>
              <w:rPr>
                <w:vertAlign w:val="subscript"/>
              </w:rPr>
              <w:t>.11</w:t>
            </w:r>
            <w:r>
              <w:t>N</w:t>
            </w:r>
            <w:r>
              <w:rPr>
                <w:vertAlign w:val="subscript"/>
              </w:rPr>
              <w:t>.89</w:t>
            </w:r>
            <w:r>
              <w:t xml:space="preserve"> Kernels</w:t>
            </w:r>
          </w:p>
        </w:tc>
        <w:tc>
          <w:tcPr>
            <w:tcW w:w="1440" w:type="dxa"/>
            <w:tcBorders>
              <w:left w:val="double" w:sz="4" w:space="0" w:color="auto"/>
              <w:right w:val="double" w:sz="4" w:space="0" w:color="auto"/>
            </w:tcBorders>
            <w:vAlign w:val="center"/>
          </w:tcPr>
          <w:p w14:paraId="322BF6E8" w14:textId="77777777" w:rsidR="00D360AF" w:rsidRPr="004F5769" w:rsidRDefault="00D360AF" w:rsidP="00E07D61">
            <w:pPr>
              <w:pStyle w:val="TableText"/>
            </w:pPr>
            <w:r>
              <w:t>92.0</w:t>
            </w:r>
          </w:p>
        </w:tc>
        <w:tc>
          <w:tcPr>
            <w:tcW w:w="1530" w:type="dxa"/>
            <w:tcBorders>
              <w:left w:val="double" w:sz="4" w:space="0" w:color="auto"/>
            </w:tcBorders>
            <w:vAlign w:val="center"/>
          </w:tcPr>
          <w:p w14:paraId="5BAC009D" w14:textId="77777777" w:rsidR="00D360AF" w:rsidRPr="004F5769" w:rsidRDefault="00D360AF" w:rsidP="00E07D61">
            <w:pPr>
              <w:pStyle w:val="TableText"/>
            </w:pPr>
            <w:r>
              <w:t>0.71</w:t>
            </w:r>
          </w:p>
        </w:tc>
        <w:tc>
          <w:tcPr>
            <w:tcW w:w="1260" w:type="dxa"/>
            <w:tcBorders>
              <w:left w:val="double" w:sz="4" w:space="0" w:color="auto"/>
            </w:tcBorders>
            <w:vAlign w:val="center"/>
          </w:tcPr>
          <w:p w14:paraId="70A07B2C" w14:textId="77777777" w:rsidR="00D360AF" w:rsidRPr="004F5769" w:rsidRDefault="00D360AF" w:rsidP="00E07D61">
            <w:pPr>
              <w:pStyle w:val="TableText"/>
            </w:pPr>
            <w:r>
              <w:t>1/6</w:t>
            </w:r>
          </w:p>
        </w:tc>
        <w:tc>
          <w:tcPr>
            <w:tcW w:w="1170" w:type="dxa"/>
            <w:tcBorders>
              <w:left w:val="double" w:sz="4" w:space="0" w:color="auto"/>
            </w:tcBorders>
            <w:vAlign w:val="center"/>
          </w:tcPr>
          <w:p w14:paraId="57A235A7" w14:textId="77777777" w:rsidR="00D360AF" w:rsidRPr="004F5769" w:rsidRDefault="00D360AF" w:rsidP="00E07D61">
            <w:pPr>
              <w:pStyle w:val="TableText"/>
            </w:pPr>
            <w:r>
              <w:t>500/600</w:t>
            </w:r>
          </w:p>
        </w:tc>
        <w:tc>
          <w:tcPr>
            <w:tcW w:w="1530" w:type="dxa"/>
            <w:tcBorders>
              <w:left w:val="double" w:sz="4" w:space="0" w:color="auto"/>
            </w:tcBorders>
          </w:tcPr>
          <w:p w14:paraId="04F12C73" w14:textId="77777777" w:rsidR="00D360AF" w:rsidRDefault="00D360AF" w:rsidP="00E07D61">
            <w:pPr>
              <w:pStyle w:val="TableText"/>
            </w:pPr>
            <w:r>
              <w:t>40.5% He</w:t>
            </w:r>
          </w:p>
          <w:p w14:paraId="3342F705" w14:textId="77777777" w:rsidR="00D360AF" w:rsidRDefault="00D360AF" w:rsidP="00E07D61">
            <w:pPr>
              <w:pStyle w:val="TableText"/>
            </w:pPr>
            <w:r>
              <w:t>Balance Ar</w:t>
            </w:r>
          </w:p>
        </w:tc>
      </w:tr>
      <w:tr w:rsidR="00D360AF" w:rsidRPr="004F5769" w14:paraId="187A1177" w14:textId="77777777" w:rsidTr="00AE2101">
        <w:trPr>
          <w:jc w:val="center"/>
        </w:trPr>
        <w:tc>
          <w:tcPr>
            <w:tcW w:w="1515" w:type="dxa"/>
            <w:tcBorders>
              <w:left w:val="double" w:sz="4" w:space="0" w:color="auto"/>
              <w:right w:val="double" w:sz="4" w:space="0" w:color="auto"/>
            </w:tcBorders>
            <w:vAlign w:val="center"/>
          </w:tcPr>
          <w:p w14:paraId="68BC30BE" w14:textId="77777777" w:rsidR="00D360AF" w:rsidRPr="004F5769" w:rsidRDefault="00D360AF" w:rsidP="00E07D61">
            <w:pPr>
              <w:pStyle w:val="TableText"/>
            </w:pPr>
            <w:r>
              <w:t>224/324</w:t>
            </w:r>
          </w:p>
        </w:tc>
        <w:tc>
          <w:tcPr>
            <w:tcW w:w="1980" w:type="dxa"/>
            <w:tcBorders>
              <w:left w:val="double" w:sz="4" w:space="0" w:color="auto"/>
              <w:right w:val="double" w:sz="4" w:space="0" w:color="auto"/>
            </w:tcBorders>
            <w:vAlign w:val="center"/>
          </w:tcPr>
          <w:p w14:paraId="16A6CBB5" w14:textId="77777777" w:rsidR="00D360AF" w:rsidRPr="004F5769" w:rsidRDefault="00D360AF" w:rsidP="00E07D61">
            <w:pPr>
              <w:pStyle w:val="TableText"/>
            </w:pPr>
            <w:r>
              <w:t>U</w:t>
            </w:r>
            <w:r>
              <w:rPr>
                <w:vertAlign w:val="subscript"/>
              </w:rPr>
              <w:t>.98</w:t>
            </w:r>
            <w:r>
              <w:t>Gd</w:t>
            </w:r>
            <w:r>
              <w:rPr>
                <w:vertAlign w:val="subscript"/>
              </w:rPr>
              <w:t>.02</w:t>
            </w:r>
            <w:r>
              <w:t>C</w:t>
            </w:r>
            <w:r>
              <w:rPr>
                <w:vertAlign w:val="subscript"/>
              </w:rPr>
              <w:t>.15</w:t>
            </w:r>
            <w:r>
              <w:t>N</w:t>
            </w:r>
            <w:r>
              <w:rPr>
                <w:vertAlign w:val="subscript"/>
              </w:rPr>
              <w:t>.85</w:t>
            </w:r>
            <w:r>
              <w:t xml:space="preserve"> Kernels</w:t>
            </w:r>
          </w:p>
        </w:tc>
        <w:tc>
          <w:tcPr>
            <w:tcW w:w="1440" w:type="dxa"/>
            <w:tcBorders>
              <w:left w:val="double" w:sz="4" w:space="0" w:color="auto"/>
              <w:right w:val="double" w:sz="4" w:space="0" w:color="auto"/>
            </w:tcBorders>
            <w:vAlign w:val="center"/>
          </w:tcPr>
          <w:p w14:paraId="17E19AB3" w14:textId="77777777" w:rsidR="00D360AF" w:rsidRPr="004F5769" w:rsidRDefault="00D360AF" w:rsidP="00E07D61">
            <w:pPr>
              <w:pStyle w:val="TableText"/>
            </w:pPr>
            <w:r>
              <w:t>93.6</w:t>
            </w:r>
          </w:p>
        </w:tc>
        <w:tc>
          <w:tcPr>
            <w:tcW w:w="1530" w:type="dxa"/>
            <w:tcBorders>
              <w:left w:val="double" w:sz="4" w:space="0" w:color="auto"/>
            </w:tcBorders>
            <w:vAlign w:val="center"/>
          </w:tcPr>
          <w:p w14:paraId="44F8847E" w14:textId="77777777" w:rsidR="00D360AF" w:rsidRPr="004F5769" w:rsidRDefault="00D360AF" w:rsidP="00E07D61">
            <w:pPr>
              <w:pStyle w:val="TableText"/>
            </w:pPr>
            <w:r>
              <w:t>0.71</w:t>
            </w:r>
          </w:p>
        </w:tc>
        <w:tc>
          <w:tcPr>
            <w:tcW w:w="1260" w:type="dxa"/>
            <w:tcBorders>
              <w:left w:val="double" w:sz="4" w:space="0" w:color="auto"/>
            </w:tcBorders>
            <w:vAlign w:val="center"/>
          </w:tcPr>
          <w:p w14:paraId="0CFFA9D9" w14:textId="77777777" w:rsidR="00D360AF" w:rsidRPr="004F5769" w:rsidRDefault="00D360AF" w:rsidP="00E07D61">
            <w:pPr>
              <w:pStyle w:val="TableText"/>
            </w:pPr>
            <w:r>
              <w:t>1/6</w:t>
            </w:r>
          </w:p>
        </w:tc>
        <w:tc>
          <w:tcPr>
            <w:tcW w:w="1170" w:type="dxa"/>
            <w:tcBorders>
              <w:left w:val="double" w:sz="4" w:space="0" w:color="auto"/>
            </w:tcBorders>
            <w:vAlign w:val="center"/>
          </w:tcPr>
          <w:p w14:paraId="472395AA" w14:textId="77777777" w:rsidR="00D360AF" w:rsidRPr="004F5769" w:rsidRDefault="00D360AF" w:rsidP="00E07D61">
            <w:pPr>
              <w:pStyle w:val="TableText"/>
            </w:pPr>
            <w:r>
              <w:t>500/600</w:t>
            </w:r>
          </w:p>
        </w:tc>
        <w:tc>
          <w:tcPr>
            <w:tcW w:w="1530" w:type="dxa"/>
            <w:tcBorders>
              <w:left w:val="double" w:sz="4" w:space="0" w:color="auto"/>
            </w:tcBorders>
          </w:tcPr>
          <w:p w14:paraId="3B317E90" w14:textId="77777777" w:rsidR="00D360AF" w:rsidRDefault="00D360AF" w:rsidP="00E07D61">
            <w:pPr>
              <w:pStyle w:val="TableText"/>
            </w:pPr>
            <w:r>
              <w:t>40.5% He</w:t>
            </w:r>
          </w:p>
          <w:p w14:paraId="74D1320D" w14:textId="77777777" w:rsidR="00D360AF" w:rsidRDefault="00D360AF" w:rsidP="00E07D61">
            <w:pPr>
              <w:pStyle w:val="TableText"/>
            </w:pPr>
            <w:r>
              <w:t>Balance Ar</w:t>
            </w:r>
          </w:p>
        </w:tc>
      </w:tr>
      <w:tr w:rsidR="00D360AF" w:rsidRPr="004F5769" w14:paraId="148FC256" w14:textId="77777777" w:rsidTr="00AE2101">
        <w:trPr>
          <w:jc w:val="center"/>
        </w:trPr>
        <w:tc>
          <w:tcPr>
            <w:tcW w:w="1515" w:type="dxa"/>
            <w:tcBorders>
              <w:left w:val="double" w:sz="4" w:space="0" w:color="auto"/>
              <w:right w:val="double" w:sz="4" w:space="0" w:color="auto"/>
            </w:tcBorders>
            <w:vAlign w:val="center"/>
          </w:tcPr>
          <w:p w14:paraId="1DFCB5B5" w14:textId="77777777" w:rsidR="00D360AF" w:rsidRPr="004F5769" w:rsidRDefault="00D360AF" w:rsidP="00E07D61">
            <w:pPr>
              <w:pStyle w:val="TableText"/>
            </w:pPr>
            <w:r>
              <w:t>225/325</w:t>
            </w:r>
          </w:p>
        </w:tc>
        <w:tc>
          <w:tcPr>
            <w:tcW w:w="1980" w:type="dxa"/>
            <w:tcBorders>
              <w:left w:val="double" w:sz="4" w:space="0" w:color="auto"/>
              <w:right w:val="double" w:sz="4" w:space="0" w:color="auto"/>
            </w:tcBorders>
            <w:vAlign w:val="center"/>
          </w:tcPr>
          <w:p w14:paraId="02D3B26E" w14:textId="77777777" w:rsidR="00D360AF" w:rsidRDefault="00D360AF" w:rsidP="00E07D61">
            <w:pPr>
              <w:pStyle w:val="TableText"/>
            </w:pPr>
            <w:r>
              <w:t>UC</w:t>
            </w:r>
            <w:r>
              <w:rPr>
                <w:vertAlign w:val="subscript"/>
              </w:rPr>
              <w:t>.21</w:t>
            </w:r>
            <w:r>
              <w:t>O</w:t>
            </w:r>
            <w:r>
              <w:rPr>
                <w:vertAlign w:val="subscript"/>
              </w:rPr>
              <w:t>.79</w:t>
            </w:r>
          </w:p>
          <w:p w14:paraId="0E70D8FE" w14:textId="77777777" w:rsidR="00D360AF" w:rsidRPr="004F5769" w:rsidRDefault="00D360AF" w:rsidP="00E07D61">
            <w:pPr>
              <w:pStyle w:val="TableText"/>
            </w:pPr>
            <w:r>
              <w:t>Kernels</w:t>
            </w:r>
          </w:p>
        </w:tc>
        <w:tc>
          <w:tcPr>
            <w:tcW w:w="1440" w:type="dxa"/>
            <w:tcBorders>
              <w:left w:val="double" w:sz="4" w:space="0" w:color="auto"/>
              <w:right w:val="double" w:sz="4" w:space="0" w:color="auto"/>
            </w:tcBorders>
            <w:vAlign w:val="center"/>
          </w:tcPr>
          <w:p w14:paraId="1A413024" w14:textId="77777777" w:rsidR="00D360AF" w:rsidRPr="004F5769" w:rsidRDefault="00D360AF" w:rsidP="00E07D61">
            <w:pPr>
              <w:pStyle w:val="TableText"/>
            </w:pPr>
            <w:r>
              <w:t>90.9</w:t>
            </w:r>
          </w:p>
        </w:tc>
        <w:tc>
          <w:tcPr>
            <w:tcW w:w="1530" w:type="dxa"/>
            <w:tcBorders>
              <w:left w:val="double" w:sz="4" w:space="0" w:color="auto"/>
            </w:tcBorders>
            <w:vAlign w:val="center"/>
          </w:tcPr>
          <w:p w14:paraId="51E09178" w14:textId="77777777" w:rsidR="00D360AF" w:rsidRPr="004F5769" w:rsidRDefault="00D360AF" w:rsidP="00E07D61">
            <w:pPr>
              <w:pStyle w:val="TableText"/>
            </w:pPr>
            <w:r>
              <w:t>0.22</w:t>
            </w:r>
          </w:p>
        </w:tc>
        <w:tc>
          <w:tcPr>
            <w:tcW w:w="1260" w:type="dxa"/>
            <w:tcBorders>
              <w:left w:val="double" w:sz="4" w:space="0" w:color="auto"/>
            </w:tcBorders>
            <w:vAlign w:val="center"/>
          </w:tcPr>
          <w:p w14:paraId="2F3991DF" w14:textId="77777777" w:rsidR="00D360AF" w:rsidRPr="004F5769" w:rsidRDefault="00D360AF" w:rsidP="00E07D61">
            <w:pPr>
              <w:pStyle w:val="TableText"/>
            </w:pPr>
            <w:r>
              <w:t>1/6</w:t>
            </w:r>
          </w:p>
        </w:tc>
        <w:tc>
          <w:tcPr>
            <w:tcW w:w="1170" w:type="dxa"/>
            <w:tcBorders>
              <w:left w:val="double" w:sz="4" w:space="0" w:color="auto"/>
            </w:tcBorders>
            <w:vAlign w:val="center"/>
          </w:tcPr>
          <w:p w14:paraId="4E9DD35B" w14:textId="77777777" w:rsidR="00D360AF" w:rsidRPr="004F5769" w:rsidRDefault="00D360AF" w:rsidP="00E07D61">
            <w:pPr>
              <w:pStyle w:val="TableText"/>
            </w:pPr>
            <w:r>
              <w:t>500/600</w:t>
            </w:r>
          </w:p>
        </w:tc>
        <w:tc>
          <w:tcPr>
            <w:tcW w:w="1530" w:type="dxa"/>
            <w:tcBorders>
              <w:left w:val="double" w:sz="4" w:space="0" w:color="auto"/>
            </w:tcBorders>
          </w:tcPr>
          <w:p w14:paraId="17C21E81" w14:textId="77777777" w:rsidR="00D360AF" w:rsidRDefault="00D360AF" w:rsidP="00E07D61">
            <w:pPr>
              <w:pStyle w:val="TableText"/>
            </w:pPr>
            <w:r>
              <w:t>40.5% He</w:t>
            </w:r>
          </w:p>
          <w:p w14:paraId="0D19098B" w14:textId="77777777" w:rsidR="00D360AF" w:rsidRDefault="00D360AF" w:rsidP="00E07D61">
            <w:pPr>
              <w:pStyle w:val="TableText"/>
            </w:pPr>
            <w:r>
              <w:t>Balance Ar</w:t>
            </w:r>
          </w:p>
        </w:tc>
      </w:tr>
      <w:tr w:rsidR="00D360AF" w:rsidRPr="004F5769" w14:paraId="3F8B5918" w14:textId="77777777" w:rsidTr="00AE2101">
        <w:trPr>
          <w:jc w:val="center"/>
        </w:trPr>
        <w:tc>
          <w:tcPr>
            <w:tcW w:w="1515" w:type="dxa"/>
            <w:tcBorders>
              <w:left w:val="double" w:sz="4" w:space="0" w:color="auto"/>
              <w:right w:val="double" w:sz="4" w:space="0" w:color="auto"/>
            </w:tcBorders>
            <w:vAlign w:val="center"/>
          </w:tcPr>
          <w:p w14:paraId="6A1F107E" w14:textId="77777777" w:rsidR="00D360AF" w:rsidRPr="004F5769" w:rsidRDefault="00D360AF" w:rsidP="00E07D61">
            <w:pPr>
              <w:pStyle w:val="TableText"/>
            </w:pPr>
            <w:r>
              <w:t>226/326</w:t>
            </w:r>
          </w:p>
        </w:tc>
        <w:tc>
          <w:tcPr>
            <w:tcW w:w="1980" w:type="dxa"/>
            <w:tcBorders>
              <w:left w:val="double" w:sz="4" w:space="0" w:color="auto"/>
              <w:right w:val="double" w:sz="4" w:space="0" w:color="auto"/>
            </w:tcBorders>
            <w:vAlign w:val="center"/>
          </w:tcPr>
          <w:p w14:paraId="44C894E7" w14:textId="77777777" w:rsidR="00D360AF" w:rsidRDefault="00D360AF" w:rsidP="00E07D61">
            <w:pPr>
              <w:pStyle w:val="TableText"/>
            </w:pPr>
            <w:r>
              <w:t>UC</w:t>
            </w:r>
            <w:r>
              <w:rPr>
                <w:vertAlign w:val="subscript"/>
              </w:rPr>
              <w:t>.20</w:t>
            </w:r>
            <w:r>
              <w:t>O</w:t>
            </w:r>
            <w:r>
              <w:rPr>
                <w:vertAlign w:val="subscript"/>
              </w:rPr>
              <w:t>.80</w:t>
            </w:r>
          </w:p>
          <w:p w14:paraId="5E0547AB" w14:textId="77777777" w:rsidR="00D360AF" w:rsidRPr="004F5769" w:rsidRDefault="00D360AF" w:rsidP="00E07D61">
            <w:pPr>
              <w:pStyle w:val="TableText"/>
            </w:pPr>
            <w:r>
              <w:t>TRISO</w:t>
            </w:r>
          </w:p>
        </w:tc>
        <w:tc>
          <w:tcPr>
            <w:tcW w:w="1440" w:type="dxa"/>
            <w:tcBorders>
              <w:left w:val="double" w:sz="4" w:space="0" w:color="auto"/>
              <w:right w:val="double" w:sz="4" w:space="0" w:color="auto"/>
            </w:tcBorders>
            <w:vAlign w:val="center"/>
          </w:tcPr>
          <w:p w14:paraId="0B9B5E97" w14:textId="77777777" w:rsidR="00D360AF" w:rsidRPr="004F5769" w:rsidRDefault="00D360AF" w:rsidP="00E07D61">
            <w:pPr>
              <w:pStyle w:val="TableText"/>
            </w:pPr>
            <w:r>
              <w:t>87.2</w:t>
            </w:r>
          </w:p>
        </w:tc>
        <w:tc>
          <w:tcPr>
            <w:tcW w:w="1530" w:type="dxa"/>
            <w:tcBorders>
              <w:left w:val="double" w:sz="4" w:space="0" w:color="auto"/>
            </w:tcBorders>
            <w:vAlign w:val="center"/>
          </w:tcPr>
          <w:p w14:paraId="628876CF" w14:textId="77777777" w:rsidR="00D360AF" w:rsidRPr="004F5769" w:rsidRDefault="00D360AF" w:rsidP="00E07D61">
            <w:pPr>
              <w:pStyle w:val="TableText"/>
            </w:pPr>
            <w:r>
              <w:t>0.22</w:t>
            </w:r>
          </w:p>
        </w:tc>
        <w:tc>
          <w:tcPr>
            <w:tcW w:w="1260" w:type="dxa"/>
            <w:tcBorders>
              <w:left w:val="double" w:sz="4" w:space="0" w:color="auto"/>
            </w:tcBorders>
            <w:vAlign w:val="center"/>
          </w:tcPr>
          <w:p w14:paraId="2842C6A1" w14:textId="77777777" w:rsidR="00D360AF" w:rsidRPr="004F5769" w:rsidRDefault="00D360AF" w:rsidP="00E07D61">
            <w:pPr>
              <w:pStyle w:val="TableText"/>
            </w:pPr>
            <w:r>
              <w:t>1/6</w:t>
            </w:r>
          </w:p>
        </w:tc>
        <w:tc>
          <w:tcPr>
            <w:tcW w:w="1170" w:type="dxa"/>
            <w:tcBorders>
              <w:left w:val="double" w:sz="4" w:space="0" w:color="auto"/>
            </w:tcBorders>
            <w:vAlign w:val="center"/>
          </w:tcPr>
          <w:p w14:paraId="24CAE9C1" w14:textId="77777777" w:rsidR="00D360AF" w:rsidRPr="004F5769" w:rsidRDefault="00D360AF" w:rsidP="00E07D61">
            <w:pPr>
              <w:pStyle w:val="TableText"/>
            </w:pPr>
            <w:r>
              <w:t>500/600</w:t>
            </w:r>
          </w:p>
        </w:tc>
        <w:tc>
          <w:tcPr>
            <w:tcW w:w="1530" w:type="dxa"/>
            <w:tcBorders>
              <w:left w:val="double" w:sz="4" w:space="0" w:color="auto"/>
            </w:tcBorders>
          </w:tcPr>
          <w:p w14:paraId="17764DBC" w14:textId="77777777" w:rsidR="00D360AF" w:rsidRDefault="00D360AF" w:rsidP="00E07D61">
            <w:pPr>
              <w:pStyle w:val="TableText"/>
            </w:pPr>
            <w:r>
              <w:t>40.5% He</w:t>
            </w:r>
          </w:p>
          <w:p w14:paraId="3090D6C0" w14:textId="77777777" w:rsidR="00D360AF" w:rsidRDefault="00D360AF" w:rsidP="00E07D61">
            <w:pPr>
              <w:pStyle w:val="TableText"/>
            </w:pPr>
            <w:r>
              <w:t>Balance Ar</w:t>
            </w:r>
          </w:p>
        </w:tc>
      </w:tr>
    </w:tbl>
    <w:p w14:paraId="5FE5C349" w14:textId="77777777" w:rsidR="00D360AF" w:rsidRPr="00153607" w:rsidRDefault="00D360AF" w:rsidP="00E07D61">
      <w:pPr>
        <w:pStyle w:val="TableText"/>
      </w:pPr>
      <w:r>
        <w:rPr>
          <w:b/>
          <w:bCs/>
          <w:i/>
          <w:szCs w:val="26"/>
        </w:rPr>
        <w:t>*</w:t>
      </w:r>
      <w:r w:rsidRPr="00153607">
        <w:t>(</w:t>
      </w:r>
      <w:r w:rsidRPr="00153607">
        <w:rPr>
          <w:i/>
          <w:iCs/>
        </w:rPr>
        <w:t xml:space="preserve">R </w:t>
      </w:r>
      <w:r w:rsidRPr="00153607">
        <w:rPr>
          <w:rFonts w:ascii="MTSY" w:hAnsi="MTSY"/>
        </w:rPr>
        <w:t xml:space="preserve">= </w:t>
      </w:r>
      <w:r w:rsidRPr="00153607">
        <w:t xml:space="preserve">radial target position, </w:t>
      </w:r>
      <w:r w:rsidRPr="00153607">
        <w:rPr>
          <w:i/>
          <w:iCs/>
        </w:rPr>
        <w:t xml:space="preserve">A </w:t>
      </w:r>
      <w:r w:rsidRPr="00153607">
        <w:rPr>
          <w:rFonts w:ascii="MTSY" w:hAnsi="MTSY"/>
        </w:rPr>
        <w:t xml:space="preserve">= </w:t>
      </w:r>
      <w:r w:rsidRPr="00153607">
        <w:t xml:space="preserve">axial target position, </w:t>
      </w:r>
      <w:r w:rsidRPr="00153607">
        <w:rPr>
          <w:i/>
          <w:iCs/>
        </w:rPr>
        <w:t xml:space="preserve">S </w:t>
      </w:r>
      <w:r w:rsidRPr="00153607">
        <w:rPr>
          <w:rFonts w:ascii="MTSY" w:hAnsi="MTSY"/>
        </w:rPr>
        <w:t xml:space="preserve">= </w:t>
      </w:r>
      <w:r w:rsidRPr="00153607">
        <w:t>sub</w:t>
      </w:r>
      <w:r>
        <w:t>capsule</w:t>
      </w:r>
      <w:r w:rsidRPr="00153607">
        <w:t xml:space="preserve"> position</w:t>
      </w:r>
      <w:r>
        <w:t xml:space="preserve"> in target</w:t>
      </w:r>
      <w:r w:rsidRPr="00153607">
        <w:t xml:space="preserve">). </w:t>
      </w:r>
    </w:p>
    <w:p w14:paraId="0C81B1FF" w14:textId="77777777" w:rsidR="00D360AF" w:rsidRDefault="00D360AF" w:rsidP="00D360AF"/>
    <w:p w14:paraId="66963B62" w14:textId="385F6DF7" w:rsidR="00D360AF" w:rsidRDefault="00D360AF" w:rsidP="00D360AF">
      <w:r>
        <w:br w:type="page"/>
      </w:r>
    </w:p>
    <w:p w14:paraId="62887688" w14:textId="77777777" w:rsidR="00147085" w:rsidRDefault="00147085" w:rsidP="00147085">
      <w:r>
        <w:lastRenderedPageBreak/>
        <w:t>been designed since MF01/MF02 include GA-FOA 201 and 202, inspecting UC/UO</w:t>
      </w:r>
      <w:r>
        <w:rPr>
          <w:vertAlign w:val="subscript"/>
        </w:rPr>
        <w:t>2</w:t>
      </w:r>
      <w:r>
        <w:t xml:space="preserve"> kernels, LA01 and LB02, inspecting U</w:t>
      </w:r>
      <w:r>
        <w:rPr>
          <w:vertAlign w:val="subscript"/>
        </w:rPr>
        <w:t>3</w:t>
      </w:r>
      <w:r>
        <w:t>Si</w:t>
      </w:r>
      <w:r>
        <w:rPr>
          <w:vertAlign w:val="subscript"/>
        </w:rPr>
        <w:t>2</w:t>
      </w:r>
      <w:r>
        <w:t>/UO</w:t>
      </w:r>
      <w:r>
        <w:rPr>
          <w:vertAlign w:val="subscript"/>
        </w:rPr>
        <w:t>2</w:t>
      </w:r>
      <w:r>
        <w:t xml:space="preserve"> disks, FC01-04, inspecting UN/UCO TRISO, KP01-05, inspecting UCO/UO</w:t>
      </w:r>
      <w:r>
        <w:rPr>
          <w:vertAlign w:val="subscript"/>
        </w:rPr>
        <w:t>2</w:t>
      </w:r>
      <w:r>
        <w:t xml:space="preserve"> TRISO compacts, and ALEU-1-3, inspecting UMo disks </w:t>
      </w:r>
      <w:r>
        <w:fldChar w:fldCharType="begin">
          <w:fldData xml:space="preserve">PEVuZE5vdGU+PENpdGU+PEF1dGhvcj5MZSBDb3E8L0F1dGhvcj48WWVhcj4yMDIyPC9ZZWFyPjxS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</w:fldData>
        </w:fldChar>
      </w:r>
      <w:r>
        <w:instrText xml:space="preserve"> ADDIN EN.CITE </w:instrText>
      </w:r>
      <w:r>
        <w:fldChar w:fldCharType="begin">
          <w:fldData xml:space="preserve">PEVuZE5vdGU+PENpdGU+PEF1dGhvcj5MZSBDb3E8L0F1dGhvcj48WWVhcj4yMDIyPC9ZZWFyPjxS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</w:fldData>
        </w:fldChar>
      </w:r>
      <w:r>
        <w:instrText xml:space="preserve"> ADDIN EN.CITE.DATA </w:instrText>
      </w:r>
      <w:r>
        <w:fldChar w:fldCharType="end"/>
      </w:r>
      <w:r>
        <w:fldChar w:fldCharType="separate"/>
      </w:r>
      <w:r>
        <w:rPr>
          <w:noProof/>
        </w:rPr>
        <w:t>[138, 141-146]</w:t>
      </w:r>
      <w:r>
        <w:fldChar w:fldCharType="end"/>
      </w:r>
      <w:r>
        <w:t>. For the work presented, I focus on the results from MF01 and comparing my models to these results as an initial validation basis.</w:t>
      </w:r>
    </w:p>
    <w:p w14:paraId="400A6DF4" w14:textId="28381E7E" w:rsidR="00E07D61" w:rsidRDefault="00147085" w:rsidP="00147085">
      <w:r>
        <w:t xml:space="preserve">A summary of the PIE activities for the MF01 subcapsules includes fission gas release measurement, analysis of the SiC thermometry rod, and microstructure analysis </w:t>
      </w:r>
      <w:r>
        <w:fldChar w:fldCharType="begin"/>
      </w:r>
      <w:r>
        <w:instrText xml:space="preserve"> ADDIN EN.CITE &lt;EndNote&gt;&lt;Cite&gt;&lt;Author&gt;Harp&lt;/Author&gt;&lt;Year&gt;2021&lt;/Year&gt;&lt;RecNum&gt;422&lt;/RecNum&gt;&lt;DisplayText&gt;[137]&lt;/DisplayText&gt;&lt;record&gt;&lt;rec-number&gt;422&lt;/rec-number&gt;&lt;foreign-keys&gt;&lt;key app="EN" db-id="eseee05sfe5vt6efvr0xapvq20vfdsfp5fvf" timestamp="1710037058"&gt;422&lt;/key&gt;&lt;/foreign-keys&gt;&lt;ref-type name="Journal Article"&gt;17&lt;/ref-type&gt;&lt;contributors&gt;&lt;authors&gt;&lt;author&gt;Harp, Jason M.&lt;/author&gt;&lt;author&gt;Morris, Robert N.&lt;/author&gt;&lt;author&gt;Petrie, Christian M.&lt;/author&gt;&lt;author&gt;Burns, Joseph R.&lt;/author&gt;&lt;author&gt;Terrani, Kurt A.&lt;/author&gt;&lt;/authors&gt;&lt;/contributors&gt;&lt;titles&gt;&lt;title&gt;Postirradiation examination from separate effects irradiation testing of uranium nitride kernels and coated particles&lt;/title&gt;&lt;secondary-title&gt;Journal of Nuclear Materials&lt;/secondary-title&gt;&lt;/titles&gt;&lt;periodical&gt;&lt;full-title&gt;Journal of Nuclear Materials&lt;/full-title&gt;&lt;/periodical&gt;&lt;pages&gt;152696&lt;/pages&gt;&lt;volume&gt;544&lt;/volume&gt;&lt;keywords&gt;&lt;keyword&gt;Separate effects&lt;/keyword&gt;&lt;keyword&gt;Irradiation testing&lt;/keyword&gt;&lt;keyword&gt;Postirradiation examination&lt;/keyword&gt;&lt;keyword&gt;Uranium nitride&lt;/keyword&gt;&lt;keyword&gt;TRISO&lt;/keyword&gt;&lt;/keywords&gt;&lt;dates&gt;&lt;year&gt;2021&lt;/year&gt;&lt;pub-dates&gt;&lt;date&gt;2021/02/01/&lt;/date&gt;&lt;/pub-dates&gt;&lt;/dates&gt;&lt;isbn&gt;0022-3115&lt;/isbn&gt;&lt;urls&gt;&lt;related-urls&gt;&lt;url&gt;https://www.sciencedirect.com/science/article/pii/S0022311520313040&lt;/url&gt;&lt;/related-urls&gt;&lt;/urls&gt;&lt;electronic-resource-num&gt;https://doi.org/10.1016/j.jnucmat.2020.152696&lt;/electronic-resource-num&gt;&lt;/record&gt;&lt;/Cite&gt;&lt;/EndNote&gt;</w:instrText>
      </w:r>
      <w:r>
        <w:fldChar w:fldCharType="separate"/>
      </w:r>
      <w:r>
        <w:rPr>
          <w:noProof/>
        </w:rPr>
        <w:t>[137]</w:t>
      </w:r>
      <w:r>
        <w:fldChar w:fldCharType="end"/>
      </w:r>
      <w:r>
        <w:t xml:space="preserve">. </w:t>
      </w:r>
      <w:r w:rsidR="00921EA0">
        <w:t xml:space="preserve">The neutronics predictions were able to accurately capture the burnup of the fuel with minor discrepancies in the mass of plutonium of low-enriched and natural uranium. </w:t>
      </w:r>
      <w:r w:rsidR="008110D5">
        <w:t xml:space="preserve">The </w:t>
      </w:r>
      <w:r w:rsidR="00E07D61">
        <w:t xml:space="preserve">main discrepancies between the simulations and the experimental data stem from the CD analysis of the thermometry rods. </w:t>
      </w:r>
      <w:r w:rsidR="00E07D61" w:rsidRPr="0074556C">
        <w:t>Continuous dilatometry of a passive</w:t>
      </w:r>
      <w:r w:rsidR="00E07D61">
        <w:t xml:space="preserve"> silicon carbide</w:t>
      </w:r>
      <w:r w:rsidR="00E07D61" w:rsidRPr="0074556C">
        <w:t xml:space="preserve"> </w:t>
      </w:r>
      <w:r w:rsidR="00E07D61">
        <w:t>(</w:t>
      </w:r>
      <w:r w:rsidR="00E07D61" w:rsidRPr="0074556C">
        <w:t>SiC</w:t>
      </w:r>
      <w:r w:rsidR="00E07D61">
        <w:t>)</w:t>
      </w:r>
      <w:r w:rsidR="00E07D61" w:rsidRPr="0074556C">
        <w:t xml:space="preserve"> thermometry rod is used during PIE to verify the experimental temperatures, and </w:t>
      </w:r>
      <w:r w:rsidR="00E07D61">
        <w:t xml:space="preserve">this technique </w:t>
      </w:r>
      <w:r w:rsidR="00E07D61" w:rsidRPr="0074556C">
        <w:t xml:space="preserve">has shown reasonable agreement to experiments at low temperatures for a limited number of data points </w:t>
      </w:r>
      <w:r w:rsidR="00E07D61" w:rsidRPr="0074556C">
        <w:fldChar w:fldCharType="begin">
          <w:fldData xml:space="preserve">PEVuZE5vdGU+PENpdGU+PEF1dGhvcj5IYXJwPC9BdXRob3I+PFllYXI+MjAyMTwvWWVhcj48UmVj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</w:fldData>
        </w:fldChar>
      </w:r>
      <w:r w:rsidR="003026BC">
        <w:instrText xml:space="preserve"> ADDIN EN.CITE </w:instrText>
      </w:r>
      <w:r w:rsidR="003026BC">
        <w:fldChar w:fldCharType="begin">
          <w:fldData xml:space="preserve">PEVuZE5vdGU+PENpdGU+PEF1dGhvcj5IYXJwPC9BdXRob3I+PFllYXI+MjAyMTwvWWVhcj48UmVj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</w:fldData>
        </w:fldChar>
      </w:r>
      <w:r w:rsidR="003026BC">
        <w:instrText xml:space="preserve"> ADDIN EN.CITE.DATA </w:instrText>
      </w:r>
      <w:r w:rsidR="003026BC">
        <w:fldChar w:fldCharType="end"/>
      </w:r>
      <w:r w:rsidR="00E07D61" w:rsidRPr="0074556C">
        <w:fldChar w:fldCharType="separate"/>
      </w:r>
      <w:r w:rsidR="003026BC">
        <w:rPr>
          <w:noProof/>
        </w:rPr>
        <w:t>[137, 143]</w:t>
      </w:r>
      <w:r w:rsidR="00E07D61" w:rsidRPr="0074556C">
        <w:fldChar w:fldCharType="end"/>
      </w:r>
      <w:r w:rsidR="00E07D61" w:rsidRPr="0074556C">
        <w:t>.</w:t>
      </w:r>
      <w:r w:rsidR="00E07D61">
        <w:t xml:space="preserve"> The simulations tended to overpredict the temperature of the thermometry by around 100</w:t>
      </w:r>
      <w:r w:rsidR="00E07D61" w:rsidRPr="0074556C">
        <w:t xml:space="preserve"> °</w:t>
      </w:r>
      <w:r w:rsidR="00E07D61">
        <w:t>C leading to a predicted 50</w:t>
      </w:r>
      <w:r w:rsidR="00E07D61" w:rsidRPr="0074556C">
        <w:t xml:space="preserve"> °</w:t>
      </w:r>
      <w:r w:rsidR="00E07D61">
        <w:t xml:space="preserve">C underprediction of the fuel temperature during irradiation. Initial speculation on the model underprediction is the calculation of the heat transfer across the gas gaps in the capsule (between both the outer surface of the subcapsule holder and inner surface of the housing and the thermometry and the heater tube), errors in the gamma heating rate calculation, or differences in predicted vs as-built fill gas mixture composition </w:t>
      </w:r>
      <w:r w:rsidR="00E07D61">
        <w:fldChar w:fldCharType="begin"/>
      </w:r>
      <w:r w:rsidR="003026BC">
        <w:instrText xml:space="preserve"> ADDIN EN.CITE &lt;EndNote&gt;&lt;Cite&gt;&lt;Author&gt;Harp&lt;/Author&gt;&lt;Year&gt;2021&lt;/Year&gt;&lt;RecNum&gt;422&lt;/RecNum&gt;&lt;DisplayText&gt;[137]&lt;/DisplayText&gt;&lt;record&gt;&lt;rec-number&gt;422&lt;/rec-number&gt;&lt;foreign-keys&gt;&lt;key app="EN" db-id="eseee05sfe5vt6efvr0xapvq20vfdsfp5fvf" timestamp="1710037058"&gt;422&lt;/key&gt;&lt;/foreign-keys&gt;&lt;ref-type name="Journal Article"&gt;17&lt;/ref-type&gt;&lt;contributors&gt;&lt;authors&gt;&lt;author&gt;Harp, Jason M.&lt;/author&gt;&lt;author&gt;Morris, Robert N.&lt;/author&gt;&lt;author&gt;Petrie, Christian M.&lt;/author&gt;&lt;author&gt;Burns, Joseph R.&lt;/author&gt;&lt;author&gt;Terrani, Kurt A.&lt;/author&gt;&lt;/authors&gt;&lt;/contributors&gt;&lt;titles&gt;&lt;title&gt;Postirradiation examination from separate effects irradiation testing of uranium nitride kernels and coated particles&lt;/title&gt;&lt;secondary-title&gt;Journal of Nuclear Materials&lt;/secondary-title&gt;&lt;/titles&gt;&lt;periodical&gt;&lt;full-title&gt;Journal of Nuclear Materials&lt;/full-title&gt;&lt;/periodical&gt;&lt;pages&gt;152696&lt;/pages&gt;&lt;volume&gt;544&lt;/volume&gt;&lt;keywords&gt;&lt;keyword&gt;Separate effects&lt;/keyword&gt;&lt;keyword&gt;Irradiation testing&lt;/keyword&gt;&lt;keyword&gt;Postirradiation examination&lt;/keyword&gt;&lt;keyword&gt;Uranium nitride&lt;/keyword&gt;&lt;keyword&gt;TRISO&lt;/keyword&gt;&lt;/keywords&gt;&lt;dates&gt;&lt;year&gt;2021&lt;/year&gt;&lt;pub-dates&gt;&lt;date&gt;2021/02/01/&lt;/date&gt;&lt;/pub-dates&gt;&lt;/dates&gt;&lt;isbn&gt;0022-3115&lt;/isbn&gt;&lt;urls&gt;&lt;related-urls&gt;&lt;url&gt;https://www.sciencedirect.com/science/article/pii/S0022311520313040&lt;/url&gt;&lt;/related-urls&gt;&lt;/urls&gt;&lt;electronic-resource-num&gt;https://doi.org/10.1016/j.jnucmat.2020.152696&lt;/electronic-resource-num&gt;&lt;/record&gt;&lt;/Cite&gt;&lt;/EndNote&gt;</w:instrText>
      </w:r>
      <w:r w:rsidR="00E07D61">
        <w:fldChar w:fldCharType="separate"/>
      </w:r>
      <w:r w:rsidR="003026BC">
        <w:rPr>
          <w:noProof/>
        </w:rPr>
        <w:t>[137]</w:t>
      </w:r>
      <w:r w:rsidR="00E07D61">
        <w:fldChar w:fldCharType="end"/>
      </w:r>
      <w:r w:rsidR="00E07D61">
        <w:t xml:space="preserve">. </w:t>
      </w:r>
    </w:p>
    <w:p w14:paraId="73E86F2C" w14:textId="1B863D67" w:rsidR="005D086A" w:rsidRDefault="005D086A" w:rsidP="00324644">
      <w:pPr>
        <w:pStyle w:val="Heading2"/>
      </w:pPr>
      <w:bookmarkStart w:id="139" w:name="_Toc202957477"/>
      <w:r>
        <w:lastRenderedPageBreak/>
        <w:t>Project Overview</w:t>
      </w:r>
      <w:bookmarkEnd w:id="139"/>
    </w:p>
    <w:p w14:paraId="71909BF6" w14:textId="68B22DC8" w:rsidR="00170582" w:rsidRDefault="00170582" w:rsidP="008110D5">
      <w:r>
        <w:t>The MiniFuel capsule design is intended to de-coupl</w:t>
      </w:r>
      <w:r w:rsidRPr="007E22F2">
        <w:t>e</w:t>
      </w:r>
      <w:r>
        <w:t xml:space="preserve"> fuel temperature from fission rate, creating a near-constant irradiation temperature </w:t>
      </w:r>
      <w:r>
        <w:fldChar w:fldCharType="begin"/>
      </w:r>
      <w:r>
        <w:instrText xml:space="preserve"> ADDIN EN.CITE &lt;EndNote&gt;&lt;Cite&gt;&lt;Author&gt;Petrie&lt;/Author&gt;&lt;Year&gt;2019&lt;/Year&gt;&lt;RecNum&gt;330&lt;/RecNum&gt;&lt;DisplayText&gt;[22]&lt;/DisplayText&gt;&lt;record&gt;&lt;rec-number&gt;330&lt;/rec-number&gt;&lt;foreign-keys&gt;&lt;key app="EN" db-id="eseee05sfe5vt6efvr0xapvq20vfdsfp5fvf" timestamp="1694799017" guid="87a38962-dc46-43d3-b93c-17a925259823"&gt;330&lt;/key&gt;&lt;/foreign-keys&gt;&lt;ref-type name="Journal Article"&gt;17&lt;/ref-type&gt;&lt;contributors&gt;&lt;authors&gt;&lt;author&gt;Petrie, Christian M.&lt;/author&gt;&lt;author&gt;Burns, Joseph R.&lt;/author&gt;&lt;author&gt;Raftery, Alicia M.&lt;/author&gt;&lt;author&gt;Nelson, Andrew T.&lt;/author&gt;&lt;author&gt;Terrani, Kurt A.&lt;/author&gt;&lt;/authors&gt;&lt;/contributors&gt;&lt;titles&gt;&lt;title&gt;Separate effects irradiation testing of miniature fuel specimens&lt;/title&gt;&lt;secondary-title&gt;Journal of Nuclear Materials&lt;/secondary-title&gt;&lt;/titles&gt;&lt;periodical&gt;&lt;full-title&gt;Journal of Nuclear Materials&lt;/full-title&gt;&lt;/periodical&gt;&lt;pages&gt;151783&lt;/pages&gt;&lt;volume&gt;526&lt;/volume&gt;&lt;keywords&gt;&lt;keyword&gt;Fuel&lt;/keyword&gt;&lt;keyword&gt;Irradiation&lt;/keyword&gt;&lt;keyword&gt;Separate effects&lt;/keyword&gt;&lt;keyword&gt;Burnup&lt;/keyword&gt;&lt;/keywords&gt;&lt;dates&gt;&lt;year&gt;2019&lt;/year&gt;&lt;pub-dates&gt;&lt;date&gt;2019/12/01/&lt;/date&gt;&lt;/pub-dates&gt;&lt;/dates&gt;&lt;isbn&gt;0022-3115&lt;/isbn&gt;&lt;urls&gt;&lt;related-urls&gt;&lt;url&gt;https://www.sciencedirect.com/science/article/pii/S0022311519304155&lt;/url&gt;&lt;/related-urls&gt;&lt;/urls&gt;&lt;electronic-resource-num&gt;https://doi.org/10.1016/j.jnucmat.2019.151783&lt;/electronic-resource-num&gt;&lt;/record&gt;&lt;/Cite&gt;&lt;/EndNote&gt;</w:instrText>
      </w:r>
      <w:r>
        <w:fldChar w:fldCharType="separate"/>
      </w:r>
      <w:r>
        <w:rPr>
          <w:noProof/>
        </w:rPr>
        <w:t>[22]</w:t>
      </w:r>
      <w:r>
        <w:fldChar w:fldCharType="end"/>
      </w:r>
      <w:r>
        <w:t xml:space="preserve">. Capsules are designed using predictive modeling capabilities to achieve a desired irradiation temperature </w:t>
      </w:r>
      <w:r>
        <w:fldChar w:fldCharType="begin"/>
      </w:r>
      <w:r>
        <w:instrText xml:space="preserve"> ADDIN EN.CITE &lt;EndNote&gt;&lt;Cite&gt;&lt;Author&gt;Petrie&lt;/Author&gt;&lt;Year&gt;2019&lt;/Year&gt;&lt;RecNum&gt;330&lt;/RecNum&gt;&lt;DisplayText&gt;[22]&lt;/DisplayText&gt;&lt;record&gt;&lt;rec-number&gt;330&lt;/rec-number&gt;&lt;foreign-keys&gt;&lt;key app="EN" db-id="eseee05sfe5vt6efvr0xapvq20vfdsfp5fvf" timestamp="1694799017" guid="87a38962-dc46-43d3-b93c-17a925259823"&gt;330&lt;/key&gt;&lt;/foreign-keys&gt;&lt;ref-type name="Journal Article"&gt;17&lt;/ref-type&gt;&lt;contributors&gt;&lt;authors&gt;&lt;author&gt;Petrie, Christian M.&lt;/author&gt;&lt;author&gt;Burns, Joseph R.&lt;/author&gt;&lt;author&gt;Raftery, Alicia M.&lt;/author&gt;&lt;author&gt;Nelson, Andrew T.&lt;/author&gt;&lt;author&gt;Terrani, Kurt A.&lt;/author&gt;&lt;/authors&gt;&lt;/contributors&gt;&lt;titles&gt;&lt;title&gt;Separate effects irradiation testing of miniature fuel specimens&lt;/title&gt;&lt;secondary-title&gt;Journal of Nuclear Materials&lt;/secondary-title&gt;&lt;/titles&gt;&lt;periodical&gt;&lt;full-title&gt;Journal of Nuclear Materials&lt;/full-title&gt;&lt;/periodical&gt;&lt;pages&gt;151783&lt;/pages&gt;&lt;volume&gt;526&lt;/volume&gt;&lt;keywords&gt;&lt;keyword&gt;Fuel&lt;/keyword&gt;&lt;keyword&gt;Irradiation&lt;/keyword&gt;&lt;keyword&gt;Separate effects&lt;/keyword&gt;&lt;keyword&gt;Burnup&lt;/keyword&gt;&lt;/keywords&gt;&lt;dates&gt;&lt;year&gt;2019&lt;/year&gt;&lt;pub-dates&gt;&lt;date&gt;2019/12/01/&lt;/date&gt;&lt;/pub-dates&gt;&lt;/dates&gt;&lt;isbn&gt;0022-3115&lt;/isbn&gt;&lt;urls&gt;&lt;related-urls&gt;&lt;url&gt;https://www.sciencedirect.com/science/article/pii/S0022311519304155&lt;/url&gt;&lt;/related-urls&gt;&lt;/urls&gt;&lt;electronic-resource-num&gt;https://doi.org/10.1016/j.jnucmat.2019.151783&lt;/electronic-resource-num&gt;&lt;/record&gt;&lt;/Cite&gt;&lt;/EndNote&gt;</w:instrText>
      </w:r>
      <w:r>
        <w:fldChar w:fldCharType="separate"/>
      </w:r>
      <w:r>
        <w:rPr>
          <w:noProof/>
        </w:rPr>
        <w:t>[22]</w:t>
      </w:r>
      <w:r>
        <w:fldChar w:fldCharType="end"/>
      </w:r>
      <w:r>
        <w:t xml:space="preserve">. Transitioning from VXF to RB will allow for higher temperatures and fission rates, but will introduce greater thermal uncertainties into our models </w:t>
      </w:r>
      <w:r>
        <w:fldChar w:fldCharType="begin"/>
      </w:r>
      <w:r>
        <w:instrText xml:space="preserve"> ADDIN EN.CITE &lt;EndNote&gt;&lt;Cite&gt;&lt;Author&gt;Meehan&lt;/Author&gt;&lt;Year&gt;2025&lt;/Year&gt;&lt;RecNum&gt;542&lt;/RecNum&gt;&lt;DisplayText&gt;[25]&lt;/DisplayText&gt;&lt;record&gt;&lt;rec-number&gt;542&lt;/rec-number&gt;&lt;foreign-keys&gt;&lt;key app="EN" db-id="eseee05sfe5vt6efvr0xapvq20vfdsfp5fvf" timestamp="1742483734"&gt;542&lt;/key&gt;&lt;/foreign-keys&gt;&lt;ref-type name="Journal Article"&gt;17&lt;/ref-type&gt;&lt;contributors&gt;&lt;authors&gt;&lt;author&gt;Meehan, Nicholas A.&lt;/author&gt;&lt;author&gt;Gorton, Jacob P.&lt;/author&gt;&lt;author&gt;Capps, Nathan A.&lt;/author&gt;&lt;author&gt;Brown, Nicholas R.&lt;/author&gt;&lt;/authors&gt;&lt;/contributors&gt;&lt;titles&gt;&lt;title&gt;Identifying high-impact and high-uncertainty parameters in MiniFuel model predictions&lt;/title&gt;&lt;secondary-title&gt;Journal of Nuclear Materials&lt;/secondary-title&gt;&lt;/titles&gt;&lt;periodical&gt;&lt;full-title&gt;Journal of Nuclear Materials&lt;/full-title&gt;&lt;/periodical&gt;&lt;pages&gt;155745&lt;/pages&gt;&lt;volume&gt;609&lt;/volume&gt;&lt;keywords&gt;&lt;keyword&gt;Fuel, Irradiation&lt;/keyword&gt;&lt;keyword&gt;Separate effects&lt;/keyword&gt;&lt;keyword&gt;Sensitivity analysis&lt;/keyword&gt;&lt;keyword&gt;Morris&lt;/keyword&gt;&lt;keyword&gt;Sobol&lt;/keyword&gt;&lt;/keywords&gt;&lt;dates&gt;&lt;year&gt;2025&lt;/year&gt;&lt;pub-dates&gt;&lt;date&gt;2025/05/01/&lt;/date&gt;&lt;/pub-dates&gt;&lt;/dates&gt;&lt;isbn&gt;0022-3115&lt;/isbn&gt;&lt;urls&gt;&lt;related-urls&gt;&lt;url&gt;https://www.sciencedirect.com/science/article/pii/S0022311525001400&lt;/url&gt;&lt;/related-urls&gt;&lt;/urls&gt;&lt;electronic-resource-num&gt;https://doi.org/10.1016/j.jnucmat.2025.155745&lt;/electronic-resource-num&gt;&lt;/record&gt;&lt;/Cite&gt;&lt;/EndNote&gt;</w:instrText>
      </w:r>
      <w:r>
        <w:fldChar w:fldCharType="separate"/>
      </w:r>
      <w:r>
        <w:rPr>
          <w:noProof/>
        </w:rPr>
        <w:t>[25]</w:t>
      </w:r>
      <w:r>
        <w:fldChar w:fldCharType="end"/>
      </w:r>
      <w:r>
        <w:t xml:space="preserve">. Thermal property correlations for the subcapsule materials have higher uncertainty at higher temperatures </w:t>
      </w:r>
      <w:r>
        <w:fldChar w:fldCharType="begin">
          <w:fldData xml:space="preserve">PEVuZE5vdGU+PENpdGU+PEF1dGhvcj5Ub3Vsb3VraWFuPC9BdXRob3I+PFllYXI+MTk3MTwvWWVh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</w:fldData>
        </w:fldChar>
      </w:r>
      <w:r w:rsidR="003026BC">
        <w:instrText xml:space="preserve"> ADDIN EN.CITE </w:instrText>
      </w:r>
      <w:r w:rsidR="003026BC">
        <w:fldChar w:fldCharType="begin">
          <w:fldData xml:space="preserve">PEVuZE5vdGU+PENpdGU+PEF1dGhvcj5Ub3Vsb3VraWFuPC9BdXRob3I+PFllYXI+MTk3MTwvWWVh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</w:fldData>
        </w:fldChar>
      </w:r>
      <w:r w:rsidR="003026BC">
        <w:instrText xml:space="preserve"> ADDIN EN.CITE.DATA </w:instrText>
      </w:r>
      <w:r w:rsidR="003026BC">
        <w:fldChar w:fldCharType="end"/>
      </w:r>
      <w:r>
        <w:fldChar w:fldCharType="separate"/>
      </w:r>
      <w:r w:rsidR="003026BC">
        <w:rPr>
          <w:noProof/>
        </w:rPr>
        <w:t>[148, 149]</w:t>
      </w:r>
      <w:r>
        <w:fldChar w:fldCharType="end"/>
      </w:r>
      <w:r>
        <w:t xml:space="preserve"> and increased heat generation rates will propagate higher uncertainty into heat transfer calculations. F</w:t>
      </w:r>
      <w:r w:rsidRPr="0074556C">
        <w:t xml:space="preserve">uel performance is tightly coupled to </w:t>
      </w:r>
      <w:r>
        <w:t>the</w:t>
      </w:r>
      <w:r w:rsidRPr="0074556C">
        <w:t xml:space="preserve"> temperature</w:t>
      </w:r>
      <w:r>
        <w:t xml:space="preserve"> of the fuel so ensuring the</w:t>
      </w:r>
      <w:r w:rsidRPr="0074556C">
        <w:t xml:space="preserve"> accuracy of fuel temperature predictions is crucial to the </w:t>
      </w:r>
      <w:r>
        <w:t>understanding the data collected</w:t>
      </w:r>
      <w:r w:rsidRPr="0074556C">
        <w:t xml:space="preserve"> from </w:t>
      </w:r>
      <w:r>
        <w:t>post irradiation examination (</w:t>
      </w:r>
      <w:r w:rsidRPr="0074556C">
        <w:t>PIE</w:t>
      </w:r>
      <w:r>
        <w:t xml:space="preserve">) </w:t>
      </w:r>
      <w:r>
        <w:fldChar w:fldCharType="begin"/>
      </w:r>
      <w:r>
        <w:instrText xml:space="preserve"> ADDIN EN.CITE &lt;EndNote&gt;&lt;Cite&gt;&lt;Author&gt;Petrie&lt;/Author&gt;&lt;Year&gt;2019&lt;/Year&gt;&lt;RecNum&gt;330&lt;/RecNum&gt;&lt;DisplayText&gt;[22]&lt;/DisplayText&gt;&lt;record&gt;&lt;rec-number&gt;330&lt;/rec-number&gt;&lt;foreign-keys&gt;&lt;key app="EN" db-id="eseee05sfe5vt6efvr0xapvq20vfdsfp5fvf" timestamp="1694799017" guid="87a38962-dc46-43d3-b93c-17a925259823"&gt;330&lt;/key&gt;&lt;/foreign-keys&gt;&lt;ref-type name="Journal Article"&gt;17&lt;/ref-type&gt;&lt;contributors&gt;&lt;authors&gt;&lt;author&gt;Petrie, Christian M.&lt;/author&gt;&lt;author&gt;Burns, Joseph R.&lt;/author&gt;&lt;author&gt;Raftery, Alicia M.&lt;/author&gt;&lt;author&gt;Nelson, Andrew T.&lt;/author&gt;&lt;author&gt;Terrani, Kurt A.&lt;/author&gt;&lt;/authors&gt;&lt;/contributors&gt;&lt;titles&gt;&lt;title&gt;Separate effects irradiation testing of miniature fuel specimens&lt;/title&gt;&lt;secondary-title&gt;Journal of Nuclear Materials&lt;/secondary-title&gt;&lt;/titles&gt;&lt;periodical&gt;&lt;full-title&gt;Journal of Nuclear Materials&lt;/full-title&gt;&lt;/periodical&gt;&lt;pages&gt;151783&lt;/pages&gt;&lt;volume&gt;526&lt;/volume&gt;&lt;keywords&gt;&lt;keyword&gt;Fuel&lt;/keyword&gt;&lt;keyword&gt;Irradiation&lt;/keyword&gt;&lt;keyword&gt;Separate effects&lt;/keyword&gt;&lt;keyword&gt;Burnup&lt;/keyword&gt;&lt;/keywords&gt;&lt;dates&gt;&lt;year&gt;2019&lt;/year&gt;&lt;pub-dates&gt;&lt;date&gt;2019/12/01/&lt;/date&gt;&lt;/pub-dates&gt;&lt;/dates&gt;&lt;isbn&gt;0022-3115&lt;/isbn&gt;&lt;urls&gt;&lt;related-urls&gt;&lt;url&gt;https://www.sciencedirect.com/science/article/pii/S0022311519304155&lt;/url&gt;&lt;/related-urls&gt;&lt;/urls&gt;&lt;electronic-resource-num&gt;https://doi.org/10.1016/j.jnucmat.2019.151783&lt;/electronic-resource-num&gt;&lt;/record&gt;&lt;/Cite&gt;&lt;/EndNote&gt;</w:instrText>
      </w:r>
      <w:r>
        <w:fldChar w:fldCharType="separate"/>
      </w:r>
      <w:r>
        <w:rPr>
          <w:noProof/>
        </w:rPr>
        <w:t>[22]</w:t>
      </w:r>
      <w:r>
        <w:fldChar w:fldCharType="end"/>
      </w:r>
      <w:r w:rsidRPr="0074556C">
        <w:t>.</w:t>
      </w:r>
      <w:r w:rsidRPr="00170582">
        <w:t xml:space="preserve"> </w:t>
      </w:r>
      <w:r>
        <w:t>However, u</w:t>
      </w:r>
      <w:r w:rsidRPr="0074556C">
        <w:t>ncertainty quantification of MiniFuel presents a challenge since the system is highly coupled and is essentially a black box function. A practical method for identifying high</w:t>
      </w:r>
      <w:r>
        <w:t>-</w:t>
      </w:r>
      <w:r w:rsidRPr="0074556C">
        <w:t>impact, high</w:t>
      </w:r>
      <w:r>
        <w:t>-</w:t>
      </w:r>
      <w:r w:rsidRPr="0074556C">
        <w:t>uncertainty regions within a highly</w:t>
      </w:r>
      <w:r>
        <w:t xml:space="preserve"> </w:t>
      </w:r>
      <w:r w:rsidRPr="0074556C">
        <w:t xml:space="preserve">coupled model </w:t>
      </w:r>
      <w:r>
        <w:t xml:space="preserve">entails </w:t>
      </w:r>
      <w:r w:rsidRPr="0074556C">
        <w:t>the use of sensitivity analysis.</w:t>
      </w:r>
      <w:r>
        <w:t xml:space="preserve"> </w:t>
      </w:r>
    </w:p>
    <w:p w14:paraId="10A55420" w14:textId="1F6828B4" w:rsidR="005B6E66" w:rsidRPr="005B6E66" w:rsidRDefault="00170582" w:rsidP="00F22A75">
      <w:r>
        <w:t xml:space="preserve">The overarching goal of this work is to quantify the uncertainty within the MiniFuel subcapsule design and to develop an informed set of design recommendations that can reduce this uncertainty in future experiments. </w:t>
      </w:r>
      <w:r w:rsidR="00220D18">
        <w:t xml:space="preserve">To support this goal, I first performed a sensitivity and uncertainty analysis of the full subcapsule design to determine high-impact high-uncertainty parameters with respect to the fuel temperature prediction. This study began with over 50 sources of uncertainty that were narrowed down to the ~10 most impactful sources of uncertainty using the method of Morris. The remaining 10 </w:t>
      </w:r>
      <w:r w:rsidR="00220D18">
        <w:lastRenderedPageBreak/>
        <w:t>sources of uncertainty were ranked using a Sobol sensitivity analysis</w:t>
      </w:r>
      <w:r w:rsidR="00EC69EC">
        <w:t xml:space="preserve"> and the associated uncertainty was quantified. The highest-ranking sources of uncertainty from the Sobol analysis were then inspected in increasing model detail to quantify the uncertainty and inform a set of design recommendations to inform future experiments. These recommendations were applied to the original model to estimate the potential uncertainty reduction.</w:t>
      </w:r>
    </w:p>
    <w:p w14:paraId="018115A6" w14:textId="0615FCD6" w:rsidR="00BA37DA" w:rsidRPr="0074556C" w:rsidRDefault="008D2933" w:rsidP="00F22A75">
      <w:pPr>
        <w:pStyle w:val="Heading2"/>
      </w:pPr>
      <w:bookmarkStart w:id="140" w:name="_Toc202957478"/>
      <w:r>
        <w:t>Full Subcapsule Analysis</w:t>
      </w:r>
      <w:bookmarkEnd w:id="140"/>
    </w:p>
    <w:p w14:paraId="502820C6" w14:textId="77777777" w:rsidR="00BA37DA" w:rsidRPr="00AA522B" w:rsidRDefault="00BA37DA" w:rsidP="00F22A75">
      <w:pPr>
        <w:pStyle w:val="Heading3"/>
        <w:spacing w:before="0" w:after="0"/>
      </w:pPr>
      <w:bookmarkStart w:id="141" w:name="_Toc202957479"/>
      <w:r w:rsidRPr="00AA522B">
        <w:t>Model Framework</w:t>
      </w:r>
      <w:bookmarkEnd w:id="141"/>
    </w:p>
    <w:p w14:paraId="422AA995" w14:textId="68146516" w:rsidR="00BA37DA" w:rsidRDefault="00BA37DA" w:rsidP="00F22A75">
      <w:r w:rsidRPr="0074556C">
        <w:t xml:space="preserve">The MiniFuel subcapsule models used in this study were developed using the same methodology as </w:t>
      </w:r>
      <w:r>
        <w:t xml:space="preserve">that outlined in </w:t>
      </w:r>
      <w:r w:rsidRPr="0074556C">
        <w:t xml:space="preserve">Petrie et al. </w:t>
      </w:r>
      <w:r w:rsidRPr="0074556C">
        <w:fldChar w:fldCharType="begin"/>
      </w:r>
      <w:r>
        <w:instrText xml:space="preserve"> ADDIN EN.CITE &lt;EndNote&gt;&lt;Cite&gt;&lt;Author&gt;Petrie&lt;/Author&gt;&lt;Year&gt;2019&lt;/Year&gt;&lt;RecNum&gt;330&lt;/RecNum&gt;&lt;DisplayText&gt;[22]&lt;/DisplayText&gt;&lt;record&gt;&lt;rec-number&gt;330&lt;/rec-number&gt;&lt;foreign-keys&gt;&lt;key app="EN" db-id="eseee05sfe5vt6efvr0xapvq20vfdsfp5fvf" timestamp="1694799017" guid="87a38962-dc46-43d3-b93c-17a925259823"&gt;330&lt;/key&gt;&lt;/foreign-keys&gt;&lt;ref-type name="Journal Article"&gt;17&lt;/ref-type&gt;&lt;contributors&gt;&lt;authors&gt;&lt;author&gt;Petrie, Christian M.&lt;/author&gt;&lt;author&gt;Burns, Joseph R.&lt;/author&gt;&lt;author&gt;Raftery, Alicia M.&lt;/author&gt;&lt;author&gt;Nelson, Andrew T.&lt;/author&gt;&lt;author&gt;Terrani, Kurt A.&lt;/author&gt;&lt;/authors&gt;&lt;/contributors&gt;&lt;titles&gt;&lt;title&gt;Separate effects irradiation testing of miniature fuel specimens&lt;/title&gt;&lt;secondary-title&gt;Journal of Nuclear Materials&lt;/secondary-title&gt;&lt;/titles&gt;&lt;periodical&gt;&lt;full-title&gt;Journal of Nuclear Materials&lt;/full-title&gt;&lt;/periodical&gt;&lt;pages&gt;151783&lt;/pages&gt;&lt;volume&gt;526&lt;/volume&gt;&lt;keywords&gt;&lt;keyword&gt;Fuel&lt;/keyword&gt;&lt;keyword&gt;Irradiation&lt;/keyword&gt;&lt;keyword&gt;Separate effects&lt;/keyword&gt;&lt;keyword&gt;Burnup&lt;/keyword&gt;&lt;/keywords&gt;&lt;dates&gt;&lt;year&gt;2019&lt;/year&gt;&lt;pub-dates&gt;&lt;date&gt;2019/12/01/&lt;/date&gt;&lt;/pub-dates&gt;&lt;/dates&gt;&lt;isbn&gt;0022-3115&lt;/isbn&gt;&lt;urls&gt;&lt;related-urls&gt;&lt;url&gt;https://www.sciencedirect.com/science/article/pii/S0022311519304155&lt;/url&gt;&lt;/related-urls&gt;&lt;/urls&gt;&lt;electronic-resource-num&gt;https://doi.org/10.1016/j.jnucmat.2019.151783&lt;/electronic-resource-num&gt;&lt;/record&gt;&lt;/Cite&gt;&lt;/EndNote&gt;</w:instrText>
      </w:r>
      <w:r w:rsidRPr="0074556C">
        <w:fldChar w:fldCharType="separate"/>
      </w:r>
      <w:r>
        <w:rPr>
          <w:noProof/>
        </w:rPr>
        <w:t>[22]</w:t>
      </w:r>
      <w:r w:rsidRPr="0074556C">
        <w:fldChar w:fldCharType="end"/>
      </w:r>
      <w:r w:rsidRPr="0074556C">
        <w:t xml:space="preserve"> and Gorton et al. </w:t>
      </w:r>
      <w:r w:rsidRPr="0074556C">
        <w:fldChar w:fldCharType="begin"/>
      </w:r>
      <w:r w:rsidR="003026BC">
        <w:instrText xml:space="preserve"> ADDIN EN.CITE &lt;EndNote&gt;&lt;Cite&gt;&lt;Author&gt;Gorton&lt;/Author&gt;&lt;Year&gt;2024&lt;/Year&gt;&lt;RecNum&gt;507&lt;/RecNum&gt;&lt;DisplayText&gt;[133]&lt;/DisplayText&gt;&lt;record&gt;&lt;rec-number&gt;507&lt;/rec-number&gt;&lt;foreign-keys&gt;&lt;key app="EN" db-id="eseee05sfe5vt6efvr0xapvq20vfdsfp5fvf" timestamp="1721161778"&gt;507&lt;/key&gt;&lt;/foreign-keys&gt;&lt;ref-type name="Journal Article"&gt;17&lt;/ref-type&gt;&lt;contributors&gt;&lt;authors&gt;&lt;author&gt;Gorton, Jacob&lt;/author&gt;&lt;author&gt;Le Coq, Annabelle&lt;/author&gt;&lt;author&gt;Wallen, Zane G.&lt;/author&gt;&lt;author&gt;Petrie, Christian M.&lt;/author&gt;&lt;author&gt;White, Joshua T.&lt;/author&gt;&lt;author&gt;Dunwoody, John T.&lt;/author&gt;&lt;author&gt;Mann, Shane&lt;/author&gt;&lt;author&gt;Capps, Nathan A.&lt;/author&gt;&lt;author&gt;Nelson, Andrew T.&lt;/author&gt;&lt;/authors&gt;&lt;/contributors&gt;&lt;titles&gt;&lt;title&gt;Separate effects irradiation testing targeting fission gas release from Cr-doped UO2&lt;/title&gt;&lt;secondary-title&gt;Nuclear Engineering and Design&lt;/secondary-title&gt;&lt;/titles&gt;&lt;periodical&gt;&lt;full-title&gt;Nuclear Engineering and Design&lt;/full-title&gt;&lt;/periodical&gt;&lt;volume&gt;In Review&lt;/volume&gt;&lt;dates&gt;&lt;year&gt;2024&lt;/year&gt;&lt;/dates&gt;&lt;urls&gt;&lt;/urls&gt;&lt;/record&gt;&lt;/Cite&gt;&lt;/EndNote&gt;</w:instrText>
      </w:r>
      <w:r w:rsidRPr="0074556C">
        <w:fldChar w:fldCharType="separate"/>
      </w:r>
      <w:r w:rsidR="003026BC">
        <w:rPr>
          <w:noProof/>
        </w:rPr>
        <w:t>[133]</w:t>
      </w:r>
      <w:r w:rsidRPr="0074556C">
        <w:fldChar w:fldCharType="end"/>
      </w:r>
      <w:r w:rsidRPr="0074556C">
        <w:t xml:space="preserve"> and </w:t>
      </w:r>
      <w:r>
        <w:t xml:space="preserve">each model </w:t>
      </w:r>
      <w:r w:rsidRPr="0074556C">
        <w:t>inspect</w:t>
      </w:r>
      <w:r>
        <w:t>s</w:t>
      </w:r>
      <w:r w:rsidRPr="0074556C">
        <w:t xml:space="preserve"> 0.33% enriched UO</w:t>
      </w:r>
      <w:r w:rsidRPr="00BA6873">
        <w:rPr>
          <w:vertAlign w:val="subscript"/>
        </w:rPr>
        <w:t>2</w:t>
      </w:r>
      <w:r w:rsidRPr="0074556C">
        <w:t xml:space="preserve"> fuel discs. The HGRs and burnup of each subcapsule </w:t>
      </w:r>
      <w:r>
        <w:t>were</w:t>
      </w:r>
      <w:r w:rsidRPr="0074556C">
        <w:t xml:space="preserve"> calculated using HFIRCON, a neutronics wrapper script consisting of MCNP for the transport calculation, </w:t>
      </w:r>
      <w:r>
        <w:t xml:space="preserve">the SCALE </w:t>
      </w:r>
      <w:r w:rsidRPr="0074556C">
        <w:t>ORIGEN</w:t>
      </w:r>
      <w:r>
        <w:t xml:space="preserve"> code</w:t>
      </w:r>
      <w:r w:rsidRPr="0074556C">
        <w:t xml:space="preserve"> for depletion and isotope decay calculations, and additional modules for variance reduction and geometry calculations </w:t>
      </w:r>
      <w:r w:rsidRPr="0074556C">
        <w:fldChar w:fldCharType="begin">
          <w:fldData xml:space="preserve">PEVuZE5vdGU+PENpdGU+PEF1dGhvcj5EYWlseTwvQXV0aG9yPjxZZWFyPjIwMjA8L1llYXI+PFJl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</w:fldData>
        </w:fldChar>
      </w:r>
      <w:r w:rsidR="003026BC">
        <w:instrText xml:space="preserve"> ADDIN EN.CITE </w:instrText>
      </w:r>
      <w:r w:rsidR="003026BC">
        <w:fldChar w:fldCharType="begin">
          <w:fldData xml:space="preserve">PEVuZE5vdGU+PENpdGU+PEF1dGhvcj5EYWlseTwvQXV0aG9yPjxZZWFyPjIwMjA8L1llYXI+PFJl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</w:fldData>
        </w:fldChar>
      </w:r>
      <w:r w:rsidR="003026BC">
        <w:instrText xml:space="preserve"> ADDIN EN.CITE.DATA </w:instrText>
      </w:r>
      <w:r w:rsidR="003026BC">
        <w:fldChar w:fldCharType="end"/>
      </w:r>
      <w:r w:rsidRPr="0074556C">
        <w:fldChar w:fldCharType="separate"/>
      </w:r>
      <w:r w:rsidR="003026BC">
        <w:rPr>
          <w:noProof/>
        </w:rPr>
        <w:t>[150-152]</w:t>
      </w:r>
      <w:r w:rsidRPr="0074556C">
        <w:fldChar w:fldCharType="end"/>
      </w:r>
      <w:r w:rsidRPr="0074556C">
        <w:t xml:space="preserve">. The HGRs, material properties, and boundary conditions for the heat transfer calculation at each timestep are implemented into an ANSYS model using a validated Ansys Parametric Design Language (APDL) macro library developed by McDuffee </w:t>
      </w:r>
      <w:r w:rsidRPr="0074556C">
        <w:fldChar w:fldCharType="begin"/>
      </w:r>
      <w:r w:rsidR="003026BC">
        <w:instrText xml:space="preserve"> ADDIN EN.CITE &lt;EndNote&gt;&lt;Cite&gt;&lt;Author&gt;McDuffee&lt;/Author&gt;&lt;Year&gt;2013&lt;/Year&gt;&lt;RecNum&gt;427&lt;/RecNum&gt;&lt;DisplayText&gt;[153]&lt;/DisplayText&gt;&lt;record&gt;&lt;rec-number&gt;427&lt;/rec-number&gt;&lt;foreign-keys&gt;&lt;key app="EN" db-id="eseee05sfe5vt6efvr0xapvq20vfdsfp5fvf" timestamp="1710045524"&gt;427&lt;/key&gt;&lt;/foreign-keys&gt;&lt;ref-type name="Conference Paper"&gt;47&lt;/ref-type&gt;&lt;contributors&gt;&lt;authors&gt;&lt;author&gt;McDuffee, Joel L.&lt;/author&gt;&lt;/authors&gt;&lt;/contributors&gt;&lt;titles&gt;&lt;title&gt;Heat Transfer Through Small Moveable Gas Gaps in a Multi-Body System Using the ANSYS Finite Element Software&lt;/title&gt;&lt;secondary-title&gt;ASME 2013 Heat Transfer Summer Conference&lt;/secondary-title&gt;&lt;/titles&gt;&lt;number&gt;V001T01A038&lt;/number&gt;&lt;dates&gt;&lt;year&gt;2013&lt;/year&gt;&lt;/dates&gt;&lt;urls&gt;&lt;related-urls&gt;&lt;url&gt;https://doi.org/10.1115/HT2013-17783&lt;/url&gt;&lt;/related-urls&gt;&lt;/urls&gt;&lt;custom1&gt;Volume 1: Heat Transfer in Energy Systems; Thermophysical Properties; Theory and Fundamental Research in Heat Transfer&lt;/custom1&gt;&lt;custom2&gt;ASME 2013 Heat Transfer Summer Conference collocated with the ASME 2013 7th International Conference on Energy Sustainability and the ASME 2013 11th International Conference on Fuel Cell Science, Engineering and Technology&lt;/custom2&gt;&lt;custom3&gt;HT2013&lt;/custom3&gt;&lt;custom4&gt;Heat Transfer Summer Conference&lt;/custom4&gt;&lt;electronic-resource-num&gt;10.1115/HT2013-17783&lt;/electronic-resource-num&gt;&lt;access-date&gt;3/10/2024&lt;/access-date&gt;&lt;/record&gt;&lt;/Cite&gt;&lt;/EndNote&gt;</w:instrText>
      </w:r>
      <w:r w:rsidRPr="0074556C">
        <w:fldChar w:fldCharType="separate"/>
      </w:r>
      <w:r w:rsidR="003026BC">
        <w:rPr>
          <w:noProof/>
        </w:rPr>
        <w:t>[153]</w:t>
      </w:r>
      <w:r w:rsidRPr="0074556C">
        <w:fldChar w:fldCharType="end"/>
      </w:r>
      <w:r w:rsidRPr="0074556C">
        <w:t xml:space="preserve">. To optimize the </w:t>
      </w:r>
      <w:r>
        <w:t xml:space="preserve">use of </w:t>
      </w:r>
      <w:r w:rsidRPr="0074556C">
        <w:t xml:space="preserve">computational time, the model developed for this study was a single subcapsule in 2D axial symmetry, ensuring </w:t>
      </w:r>
      <w:r>
        <w:t xml:space="preserve">that </w:t>
      </w:r>
      <w:r w:rsidRPr="0074556C">
        <w:t xml:space="preserve">the total volume of and contact area between components are conserved. </w:t>
      </w:r>
    </w:p>
    <w:p w14:paraId="6836CB9C" w14:textId="1B98339D" w:rsidR="00BA37DA" w:rsidRPr="0074556C" w:rsidRDefault="0094193C" w:rsidP="008110D5">
      <w:r w:rsidRPr="0074556C">
        <w:lastRenderedPageBreak/>
        <w:t>Verification and validation of the</w:t>
      </w:r>
      <w:r>
        <w:t xml:space="preserve"> VXF</w:t>
      </w:r>
      <w:r w:rsidRPr="0074556C">
        <w:t xml:space="preserve"> single</w:t>
      </w:r>
      <w:r>
        <w:t>-</w:t>
      </w:r>
      <w:r w:rsidRPr="0074556C">
        <w:t xml:space="preserve">subcapsule model was performed using experimental data from MF01, as reported by Petrie et al. </w:t>
      </w:r>
      <w:r w:rsidRPr="0074556C">
        <w:fldChar w:fldCharType="begin"/>
      </w:r>
      <w:r>
        <w:instrText xml:space="preserve"> ADDIN EN.CITE &lt;EndNote&gt;&lt;Cite&gt;&lt;Author&gt;Petrie&lt;/Author&gt;&lt;Year&gt;2019&lt;/Year&gt;&lt;RecNum&gt;330&lt;/RecNum&gt;&lt;DisplayText&gt;[22]&lt;/DisplayText&gt;&lt;record&gt;&lt;rec-number&gt;330&lt;/rec-number&gt;&lt;foreign-keys&gt;&lt;key app="EN" db-id="eseee05sfe5vt6efvr0xapvq20vfdsfp5fvf" timestamp="1694799017" guid="87a38962-dc46-43d3-b93c-17a925259823"&gt;330&lt;/key&gt;&lt;/foreign-keys&gt;&lt;ref-type name="Journal Article"&gt;17&lt;/ref-type&gt;&lt;contributors&gt;&lt;authors&gt;&lt;author&gt;Petrie, Christian M.&lt;/author&gt;&lt;author&gt;Burns, Joseph R.&lt;/author&gt;&lt;author&gt;Raftery, Alicia M.&lt;/author&gt;&lt;author&gt;Nelson, Andrew T.&lt;/author&gt;&lt;author&gt;Terrani, Kurt A.&lt;/author&gt;&lt;/authors&gt;&lt;/contributors&gt;&lt;titles&gt;&lt;title&gt;Separate effects irradiation testing of miniature fuel specimens&lt;/title&gt;&lt;secondary-title&gt;Journal of Nuclear Materials&lt;/secondary-title&gt;&lt;/titles&gt;&lt;periodical&gt;&lt;full-title&gt;Journal of Nuclear Materials&lt;/full-title&gt;&lt;/periodical&gt;&lt;pages&gt;151783&lt;/pages&gt;&lt;volume&gt;526&lt;/volume&gt;&lt;keywords&gt;&lt;keyword&gt;Fuel&lt;/keyword&gt;&lt;keyword&gt;Irradiation&lt;/keyword&gt;&lt;keyword&gt;Separate effects&lt;/keyword&gt;&lt;keyword&gt;Burnup&lt;/keyword&gt;&lt;/keywords&gt;&lt;dates&gt;&lt;year&gt;2019&lt;/year&gt;&lt;pub-dates&gt;&lt;date&gt;2019/12/01/&lt;/date&gt;&lt;/pub-dates&gt;&lt;/dates&gt;&lt;isbn&gt;0022-3115&lt;/isbn&gt;&lt;urls&gt;&lt;related-urls&gt;&lt;url&gt;https://www.sciencedirect.com/science/article/pii/S0022311519304155&lt;/url&gt;&lt;/related-urls&gt;&lt;/urls&gt;&lt;electronic-resource-num&gt;https://doi.org/10.1016/j.jnucmat.2019.151783&lt;/electronic-resource-num&gt;&lt;/record&gt;&lt;/Cite&gt;&lt;/EndNote&gt;</w:instrText>
      </w:r>
      <w:r w:rsidRPr="0074556C">
        <w:fldChar w:fldCharType="separate"/>
      </w:r>
      <w:r>
        <w:rPr>
          <w:noProof/>
        </w:rPr>
        <w:t>[22]</w:t>
      </w:r>
      <w:r w:rsidRPr="0074556C">
        <w:fldChar w:fldCharType="end"/>
      </w:r>
      <w:r w:rsidRPr="0074556C">
        <w:t xml:space="preserve"> and Harp et al. </w:t>
      </w:r>
      <w:r w:rsidRPr="0074556C">
        <w:fldChar w:fldCharType="begin"/>
      </w:r>
      <w:r w:rsidR="003026BC">
        <w:instrText xml:space="preserve"> ADDIN EN.CITE &lt;EndNote&gt;&lt;Cite&gt;&lt;Author&gt;Harp&lt;/Author&gt;&lt;Year&gt;2021&lt;/Year&gt;&lt;RecNum&gt;422&lt;/RecNum&gt;&lt;DisplayText&gt;[137]&lt;/DisplayText&gt;&lt;record&gt;&lt;rec-number&gt;422&lt;/rec-number&gt;&lt;foreign-keys&gt;&lt;key app="EN" db-id="eseee05sfe5vt6efvr0xapvq20vfdsfp5fvf" timestamp="1710037058"&gt;422&lt;/key&gt;&lt;/foreign-keys&gt;&lt;ref-type name="Journal Article"&gt;17&lt;/ref-type&gt;&lt;contributors&gt;&lt;authors&gt;&lt;author&gt;Harp, Jason M.&lt;/author&gt;&lt;author&gt;Morris, Robert N.&lt;/author&gt;&lt;author&gt;Petrie, Christian M.&lt;/author&gt;&lt;author&gt;Burns, Joseph R.&lt;/author&gt;&lt;author&gt;Terrani, Kurt A.&lt;/author&gt;&lt;/authors&gt;&lt;/contributors&gt;&lt;titles&gt;&lt;title&gt;Postirradiation examination from separate effects irradiation testing of uranium nitride kernels and coated particles&lt;/title&gt;&lt;secondary-title&gt;Journal of Nuclear Materials&lt;/secondary-title&gt;&lt;/titles&gt;&lt;periodical&gt;&lt;full-title&gt;Journal of Nuclear Materials&lt;/full-title&gt;&lt;/periodical&gt;&lt;pages&gt;152696&lt;/pages&gt;&lt;volume&gt;544&lt;/volume&gt;&lt;keywords&gt;&lt;keyword&gt;Separate effects&lt;/keyword&gt;&lt;keyword&gt;Irradiation testing&lt;/keyword&gt;&lt;keyword&gt;Postirradiation examination&lt;/keyword&gt;&lt;keyword&gt;Uranium nitride&lt;/keyword&gt;&lt;keyword&gt;TRISO&lt;/keyword&gt;&lt;/keywords&gt;&lt;dates&gt;&lt;year&gt;2021&lt;/year&gt;&lt;pub-dates&gt;&lt;date&gt;2021/02/01/&lt;/date&gt;&lt;/pub-dates&gt;&lt;/dates&gt;&lt;isbn&gt;0022-3115&lt;/isbn&gt;&lt;urls&gt;&lt;related-urls&gt;&lt;url&gt;https://www.sciencedirect.com/science/article/pii/S0022311520313040&lt;/url&gt;&lt;/related-urls&gt;&lt;/urls&gt;&lt;electronic-resource-num&gt;https://doi.org/10.1016/j.jnucmat.2020.152696&lt;/electronic-resource-num&gt;&lt;/record&gt;&lt;/Cite&gt;&lt;/EndNote&gt;</w:instrText>
      </w:r>
      <w:r w:rsidRPr="0074556C">
        <w:fldChar w:fldCharType="separate"/>
      </w:r>
      <w:r w:rsidR="003026BC">
        <w:rPr>
          <w:noProof/>
        </w:rPr>
        <w:t>[137]</w:t>
      </w:r>
      <w:r w:rsidRPr="0074556C">
        <w:fldChar w:fldCharType="end"/>
      </w:r>
      <w:r>
        <w:t>.</w:t>
      </w:r>
      <w:r w:rsidRPr="0074556C">
        <w:t xml:space="preserve"> </w:t>
      </w:r>
      <w:r>
        <w:t xml:space="preserve">RB subcapsule verification and validation is performed using </w:t>
      </w:r>
      <w:r w:rsidRPr="0074556C">
        <w:t>model-to-model comparison from RB01, as reported by Gorton et al.</w:t>
      </w:r>
      <w:r>
        <w:t xml:space="preserve"> </w:t>
      </w:r>
      <w:r w:rsidRPr="0074556C">
        <w:fldChar w:fldCharType="begin"/>
      </w:r>
      <w:r w:rsidR="003026BC">
        <w:instrText xml:space="preserve"> ADDIN EN.CITE &lt;EndNote&gt;&lt;Cite&gt;&lt;Author&gt;Gorton&lt;/Author&gt;&lt;Year&gt;2024&lt;/Year&gt;&lt;RecNum&gt;507&lt;/RecNum&gt;&lt;DisplayText&gt;[133]&lt;/DisplayText&gt;&lt;record&gt;&lt;rec-number&gt;507&lt;/rec-number&gt;&lt;foreign-keys&gt;&lt;key app="EN" db-id="eseee05sfe5vt6efvr0xapvq20vfdsfp5fvf" timestamp="1721161778"&gt;507&lt;/key&gt;&lt;/foreign-keys&gt;&lt;ref-type name="Journal Article"&gt;17&lt;/ref-type&gt;&lt;contributors&gt;&lt;authors&gt;&lt;author&gt;Gorton, Jacob&lt;/author&gt;&lt;author&gt;Le Coq, Annabelle&lt;/author&gt;&lt;author&gt;Wallen, Zane G.&lt;/author&gt;&lt;author&gt;Petrie, Christian M.&lt;/author&gt;&lt;author&gt;White, Joshua T.&lt;/author&gt;&lt;author&gt;Dunwoody, John T.&lt;/author&gt;&lt;author&gt;Mann, Shane&lt;/author&gt;&lt;author&gt;Capps, Nathan A.&lt;/author&gt;&lt;author&gt;Nelson, Andrew T.&lt;/author&gt;&lt;/authors&gt;&lt;/contributors&gt;&lt;titles&gt;&lt;title&gt;Separate effects irradiation testing targeting fission gas release from Cr-doped UO2&lt;/title&gt;&lt;secondary-title&gt;Nuclear Engineering and Design&lt;/secondary-title&gt;&lt;/titles&gt;&lt;periodical&gt;&lt;full-title&gt;Nuclear Engineering and Design&lt;/full-title&gt;&lt;/periodical&gt;&lt;volume&gt;In Review&lt;/volume&gt;&lt;dates&gt;&lt;year&gt;2024&lt;/year&gt;&lt;/dates&gt;&lt;urls&gt;&lt;/urls&gt;&lt;/record&gt;&lt;/Cite&gt;&lt;/EndNote&gt;</w:instrText>
      </w:r>
      <w:r w:rsidRPr="0074556C">
        <w:fldChar w:fldCharType="separate"/>
      </w:r>
      <w:r w:rsidR="003026BC">
        <w:rPr>
          <w:noProof/>
        </w:rPr>
        <w:t>[133]</w:t>
      </w:r>
      <w:r w:rsidRPr="0074556C">
        <w:fldChar w:fldCharType="end"/>
      </w:r>
      <w:r w:rsidRPr="0074556C">
        <w:t xml:space="preserve"> </w:t>
      </w:r>
      <w:r>
        <w:t>because</w:t>
      </w:r>
      <w:r w:rsidRPr="0074556C">
        <w:t xml:space="preserve"> PIE data does not yet exist for any RB MiniFuel experiments.</w:t>
      </w:r>
      <w:r>
        <w:t xml:space="preserve"> </w:t>
      </w:r>
      <w:r w:rsidR="002B2D7A">
        <w:t>To adapt the single subcapsule model to VXF and RB, boundary conditions for heat generation rates and fuel burnup were applied based on the models</w:t>
      </w:r>
      <w:r w:rsidR="002B2D7A" w:rsidRPr="0074556C">
        <w:t xml:space="preserve"> by Petrie et al. </w:t>
      </w:r>
      <w:r w:rsidR="002B2D7A" w:rsidRPr="0074556C">
        <w:fldChar w:fldCharType="begin"/>
      </w:r>
      <w:r w:rsidR="002B2D7A">
        <w:instrText xml:space="preserve"> ADDIN EN.CITE &lt;EndNote&gt;&lt;Cite&gt;&lt;Author&gt;Petrie&lt;/Author&gt;&lt;Year&gt;2019&lt;/Year&gt;&lt;RecNum&gt;330&lt;/RecNum&gt;&lt;DisplayText&gt;[22]&lt;/DisplayText&gt;&lt;record&gt;&lt;rec-number&gt;330&lt;/rec-number&gt;&lt;foreign-keys&gt;&lt;key app="EN" db-id="eseee05sfe5vt6efvr0xapvq20vfdsfp5fvf" timestamp="1694799017" guid="87a38962-dc46-43d3-b93c-17a925259823"&gt;330&lt;/key&gt;&lt;/foreign-keys&gt;&lt;ref-type name="Journal Article"&gt;17&lt;/ref-type&gt;&lt;contributors&gt;&lt;authors&gt;&lt;author&gt;Petrie, Christian M.&lt;/author&gt;&lt;author&gt;Burns, Joseph R.&lt;/author&gt;&lt;author&gt;Raftery, Alicia M.&lt;/author&gt;&lt;author&gt;Nelson, Andrew T.&lt;/author&gt;&lt;author&gt;Terrani, Kurt A.&lt;/author&gt;&lt;/authors&gt;&lt;/contributors&gt;&lt;titles&gt;&lt;title&gt;Separate effects irradiation testing of miniature fuel specimens&lt;/title&gt;&lt;secondary-title&gt;Journal of Nuclear Materials&lt;/secondary-title&gt;&lt;/titles&gt;&lt;periodical&gt;&lt;full-title&gt;Journal of Nuclear Materials&lt;/full-title&gt;&lt;/periodical&gt;&lt;pages&gt;151783&lt;/pages&gt;&lt;volume&gt;526&lt;/volume&gt;&lt;keywords&gt;&lt;keyword&gt;Fuel&lt;/keyword&gt;&lt;keyword&gt;Irradiation&lt;/keyword&gt;&lt;keyword&gt;Separate effects&lt;/keyword&gt;&lt;keyword&gt;Burnup&lt;/keyword&gt;&lt;/keywords&gt;&lt;dates&gt;&lt;year&gt;2019&lt;/year&gt;&lt;pub-dates&gt;&lt;date&gt;2019/12/01/&lt;/date&gt;&lt;/pub-dates&gt;&lt;/dates&gt;&lt;isbn&gt;0022-3115&lt;/isbn&gt;&lt;urls&gt;&lt;related-urls&gt;&lt;url&gt;https://www.sciencedirect.com/science/article/pii/S0022311519304155&lt;/url&gt;&lt;/related-urls&gt;&lt;/urls&gt;&lt;electronic-resource-num&gt;https://doi.org/10.1016/j.jnucmat.2019.151783&lt;/electronic-resource-num&gt;&lt;/record&gt;&lt;/Cite&gt;&lt;/EndNote&gt;</w:instrText>
      </w:r>
      <w:r w:rsidR="002B2D7A" w:rsidRPr="0074556C">
        <w:fldChar w:fldCharType="separate"/>
      </w:r>
      <w:r w:rsidR="002B2D7A">
        <w:rPr>
          <w:noProof/>
        </w:rPr>
        <w:t>[22]</w:t>
      </w:r>
      <w:r w:rsidR="002B2D7A" w:rsidRPr="0074556C">
        <w:fldChar w:fldCharType="end"/>
      </w:r>
      <w:r w:rsidR="002B2D7A" w:rsidRPr="0074556C">
        <w:t xml:space="preserve">, and Gorton et al. </w:t>
      </w:r>
      <w:r w:rsidR="002B2D7A" w:rsidRPr="0074556C">
        <w:fldChar w:fldCharType="begin"/>
      </w:r>
      <w:r w:rsidR="003026BC">
        <w:instrText xml:space="preserve"> ADDIN EN.CITE &lt;EndNote&gt;&lt;Cite&gt;&lt;Author&gt;Gorton&lt;/Author&gt;&lt;Year&gt;2024&lt;/Year&gt;&lt;RecNum&gt;507&lt;/RecNum&gt;&lt;DisplayText&gt;[133]&lt;/DisplayText&gt;&lt;record&gt;&lt;rec-number&gt;507&lt;/rec-number&gt;&lt;foreign-keys&gt;&lt;key app="EN" db-id="eseee05sfe5vt6efvr0xapvq20vfdsfp5fvf" timestamp="1721161778"&gt;507&lt;/key&gt;&lt;/foreign-keys&gt;&lt;ref-type name="Journal Article"&gt;17&lt;/ref-type&gt;&lt;contributors&gt;&lt;authors&gt;&lt;author&gt;Gorton, Jacob&lt;/author&gt;&lt;author&gt;Le Coq, Annabelle&lt;/author&gt;&lt;author&gt;Wallen, Zane G.&lt;/author&gt;&lt;author&gt;Petrie, Christian M.&lt;/author&gt;&lt;author&gt;White, Joshua T.&lt;/author&gt;&lt;author&gt;Dunwoody, John T.&lt;/author&gt;&lt;author&gt;Mann, Shane&lt;/author&gt;&lt;author&gt;Capps, Nathan A.&lt;/author&gt;&lt;author&gt;Nelson, Andrew T.&lt;/author&gt;&lt;/authors&gt;&lt;/contributors&gt;&lt;titles&gt;&lt;title&gt;Separate effects irradiation testing targeting fission gas release from Cr-doped UO2&lt;/title&gt;&lt;secondary-title&gt;Nuclear Engineering and Design&lt;/secondary-title&gt;&lt;/titles&gt;&lt;periodical&gt;&lt;full-title&gt;Nuclear Engineering and Design&lt;/full-title&gt;&lt;/periodical&gt;&lt;volume&gt;In Review&lt;/volume&gt;&lt;dates&gt;&lt;year&gt;2024&lt;/year&gt;&lt;/dates&gt;&lt;urls&gt;&lt;/urls&gt;&lt;/record&gt;&lt;/Cite&gt;&lt;/EndNote&gt;</w:instrText>
      </w:r>
      <w:r w:rsidR="002B2D7A" w:rsidRPr="0074556C">
        <w:fldChar w:fldCharType="separate"/>
      </w:r>
      <w:r w:rsidR="003026BC">
        <w:rPr>
          <w:noProof/>
        </w:rPr>
        <w:t>[133]</w:t>
      </w:r>
      <w:r w:rsidR="002B2D7A" w:rsidRPr="0074556C">
        <w:fldChar w:fldCharType="end"/>
      </w:r>
      <w:r w:rsidR="002B2D7A" w:rsidRPr="0074556C">
        <w:t>, respectively.</w:t>
      </w:r>
      <w:r w:rsidR="00BF3814">
        <w:t xml:space="preserve"> Additionally, </w:t>
      </w:r>
      <w:r w:rsidR="00BF3814" w:rsidRPr="0074556C">
        <w:t>Mo holders and thimbles were used in the high</w:t>
      </w:r>
      <w:r w:rsidR="00BF3814">
        <w:t>-</w:t>
      </w:r>
      <w:r w:rsidR="00BF3814" w:rsidRPr="0074556C">
        <w:t>temperature model</w:t>
      </w:r>
      <w:r w:rsidR="00BF3814">
        <w:t>, whereas</w:t>
      </w:r>
      <w:r w:rsidR="00BF3814" w:rsidRPr="0074556C">
        <w:t xml:space="preserve"> Ti </w:t>
      </w:r>
      <w:r w:rsidR="00BF3814">
        <w:t xml:space="preserve">was </w:t>
      </w:r>
      <w:r w:rsidR="00BF3814" w:rsidRPr="0074556C">
        <w:t>used in the low</w:t>
      </w:r>
      <w:r w:rsidR="00BF3814">
        <w:t>-</w:t>
      </w:r>
      <w:r w:rsidR="00BF3814" w:rsidRPr="0074556C">
        <w:t>temperature model.</w:t>
      </w:r>
      <w:r w:rsidR="002B2D7A" w:rsidRPr="0074556C">
        <w:t xml:space="preserve"> </w:t>
      </w:r>
      <w:r w:rsidRPr="0074556C">
        <w:t>Material thermal properties use the same reference library as the calculations and were applied using the developed APDL macro libraries. To accommodate reduced</w:t>
      </w:r>
      <w:r>
        <w:t>-</w:t>
      </w:r>
      <w:r w:rsidRPr="0074556C">
        <w:t>order modeling comparisons for MF01, data from subcapsules 1, 2</w:t>
      </w:r>
      <w:r>
        <w:t>,</w:t>
      </w:r>
      <w:r w:rsidRPr="0074556C">
        <w:t xml:space="preserve"> and 5</w:t>
      </w:r>
      <w:r>
        <w:t xml:space="preserve"> </w:t>
      </w:r>
      <w:r w:rsidRPr="0074556C">
        <w:t>for bare UCN kernels</w:t>
      </w:r>
      <w:r>
        <w:t xml:space="preserve"> </w:t>
      </w:r>
      <w:r w:rsidRPr="0074556C">
        <w:t>w</w:t>
      </w:r>
      <w:r>
        <w:t>as</w:t>
      </w:r>
      <w:r w:rsidRPr="0074556C">
        <w:t xml:space="preserve"> utilized</w:t>
      </w:r>
      <w:r w:rsidR="00D068CC">
        <w:t>, and the model was adjusted such that the volume of fuel was consistent with the experiments</w:t>
      </w:r>
      <w:r w:rsidRPr="0074556C">
        <w:t>. The models for RB01 utilize single disk geometry</w:t>
      </w:r>
      <w:r>
        <w:t>,</w:t>
      </w:r>
      <w:r w:rsidRPr="0074556C">
        <w:t xml:space="preserve"> so a model-to-model comparison for all 6 subcapsules</w:t>
      </w:r>
      <w:r>
        <w:t xml:space="preserve"> </w:t>
      </w:r>
      <w:r w:rsidRPr="0074556C">
        <w:t>w</w:t>
      </w:r>
      <w:r>
        <w:t>as</w:t>
      </w:r>
      <w:r w:rsidRPr="0074556C">
        <w:t xml:space="preserve"> performed.</w:t>
      </w:r>
    </w:p>
    <w:p w14:paraId="02966230" w14:textId="2C76271B" w:rsidR="00BA37DA" w:rsidRPr="0074556C" w:rsidRDefault="00BA37DA" w:rsidP="008110D5">
      <w:r>
        <w:t xml:space="preserve">To </w:t>
      </w:r>
      <w:r w:rsidRPr="0074556C">
        <w:t>ensure computational efficiency</w:t>
      </w:r>
      <w:r>
        <w:t>, the</w:t>
      </w:r>
      <w:r w:rsidRPr="0074556C">
        <w:t xml:space="preserve"> sensitivity analysis was performed in two steps. An initial screening was performed using the </w:t>
      </w:r>
      <w:r>
        <w:t>Morris method</w:t>
      </w:r>
      <w:r w:rsidRPr="0074556C">
        <w:t xml:space="preserve"> to give an initial calculation of the importance of each parameter</w:t>
      </w:r>
      <w:r>
        <w:t>,</w:t>
      </w:r>
      <w:r w:rsidRPr="0074556C">
        <w:t xml:space="preserve"> allowing </w:t>
      </w:r>
      <w:r>
        <w:t xml:space="preserve">for </w:t>
      </w:r>
      <w:r w:rsidRPr="0074556C">
        <w:t>down-select</w:t>
      </w:r>
      <w:r>
        <w:t>ion of</w:t>
      </w:r>
      <w:r w:rsidRPr="0074556C">
        <w:t xml:space="preserve"> the highest</w:t>
      </w:r>
      <w:r>
        <w:t>-</w:t>
      </w:r>
      <w:r w:rsidRPr="0074556C">
        <w:t>impact, highest</w:t>
      </w:r>
      <w:r>
        <w:t>-</w:t>
      </w:r>
      <w:r w:rsidRPr="0074556C">
        <w:t xml:space="preserve">uncertainty parameters. The down-selection process of parameters then enabled the use of the more computationally intensive Sobol sensitivity analysis, which has shown to be more stable </w:t>
      </w:r>
      <w:r>
        <w:t xml:space="preserve">in </w:t>
      </w:r>
      <w:r w:rsidRPr="0074556C">
        <w:t xml:space="preserve">ranking convergence and uncertainty quantification than the </w:t>
      </w:r>
      <w:r>
        <w:t>Morris method</w:t>
      </w:r>
      <w:r w:rsidRPr="0074556C">
        <w:t xml:space="preserve"> for assessing highly non-linear models.</w:t>
      </w:r>
    </w:p>
    <w:p w14:paraId="0F5023F9" w14:textId="214C7B98" w:rsidR="00BA37DA" w:rsidRPr="0074556C" w:rsidRDefault="00BA37DA" w:rsidP="007245A9">
      <w:pPr>
        <w:pStyle w:val="Heading3"/>
      </w:pPr>
      <w:bookmarkStart w:id="142" w:name="_Ref188969945"/>
      <w:bookmarkStart w:id="143" w:name="_Toc202957480"/>
      <w:r w:rsidRPr="0074556C">
        <w:lastRenderedPageBreak/>
        <w:t>Morris Parameter Screening</w:t>
      </w:r>
      <w:bookmarkEnd w:id="142"/>
      <w:r w:rsidR="00FA3EAE">
        <w:t xml:space="preserve"> Methods</w:t>
      </w:r>
      <w:bookmarkEnd w:id="143"/>
    </w:p>
    <w:p w14:paraId="1080C4AD" w14:textId="77777777" w:rsidR="00BA37DA" w:rsidRPr="0074556C" w:rsidRDefault="00BA37DA" w:rsidP="008110D5">
      <w:r w:rsidRPr="0074556C">
        <w:t>The first step in performing the sensitivity analysis is determining the input and output parameters of interest (POI</w:t>
      </w:r>
      <w:r>
        <w:t>s</w:t>
      </w:r>
      <w:r w:rsidRPr="0074556C">
        <w:t>). The primary function of the MiniFuel subcapsule design is to isolate the effects of fission from irradiation temperature</w:t>
      </w:r>
      <w:r>
        <w:t>;</w:t>
      </w:r>
      <w:r w:rsidRPr="0074556C">
        <w:t xml:space="preserve"> </w:t>
      </w:r>
      <w:r>
        <w:t>this design</w:t>
      </w:r>
      <w:r w:rsidRPr="0074556C">
        <w:t xml:space="preserve"> aims to provide control over both the fuel temperature and temperature gradient across the fuel. Pre-irradiation predictions of the thermometry temperature are compared to dilatometry measurement taken during PIE and is therefore the figure of merit for verifying thermal model predictions. Therefore, the chosen output POI are the fuel temperature, temperature distribution across the fuel, and the thermometry temperature. The fuel </w:t>
      </w:r>
      <w:r>
        <w:t xml:space="preserve">inspected </w:t>
      </w:r>
      <w:r w:rsidRPr="0074556C">
        <w:t>in the sensitivity analysis is UO</w:t>
      </w:r>
      <w:r w:rsidRPr="0074556C">
        <w:rPr>
          <w:vertAlign w:val="subscript"/>
        </w:rPr>
        <w:t>2</w:t>
      </w:r>
      <w:r w:rsidRPr="0074556C">
        <w:t>.</w:t>
      </w:r>
    </w:p>
    <w:p w14:paraId="51437429" w14:textId="3B656EBC" w:rsidR="00BA37DA" w:rsidRPr="0074556C" w:rsidRDefault="00413E5A" w:rsidP="008110D5">
      <w:r w:rsidRPr="007258A1">
        <w:rPr>
          <w:b/>
          <w:bCs/>
        </w:rPr>
        <w:fldChar w:fldCharType="begin"/>
      </w:r>
      <w:r w:rsidRPr="007258A1">
        <w:rPr>
          <w:b/>
          <w:bCs/>
        </w:rPr>
        <w:instrText xml:space="preserve"> REF _Ref198117494 \h </w:instrText>
      </w:r>
      <w:r w:rsidR="007258A1">
        <w:rPr>
          <w:b/>
          <w:bCs/>
        </w:rPr>
        <w:instrText xml:space="preserve"> \* MERGEFORMAT </w:instrText>
      </w:r>
      <w:r w:rsidRPr="007258A1">
        <w:rPr>
          <w:b/>
          <w:bCs/>
        </w:rPr>
      </w:r>
      <w:r w:rsidRPr="007258A1">
        <w:rPr>
          <w:b/>
          <w:bCs/>
        </w:rPr>
        <w:fldChar w:fldCharType="separate"/>
      </w:r>
      <w:r w:rsidR="00BF7E93" w:rsidRPr="00BF7E93">
        <w:rPr>
          <w:b/>
          <w:bCs/>
        </w:rPr>
        <w:t xml:space="preserve">Table </w:t>
      </w:r>
      <w:r w:rsidR="00BF7E93" w:rsidRPr="00BF7E93">
        <w:rPr>
          <w:b/>
          <w:bCs/>
          <w:noProof/>
        </w:rPr>
        <w:t>4.3</w:t>
      </w:r>
      <w:r w:rsidRPr="007258A1">
        <w:rPr>
          <w:b/>
          <w:bCs/>
        </w:rPr>
        <w:fldChar w:fldCharType="end"/>
      </w:r>
      <w:r>
        <w:t xml:space="preserve"> </w:t>
      </w:r>
      <w:r w:rsidR="00BA37DA" w:rsidRPr="0074556C">
        <w:t>provides a list of the uncertainties in material properties, HGRs, solid-spot conductance values, and irradiation conditions considered in the screening study. A table containing the geometric parameters considered within the analysis</w:t>
      </w:r>
      <w:r w:rsidR="00BA37DA" w:rsidRPr="008110D5">
        <w:t xml:space="preserve">, </w:t>
      </w:r>
      <w:r w:rsidR="00F51B32" w:rsidRPr="008110D5">
        <w:rPr>
          <w:b/>
          <w:bCs/>
        </w:rPr>
        <w:fldChar w:fldCharType="begin"/>
      </w:r>
      <w:r w:rsidR="00F51B32" w:rsidRPr="008110D5">
        <w:rPr>
          <w:b/>
          <w:bCs/>
        </w:rPr>
        <w:instrText xml:space="preserve"> REF _Ref198117603 \h </w:instrText>
      </w:r>
      <w:r w:rsidR="008110D5">
        <w:rPr>
          <w:b/>
          <w:bCs/>
        </w:rPr>
        <w:instrText xml:space="preserve"> \* MERGEFORMAT </w:instrText>
      </w:r>
      <w:r w:rsidR="00F51B32" w:rsidRPr="008110D5">
        <w:rPr>
          <w:b/>
          <w:bCs/>
        </w:rPr>
      </w:r>
      <w:r w:rsidR="00F51B32" w:rsidRPr="008110D5">
        <w:rPr>
          <w:b/>
          <w:bCs/>
        </w:rPr>
        <w:fldChar w:fldCharType="separate"/>
      </w:r>
      <w:r w:rsidR="00BF7E93" w:rsidRPr="00BF7E93">
        <w:rPr>
          <w:b/>
          <w:bCs/>
        </w:rPr>
        <w:t xml:space="preserve">Table </w:t>
      </w:r>
      <w:r w:rsidR="00BF7E93" w:rsidRPr="00BF7E93">
        <w:rPr>
          <w:b/>
          <w:bCs/>
          <w:noProof/>
        </w:rPr>
        <w:t>2</w:t>
      </w:r>
      <w:r w:rsidR="00F51B32" w:rsidRPr="008110D5">
        <w:rPr>
          <w:b/>
          <w:bCs/>
        </w:rPr>
        <w:fldChar w:fldCharType="end"/>
      </w:r>
      <w:r w:rsidR="00BA37DA" w:rsidRPr="0074556C">
        <w:t>, and a corresponding cross section of the model are included in the appendix. Capsule geometry uncertainties are based on the machining tolerances from internal engineering drawings</w:t>
      </w:r>
      <w:r w:rsidR="008110D5" w:rsidRPr="008110D5">
        <w:t xml:space="preserve"> </w:t>
      </w:r>
      <w:r w:rsidR="008110D5" w:rsidRPr="0074556C">
        <w:t xml:space="preserve">and </w:t>
      </w:r>
      <w:r w:rsidR="008110D5">
        <w:t>were</w:t>
      </w:r>
      <w:r w:rsidR="008110D5" w:rsidRPr="0074556C">
        <w:t xml:space="preserve"> sampled on a uniform distribution as a conservative estimate of the machining accuracy of the parts</w:t>
      </w:r>
      <w:r w:rsidR="008110D5">
        <w:t>.</w:t>
      </w:r>
      <w:r w:rsidR="008110D5" w:rsidRPr="0074556C">
        <w:t xml:space="preserve"> </w:t>
      </w:r>
      <w:r w:rsidR="00962021">
        <w:t xml:space="preserve">As the capsule geometry changes, the internal volume of the subcapsule is not conserved. The initial pressure remains constant regardless of the changes to the internal volume because the subcapsules are backfilled with gas following assembly. </w:t>
      </w:r>
      <w:r w:rsidR="008110D5" w:rsidRPr="0074556C">
        <w:t xml:space="preserve">Thermal property uncertainties are based on empirical correlations developed using experimental data and </w:t>
      </w:r>
      <w:r w:rsidR="008110D5">
        <w:t>were</w:t>
      </w:r>
      <w:r w:rsidR="008110D5" w:rsidRPr="0074556C">
        <w:t xml:space="preserve"> sampled on a uniform distribution, incorporating </w:t>
      </w:r>
      <w:r w:rsidR="001B6F2A">
        <w:br w:type="page"/>
      </w:r>
    </w:p>
    <w:p w14:paraId="23CC30F9" w14:textId="2069D292" w:rsidR="00BA37DA" w:rsidRPr="0074556C" w:rsidRDefault="00413E5A" w:rsidP="00874CBB">
      <w:pPr>
        <w:pStyle w:val="Caption"/>
      </w:pPr>
      <w:bookmarkStart w:id="144" w:name="_Ref198117494"/>
      <w:bookmarkStart w:id="145" w:name="_Toc202957524"/>
      <w:r w:rsidRPr="009D2AA9">
        <w:lastRenderedPageBreak/>
        <w:t xml:space="preserve">Table </w:t>
      </w:r>
      <w:fldSimple w:instr=" STYLEREF 1 \s ">
        <w:r w:rsidR="00BF7E93">
          <w:rPr>
            <w:noProof/>
          </w:rPr>
          <w:t>4</w:t>
        </w:r>
      </w:fldSimple>
      <w:r w:rsidRPr="009D2AA9">
        <w:t>.</w:t>
      </w:r>
      <w:fldSimple w:instr=" SEQ Table \* ARABIC \s 1 ">
        <w:r w:rsidR="00BF7E93">
          <w:rPr>
            <w:noProof/>
          </w:rPr>
          <w:t>3</w:t>
        </w:r>
      </w:fldSimple>
      <w:bookmarkEnd w:id="144"/>
      <w:r w:rsidRPr="009D2AA9">
        <w:t>.</w:t>
      </w:r>
      <w:r w:rsidR="00BA37DA" w:rsidRPr="0074556C">
        <w:t xml:space="preserve"> Morris screening analysis parameter uncertainty distributions.</w:t>
      </w:r>
      <w:bookmarkEnd w:id="145"/>
    </w:p>
    <w:tbl>
      <w:tblPr>
        <w:tblW w:w="8668" w:type="dxa"/>
        <w:tblInd w:w="-185" w:type="dxa"/>
        <w:tblLayout w:type="fixed"/>
        <w:tblLook w:val="04A0" w:firstRow="1" w:lastRow="0" w:firstColumn="1" w:lastColumn="0" w:noHBand="0" w:noVBand="1"/>
      </w:tblPr>
      <w:tblGrid>
        <w:gridCol w:w="2137"/>
        <w:gridCol w:w="381"/>
        <w:gridCol w:w="3692"/>
        <w:gridCol w:w="1260"/>
        <w:gridCol w:w="1198"/>
      </w:tblGrid>
      <w:tr w:rsidR="001B6F2A" w:rsidRPr="0074556C" w14:paraId="6CCE3F2A" w14:textId="77777777" w:rsidTr="001B6F2A">
        <w:trPr>
          <w:trHeight w:val="300"/>
        </w:trPr>
        <w:tc>
          <w:tcPr>
            <w:tcW w:w="21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B7F7F65" w14:textId="77777777" w:rsidR="00BA37DA" w:rsidRPr="00E2380E" w:rsidRDefault="00BA37DA" w:rsidP="003E2B8A">
            <w:pPr>
              <w:pStyle w:val="TableText"/>
            </w:pPr>
            <w:r w:rsidRPr="00E2380E">
              <w:t>Parameter Name</w:t>
            </w:r>
          </w:p>
        </w:tc>
        <w:tc>
          <w:tcPr>
            <w:tcW w:w="4073" w:type="dxa"/>
            <w:gridSpan w:val="2"/>
            <w:tcBorders>
              <w:top w:val="single" w:sz="4" w:space="0" w:color="auto"/>
              <w:left w:val="single" w:sz="4" w:space="0" w:color="auto"/>
              <w:bottom w:val="single" w:sz="4" w:space="0" w:color="auto"/>
              <w:right w:val="nil"/>
            </w:tcBorders>
            <w:shd w:val="clear" w:color="auto" w:fill="auto"/>
            <w:noWrap/>
            <w:vAlign w:val="center"/>
            <w:hideMark/>
          </w:tcPr>
          <w:p w14:paraId="154735B6" w14:textId="77777777" w:rsidR="00BA37DA" w:rsidRPr="00E2380E" w:rsidRDefault="00BA37DA" w:rsidP="003E2B8A">
            <w:pPr>
              <w:pStyle w:val="TableText"/>
            </w:pPr>
            <w:r w:rsidRPr="00E2380E">
              <w:t>Uncertainty</w:t>
            </w:r>
          </w:p>
        </w:tc>
        <w:tc>
          <w:tcPr>
            <w:tcW w:w="1260" w:type="dxa"/>
            <w:tcBorders>
              <w:top w:val="single" w:sz="4" w:space="0" w:color="auto"/>
              <w:left w:val="nil"/>
              <w:bottom w:val="single" w:sz="4" w:space="0" w:color="auto"/>
              <w:right w:val="single" w:sz="4" w:space="0" w:color="auto"/>
            </w:tcBorders>
            <w:shd w:val="clear" w:color="auto" w:fill="auto"/>
            <w:noWrap/>
            <w:vAlign w:val="center"/>
            <w:hideMark/>
          </w:tcPr>
          <w:p w14:paraId="67E44FDF" w14:textId="77777777" w:rsidR="00BA37DA" w:rsidRPr="00E2380E" w:rsidRDefault="00BA37DA" w:rsidP="003E2B8A">
            <w:pPr>
              <w:pStyle w:val="TableText"/>
            </w:pPr>
            <w:r w:rsidRPr="00E2380E">
              <w:t>Unit</w:t>
            </w:r>
          </w:p>
        </w:tc>
        <w:tc>
          <w:tcPr>
            <w:tcW w:w="1198" w:type="dxa"/>
            <w:tcBorders>
              <w:top w:val="single" w:sz="4" w:space="0" w:color="auto"/>
              <w:left w:val="nil"/>
              <w:bottom w:val="single" w:sz="4" w:space="0" w:color="auto"/>
              <w:right w:val="single" w:sz="4" w:space="0" w:color="auto"/>
            </w:tcBorders>
            <w:shd w:val="clear" w:color="auto" w:fill="auto"/>
            <w:noWrap/>
            <w:vAlign w:val="center"/>
            <w:hideMark/>
          </w:tcPr>
          <w:p w14:paraId="3CD9062A" w14:textId="77777777" w:rsidR="00BA37DA" w:rsidRPr="00E2380E" w:rsidRDefault="00BA37DA" w:rsidP="003E2B8A">
            <w:pPr>
              <w:pStyle w:val="TableText"/>
            </w:pPr>
            <w:r w:rsidRPr="00E2380E">
              <w:t>Source</w:t>
            </w:r>
          </w:p>
        </w:tc>
      </w:tr>
      <w:tr w:rsidR="001B6F2A" w:rsidRPr="0074556C" w14:paraId="0077A063" w14:textId="77777777" w:rsidTr="001B6F2A">
        <w:trPr>
          <w:trHeight w:val="320"/>
        </w:trPr>
        <w:tc>
          <w:tcPr>
            <w:tcW w:w="2137" w:type="dxa"/>
            <w:tcBorders>
              <w:top w:val="single" w:sz="4" w:space="0" w:color="auto"/>
              <w:left w:val="single" w:sz="4" w:space="0" w:color="auto"/>
              <w:bottom w:val="nil"/>
              <w:right w:val="single" w:sz="4" w:space="0" w:color="auto"/>
            </w:tcBorders>
            <w:shd w:val="clear" w:color="auto" w:fill="auto"/>
            <w:noWrap/>
            <w:vAlign w:val="center"/>
            <w:hideMark/>
          </w:tcPr>
          <w:p w14:paraId="3F5A1A28" w14:textId="77777777" w:rsidR="00BA37DA" w:rsidRPr="008C04B3" w:rsidRDefault="00BA37DA" w:rsidP="003E2B8A">
            <w:pPr>
              <w:pStyle w:val="TableText"/>
            </w:pPr>
            <w:r w:rsidRPr="008C04B3">
              <w:t>Q</w:t>
            </w:r>
          </w:p>
        </w:tc>
        <w:tc>
          <w:tcPr>
            <w:tcW w:w="381" w:type="dxa"/>
            <w:tcBorders>
              <w:top w:val="single" w:sz="4" w:space="0" w:color="auto"/>
              <w:left w:val="nil"/>
              <w:right w:val="nil"/>
            </w:tcBorders>
            <w:shd w:val="clear" w:color="auto" w:fill="auto"/>
            <w:noWrap/>
            <w:vAlign w:val="center"/>
            <w:hideMark/>
          </w:tcPr>
          <w:p w14:paraId="7EAA3995" w14:textId="77777777" w:rsidR="00BA37DA" w:rsidRPr="008C04B3" w:rsidRDefault="00BA37DA" w:rsidP="003E2B8A">
            <w:pPr>
              <w:pStyle w:val="TableText"/>
              <w:rPr>
                <w:rFonts w:ascii="Cambria Math" w:hAnsi="Cambria Math"/>
              </w:rPr>
            </w:pPr>
            <w:r w:rsidRPr="008C04B3">
              <w:rPr>
                <w:rFonts w:ascii="Cambria Math" w:hAnsi="Cambria Math"/>
              </w:rPr>
              <w:t>±</w:t>
            </w:r>
          </w:p>
        </w:tc>
        <w:tc>
          <w:tcPr>
            <w:tcW w:w="3692" w:type="dxa"/>
            <w:tcBorders>
              <w:top w:val="single" w:sz="4" w:space="0" w:color="auto"/>
              <w:left w:val="nil"/>
              <w:bottom w:val="nil"/>
              <w:right w:val="nil"/>
            </w:tcBorders>
            <w:shd w:val="clear" w:color="auto" w:fill="auto"/>
            <w:noWrap/>
            <w:vAlign w:val="center"/>
            <w:hideMark/>
          </w:tcPr>
          <w:p w14:paraId="63700D27" w14:textId="77777777" w:rsidR="00BA37DA" w:rsidRPr="008C04B3" w:rsidRDefault="00BA37DA" w:rsidP="003E2B8A">
            <w:pPr>
              <w:pStyle w:val="TableText"/>
            </w:pPr>
            <w:r w:rsidRPr="008C04B3">
              <w:t>9</w:t>
            </w:r>
          </w:p>
        </w:tc>
        <w:tc>
          <w:tcPr>
            <w:tcW w:w="1260" w:type="dxa"/>
            <w:tcBorders>
              <w:top w:val="single" w:sz="4" w:space="0" w:color="auto"/>
              <w:left w:val="nil"/>
              <w:bottom w:val="nil"/>
              <w:right w:val="single" w:sz="4" w:space="0" w:color="auto"/>
            </w:tcBorders>
            <w:shd w:val="clear" w:color="auto" w:fill="auto"/>
            <w:noWrap/>
            <w:vAlign w:val="center"/>
            <w:hideMark/>
          </w:tcPr>
          <w:p w14:paraId="5CB56D1B" w14:textId="77777777" w:rsidR="00BA37DA" w:rsidRPr="008C04B3" w:rsidRDefault="00BA37DA" w:rsidP="003E2B8A">
            <w:pPr>
              <w:pStyle w:val="TableText"/>
            </w:pPr>
            <w:r w:rsidRPr="008C04B3">
              <w:t>%</w:t>
            </w:r>
          </w:p>
        </w:tc>
        <w:tc>
          <w:tcPr>
            <w:tcW w:w="1198" w:type="dxa"/>
            <w:tcBorders>
              <w:top w:val="single" w:sz="4" w:space="0" w:color="auto"/>
              <w:left w:val="nil"/>
              <w:bottom w:val="nil"/>
              <w:right w:val="single" w:sz="4" w:space="0" w:color="auto"/>
            </w:tcBorders>
            <w:shd w:val="clear" w:color="auto" w:fill="auto"/>
            <w:noWrap/>
            <w:vAlign w:val="center"/>
            <w:hideMark/>
          </w:tcPr>
          <w:p w14:paraId="372779C7" w14:textId="147EE197" w:rsidR="00BA37DA" w:rsidRPr="0074556C" w:rsidRDefault="00BA37DA" w:rsidP="003E2B8A">
            <w:pPr>
              <w:pStyle w:val="TableText"/>
            </w:pPr>
            <w:r w:rsidRPr="0074556C">
              <w:fldChar w:fldCharType="begin"/>
            </w:r>
            <w:r w:rsidR="003026BC">
              <w:instrText xml:space="preserve"> ADDIN EN.CITE &lt;EndNote&gt;&lt;Cite&gt;&lt;Author&gt;Chandler&lt;/Author&gt;&lt;Year&gt;2020&lt;/Year&gt;&lt;RecNum&gt;469&lt;/RecNum&gt;&lt;DisplayText&gt;[131]&lt;/DisplayText&gt;&lt;record&gt;&lt;rec-number&gt;469&lt;/rec-number&gt;&lt;foreign-keys&gt;&lt;key app="EN" db-id="eseee05sfe5vt6efvr0xapvq20vfdsfp5fvf" timestamp="1713901234"&gt;469&lt;/key&gt;&lt;/foreign-keys&gt;&lt;ref-type name="Journal Article"&gt;17&lt;/ref-type&gt;&lt;contributors&gt;&lt;authors&gt;&lt;author&gt;Chandler, David&lt;/author&gt;&lt;author&gt;Betzler, Benjamin R.&lt;/author&gt;&lt;author&gt;Davidson, Eva E.&lt;/author&gt;&lt;author&gt;Ilas, Germina&lt;/author&gt;&lt;/authors&gt;&lt;/contributors&gt;&lt;titles&gt;&lt;title&gt;Modeling and simulation of a High Flux Isotope Reactor representative core model for updated performance and safety basis assessments&lt;/title&gt;&lt;secondary-title&gt;Nuclear Engineering and Design&lt;/secondary-title&gt;&lt;/titles&gt;&lt;periodical&gt;&lt;full-title&gt;Nuclear Engineering and Design&lt;/full-title&gt;&lt;/periodical&gt;&lt;pages&gt;110752&lt;/pages&gt;&lt;volume&gt;366&lt;/volume&gt;&lt;keywords&gt;&lt;keyword&gt;High Flux Isotope Reactor&lt;/keyword&gt;&lt;keyword&gt;Research reactor&lt;/keyword&gt;&lt;keyword&gt;Neutronics&lt;/keyword&gt;&lt;keyword&gt;Reactor physics&lt;/keyword&gt;&lt;keyword&gt;Depletion&lt;/keyword&gt;&lt;keyword&gt;Thermal-hydraulics&lt;/keyword&gt;&lt;/keywords&gt;&lt;dates&gt;&lt;year&gt;2020&lt;/year&gt;&lt;pub-dates&gt;&lt;date&gt;2020/09/01/&lt;/date&gt;&lt;/pub-dates&gt;&lt;/dates&gt;&lt;isbn&gt;0029-5493&lt;/isbn&gt;&lt;urls&gt;&lt;related-urls&gt;&lt;url&gt;https://www.sciencedirect.com/science/article/pii/S0029549320302466&lt;/url&gt;&lt;/related-urls&gt;&lt;/urls&gt;&lt;electronic-resource-num&gt;https://doi.org/10.1016/j.nucengdes.2020.110752&lt;/electronic-resource-num&gt;&lt;/record&gt;&lt;/Cite&gt;&lt;/EndNote&gt;</w:instrText>
            </w:r>
            <w:r w:rsidRPr="0074556C">
              <w:fldChar w:fldCharType="separate"/>
            </w:r>
            <w:r w:rsidR="003026BC">
              <w:rPr>
                <w:noProof/>
              </w:rPr>
              <w:t>[131]</w:t>
            </w:r>
            <w:r w:rsidRPr="0074556C">
              <w:fldChar w:fldCharType="end"/>
            </w:r>
          </w:p>
        </w:tc>
      </w:tr>
      <w:tr w:rsidR="001B6F2A" w:rsidRPr="0074556C" w14:paraId="2489FA1C" w14:textId="77777777" w:rsidTr="001B6F2A">
        <w:trPr>
          <w:trHeight w:val="317"/>
        </w:trPr>
        <w:tc>
          <w:tcPr>
            <w:tcW w:w="2137" w:type="dxa"/>
            <w:tcBorders>
              <w:top w:val="nil"/>
              <w:left w:val="single" w:sz="4" w:space="0" w:color="auto"/>
              <w:bottom w:val="nil"/>
              <w:right w:val="single" w:sz="4" w:space="0" w:color="auto"/>
            </w:tcBorders>
            <w:shd w:val="clear" w:color="auto" w:fill="auto"/>
            <w:noWrap/>
            <w:vAlign w:val="center"/>
            <w:hideMark/>
          </w:tcPr>
          <w:p w14:paraId="0850A852" w14:textId="77777777" w:rsidR="00BA37DA" w:rsidRPr="008C04B3" w:rsidRDefault="00BA37DA" w:rsidP="003E2B8A">
            <w:pPr>
              <w:pStyle w:val="TableText"/>
            </w:pPr>
            <w:r w:rsidRPr="008C04B3">
              <w:t>k</w:t>
            </w:r>
            <w:r w:rsidRPr="008C04B3">
              <w:rPr>
                <w:vertAlign w:val="subscript"/>
              </w:rPr>
              <w:t>Mo</w:t>
            </w:r>
          </w:p>
        </w:tc>
        <w:tc>
          <w:tcPr>
            <w:tcW w:w="381" w:type="dxa"/>
            <w:tcBorders>
              <w:top w:val="nil"/>
              <w:left w:val="nil"/>
              <w:right w:val="nil"/>
            </w:tcBorders>
            <w:shd w:val="clear" w:color="auto" w:fill="auto"/>
            <w:noWrap/>
            <w:vAlign w:val="center"/>
            <w:hideMark/>
          </w:tcPr>
          <w:p w14:paraId="195607AB" w14:textId="77777777" w:rsidR="00BA37DA" w:rsidRPr="008C04B3" w:rsidRDefault="00BA37DA" w:rsidP="003E2B8A">
            <w:pPr>
              <w:pStyle w:val="TableText"/>
              <w:rPr>
                <w:rFonts w:ascii="Cambria Math" w:hAnsi="Cambria Math"/>
              </w:rPr>
            </w:pPr>
            <w:r w:rsidRPr="008C04B3">
              <w:rPr>
                <w:rFonts w:ascii="Cambria Math" w:hAnsi="Cambria Math"/>
              </w:rPr>
              <w:t>±</w:t>
            </w:r>
          </w:p>
        </w:tc>
        <w:tc>
          <w:tcPr>
            <w:tcW w:w="3692" w:type="dxa"/>
            <w:tcBorders>
              <w:top w:val="nil"/>
              <w:left w:val="nil"/>
              <w:bottom w:val="nil"/>
              <w:right w:val="nil"/>
            </w:tcBorders>
            <w:shd w:val="clear" w:color="auto" w:fill="auto"/>
            <w:noWrap/>
            <w:vAlign w:val="center"/>
            <w:hideMark/>
          </w:tcPr>
          <w:p w14:paraId="1470DABE" w14:textId="77777777" w:rsidR="00BA37DA" w:rsidRPr="008C04B3" w:rsidRDefault="00BA37DA" w:rsidP="003E2B8A">
            <w:pPr>
              <w:pStyle w:val="TableText"/>
            </w:pPr>
            <w:r w:rsidRPr="008C04B3">
              <w:t>10</w:t>
            </w:r>
          </w:p>
        </w:tc>
        <w:tc>
          <w:tcPr>
            <w:tcW w:w="1260" w:type="dxa"/>
            <w:tcBorders>
              <w:top w:val="nil"/>
              <w:left w:val="nil"/>
              <w:bottom w:val="nil"/>
              <w:right w:val="single" w:sz="4" w:space="0" w:color="auto"/>
            </w:tcBorders>
            <w:shd w:val="clear" w:color="auto" w:fill="auto"/>
            <w:noWrap/>
            <w:vAlign w:val="center"/>
            <w:hideMark/>
          </w:tcPr>
          <w:p w14:paraId="48845BEA" w14:textId="77777777" w:rsidR="00BA37DA" w:rsidRPr="008C04B3" w:rsidRDefault="00BA37DA" w:rsidP="003E2B8A">
            <w:pPr>
              <w:pStyle w:val="TableText"/>
            </w:pPr>
            <w:r w:rsidRPr="008C04B3">
              <w:t>%</w:t>
            </w:r>
          </w:p>
        </w:tc>
        <w:tc>
          <w:tcPr>
            <w:tcW w:w="1198" w:type="dxa"/>
            <w:tcBorders>
              <w:top w:val="nil"/>
              <w:left w:val="nil"/>
              <w:bottom w:val="nil"/>
              <w:right w:val="single" w:sz="4" w:space="0" w:color="auto"/>
            </w:tcBorders>
            <w:shd w:val="clear" w:color="auto" w:fill="auto"/>
            <w:noWrap/>
            <w:vAlign w:val="center"/>
            <w:hideMark/>
          </w:tcPr>
          <w:p w14:paraId="18C6FAA3" w14:textId="38DA4A02" w:rsidR="00BA37DA" w:rsidRPr="0074556C" w:rsidRDefault="00BA37DA" w:rsidP="003E2B8A">
            <w:pPr>
              <w:pStyle w:val="TableText"/>
            </w:pPr>
            <w:r w:rsidRPr="0074556C">
              <w:fldChar w:fldCharType="begin"/>
            </w:r>
            <w:r w:rsidR="003026BC">
              <w:instrText xml:space="preserve"> ADDIN EN.CITE &lt;EndNote&gt;&lt;Cite&gt;&lt;Author&gt;Touloukian&lt;/Author&gt;&lt;Year&gt;1971&lt;/Year&gt;&lt;RecNum&gt;447&lt;/RecNum&gt;&lt;DisplayText&gt;[148]&lt;/DisplayText&gt;&lt;record&gt;&lt;rec-number&gt;447&lt;/rec-number&gt;&lt;foreign-keys&gt;&lt;key app="EN" db-id="eseee05sfe5vt6efvr0xapvq20vfdsfp5fvf" timestamp="1712614469"&gt;447&lt;/key&gt;&lt;/foreign-keys&gt;&lt;ref-type name="Report"&gt;27&lt;/ref-type&gt;&lt;contributors&gt;&lt;authors&gt;&lt;author&gt;Touloukian, Y. S.&lt;/author&gt;&lt;author&gt;Powell, R. W.&lt;/author&gt;&lt;author&gt;Ho, C. Y.&lt;/author&gt;&lt;author&gt;Klemens, P. G.&lt;/author&gt;&lt;/authors&gt;&lt;/contributors&gt;&lt;titles&gt;&lt;title&gt;Thermophysical properties of matter - the TPRC data series. Volume 2. Thermal conductivity - nonmetallic solids. (Reannouncement). Data book&lt;/title&gt;&lt;/titles&gt;&lt;keywords&gt;&lt;keyword&gt;36 MATERIALS SCIENCE&lt;/keyword&gt;&lt;keyword&gt;NONMETALS&lt;/keyword&gt;&lt;keyword&gt;THERMODYNAMIC PROPERTIES&lt;/keyword&gt;&lt;keyword&gt;COMPILED DATA&lt;/keyword&gt;&lt;keyword&gt;DATA&lt;/keyword&gt;&lt;keyword&gt;ELEMENTS&lt;/keyword&gt;&lt;keyword&gt;INFORMATION&lt;/keyword&gt;&lt;keyword&gt;NUMERICAL DATA&lt;/keyword&gt;&lt;keyword&gt;PHYSICAL PROPERTIES&lt;/keyword&gt;&lt;keyword&gt;360606* - Other Materials- Physical Properties- (1992-)&lt;/keyword&gt;&lt;/keywords&gt;&lt;dates&gt;&lt;year&gt;1971&lt;/year&gt;&lt;pub-dates&gt;&lt;date&gt;1971-01-01&lt;/date&gt;&lt;/pub-dates&gt;&lt;/dates&gt;&lt;pub-location&gt;United States&lt;/pub-location&gt;&lt;urls&gt;&lt;related-urls&gt;&lt;url&gt;https://www.osti.gov/biblio/5303523&lt;/url&gt;&lt;/related-urls&gt;&lt;/urls&gt;&lt;custom1&gt;Research Org.: Purdue Univ., Lafayette, IN (United States). Thermophysical and Electronic Properties Information Center&lt;/custom1&gt;&lt;custom3&gt;Report Number: AD-A-951936/4/XAB&lt;/custom3&gt;&lt;custom5&gt;Availability: NTIS&lt;/custom5&gt;&lt;electronic-resource-num&gt;Other Information: Reannounced with new availability. See also Volume 3, AD-A951 937&lt;/electronic-resource-num&gt;&lt;language&gt;English&lt;/language&gt;&lt;/record&gt;&lt;/Cite&gt;&lt;/EndNote&gt;</w:instrText>
            </w:r>
            <w:r w:rsidRPr="0074556C">
              <w:fldChar w:fldCharType="separate"/>
            </w:r>
            <w:r w:rsidR="003026BC">
              <w:rPr>
                <w:noProof/>
              </w:rPr>
              <w:t>[148]</w:t>
            </w:r>
            <w:r w:rsidRPr="0074556C">
              <w:fldChar w:fldCharType="end"/>
            </w:r>
          </w:p>
        </w:tc>
      </w:tr>
      <w:tr w:rsidR="001B6F2A" w:rsidRPr="0074556C" w14:paraId="0D7C9A91" w14:textId="77777777" w:rsidTr="001B6F2A">
        <w:trPr>
          <w:trHeight w:val="317"/>
        </w:trPr>
        <w:tc>
          <w:tcPr>
            <w:tcW w:w="2137" w:type="dxa"/>
            <w:tcBorders>
              <w:top w:val="nil"/>
              <w:left w:val="single" w:sz="4" w:space="0" w:color="auto"/>
              <w:bottom w:val="nil"/>
              <w:right w:val="single" w:sz="4" w:space="0" w:color="auto"/>
            </w:tcBorders>
            <w:shd w:val="clear" w:color="auto" w:fill="auto"/>
            <w:noWrap/>
            <w:vAlign w:val="center"/>
            <w:hideMark/>
          </w:tcPr>
          <w:p w14:paraId="5C4CD52B" w14:textId="77777777" w:rsidR="00BA37DA" w:rsidRPr="008C04B3" w:rsidRDefault="00BA37DA" w:rsidP="003E2B8A">
            <w:pPr>
              <w:pStyle w:val="TableText"/>
            </w:pPr>
            <w:r w:rsidRPr="008C04B3">
              <w:t>k</w:t>
            </w:r>
            <w:r w:rsidRPr="008C04B3">
              <w:rPr>
                <w:vertAlign w:val="subscript"/>
              </w:rPr>
              <w:t>Grafoil</w:t>
            </w:r>
          </w:p>
        </w:tc>
        <w:tc>
          <w:tcPr>
            <w:tcW w:w="381" w:type="dxa"/>
            <w:tcBorders>
              <w:top w:val="nil"/>
              <w:left w:val="nil"/>
              <w:right w:val="nil"/>
            </w:tcBorders>
            <w:shd w:val="clear" w:color="auto" w:fill="auto"/>
            <w:noWrap/>
            <w:vAlign w:val="center"/>
            <w:hideMark/>
          </w:tcPr>
          <w:p w14:paraId="0A9ABA07" w14:textId="77777777" w:rsidR="00BA37DA" w:rsidRPr="008C04B3" w:rsidRDefault="00BA37DA" w:rsidP="003E2B8A">
            <w:pPr>
              <w:pStyle w:val="TableText"/>
              <w:rPr>
                <w:rFonts w:ascii="Cambria Math" w:hAnsi="Cambria Math"/>
              </w:rPr>
            </w:pPr>
            <w:r w:rsidRPr="008C04B3">
              <w:rPr>
                <w:rFonts w:ascii="Cambria Math" w:hAnsi="Cambria Math"/>
              </w:rPr>
              <w:t>±</w:t>
            </w:r>
          </w:p>
        </w:tc>
        <w:tc>
          <w:tcPr>
            <w:tcW w:w="3692" w:type="dxa"/>
            <w:tcBorders>
              <w:top w:val="nil"/>
              <w:left w:val="nil"/>
              <w:bottom w:val="nil"/>
              <w:right w:val="nil"/>
            </w:tcBorders>
            <w:shd w:val="clear" w:color="auto" w:fill="auto"/>
            <w:noWrap/>
            <w:vAlign w:val="center"/>
            <w:hideMark/>
          </w:tcPr>
          <w:p w14:paraId="6CDF4521" w14:textId="77777777" w:rsidR="00BA37DA" w:rsidRPr="008C04B3" w:rsidRDefault="00BA37DA" w:rsidP="003E2B8A">
            <w:pPr>
              <w:pStyle w:val="TableText"/>
            </w:pPr>
            <w:r w:rsidRPr="008C04B3">
              <w:t>13</w:t>
            </w:r>
          </w:p>
        </w:tc>
        <w:tc>
          <w:tcPr>
            <w:tcW w:w="1260" w:type="dxa"/>
            <w:tcBorders>
              <w:top w:val="nil"/>
              <w:left w:val="nil"/>
              <w:bottom w:val="nil"/>
              <w:right w:val="single" w:sz="4" w:space="0" w:color="auto"/>
            </w:tcBorders>
            <w:shd w:val="clear" w:color="auto" w:fill="auto"/>
            <w:noWrap/>
            <w:vAlign w:val="center"/>
            <w:hideMark/>
          </w:tcPr>
          <w:p w14:paraId="4C6BF1BB" w14:textId="77777777" w:rsidR="00BA37DA" w:rsidRPr="008C04B3" w:rsidRDefault="00BA37DA" w:rsidP="003E2B8A">
            <w:pPr>
              <w:pStyle w:val="TableText"/>
            </w:pPr>
            <w:r w:rsidRPr="008C04B3">
              <w:t>%</w:t>
            </w:r>
          </w:p>
        </w:tc>
        <w:tc>
          <w:tcPr>
            <w:tcW w:w="1198" w:type="dxa"/>
            <w:tcBorders>
              <w:top w:val="nil"/>
              <w:left w:val="nil"/>
              <w:bottom w:val="nil"/>
              <w:right w:val="single" w:sz="4" w:space="0" w:color="auto"/>
            </w:tcBorders>
            <w:shd w:val="clear" w:color="auto" w:fill="auto"/>
            <w:noWrap/>
            <w:vAlign w:val="center"/>
            <w:hideMark/>
          </w:tcPr>
          <w:p w14:paraId="64257EC1" w14:textId="65EDC643" w:rsidR="00BA37DA" w:rsidRPr="0074556C" w:rsidRDefault="00BA37DA" w:rsidP="003E2B8A">
            <w:pPr>
              <w:pStyle w:val="TableText"/>
            </w:pPr>
            <w:r w:rsidRPr="0074556C">
              <w:fldChar w:fldCharType="begin">
                <w:fldData xml:space="preserve">PEVuZE5vdGU+PENpdGU+PEF1dGhvcj5TR0xDYXJib248L0F1dGhvcj48WWVhcj4yMDIyPC9ZZWFy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=
</w:fldData>
              </w:fldChar>
            </w:r>
            <w:r w:rsidR="003026BC">
              <w:instrText xml:space="preserve"> ADDIN EN.CITE </w:instrText>
            </w:r>
            <w:r w:rsidR="003026BC">
              <w:fldChar w:fldCharType="begin">
                <w:fldData xml:space="preserve">PEVuZE5vdGU+PENpdGU+PEF1dGhvcj5TR0xDYXJib248L0F1dGhvcj48WWVhcj4yMDIyPC9ZZWFy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=
</w:fldData>
              </w:fldChar>
            </w:r>
            <w:r w:rsidR="003026BC">
              <w:instrText xml:space="preserve"> ADDIN EN.CITE.DATA </w:instrText>
            </w:r>
            <w:r w:rsidR="003026BC">
              <w:fldChar w:fldCharType="end"/>
            </w:r>
            <w:r w:rsidRPr="0074556C">
              <w:fldChar w:fldCharType="separate"/>
            </w:r>
            <w:r w:rsidR="003026BC">
              <w:rPr>
                <w:noProof/>
              </w:rPr>
              <w:t>[154, 155]</w:t>
            </w:r>
            <w:r w:rsidRPr="0074556C">
              <w:fldChar w:fldCharType="end"/>
            </w:r>
          </w:p>
        </w:tc>
      </w:tr>
      <w:tr w:rsidR="001B6F2A" w:rsidRPr="0074556C" w14:paraId="134359C8" w14:textId="77777777" w:rsidTr="001B6F2A">
        <w:trPr>
          <w:trHeight w:val="317"/>
        </w:trPr>
        <w:tc>
          <w:tcPr>
            <w:tcW w:w="2137" w:type="dxa"/>
            <w:tcBorders>
              <w:top w:val="nil"/>
              <w:left w:val="single" w:sz="4" w:space="0" w:color="auto"/>
              <w:bottom w:val="nil"/>
              <w:right w:val="single" w:sz="4" w:space="0" w:color="auto"/>
            </w:tcBorders>
            <w:shd w:val="clear" w:color="auto" w:fill="auto"/>
            <w:noWrap/>
            <w:vAlign w:val="center"/>
            <w:hideMark/>
          </w:tcPr>
          <w:p w14:paraId="00426819" w14:textId="77777777" w:rsidR="00BA37DA" w:rsidRPr="008C04B3" w:rsidRDefault="00BA37DA" w:rsidP="003E2B8A">
            <w:pPr>
              <w:pStyle w:val="TableText"/>
            </w:pPr>
            <w:r w:rsidRPr="008C04B3">
              <w:t>k</w:t>
            </w:r>
            <w:r w:rsidRPr="008C04B3">
              <w:rPr>
                <w:vertAlign w:val="subscript"/>
              </w:rPr>
              <w:t>SS304</w:t>
            </w:r>
          </w:p>
        </w:tc>
        <w:tc>
          <w:tcPr>
            <w:tcW w:w="381" w:type="dxa"/>
            <w:tcBorders>
              <w:top w:val="nil"/>
              <w:left w:val="nil"/>
              <w:right w:val="nil"/>
            </w:tcBorders>
            <w:shd w:val="clear" w:color="auto" w:fill="auto"/>
            <w:noWrap/>
            <w:vAlign w:val="center"/>
            <w:hideMark/>
          </w:tcPr>
          <w:p w14:paraId="0EA03C22" w14:textId="77777777" w:rsidR="00BA37DA" w:rsidRPr="008C04B3" w:rsidRDefault="00BA37DA" w:rsidP="003E2B8A">
            <w:pPr>
              <w:pStyle w:val="TableText"/>
              <w:rPr>
                <w:rFonts w:ascii="Cambria Math" w:hAnsi="Cambria Math"/>
              </w:rPr>
            </w:pPr>
            <w:r w:rsidRPr="008C04B3">
              <w:rPr>
                <w:rFonts w:ascii="Cambria Math" w:hAnsi="Cambria Math"/>
              </w:rPr>
              <w:t>±</w:t>
            </w:r>
          </w:p>
        </w:tc>
        <w:tc>
          <w:tcPr>
            <w:tcW w:w="3692" w:type="dxa"/>
            <w:tcBorders>
              <w:top w:val="nil"/>
              <w:left w:val="nil"/>
              <w:bottom w:val="nil"/>
              <w:right w:val="nil"/>
            </w:tcBorders>
            <w:shd w:val="clear" w:color="auto" w:fill="auto"/>
            <w:vAlign w:val="center"/>
            <w:hideMark/>
          </w:tcPr>
          <w:p w14:paraId="2455D83A" w14:textId="4B90A44F" w:rsidR="00BA37DA" w:rsidRPr="008C04B3" w:rsidRDefault="00BA37DA" w:rsidP="003E2B8A">
            <w:pPr>
              <w:pStyle w:val="TableText"/>
            </w:pPr>
            <w:r w:rsidRPr="008C04B3">
              <w:t>5   &lt; 900°C</w:t>
            </w:r>
            <w:r w:rsidR="001B6F2A">
              <w:t xml:space="preserve">, </w:t>
            </w:r>
            <w:r w:rsidR="001B6F2A" w:rsidRPr="008C04B3">
              <w:t>10 &gt; 900°C</w:t>
            </w:r>
          </w:p>
        </w:tc>
        <w:tc>
          <w:tcPr>
            <w:tcW w:w="1260" w:type="dxa"/>
            <w:tcBorders>
              <w:top w:val="nil"/>
              <w:left w:val="nil"/>
              <w:bottom w:val="nil"/>
              <w:right w:val="single" w:sz="4" w:space="0" w:color="auto"/>
            </w:tcBorders>
            <w:shd w:val="clear" w:color="auto" w:fill="auto"/>
            <w:noWrap/>
            <w:vAlign w:val="center"/>
            <w:hideMark/>
          </w:tcPr>
          <w:p w14:paraId="0C54DBE0" w14:textId="77777777" w:rsidR="00BA37DA" w:rsidRPr="008C04B3" w:rsidRDefault="00BA37DA" w:rsidP="003E2B8A">
            <w:pPr>
              <w:pStyle w:val="TableText"/>
            </w:pPr>
            <w:r w:rsidRPr="008C04B3">
              <w:t>%</w:t>
            </w:r>
          </w:p>
        </w:tc>
        <w:tc>
          <w:tcPr>
            <w:tcW w:w="1198" w:type="dxa"/>
            <w:tcBorders>
              <w:top w:val="nil"/>
              <w:left w:val="nil"/>
              <w:bottom w:val="nil"/>
              <w:right w:val="single" w:sz="4" w:space="0" w:color="auto"/>
            </w:tcBorders>
            <w:shd w:val="clear" w:color="auto" w:fill="auto"/>
            <w:noWrap/>
            <w:vAlign w:val="center"/>
            <w:hideMark/>
          </w:tcPr>
          <w:p w14:paraId="2E83D9B2" w14:textId="3CCC60D8" w:rsidR="00BA37DA" w:rsidRPr="0074556C" w:rsidRDefault="00BA37DA" w:rsidP="003E2B8A">
            <w:pPr>
              <w:pStyle w:val="TableText"/>
            </w:pPr>
            <w:r w:rsidRPr="0074556C">
              <w:fldChar w:fldCharType="begin"/>
            </w:r>
            <w:r w:rsidR="003026BC">
              <w:instrText xml:space="preserve"> ADDIN EN.CITE &lt;EndNote&gt;&lt;Cite&gt;&lt;Author&gt;Touloukian&lt;/Author&gt;&lt;Year&gt;1971&lt;/Year&gt;&lt;RecNum&gt;447&lt;/RecNum&gt;&lt;DisplayText&gt;[148]&lt;/DisplayText&gt;&lt;record&gt;&lt;rec-number&gt;447&lt;/rec-number&gt;&lt;foreign-keys&gt;&lt;key app="EN" db-id="eseee05sfe5vt6efvr0xapvq20vfdsfp5fvf" timestamp="1712614469"&gt;447&lt;/key&gt;&lt;/foreign-keys&gt;&lt;ref-type name="Report"&gt;27&lt;/ref-type&gt;&lt;contributors&gt;&lt;authors&gt;&lt;author&gt;Touloukian, Y. S.&lt;/author&gt;&lt;author&gt;Powell, R. W.&lt;/author&gt;&lt;author&gt;Ho, C. Y.&lt;/author&gt;&lt;author&gt;Klemens, P. G.&lt;/author&gt;&lt;/authors&gt;&lt;/contributors&gt;&lt;titles&gt;&lt;title&gt;Thermophysical properties of matter - the TPRC data series. Volume 2. Thermal conductivity - nonmetallic solids. (Reannouncement). Data book&lt;/title&gt;&lt;/titles&gt;&lt;keywords&gt;&lt;keyword&gt;36 MATERIALS SCIENCE&lt;/keyword&gt;&lt;keyword&gt;NONMETALS&lt;/keyword&gt;&lt;keyword&gt;THERMODYNAMIC PROPERTIES&lt;/keyword&gt;&lt;keyword&gt;COMPILED DATA&lt;/keyword&gt;&lt;keyword&gt;DATA&lt;/keyword&gt;&lt;keyword&gt;ELEMENTS&lt;/keyword&gt;&lt;keyword&gt;INFORMATION&lt;/keyword&gt;&lt;keyword&gt;NUMERICAL DATA&lt;/keyword&gt;&lt;keyword&gt;PHYSICAL PROPERTIES&lt;/keyword&gt;&lt;keyword&gt;360606* - Other Materials- Physical Properties- (1992-)&lt;/keyword&gt;&lt;/keywords&gt;&lt;dates&gt;&lt;year&gt;1971&lt;/year&gt;&lt;pub-dates&gt;&lt;date&gt;1971-01-01&lt;/date&gt;&lt;/pub-dates&gt;&lt;/dates&gt;&lt;pub-location&gt;United States&lt;/pub-location&gt;&lt;urls&gt;&lt;related-urls&gt;&lt;url&gt;https://www.osti.gov/biblio/5303523&lt;/url&gt;&lt;/related-urls&gt;&lt;/urls&gt;&lt;custom1&gt;Research Org.: Purdue Univ., Lafayette, IN (United States). Thermophysical and Electronic Properties Information Center&lt;/custom1&gt;&lt;custom3&gt;Report Number: AD-A-951936/4/XAB&lt;/custom3&gt;&lt;custom5&gt;Availability: NTIS&lt;/custom5&gt;&lt;electronic-resource-num&gt;Other Information: Reannounced with new availability. See also Volume 3, AD-A951 937&lt;/electronic-resource-num&gt;&lt;language&gt;English&lt;/language&gt;&lt;/record&gt;&lt;/Cite&gt;&lt;/EndNote&gt;</w:instrText>
            </w:r>
            <w:r w:rsidRPr="0074556C">
              <w:fldChar w:fldCharType="separate"/>
            </w:r>
            <w:r w:rsidR="003026BC">
              <w:rPr>
                <w:noProof/>
              </w:rPr>
              <w:t>[148]</w:t>
            </w:r>
            <w:r w:rsidRPr="0074556C">
              <w:fldChar w:fldCharType="end"/>
            </w:r>
          </w:p>
        </w:tc>
      </w:tr>
      <w:tr w:rsidR="001B6F2A" w:rsidRPr="0074556C" w14:paraId="648430E7" w14:textId="77777777" w:rsidTr="001B6F2A">
        <w:trPr>
          <w:trHeight w:val="317"/>
        </w:trPr>
        <w:tc>
          <w:tcPr>
            <w:tcW w:w="2137" w:type="dxa"/>
            <w:tcBorders>
              <w:top w:val="nil"/>
              <w:left w:val="single" w:sz="4" w:space="0" w:color="auto"/>
              <w:bottom w:val="nil"/>
              <w:right w:val="single" w:sz="4" w:space="0" w:color="auto"/>
            </w:tcBorders>
            <w:shd w:val="clear" w:color="auto" w:fill="auto"/>
            <w:noWrap/>
            <w:vAlign w:val="center"/>
            <w:hideMark/>
          </w:tcPr>
          <w:p w14:paraId="19D81883" w14:textId="77777777" w:rsidR="00BA37DA" w:rsidRPr="008C04B3" w:rsidRDefault="00BA37DA" w:rsidP="003E2B8A">
            <w:pPr>
              <w:pStyle w:val="TableText"/>
            </w:pPr>
            <w:r w:rsidRPr="008C04B3">
              <w:t>k</w:t>
            </w:r>
            <w:r w:rsidRPr="008C04B3">
              <w:rPr>
                <w:vertAlign w:val="subscript"/>
              </w:rPr>
              <w:t>TI6AL4V</w:t>
            </w:r>
          </w:p>
        </w:tc>
        <w:tc>
          <w:tcPr>
            <w:tcW w:w="381" w:type="dxa"/>
            <w:tcBorders>
              <w:top w:val="nil"/>
              <w:left w:val="nil"/>
              <w:right w:val="nil"/>
            </w:tcBorders>
            <w:shd w:val="clear" w:color="auto" w:fill="auto"/>
            <w:noWrap/>
            <w:vAlign w:val="center"/>
            <w:hideMark/>
          </w:tcPr>
          <w:p w14:paraId="12311EAD" w14:textId="77777777" w:rsidR="00BA37DA" w:rsidRPr="008C04B3" w:rsidRDefault="00BA37DA" w:rsidP="003E2B8A">
            <w:pPr>
              <w:pStyle w:val="TableText"/>
              <w:rPr>
                <w:rFonts w:ascii="Cambria Math" w:hAnsi="Cambria Math"/>
              </w:rPr>
            </w:pPr>
            <w:r w:rsidRPr="008C04B3">
              <w:rPr>
                <w:rFonts w:ascii="Cambria Math" w:hAnsi="Cambria Math"/>
              </w:rPr>
              <w:t>±</w:t>
            </w:r>
          </w:p>
        </w:tc>
        <w:tc>
          <w:tcPr>
            <w:tcW w:w="3692" w:type="dxa"/>
            <w:tcBorders>
              <w:top w:val="nil"/>
              <w:left w:val="nil"/>
              <w:bottom w:val="nil"/>
              <w:right w:val="nil"/>
            </w:tcBorders>
            <w:shd w:val="clear" w:color="auto" w:fill="auto"/>
            <w:vAlign w:val="center"/>
            <w:hideMark/>
          </w:tcPr>
          <w:p w14:paraId="244F9088" w14:textId="2FEC2594" w:rsidR="00BA37DA" w:rsidRPr="008C04B3" w:rsidRDefault="00BA37DA" w:rsidP="003E2B8A">
            <w:pPr>
              <w:pStyle w:val="TableText"/>
            </w:pPr>
            <w:r w:rsidRPr="008C04B3">
              <w:t>5   &lt; 922°C</w:t>
            </w:r>
            <w:r w:rsidR="001B6F2A">
              <w:t xml:space="preserve">, </w:t>
            </w:r>
            <w:r w:rsidRPr="008C04B3">
              <w:t>15 &gt; 922°C</w:t>
            </w:r>
          </w:p>
        </w:tc>
        <w:tc>
          <w:tcPr>
            <w:tcW w:w="1260" w:type="dxa"/>
            <w:tcBorders>
              <w:top w:val="nil"/>
              <w:left w:val="nil"/>
              <w:bottom w:val="nil"/>
              <w:right w:val="single" w:sz="4" w:space="0" w:color="auto"/>
            </w:tcBorders>
            <w:shd w:val="clear" w:color="auto" w:fill="auto"/>
            <w:noWrap/>
            <w:vAlign w:val="center"/>
            <w:hideMark/>
          </w:tcPr>
          <w:p w14:paraId="1B686496" w14:textId="77777777" w:rsidR="00BA37DA" w:rsidRPr="008C04B3" w:rsidRDefault="00BA37DA" w:rsidP="003E2B8A">
            <w:pPr>
              <w:pStyle w:val="TableText"/>
            </w:pPr>
            <w:r w:rsidRPr="008C04B3">
              <w:t>%</w:t>
            </w:r>
          </w:p>
        </w:tc>
        <w:tc>
          <w:tcPr>
            <w:tcW w:w="1198" w:type="dxa"/>
            <w:tcBorders>
              <w:top w:val="nil"/>
              <w:left w:val="nil"/>
              <w:bottom w:val="nil"/>
              <w:right w:val="single" w:sz="4" w:space="0" w:color="auto"/>
            </w:tcBorders>
            <w:shd w:val="clear" w:color="auto" w:fill="auto"/>
            <w:noWrap/>
            <w:vAlign w:val="center"/>
            <w:hideMark/>
          </w:tcPr>
          <w:p w14:paraId="0EE78FCC" w14:textId="79C61BD4" w:rsidR="00BA37DA" w:rsidRPr="0074556C" w:rsidRDefault="00BA37DA" w:rsidP="003E2B8A">
            <w:pPr>
              <w:pStyle w:val="TableText"/>
            </w:pPr>
            <w:r w:rsidRPr="0074556C">
              <w:fldChar w:fldCharType="begin"/>
            </w:r>
            <w:r w:rsidR="003026BC">
              <w:instrText xml:space="preserve"> ADDIN EN.CITE &lt;EndNote&gt;&lt;Cite&gt;&lt;Author&gt;Touloukian&lt;/Author&gt;&lt;Year&gt;1971&lt;/Year&gt;&lt;RecNum&gt;447&lt;/RecNum&gt;&lt;DisplayText&gt;[148]&lt;/DisplayText&gt;&lt;record&gt;&lt;rec-number&gt;447&lt;/rec-number&gt;&lt;foreign-keys&gt;&lt;key app="EN" db-id="eseee05sfe5vt6efvr0xapvq20vfdsfp5fvf" timestamp="1712614469"&gt;447&lt;/key&gt;&lt;/foreign-keys&gt;&lt;ref-type name="Report"&gt;27&lt;/ref-type&gt;&lt;contributors&gt;&lt;authors&gt;&lt;author&gt;Touloukian, Y. S.&lt;/author&gt;&lt;author&gt;Powell, R. W.&lt;/author&gt;&lt;author&gt;Ho, C. Y.&lt;/author&gt;&lt;author&gt;Klemens, P. G.&lt;/author&gt;&lt;/authors&gt;&lt;/contributors&gt;&lt;titles&gt;&lt;title&gt;Thermophysical properties of matter - the TPRC data series. Volume 2. Thermal conductivity - nonmetallic solids. (Reannouncement). Data book&lt;/title&gt;&lt;/titles&gt;&lt;keywords&gt;&lt;keyword&gt;36 MATERIALS SCIENCE&lt;/keyword&gt;&lt;keyword&gt;NONMETALS&lt;/keyword&gt;&lt;keyword&gt;THERMODYNAMIC PROPERTIES&lt;/keyword&gt;&lt;keyword&gt;COMPILED DATA&lt;/keyword&gt;&lt;keyword&gt;DATA&lt;/keyword&gt;&lt;keyword&gt;ELEMENTS&lt;/keyword&gt;&lt;keyword&gt;INFORMATION&lt;/keyword&gt;&lt;keyword&gt;NUMERICAL DATA&lt;/keyword&gt;&lt;keyword&gt;PHYSICAL PROPERTIES&lt;/keyword&gt;&lt;keyword&gt;360606* - Other Materials- Physical Properties- (1992-)&lt;/keyword&gt;&lt;/keywords&gt;&lt;dates&gt;&lt;year&gt;1971&lt;/year&gt;&lt;pub-dates&gt;&lt;date&gt;1971-01-01&lt;/date&gt;&lt;/pub-dates&gt;&lt;/dates&gt;&lt;pub-location&gt;United States&lt;/pub-location&gt;&lt;urls&gt;&lt;related-urls&gt;&lt;url&gt;https://www.osti.gov/biblio/5303523&lt;/url&gt;&lt;/related-urls&gt;&lt;/urls&gt;&lt;custom1&gt;Research Org.: Purdue Univ., Lafayette, IN (United States). Thermophysical and Electronic Properties Information Center&lt;/custom1&gt;&lt;custom3&gt;Report Number: AD-A-951936/4/XAB&lt;/custom3&gt;&lt;custom5&gt;Availability: NTIS&lt;/custom5&gt;&lt;electronic-resource-num&gt;Other Information: Reannounced with new availability. See also Volume 3, AD-A951 937&lt;/electronic-resource-num&gt;&lt;language&gt;English&lt;/language&gt;&lt;/record&gt;&lt;/Cite&gt;&lt;/EndNote&gt;</w:instrText>
            </w:r>
            <w:r w:rsidRPr="0074556C">
              <w:fldChar w:fldCharType="separate"/>
            </w:r>
            <w:r w:rsidR="003026BC">
              <w:rPr>
                <w:noProof/>
              </w:rPr>
              <w:t>[148]</w:t>
            </w:r>
            <w:r w:rsidRPr="0074556C">
              <w:fldChar w:fldCharType="end"/>
            </w:r>
          </w:p>
        </w:tc>
      </w:tr>
      <w:tr w:rsidR="001B6F2A" w:rsidRPr="0074556C" w14:paraId="7AA0F24B" w14:textId="77777777" w:rsidTr="001B6F2A">
        <w:trPr>
          <w:trHeight w:val="634"/>
        </w:trPr>
        <w:tc>
          <w:tcPr>
            <w:tcW w:w="2137" w:type="dxa"/>
            <w:tcBorders>
              <w:top w:val="nil"/>
              <w:left w:val="single" w:sz="4" w:space="0" w:color="auto"/>
              <w:bottom w:val="nil"/>
              <w:right w:val="single" w:sz="4" w:space="0" w:color="auto"/>
            </w:tcBorders>
            <w:shd w:val="clear" w:color="auto" w:fill="auto"/>
            <w:noWrap/>
            <w:vAlign w:val="center"/>
            <w:hideMark/>
          </w:tcPr>
          <w:p w14:paraId="3E55016C" w14:textId="77777777" w:rsidR="00BA37DA" w:rsidRPr="008C04B3" w:rsidRDefault="00BA37DA" w:rsidP="003E2B8A">
            <w:pPr>
              <w:pStyle w:val="TableText"/>
            </w:pPr>
            <w:r w:rsidRPr="008C04B3">
              <w:t>k</w:t>
            </w:r>
            <w:r w:rsidRPr="008C04B3">
              <w:rPr>
                <w:vertAlign w:val="subscript"/>
              </w:rPr>
              <w:t>Fuel</w:t>
            </w:r>
          </w:p>
        </w:tc>
        <w:tc>
          <w:tcPr>
            <w:tcW w:w="381" w:type="dxa"/>
            <w:tcBorders>
              <w:top w:val="nil"/>
              <w:left w:val="nil"/>
              <w:right w:val="nil"/>
            </w:tcBorders>
            <w:shd w:val="clear" w:color="auto" w:fill="auto"/>
            <w:noWrap/>
            <w:vAlign w:val="center"/>
            <w:hideMark/>
          </w:tcPr>
          <w:p w14:paraId="5E2452D1" w14:textId="77777777" w:rsidR="00BA37DA" w:rsidRPr="008C04B3" w:rsidRDefault="00BA37DA" w:rsidP="003E2B8A">
            <w:pPr>
              <w:pStyle w:val="TableText"/>
              <w:rPr>
                <w:rFonts w:ascii="Cambria Math" w:hAnsi="Cambria Math"/>
              </w:rPr>
            </w:pPr>
            <w:r w:rsidRPr="008C04B3">
              <w:rPr>
                <w:rFonts w:ascii="Cambria Math" w:hAnsi="Cambria Math"/>
              </w:rPr>
              <w:t>±</w:t>
            </w:r>
          </w:p>
        </w:tc>
        <w:tc>
          <w:tcPr>
            <w:tcW w:w="3692" w:type="dxa"/>
            <w:tcBorders>
              <w:top w:val="nil"/>
              <w:left w:val="nil"/>
              <w:bottom w:val="nil"/>
              <w:right w:val="nil"/>
            </w:tcBorders>
            <w:shd w:val="clear" w:color="auto" w:fill="auto"/>
            <w:vAlign w:val="center"/>
            <w:hideMark/>
          </w:tcPr>
          <w:p w14:paraId="72416AE3" w14:textId="0E0AE14D" w:rsidR="00BA37DA" w:rsidRPr="008C04B3" w:rsidRDefault="00BA37DA" w:rsidP="003E2B8A">
            <w:pPr>
              <w:pStyle w:val="TableText"/>
            </w:pPr>
            <w:r w:rsidRPr="008C04B3">
              <w:t>25 &lt; 1000°C</w:t>
            </w:r>
            <w:r w:rsidR="001B6F2A">
              <w:t xml:space="preserve">, </w:t>
            </w:r>
            <w:r w:rsidRPr="008C04B3">
              <w:t>10 (1000°C - 1300°C)</w:t>
            </w:r>
            <w:r w:rsidR="00E9517C">
              <w:t>,</w:t>
            </w:r>
          </w:p>
          <w:p w14:paraId="52AE8DDC" w14:textId="77777777" w:rsidR="00BA37DA" w:rsidRPr="008C04B3" w:rsidRDefault="00BA37DA" w:rsidP="003E2B8A">
            <w:pPr>
              <w:pStyle w:val="TableText"/>
            </w:pPr>
            <w:r w:rsidRPr="008C04B3">
              <w:t>5   &gt; 1300°C</w:t>
            </w:r>
          </w:p>
        </w:tc>
        <w:tc>
          <w:tcPr>
            <w:tcW w:w="1260" w:type="dxa"/>
            <w:tcBorders>
              <w:top w:val="nil"/>
              <w:left w:val="nil"/>
              <w:bottom w:val="nil"/>
              <w:right w:val="single" w:sz="4" w:space="0" w:color="auto"/>
            </w:tcBorders>
            <w:shd w:val="clear" w:color="auto" w:fill="auto"/>
            <w:noWrap/>
            <w:vAlign w:val="center"/>
            <w:hideMark/>
          </w:tcPr>
          <w:p w14:paraId="0D851375" w14:textId="77777777" w:rsidR="00BA37DA" w:rsidRPr="008C04B3" w:rsidRDefault="00BA37DA" w:rsidP="003E2B8A">
            <w:pPr>
              <w:pStyle w:val="TableText"/>
            </w:pPr>
            <w:r w:rsidRPr="008C04B3">
              <w:t>%</w:t>
            </w:r>
          </w:p>
        </w:tc>
        <w:tc>
          <w:tcPr>
            <w:tcW w:w="1198" w:type="dxa"/>
            <w:tcBorders>
              <w:top w:val="nil"/>
              <w:left w:val="nil"/>
              <w:bottom w:val="nil"/>
              <w:right w:val="single" w:sz="4" w:space="0" w:color="auto"/>
            </w:tcBorders>
            <w:shd w:val="clear" w:color="auto" w:fill="auto"/>
            <w:noWrap/>
            <w:vAlign w:val="center"/>
            <w:hideMark/>
          </w:tcPr>
          <w:p w14:paraId="45481D83" w14:textId="081D2A26" w:rsidR="00BA37DA" w:rsidRPr="0074556C" w:rsidRDefault="00BA37DA" w:rsidP="003E2B8A">
            <w:pPr>
              <w:pStyle w:val="TableText"/>
            </w:pPr>
            <w:r w:rsidRPr="0074556C">
              <w:fldChar w:fldCharType="begin"/>
            </w:r>
            <w:r w:rsidR="003026BC">
              <w:instrText xml:space="preserve"> ADDIN EN.CITE &lt;EndNote&gt;&lt;Cite&gt;&lt;Author&gt;Beyer&lt;/Author&gt;&lt;Year&gt;1998&lt;/Year&gt;&lt;RecNum&gt;460&lt;/RecNum&gt;&lt;DisplayText&gt;[149]&lt;/DisplayText&gt;&lt;record&gt;&lt;rec-number&gt;460&lt;/rec-number&gt;&lt;foreign-keys&gt;&lt;key app="EN" db-id="eseee05sfe5vt6efvr0xapvq20vfdsfp5fvf" timestamp="1712615754"&gt;460&lt;/key&gt;&lt;/foreign-keys&gt;&lt;ref-type name="Conference Proceedings"&gt;10&lt;/ref-type&gt;&lt;contributors&gt;&lt;authors&gt;&lt;author&gt;Beyer, C. E.&lt;/author&gt;&lt;author&gt;Lanning, D. D.&lt;/author&gt;&lt;/authors&gt;&lt;/contributors&gt;&lt;titles&gt;&lt;title&gt;Review of fuel thermal conductivity data and models&lt;/title&gt;&lt;alt-title&gt;[]&lt;/alt-title&gt;&lt;/titles&gt;&lt;keywords&gt;&lt;keyword&gt;&amp;quot;22 NUCLEAR REACTOR TECHNOLOGY&amp;quot;&lt;/keyword&gt;&lt;keyword&gt;&amp;quot;BURNUP&amp;quot;&lt;/keyword&gt;&lt;keyword&gt;&amp;quot;COMPARATIVE EVALUATIONS&amp;quot;&lt;/keyword&gt;&lt;keyword&gt;&amp;quot;FUNCTIONAL MODELS&amp;quot;&lt;/keyword&gt;&lt;keyword&gt;&amp;quot;NUCLEAR FUELS&amp;quot;&lt;/keyword&gt;&lt;keyword&gt;&amp;quot;REACTOR CORES&amp;quot;&lt;/keyword&gt;&lt;keyword&gt;&amp;quot;THERMAL CONDUCTIVITY&amp;quot;&lt;/keyword&gt;&lt;keyword&gt;&amp;quot;THERMAL DEGRADATION&amp;quot;&lt;/keyword&gt;&lt;keyword&gt;&amp;quot;THERMAL DIFFUSION&amp;quot;&lt;/keyword&gt;&lt;keyword&gt;&amp;quot;URANIUM DIOXIDE&amp;quot;&lt;/keyword&gt;&lt;/keywords&gt;&lt;dates&gt;&lt;year&gt;1998&lt;/year&gt;&lt;pub-dates&gt;&lt;date&gt;1999-12-31&lt;/date&gt;&lt;/pub-dates&gt;&lt;/dates&gt;&lt;pub-location&gt;NEA&lt;/pub-location&gt;&lt;publisher&gt;OECD-NEA, Paris (France)&lt;/publisher&gt;&lt;urls&gt;&lt;/urls&gt;&lt;custom3&gt;CONF-9803158-&lt;/custom3&gt;&lt;electronic-resource-num&gt;https://doi.org/&amp;#xD;Conference: Thermal performance of high burn-up LWR fuel, Cadarache (France), 3-6 Mar 1998; Other Information: DN: 12 refs.; PBD: 1998; Related Information: Is Part Of Proceedings of the Seminar on thermal performance of high burn-up LWR fuel; PB: 392 p.&lt;/electronic-resource-num&gt;&lt;language&gt;English&lt;/language&gt;&lt;/record&gt;&lt;/Cite&gt;&lt;/EndNote&gt;</w:instrText>
            </w:r>
            <w:r w:rsidRPr="0074556C">
              <w:fldChar w:fldCharType="separate"/>
            </w:r>
            <w:r w:rsidR="003026BC">
              <w:rPr>
                <w:noProof/>
              </w:rPr>
              <w:t>[149]</w:t>
            </w:r>
            <w:r w:rsidRPr="0074556C">
              <w:fldChar w:fldCharType="end"/>
            </w:r>
          </w:p>
        </w:tc>
      </w:tr>
      <w:tr w:rsidR="001B6F2A" w:rsidRPr="0074556C" w14:paraId="3D782288" w14:textId="77777777" w:rsidTr="00E9517C">
        <w:trPr>
          <w:trHeight w:val="634"/>
        </w:trPr>
        <w:tc>
          <w:tcPr>
            <w:tcW w:w="2137" w:type="dxa"/>
            <w:tcBorders>
              <w:top w:val="nil"/>
              <w:left w:val="single" w:sz="4" w:space="0" w:color="auto"/>
              <w:bottom w:val="nil"/>
              <w:right w:val="single" w:sz="4" w:space="0" w:color="auto"/>
            </w:tcBorders>
            <w:shd w:val="clear" w:color="auto" w:fill="auto"/>
            <w:noWrap/>
            <w:vAlign w:val="center"/>
            <w:hideMark/>
          </w:tcPr>
          <w:p w14:paraId="0B7C20EF" w14:textId="77777777" w:rsidR="00BA37DA" w:rsidRPr="008C04B3" w:rsidRDefault="00BA37DA" w:rsidP="003E2B8A">
            <w:pPr>
              <w:pStyle w:val="TableText"/>
            </w:pPr>
            <w:r w:rsidRPr="008C04B3">
              <w:t>k</w:t>
            </w:r>
            <w:r w:rsidRPr="008C04B3">
              <w:rPr>
                <w:vertAlign w:val="subscript"/>
              </w:rPr>
              <w:t>Ar</w:t>
            </w:r>
          </w:p>
        </w:tc>
        <w:tc>
          <w:tcPr>
            <w:tcW w:w="381" w:type="dxa"/>
            <w:tcBorders>
              <w:top w:val="nil"/>
              <w:left w:val="nil"/>
              <w:right w:val="nil"/>
            </w:tcBorders>
            <w:shd w:val="clear" w:color="auto" w:fill="auto"/>
            <w:noWrap/>
            <w:vAlign w:val="center"/>
            <w:hideMark/>
          </w:tcPr>
          <w:p w14:paraId="340823B4" w14:textId="77777777" w:rsidR="00BA37DA" w:rsidRPr="008C04B3" w:rsidRDefault="00BA37DA" w:rsidP="003E2B8A">
            <w:pPr>
              <w:pStyle w:val="TableText"/>
              <w:rPr>
                <w:rFonts w:ascii="Cambria Math" w:hAnsi="Cambria Math"/>
              </w:rPr>
            </w:pPr>
            <w:r w:rsidRPr="008C04B3">
              <w:rPr>
                <w:rFonts w:ascii="Cambria Math" w:hAnsi="Cambria Math"/>
              </w:rPr>
              <w:t>±</w:t>
            </w:r>
          </w:p>
        </w:tc>
        <w:tc>
          <w:tcPr>
            <w:tcW w:w="3692" w:type="dxa"/>
            <w:tcBorders>
              <w:top w:val="nil"/>
              <w:left w:val="nil"/>
              <w:bottom w:val="nil"/>
              <w:right w:val="nil"/>
            </w:tcBorders>
            <w:shd w:val="clear" w:color="auto" w:fill="auto"/>
            <w:vAlign w:val="center"/>
            <w:hideMark/>
          </w:tcPr>
          <w:p w14:paraId="57459734" w14:textId="52720A68" w:rsidR="00BA37DA" w:rsidRPr="008C04B3" w:rsidRDefault="00BA37DA" w:rsidP="003E2B8A">
            <w:pPr>
              <w:pStyle w:val="TableText"/>
            </w:pPr>
            <w:r w:rsidRPr="008C04B3">
              <w:t>1   &lt; 723°C</w:t>
            </w:r>
            <w:r w:rsidR="001B6F2A">
              <w:t>,</w:t>
            </w:r>
            <w:r w:rsidR="00E9517C">
              <w:t xml:space="preserve"> </w:t>
            </w:r>
            <w:r w:rsidRPr="008C04B3">
              <w:t>5 (723°C-1723°C)</w:t>
            </w:r>
            <w:r w:rsidR="00E9517C">
              <w:t>,</w:t>
            </w:r>
          </w:p>
          <w:p w14:paraId="23C6977C" w14:textId="77777777" w:rsidR="00BA37DA" w:rsidRPr="008C04B3" w:rsidRDefault="00BA37DA" w:rsidP="003E2B8A">
            <w:pPr>
              <w:pStyle w:val="TableText"/>
            </w:pPr>
            <w:r w:rsidRPr="008C04B3">
              <w:t>10 &gt; 1723°C</w:t>
            </w:r>
          </w:p>
        </w:tc>
        <w:tc>
          <w:tcPr>
            <w:tcW w:w="1260" w:type="dxa"/>
            <w:tcBorders>
              <w:top w:val="nil"/>
              <w:left w:val="nil"/>
              <w:bottom w:val="nil"/>
              <w:right w:val="single" w:sz="4" w:space="0" w:color="auto"/>
            </w:tcBorders>
            <w:shd w:val="clear" w:color="auto" w:fill="auto"/>
            <w:noWrap/>
            <w:vAlign w:val="center"/>
            <w:hideMark/>
          </w:tcPr>
          <w:p w14:paraId="14AE319D" w14:textId="77777777" w:rsidR="00BA37DA" w:rsidRPr="008C04B3" w:rsidRDefault="00BA37DA" w:rsidP="003E2B8A">
            <w:pPr>
              <w:pStyle w:val="TableText"/>
            </w:pPr>
            <w:r w:rsidRPr="008C04B3">
              <w:t>%</w:t>
            </w:r>
          </w:p>
        </w:tc>
        <w:tc>
          <w:tcPr>
            <w:tcW w:w="1198" w:type="dxa"/>
            <w:tcBorders>
              <w:top w:val="nil"/>
              <w:left w:val="nil"/>
              <w:bottom w:val="nil"/>
              <w:right w:val="single" w:sz="4" w:space="0" w:color="auto"/>
            </w:tcBorders>
            <w:shd w:val="clear" w:color="auto" w:fill="auto"/>
            <w:noWrap/>
            <w:vAlign w:val="center"/>
            <w:hideMark/>
          </w:tcPr>
          <w:p w14:paraId="79B20509" w14:textId="5D39928C" w:rsidR="00BA37DA" w:rsidRPr="0074556C" w:rsidRDefault="00BA37DA" w:rsidP="003E2B8A">
            <w:pPr>
              <w:pStyle w:val="TableText"/>
            </w:pPr>
            <w:r w:rsidRPr="0074556C">
              <w:fldChar w:fldCharType="begin"/>
            </w:r>
            <w:r w:rsidR="003026BC">
              <w:instrText xml:space="preserve"> ADDIN EN.CITE &lt;EndNote&gt;&lt;Cite&gt;&lt;Author&gt;CINDAS&lt;/Author&gt;&lt;Year&gt;2016&lt;/Year&gt;&lt;RecNum&gt;491&lt;/RecNum&gt;&lt;DisplayText&gt;[156]&lt;/DisplayText&gt;&lt;record&gt;&lt;rec-number&gt;491&lt;/rec-number&gt;&lt;foreign-keys&gt;&lt;key app="EN" db-id="eseee05sfe5vt6efvr0xapvq20vfdsfp5fvf" timestamp="1715880499"&gt;491&lt;/key&gt;&lt;/foreign-keys&gt;&lt;ref-type name="Journal Article"&gt;17&lt;/ref-type&gt;&lt;contributors&gt;&lt;authors&gt;&lt;author&gt;CINDAS&lt;/author&gt;&lt;/authors&gt;&lt;/contributors&gt;&lt;titles&gt;&lt;title&gt;global benchmark for critically evaluated materials properties&amp;#xD;data&lt;/title&gt;&lt;/titles&gt;&lt;dates&gt;&lt;year&gt;2016&lt;/year&gt;&lt;/dates&gt;&lt;urls&gt;&lt;/urls&gt;&lt;electronic-resource-num&gt;http://cindasdata.com&lt;/electronic-resource-num&gt;&lt;/record&gt;&lt;/Cite&gt;&lt;/EndNote&gt;</w:instrText>
            </w:r>
            <w:r w:rsidRPr="0074556C">
              <w:fldChar w:fldCharType="separate"/>
            </w:r>
            <w:r w:rsidR="003026BC">
              <w:rPr>
                <w:noProof/>
              </w:rPr>
              <w:t>[156]</w:t>
            </w:r>
            <w:r w:rsidRPr="0074556C">
              <w:fldChar w:fldCharType="end"/>
            </w:r>
          </w:p>
        </w:tc>
      </w:tr>
      <w:tr w:rsidR="001B6F2A" w:rsidRPr="0074556C" w14:paraId="1A1D18E1" w14:textId="77777777" w:rsidTr="00E9517C">
        <w:trPr>
          <w:trHeight w:val="634"/>
        </w:trPr>
        <w:tc>
          <w:tcPr>
            <w:tcW w:w="2137" w:type="dxa"/>
            <w:tcBorders>
              <w:top w:val="nil"/>
              <w:left w:val="single" w:sz="4" w:space="0" w:color="auto"/>
              <w:bottom w:val="nil"/>
              <w:right w:val="single" w:sz="4" w:space="0" w:color="auto"/>
            </w:tcBorders>
            <w:shd w:val="clear" w:color="auto" w:fill="auto"/>
            <w:noWrap/>
            <w:vAlign w:val="center"/>
            <w:hideMark/>
          </w:tcPr>
          <w:p w14:paraId="44D1836A" w14:textId="77777777" w:rsidR="00BA37DA" w:rsidRPr="008C04B3" w:rsidRDefault="00BA37DA" w:rsidP="003E2B8A">
            <w:pPr>
              <w:pStyle w:val="TableText"/>
            </w:pPr>
            <w:r w:rsidRPr="008C04B3">
              <w:t>k</w:t>
            </w:r>
            <w:r w:rsidRPr="008C04B3">
              <w:rPr>
                <w:vertAlign w:val="subscript"/>
              </w:rPr>
              <w:t>He</w:t>
            </w:r>
          </w:p>
        </w:tc>
        <w:tc>
          <w:tcPr>
            <w:tcW w:w="381" w:type="dxa"/>
            <w:tcBorders>
              <w:top w:val="nil"/>
              <w:left w:val="nil"/>
              <w:right w:val="nil"/>
            </w:tcBorders>
            <w:shd w:val="clear" w:color="auto" w:fill="auto"/>
            <w:noWrap/>
            <w:vAlign w:val="center"/>
            <w:hideMark/>
          </w:tcPr>
          <w:p w14:paraId="34AB4257" w14:textId="77777777" w:rsidR="00BA37DA" w:rsidRPr="008C04B3" w:rsidRDefault="00BA37DA" w:rsidP="003E2B8A">
            <w:pPr>
              <w:pStyle w:val="TableText"/>
              <w:rPr>
                <w:rFonts w:ascii="Cambria Math" w:hAnsi="Cambria Math"/>
              </w:rPr>
            </w:pPr>
            <w:r w:rsidRPr="008C04B3">
              <w:rPr>
                <w:rFonts w:ascii="Cambria Math" w:hAnsi="Cambria Math"/>
              </w:rPr>
              <w:t>±</w:t>
            </w:r>
          </w:p>
        </w:tc>
        <w:tc>
          <w:tcPr>
            <w:tcW w:w="3692" w:type="dxa"/>
            <w:tcBorders>
              <w:top w:val="nil"/>
              <w:left w:val="nil"/>
              <w:bottom w:val="nil"/>
              <w:right w:val="nil"/>
            </w:tcBorders>
            <w:shd w:val="clear" w:color="auto" w:fill="auto"/>
            <w:vAlign w:val="center"/>
            <w:hideMark/>
          </w:tcPr>
          <w:p w14:paraId="50D8CD92" w14:textId="7C0623E6" w:rsidR="00BA37DA" w:rsidRPr="008C04B3" w:rsidRDefault="00BA37DA" w:rsidP="003E2B8A">
            <w:pPr>
              <w:pStyle w:val="TableText"/>
            </w:pPr>
            <w:r w:rsidRPr="008C04B3">
              <w:t>2   &lt; 923°C</w:t>
            </w:r>
            <w:r w:rsidR="00E9517C">
              <w:t xml:space="preserve">, </w:t>
            </w:r>
            <w:r w:rsidRPr="008C04B3">
              <w:t>5   (923°C-1723°C)</w:t>
            </w:r>
            <w:r w:rsidR="00E9517C">
              <w:t>,</w:t>
            </w:r>
          </w:p>
          <w:p w14:paraId="28534650" w14:textId="77777777" w:rsidR="00BA37DA" w:rsidRPr="008C04B3" w:rsidRDefault="00BA37DA" w:rsidP="003E2B8A">
            <w:pPr>
              <w:pStyle w:val="TableText"/>
            </w:pPr>
            <w:r w:rsidRPr="008C04B3">
              <w:t>10 &gt; 1723°C</w:t>
            </w:r>
          </w:p>
        </w:tc>
        <w:tc>
          <w:tcPr>
            <w:tcW w:w="1260" w:type="dxa"/>
            <w:tcBorders>
              <w:top w:val="nil"/>
              <w:left w:val="nil"/>
              <w:bottom w:val="nil"/>
              <w:right w:val="single" w:sz="4" w:space="0" w:color="auto"/>
            </w:tcBorders>
            <w:shd w:val="clear" w:color="auto" w:fill="auto"/>
            <w:noWrap/>
            <w:vAlign w:val="center"/>
            <w:hideMark/>
          </w:tcPr>
          <w:p w14:paraId="1DBD3099" w14:textId="77777777" w:rsidR="00BA37DA" w:rsidRPr="008C04B3" w:rsidRDefault="00BA37DA" w:rsidP="003E2B8A">
            <w:pPr>
              <w:pStyle w:val="TableText"/>
            </w:pPr>
            <w:r w:rsidRPr="008C04B3">
              <w:t>%</w:t>
            </w:r>
          </w:p>
        </w:tc>
        <w:tc>
          <w:tcPr>
            <w:tcW w:w="1198" w:type="dxa"/>
            <w:tcBorders>
              <w:top w:val="nil"/>
              <w:left w:val="nil"/>
              <w:bottom w:val="nil"/>
              <w:right w:val="single" w:sz="4" w:space="0" w:color="auto"/>
            </w:tcBorders>
            <w:shd w:val="clear" w:color="auto" w:fill="auto"/>
            <w:noWrap/>
            <w:vAlign w:val="center"/>
            <w:hideMark/>
          </w:tcPr>
          <w:p w14:paraId="7DFE26A2" w14:textId="39B26B59" w:rsidR="00BA37DA" w:rsidRPr="0074556C" w:rsidRDefault="00BA37DA" w:rsidP="003E2B8A">
            <w:pPr>
              <w:pStyle w:val="TableText"/>
            </w:pPr>
            <w:r w:rsidRPr="0074556C">
              <w:fldChar w:fldCharType="begin"/>
            </w:r>
            <w:r w:rsidR="003026BC">
              <w:instrText xml:space="preserve"> ADDIN EN.CITE &lt;EndNote&gt;&lt;Cite&gt;&lt;Author&gt;CINDAS&lt;/Author&gt;&lt;Year&gt;2016&lt;/Year&gt;&lt;RecNum&gt;491&lt;/RecNum&gt;&lt;DisplayText&gt;[156]&lt;/DisplayText&gt;&lt;record&gt;&lt;rec-number&gt;491&lt;/rec-number&gt;&lt;foreign-keys&gt;&lt;key app="EN" db-id="eseee05sfe5vt6efvr0xapvq20vfdsfp5fvf" timestamp="1715880499"&gt;491&lt;/key&gt;&lt;/foreign-keys&gt;&lt;ref-type name="Journal Article"&gt;17&lt;/ref-type&gt;&lt;contributors&gt;&lt;authors&gt;&lt;author&gt;CINDAS&lt;/author&gt;&lt;/authors&gt;&lt;/contributors&gt;&lt;titles&gt;&lt;title&gt;global benchmark for critically evaluated materials properties&amp;#xD;data&lt;/title&gt;&lt;/titles&gt;&lt;dates&gt;&lt;year&gt;2016&lt;/year&gt;&lt;/dates&gt;&lt;urls&gt;&lt;/urls&gt;&lt;electronic-resource-num&gt;http://cindasdata.com&lt;/electronic-resource-num&gt;&lt;/record&gt;&lt;/Cite&gt;&lt;/EndNote&gt;</w:instrText>
            </w:r>
            <w:r w:rsidRPr="0074556C">
              <w:fldChar w:fldCharType="separate"/>
            </w:r>
            <w:r w:rsidR="003026BC">
              <w:rPr>
                <w:noProof/>
              </w:rPr>
              <w:t>[156]</w:t>
            </w:r>
            <w:r w:rsidRPr="0074556C">
              <w:fldChar w:fldCharType="end"/>
            </w:r>
          </w:p>
        </w:tc>
      </w:tr>
      <w:tr w:rsidR="001B6F2A" w:rsidRPr="0074556C" w14:paraId="46DE5DA8" w14:textId="77777777" w:rsidTr="00E9517C">
        <w:trPr>
          <w:trHeight w:val="634"/>
        </w:trPr>
        <w:tc>
          <w:tcPr>
            <w:tcW w:w="2137" w:type="dxa"/>
            <w:tcBorders>
              <w:top w:val="nil"/>
              <w:left w:val="single" w:sz="4" w:space="0" w:color="auto"/>
              <w:bottom w:val="nil"/>
              <w:right w:val="single" w:sz="4" w:space="0" w:color="auto"/>
            </w:tcBorders>
            <w:shd w:val="clear" w:color="auto" w:fill="auto"/>
            <w:noWrap/>
            <w:vAlign w:val="center"/>
            <w:hideMark/>
          </w:tcPr>
          <w:p w14:paraId="6950254F" w14:textId="77777777" w:rsidR="00BA37DA" w:rsidRPr="008C04B3" w:rsidRDefault="00BA37DA" w:rsidP="003E2B8A">
            <w:pPr>
              <w:pStyle w:val="TableText"/>
            </w:pPr>
            <w:r w:rsidRPr="008C04B3">
              <w:t>ε</w:t>
            </w:r>
            <w:r w:rsidRPr="008C04B3">
              <w:rPr>
                <w:vertAlign w:val="subscript"/>
              </w:rPr>
              <w:t>Mo</w:t>
            </w:r>
          </w:p>
        </w:tc>
        <w:tc>
          <w:tcPr>
            <w:tcW w:w="381" w:type="dxa"/>
            <w:tcBorders>
              <w:top w:val="nil"/>
              <w:left w:val="nil"/>
              <w:right w:val="nil"/>
            </w:tcBorders>
            <w:shd w:val="clear" w:color="auto" w:fill="auto"/>
            <w:noWrap/>
            <w:vAlign w:val="center"/>
            <w:hideMark/>
          </w:tcPr>
          <w:p w14:paraId="42B44308" w14:textId="77777777" w:rsidR="00BA37DA" w:rsidRPr="008C04B3" w:rsidRDefault="00BA37DA" w:rsidP="003E2B8A">
            <w:pPr>
              <w:pStyle w:val="TableText"/>
              <w:rPr>
                <w:rFonts w:ascii="Cambria Math" w:hAnsi="Cambria Math"/>
              </w:rPr>
            </w:pPr>
            <w:r w:rsidRPr="008C04B3">
              <w:rPr>
                <w:rFonts w:ascii="Cambria Math" w:hAnsi="Cambria Math"/>
              </w:rPr>
              <w:t>±</w:t>
            </w:r>
          </w:p>
        </w:tc>
        <w:tc>
          <w:tcPr>
            <w:tcW w:w="3692" w:type="dxa"/>
            <w:tcBorders>
              <w:top w:val="nil"/>
              <w:left w:val="nil"/>
              <w:bottom w:val="nil"/>
              <w:right w:val="nil"/>
            </w:tcBorders>
            <w:shd w:val="clear" w:color="auto" w:fill="auto"/>
            <w:noWrap/>
            <w:vAlign w:val="center"/>
            <w:hideMark/>
          </w:tcPr>
          <w:p w14:paraId="76EEA959" w14:textId="129C32E2" w:rsidR="00BA37DA" w:rsidRPr="008C04B3" w:rsidRDefault="00BA37DA" w:rsidP="003E2B8A">
            <w:pPr>
              <w:pStyle w:val="TableText"/>
            </w:pPr>
            <w:r w:rsidRPr="008C04B3">
              <w:t>25 &lt; 500°C</w:t>
            </w:r>
            <w:r w:rsidR="00E9517C">
              <w:t xml:space="preserve">, </w:t>
            </w:r>
            <w:r w:rsidRPr="008C04B3">
              <w:t>15 (500°C-1500°C)</w:t>
            </w:r>
            <w:r w:rsidR="00E9517C">
              <w:t>,</w:t>
            </w:r>
          </w:p>
          <w:p w14:paraId="3CE3BDEF" w14:textId="77777777" w:rsidR="00BA37DA" w:rsidRPr="008C04B3" w:rsidRDefault="00BA37DA" w:rsidP="003E2B8A">
            <w:pPr>
              <w:pStyle w:val="TableText"/>
            </w:pPr>
            <w:r w:rsidRPr="008C04B3">
              <w:t>10 &gt; 1500°C</w:t>
            </w:r>
          </w:p>
        </w:tc>
        <w:tc>
          <w:tcPr>
            <w:tcW w:w="1260" w:type="dxa"/>
            <w:tcBorders>
              <w:top w:val="nil"/>
              <w:left w:val="nil"/>
              <w:bottom w:val="nil"/>
              <w:right w:val="single" w:sz="4" w:space="0" w:color="auto"/>
            </w:tcBorders>
            <w:shd w:val="clear" w:color="auto" w:fill="auto"/>
            <w:noWrap/>
            <w:vAlign w:val="center"/>
            <w:hideMark/>
          </w:tcPr>
          <w:p w14:paraId="07FA4462" w14:textId="77777777" w:rsidR="00BA37DA" w:rsidRPr="008C04B3" w:rsidRDefault="00BA37DA" w:rsidP="003E2B8A">
            <w:pPr>
              <w:pStyle w:val="TableText"/>
            </w:pPr>
            <w:r w:rsidRPr="008C04B3">
              <w:t>%</w:t>
            </w:r>
          </w:p>
        </w:tc>
        <w:tc>
          <w:tcPr>
            <w:tcW w:w="1198" w:type="dxa"/>
            <w:tcBorders>
              <w:top w:val="nil"/>
              <w:left w:val="nil"/>
              <w:bottom w:val="nil"/>
              <w:right w:val="single" w:sz="4" w:space="0" w:color="auto"/>
            </w:tcBorders>
            <w:shd w:val="clear" w:color="auto" w:fill="auto"/>
            <w:noWrap/>
            <w:vAlign w:val="center"/>
            <w:hideMark/>
          </w:tcPr>
          <w:p w14:paraId="271E0CD0" w14:textId="18C1FFD4" w:rsidR="00BA37DA" w:rsidRPr="0074556C" w:rsidRDefault="00BA37DA" w:rsidP="003E2B8A">
            <w:pPr>
              <w:pStyle w:val="TableText"/>
            </w:pPr>
            <w:r w:rsidRPr="0074556C">
              <w:fldChar w:fldCharType="begin"/>
            </w:r>
            <w:r w:rsidR="003026BC">
              <w:instrText xml:space="preserve"> ADDIN EN.CITE &lt;EndNote&gt;&lt;Cite&gt;&lt;Author&gt;CINDAS&lt;/Author&gt;&lt;Year&gt;2016&lt;/Year&gt;&lt;RecNum&gt;491&lt;/RecNum&gt;&lt;DisplayText&gt;[156]&lt;/DisplayText&gt;&lt;record&gt;&lt;rec-number&gt;491&lt;/rec-number&gt;&lt;foreign-keys&gt;&lt;key app="EN" db-id="eseee05sfe5vt6efvr0xapvq20vfdsfp5fvf" timestamp="1715880499"&gt;491&lt;/key&gt;&lt;/foreign-keys&gt;&lt;ref-type name="Journal Article"&gt;17&lt;/ref-type&gt;&lt;contributors&gt;&lt;authors&gt;&lt;author&gt;CINDAS&lt;/author&gt;&lt;/authors&gt;&lt;/contributors&gt;&lt;titles&gt;&lt;title&gt;global benchmark for critically evaluated materials properties&amp;#xD;data&lt;/title&gt;&lt;/titles&gt;&lt;dates&gt;&lt;year&gt;2016&lt;/year&gt;&lt;/dates&gt;&lt;urls&gt;&lt;/urls&gt;&lt;electronic-resource-num&gt;http://cindasdata.com&lt;/electronic-resource-num&gt;&lt;/record&gt;&lt;/Cite&gt;&lt;/EndNote&gt;</w:instrText>
            </w:r>
            <w:r w:rsidRPr="0074556C">
              <w:fldChar w:fldCharType="separate"/>
            </w:r>
            <w:r w:rsidR="003026BC">
              <w:rPr>
                <w:noProof/>
              </w:rPr>
              <w:t>[156]</w:t>
            </w:r>
            <w:r w:rsidRPr="0074556C">
              <w:fldChar w:fldCharType="end"/>
            </w:r>
          </w:p>
        </w:tc>
      </w:tr>
      <w:tr w:rsidR="001B6F2A" w:rsidRPr="0074556C" w14:paraId="6B269373" w14:textId="77777777" w:rsidTr="001B6F2A">
        <w:trPr>
          <w:trHeight w:val="317"/>
        </w:trPr>
        <w:tc>
          <w:tcPr>
            <w:tcW w:w="2137" w:type="dxa"/>
            <w:tcBorders>
              <w:top w:val="nil"/>
              <w:left w:val="single" w:sz="4" w:space="0" w:color="auto"/>
              <w:bottom w:val="nil"/>
              <w:right w:val="single" w:sz="4" w:space="0" w:color="auto"/>
            </w:tcBorders>
            <w:shd w:val="clear" w:color="auto" w:fill="auto"/>
            <w:noWrap/>
            <w:vAlign w:val="center"/>
            <w:hideMark/>
          </w:tcPr>
          <w:p w14:paraId="5BBBC48E" w14:textId="77777777" w:rsidR="00BA37DA" w:rsidRPr="008C04B3" w:rsidRDefault="00BA37DA" w:rsidP="003E2B8A">
            <w:pPr>
              <w:pStyle w:val="TableText"/>
            </w:pPr>
            <w:r w:rsidRPr="008C04B3">
              <w:t>ε</w:t>
            </w:r>
            <w:r w:rsidRPr="008C04B3">
              <w:rPr>
                <w:vertAlign w:val="subscript"/>
              </w:rPr>
              <w:t>Grafoil</w:t>
            </w:r>
          </w:p>
        </w:tc>
        <w:tc>
          <w:tcPr>
            <w:tcW w:w="381" w:type="dxa"/>
            <w:tcBorders>
              <w:top w:val="nil"/>
              <w:left w:val="nil"/>
              <w:right w:val="nil"/>
            </w:tcBorders>
            <w:shd w:val="clear" w:color="auto" w:fill="auto"/>
            <w:noWrap/>
            <w:vAlign w:val="center"/>
            <w:hideMark/>
          </w:tcPr>
          <w:p w14:paraId="4D706336" w14:textId="77777777" w:rsidR="00BA37DA" w:rsidRPr="008C04B3" w:rsidRDefault="00BA37DA" w:rsidP="003E2B8A">
            <w:pPr>
              <w:pStyle w:val="TableText"/>
              <w:rPr>
                <w:rFonts w:ascii="Cambria Math" w:hAnsi="Cambria Math"/>
              </w:rPr>
            </w:pPr>
            <w:r w:rsidRPr="008C04B3">
              <w:rPr>
                <w:rFonts w:ascii="Cambria Math" w:hAnsi="Cambria Math"/>
              </w:rPr>
              <w:t>±</w:t>
            </w:r>
          </w:p>
        </w:tc>
        <w:tc>
          <w:tcPr>
            <w:tcW w:w="3692" w:type="dxa"/>
            <w:tcBorders>
              <w:top w:val="nil"/>
              <w:left w:val="nil"/>
              <w:bottom w:val="nil"/>
              <w:right w:val="nil"/>
            </w:tcBorders>
            <w:shd w:val="clear" w:color="auto" w:fill="auto"/>
            <w:noWrap/>
            <w:vAlign w:val="center"/>
            <w:hideMark/>
          </w:tcPr>
          <w:p w14:paraId="6B9AF079" w14:textId="77777777" w:rsidR="00BA37DA" w:rsidRPr="008C04B3" w:rsidRDefault="00BA37DA" w:rsidP="003E2B8A">
            <w:pPr>
              <w:pStyle w:val="TableText"/>
            </w:pPr>
            <w:r w:rsidRPr="008C04B3">
              <w:t>20</w:t>
            </w:r>
          </w:p>
        </w:tc>
        <w:tc>
          <w:tcPr>
            <w:tcW w:w="1260" w:type="dxa"/>
            <w:tcBorders>
              <w:top w:val="nil"/>
              <w:left w:val="nil"/>
              <w:bottom w:val="nil"/>
              <w:right w:val="single" w:sz="4" w:space="0" w:color="auto"/>
            </w:tcBorders>
            <w:shd w:val="clear" w:color="auto" w:fill="auto"/>
            <w:noWrap/>
            <w:vAlign w:val="center"/>
            <w:hideMark/>
          </w:tcPr>
          <w:p w14:paraId="32083457" w14:textId="77777777" w:rsidR="00BA37DA" w:rsidRPr="008C04B3" w:rsidRDefault="00BA37DA" w:rsidP="003E2B8A">
            <w:pPr>
              <w:pStyle w:val="TableText"/>
            </w:pPr>
            <w:r w:rsidRPr="008C04B3">
              <w:t>%</w:t>
            </w:r>
          </w:p>
        </w:tc>
        <w:tc>
          <w:tcPr>
            <w:tcW w:w="1198" w:type="dxa"/>
            <w:tcBorders>
              <w:top w:val="nil"/>
              <w:left w:val="nil"/>
              <w:bottom w:val="nil"/>
              <w:right w:val="single" w:sz="4" w:space="0" w:color="auto"/>
            </w:tcBorders>
            <w:shd w:val="clear" w:color="auto" w:fill="auto"/>
            <w:noWrap/>
            <w:vAlign w:val="center"/>
            <w:hideMark/>
          </w:tcPr>
          <w:p w14:paraId="7FCCB41C" w14:textId="429A2607" w:rsidR="00BA37DA" w:rsidRPr="0074556C" w:rsidRDefault="00BA37DA" w:rsidP="003E2B8A">
            <w:pPr>
              <w:pStyle w:val="TableText"/>
            </w:pPr>
            <w:r w:rsidRPr="0074556C">
              <w:fldChar w:fldCharType="begin"/>
            </w:r>
            <w:r w:rsidR="003026BC">
              <w:instrText xml:space="preserve"> ADDIN EN.CITE &lt;EndNote&gt;&lt;Cite&gt;&lt;Year&gt;2002&lt;/Year&gt;&lt;RecNum&gt;490&lt;/RecNum&gt;&lt;DisplayText&gt;[157]&lt;/DisplayText&gt;&lt;record&gt;&lt;rec-number&gt;490&lt;/rec-number&gt;&lt;foreign-keys&gt;&lt;key app="EN" db-id="eseee05sfe5vt6efvr0xapvq20vfdsfp5fvf" timestamp="1715880289"&gt;490&lt;/key&gt;&lt;/foreign-keys&gt;&lt;ref-type name="Journal Article"&gt;17&lt;/ref-type&gt;&lt;contributors&gt;&lt;/contributors&gt;&lt;titles&gt;&lt;title&gt;Grafoil Engineering Manual&lt;/title&gt;&lt;/titles&gt;&lt;volume&gt;second ed.&lt;/volume&gt;&lt;dates&gt;&lt;year&gt;2002&lt;/year&gt;&lt;/dates&gt;&lt;urls&gt;&lt;/urls&gt;&lt;electronic-resource-num&gt;http://www.graftech.com/wp-content/uploads/2014/12/GRAFOIL-Engineering-Manual-2nd-Ed.pdf.&lt;/electronic-resource-num&gt;&lt;/record&gt;&lt;/Cite&gt;&lt;/EndNote&gt;</w:instrText>
            </w:r>
            <w:r w:rsidRPr="0074556C">
              <w:fldChar w:fldCharType="separate"/>
            </w:r>
            <w:r w:rsidR="003026BC">
              <w:rPr>
                <w:noProof/>
              </w:rPr>
              <w:t>[157]</w:t>
            </w:r>
            <w:r w:rsidRPr="0074556C">
              <w:fldChar w:fldCharType="end"/>
            </w:r>
          </w:p>
        </w:tc>
      </w:tr>
      <w:tr w:rsidR="001B6F2A" w:rsidRPr="0074556C" w14:paraId="631D48F7" w14:textId="77777777" w:rsidTr="001B6F2A">
        <w:trPr>
          <w:trHeight w:val="317"/>
        </w:trPr>
        <w:tc>
          <w:tcPr>
            <w:tcW w:w="2137" w:type="dxa"/>
            <w:tcBorders>
              <w:top w:val="nil"/>
              <w:left w:val="single" w:sz="4" w:space="0" w:color="auto"/>
              <w:bottom w:val="nil"/>
              <w:right w:val="single" w:sz="4" w:space="0" w:color="auto"/>
            </w:tcBorders>
            <w:shd w:val="clear" w:color="auto" w:fill="auto"/>
            <w:noWrap/>
            <w:vAlign w:val="center"/>
            <w:hideMark/>
          </w:tcPr>
          <w:p w14:paraId="41F39797" w14:textId="77777777" w:rsidR="00BA37DA" w:rsidRPr="008C04B3" w:rsidRDefault="00BA37DA" w:rsidP="003E2B8A">
            <w:pPr>
              <w:pStyle w:val="TableText"/>
            </w:pPr>
            <w:r w:rsidRPr="008C04B3">
              <w:t>ε</w:t>
            </w:r>
            <w:r w:rsidRPr="008C04B3">
              <w:rPr>
                <w:vertAlign w:val="subscript"/>
              </w:rPr>
              <w:t>SIC</w:t>
            </w:r>
          </w:p>
        </w:tc>
        <w:tc>
          <w:tcPr>
            <w:tcW w:w="381" w:type="dxa"/>
            <w:tcBorders>
              <w:top w:val="nil"/>
              <w:left w:val="nil"/>
              <w:right w:val="nil"/>
            </w:tcBorders>
            <w:shd w:val="clear" w:color="auto" w:fill="auto"/>
            <w:noWrap/>
            <w:vAlign w:val="center"/>
            <w:hideMark/>
          </w:tcPr>
          <w:p w14:paraId="390B5C97" w14:textId="77777777" w:rsidR="00BA37DA" w:rsidRPr="008C04B3" w:rsidRDefault="00BA37DA" w:rsidP="003E2B8A">
            <w:pPr>
              <w:pStyle w:val="TableText"/>
              <w:rPr>
                <w:rFonts w:ascii="Cambria Math" w:hAnsi="Cambria Math"/>
              </w:rPr>
            </w:pPr>
            <w:r w:rsidRPr="008C04B3">
              <w:rPr>
                <w:rFonts w:ascii="Cambria Math" w:hAnsi="Cambria Math"/>
              </w:rPr>
              <w:t>±</w:t>
            </w:r>
          </w:p>
        </w:tc>
        <w:tc>
          <w:tcPr>
            <w:tcW w:w="3692" w:type="dxa"/>
            <w:tcBorders>
              <w:top w:val="nil"/>
              <w:left w:val="nil"/>
              <w:bottom w:val="nil"/>
              <w:right w:val="nil"/>
            </w:tcBorders>
            <w:shd w:val="clear" w:color="auto" w:fill="auto"/>
            <w:noWrap/>
            <w:vAlign w:val="center"/>
            <w:hideMark/>
          </w:tcPr>
          <w:p w14:paraId="03EBD371" w14:textId="77777777" w:rsidR="00BA37DA" w:rsidRPr="008C04B3" w:rsidRDefault="00BA37DA" w:rsidP="003E2B8A">
            <w:pPr>
              <w:pStyle w:val="TableText"/>
            </w:pPr>
            <w:r w:rsidRPr="008C04B3">
              <w:t>5</w:t>
            </w:r>
          </w:p>
        </w:tc>
        <w:tc>
          <w:tcPr>
            <w:tcW w:w="1260" w:type="dxa"/>
            <w:tcBorders>
              <w:top w:val="nil"/>
              <w:left w:val="nil"/>
              <w:bottom w:val="nil"/>
              <w:right w:val="single" w:sz="4" w:space="0" w:color="auto"/>
            </w:tcBorders>
            <w:shd w:val="clear" w:color="auto" w:fill="auto"/>
            <w:noWrap/>
            <w:vAlign w:val="center"/>
            <w:hideMark/>
          </w:tcPr>
          <w:p w14:paraId="091B4D94" w14:textId="77777777" w:rsidR="00BA37DA" w:rsidRPr="008C04B3" w:rsidRDefault="00BA37DA" w:rsidP="003E2B8A">
            <w:pPr>
              <w:pStyle w:val="TableText"/>
            </w:pPr>
            <w:r w:rsidRPr="008C04B3">
              <w:t>%</w:t>
            </w:r>
          </w:p>
        </w:tc>
        <w:tc>
          <w:tcPr>
            <w:tcW w:w="1198" w:type="dxa"/>
            <w:tcBorders>
              <w:top w:val="nil"/>
              <w:left w:val="nil"/>
              <w:bottom w:val="nil"/>
              <w:right w:val="single" w:sz="4" w:space="0" w:color="auto"/>
            </w:tcBorders>
            <w:shd w:val="clear" w:color="auto" w:fill="auto"/>
            <w:noWrap/>
            <w:vAlign w:val="center"/>
            <w:hideMark/>
          </w:tcPr>
          <w:p w14:paraId="777BCABA" w14:textId="32BA49E5" w:rsidR="00BA37DA" w:rsidRPr="0074556C" w:rsidRDefault="00BA37DA" w:rsidP="003E2B8A">
            <w:pPr>
              <w:pStyle w:val="TableText"/>
            </w:pPr>
            <w:r w:rsidRPr="0074556C">
              <w:fldChar w:fldCharType="begin"/>
            </w:r>
            <w:r w:rsidR="003026BC">
              <w:instrText xml:space="preserve"> ADDIN EN.CITE &lt;EndNote&gt;&lt;Cite&gt;&lt;Author&gt;Neuer&lt;/Author&gt;&lt;Year&gt;1998&lt;/Year&gt;&lt;RecNum&gt;454&lt;/RecNum&gt;&lt;DisplayText&gt;[158]&lt;/DisplayText&gt;&lt;record&gt;&lt;rec-number&gt;454&lt;/rec-number&gt;&lt;foreign-keys&gt;&lt;key app="EN" db-id="eseee05sfe5vt6efvr0xapvq20vfdsfp5fvf" timestamp="1712615404"&gt;454&lt;/key&gt;&lt;/foreign-keys&gt;&lt;ref-type name="Journal Article"&gt;17&lt;/ref-type&gt;&lt;contributors&gt;&lt;authors&gt;&lt;author&gt;Neuer, G.&lt;/author&gt;&lt;author&gt;Jaroma-Weiland, G.&lt;/author&gt;&lt;/authors&gt;&lt;/contributors&gt;&lt;titles&gt;&lt;title&gt;Spectral and Total Emissivity of High-Temperature Materials&lt;/title&gt;&lt;secondary-title&gt;International Journal of Thermophysics&lt;/secondary-title&gt;&lt;/titles&gt;&lt;periodical&gt;&lt;full-title&gt;International Journal of Thermophysics&lt;/full-title&gt;&lt;/periodical&gt;&lt;pages&gt;917-929&lt;/pages&gt;&lt;volume&gt;19&lt;/volume&gt;&lt;number&gt;3&lt;/number&gt;&lt;dates&gt;&lt;year&gt;1998&lt;/year&gt;&lt;pub-dates&gt;&lt;date&gt;1998/05/01&lt;/date&gt;&lt;/pub-dates&gt;&lt;/dates&gt;&lt;isbn&gt;1572-9567&lt;/isbn&gt;&lt;urls&gt;&lt;related-urls&gt;&lt;url&gt;https://doi.org/10.1023/A:1022607426413&lt;/url&gt;&lt;/related-urls&gt;&lt;/urls&gt;&lt;electronic-resource-num&gt;10.1023/A:1022607426413&lt;/electronic-resource-num&gt;&lt;/record&gt;&lt;/Cite&gt;&lt;/EndNote&gt;</w:instrText>
            </w:r>
            <w:r w:rsidRPr="0074556C">
              <w:fldChar w:fldCharType="separate"/>
            </w:r>
            <w:r w:rsidR="003026BC">
              <w:rPr>
                <w:noProof/>
              </w:rPr>
              <w:t>[158]</w:t>
            </w:r>
            <w:r w:rsidRPr="0074556C">
              <w:fldChar w:fldCharType="end"/>
            </w:r>
          </w:p>
        </w:tc>
      </w:tr>
      <w:tr w:rsidR="001B6F2A" w:rsidRPr="0074556C" w14:paraId="09C446CD" w14:textId="77777777" w:rsidTr="001B6F2A">
        <w:trPr>
          <w:trHeight w:val="317"/>
        </w:trPr>
        <w:tc>
          <w:tcPr>
            <w:tcW w:w="2137" w:type="dxa"/>
            <w:tcBorders>
              <w:top w:val="nil"/>
              <w:left w:val="single" w:sz="4" w:space="0" w:color="auto"/>
              <w:bottom w:val="nil"/>
              <w:right w:val="single" w:sz="4" w:space="0" w:color="auto"/>
            </w:tcBorders>
            <w:shd w:val="clear" w:color="auto" w:fill="auto"/>
            <w:noWrap/>
            <w:vAlign w:val="center"/>
            <w:hideMark/>
          </w:tcPr>
          <w:p w14:paraId="75850E42" w14:textId="77777777" w:rsidR="00BA37DA" w:rsidRPr="008C04B3" w:rsidRDefault="00BA37DA" w:rsidP="003E2B8A">
            <w:pPr>
              <w:pStyle w:val="TableText"/>
            </w:pPr>
            <w:r w:rsidRPr="008C04B3">
              <w:t>ε</w:t>
            </w:r>
            <w:r w:rsidRPr="008C04B3">
              <w:rPr>
                <w:vertAlign w:val="subscript"/>
              </w:rPr>
              <w:t>TI6AL4V</w:t>
            </w:r>
          </w:p>
        </w:tc>
        <w:tc>
          <w:tcPr>
            <w:tcW w:w="381" w:type="dxa"/>
            <w:tcBorders>
              <w:top w:val="nil"/>
              <w:left w:val="nil"/>
              <w:right w:val="nil"/>
            </w:tcBorders>
            <w:shd w:val="clear" w:color="auto" w:fill="auto"/>
            <w:noWrap/>
            <w:vAlign w:val="center"/>
            <w:hideMark/>
          </w:tcPr>
          <w:p w14:paraId="0C80F4B6" w14:textId="77777777" w:rsidR="00BA37DA" w:rsidRPr="008C04B3" w:rsidRDefault="00BA37DA" w:rsidP="003E2B8A">
            <w:pPr>
              <w:pStyle w:val="TableText"/>
              <w:rPr>
                <w:rFonts w:ascii="Cambria Math" w:hAnsi="Cambria Math"/>
              </w:rPr>
            </w:pPr>
            <w:r w:rsidRPr="008C04B3">
              <w:rPr>
                <w:rFonts w:ascii="Cambria Math" w:hAnsi="Cambria Math"/>
              </w:rPr>
              <w:t>±</w:t>
            </w:r>
          </w:p>
        </w:tc>
        <w:tc>
          <w:tcPr>
            <w:tcW w:w="3692" w:type="dxa"/>
            <w:tcBorders>
              <w:top w:val="nil"/>
              <w:left w:val="nil"/>
              <w:bottom w:val="nil"/>
              <w:right w:val="nil"/>
            </w:tcBorders>
            <w:shd w:val="clear" w:color="auto" w:fill="auto"/>
            <w:noWrap/>
            <w:vAlign w:val="center"/>
            <w:hideMark/>
          </w:tcPr>
          <w:p w14:paraId="4A38B1F9" w14:textId="77777777" w:rsidR="00BA37DA" w:rsidRPr="008C04B3" w:rsidRDefault="00BA37DA" w:rsidP="003E2B8A">
            <w:pPr>
              <w:pStyle w:val="TableText"/>
            </w:pPr>
            <w:r w:rsidRPr="008C04B3">
              <w:t>3</w:t>
            </w:r>
          </w:p>
        </w:tc>
        <w:tc>
          <w:tcPr>
            <w:tcW w:w="1260" w:type="dxa"/>
            <w:tcBorders>
              <w:top w:val="nil"/>
              <w:left w:val="nil"/>
              <w:bottom w:val="nil"/>
              <w:right w:val="single" w:sz="4" w:space="0" w:color="auto"/>
            </w:tcBorders>
            <w:shd w:val="clear" w:color="auto" w:fill="auto"/>
            <w:noWrap/>
            <w:vAlign w:val="center"/>
            <w:hideMark/>
          </w:tcPr>
          <w:p w14:paraId="7C107EB6" w14:textId="77777777" w:rsidR="00BA37DA" w:rsidRPr="008C04B3" w:rsidRDefault="00BA37DA" w:rsidP="003E2B8A">
            <w:pPr>
              <w:pStyle w:val="TableText"/>
            </w:pPr>
            <w:r w:rsidRPr="008C04B3">
              <w:t>%</w:t>
            </w:r>
          </w:p>
        </w:tc>
        <w:tc>
          <w:tcPr>
            <w:tcW w:w="1198" w:type="dxa"/>
            <w:tcBorders>
              <w:top w:val="nil"/>
              <w:left w:val="nil"/>
              <w:bottom w:val="nil"/>
              <w:right w:val="single" w:sz="4" w:space="0" w:color="auto"/>
            </w:tcBorders>
            <w:shd w:val="clear" w:color="auto" w:fill="auto"/>
            <w:noWrap/>
            <w:vAlign w:val="center"/>
            <w:hideMark/>
          </w:tcPr>
          <w:p w14:paraId="1FDA037B" w14:textId="38E6088E" w:rsidR="00BA37DA" w:rsidRPr="0074556C" w:rsidRDefault="00BA37DA" w:rsidP="003E2B8A">
            <w:pPr>
              <w:pStyle w:val="TableText"/>
            </w:pPr>
            <w:r w:rsidRPr="0074556C">
              <w:fldChar w:fldCharType="begin"/>
            </w:r>
            <w:r w:rsidR="003026BC">
              <w:instrText xml:space="preserve"> ADDIN EN.CITE &lt;EndNote&gt;&lt;Cite&gt;&lt;Author&gt;Touloukian&lt;/Author&gt;&lt;Year&gt;1970&lt;/Year&gt;&lt;RecNum&gt;449&lt;/RecNum&gt;&lt;DisplayText&gt;[159]&lt;/DisplayText&gt;&lt;record&gt;&lt;rec-number&gt;449&lt;/rec-number&gt;&lt;foreign-keys&gt;&lt;key app="EN" db-id="eseee05sfe5vt6efvr0xapvq20vfdsfp5fvf" timestamp="1712614564"&gt;449&lt;/key&gt;&lt;/foreign-keys&gt;&lt;ref-type name="Report"&gt;27&lt;/ref-type&gt;&lt;contributors&gt;&lt;authors&gt;&lt;author&gt;Touloukian, Y. S.&lt;/author&gt;&lt;author&gt;DeWitt, D. P.&lt;/author&gt;&lt;/authors&gt;&lt;/contributors&gt;&lt;titles&gt;&lt;title&gt;Thermophysical properties of matter - the TPRC data series. Volume 7. Thermal radiative properties - metallic elements and alloys. (Reannouncement). Data book&lt;/title&gt;&lt;/titles&gt;&lt;keywords&gt;&lt;keyword&gt;36 MATERIALS SCIENCE&lt;/keyword&gt;&lt;keyword&gt;ALLOYS&lt;/keyword&gt;&lt;keyword&gt;THERMODYNAMIC PROPERTIES&lt;/keyword&gt;&lt;keyword&gt;METALS&lt;/keyword&gt;&lt;keyword&gt;COMPILED DATA&lt;/keyword&gt;&lt;keyword&gt;DATA&lt;/keyword&gt;&lt;keyword&gt;ELEMENTS&lt;/keyword&gt;&lt;keyword&gt;INFORMATION&lt;/keyword&gt;&lt;keyword&gt;NUMERICAL DATA&lt;/keyword&gt;&lt;keyword&gt;PHYSICAL PROPERTIES&lt;/keyword&gt;&lt;keyword&gt;360104* - Metals &amp;amp; Alloys- Physical Properties&lt;/keyword&gt;&lt;/keywords&gt;&lt;dates&gt;&lt;year&gt;1970&lt;/year&gt;&lt;pub-dates&gt;&lt;date&gt;1970-01-01&lt;/date&gt;&lt;/pub-dates&gt;&lt;/dates&gt;&lt;pub-location&gt;United States&lt;/pub-location&gt;&lt;urls&gt;&lt;related-urls&gt;&lt;url&gt;https://www.osti.gov/biblio/5305606&lt;/url&gt;&lt;/related-urls&gt;&lt;/urls&gt;&lt;custom1&gt;Research Org.: Purdue Univ., Lafayette, IN (United States). Thermophysical and Electronic Properties Information Center&lt;/custom1&gt;&lt;custom3&gt;Report Number: AD-A-951941/4/XAB&lt;/custom3&gt;&lt;custom5&gt;Availability: NTIS&lt;/custom5&gt;&lt;electronic-resource-num&gt;Other Information: Reannounced with new availability. See also Volume 8, AD-A951 942&lt;/electronic-resource-num&gt;&lt;language&gt;English&lt;/language&gt;&lt;/record&gt;&lt;/Cite&gt;&lt;/EndNote&gt;</w:instrText>
            </w:r>
            <w:r w:rsidRPr="0074556C">
              <w:fldChar w:fldCharType="separate"/>
            </w:r>
            <w:r w:rsidR="003026BC">
              <w:rPr>
                <w:noProof/>
              </w:rPr>
              <w:t>[159]</w:t>
            </w:r>
            <w:r w:rsidRPr="0074556C">
              <w:fldChar w:fldCharType="end"/>
            </w:r>
          </w:p>
        </w:tc>
      </w:tr>
      <w:tr w:rsidR="001B6F2A" w:rsidRPr="0074556C" w14:paraId="6D7B895C" w14:textId="77777777" w:rsidTr="001B6F2A">
        <w:trPr>
          <w:trHeight w:val="317"/>
        </w:trPr>
        <w:tc>
          <w:tcPr>
            <w:tcW w:w="2137" w:type="dxa"/>
            <w:tcBorders>
              <w:top w:val="nil"/>
              <w:left w:val="single" w:sz="4" w:space="0" w:color="auto"/>
              <w:bottom w:val="nil"/>
              <w:right w:val="single" w:sz="4" w:space="0" w:color="auto"/>
            </w:tcBorders>
            <w:shd w:val="clear" w:color="auto" w:fill="auto"/>
            <w:noWrap/>
            <w:vAlign w:val="center"/>
            <w:hideMark/>
          </w:tcPr>
          <w:p w14:paraId="49DCD407" w14:textId="77777777" w:rsidR="00BA37DA" w:rsidRPr="008C04B3" w:rsidRDefault="00BA37DA" w:rsidP="003E2B8A">
            <w:pPr>
              <w:pStyle w:val="TableText"/>
            </w:pPr>
            <w:r w:rsidRPr="008C04B3">
              <w:t>ε</w:t>
            </w:r>
            <w:r w:rsidRPr="008C04B3">
              <w:rPr>
                <w:vertAlign w:val="subscript"/>
              </w:rPr>
              <w:t>Fuel</w:t>
            </w:r>
          </w:p>
        </w:tc>
        <w:tc>
          <w:tcPr>
            <w:tcW w:w="381" w:type="dxa"/>
            <w:tcBorders>
              <w:top w:val="nil"/>
              <w:left w:val="nil"/>
              <w:right w:val="nil"/>
            </w:tcBorders>
            <w:shd w:val="clear" w:color="auto" w:fill="auto"/>
            <w:noWrap/>
            <w:vAlign w:val="center"/>
            <w:hideMark/>
          </w:tcPr>
          <w:p w14:paraId="37BEFB2B" w14:textId="77777777" w:rsidR="00BA37DA" w:rsidRPr="008C04B3" w:rsidRDefault="00BA37DA" w:rsidP="003E2B8A">
            <w:pPr>
              <w:pStyle w:val="TableText"/>
              <w:rPr>
                <w:rFonts w:ascii="Cambria Math" w:hAnsi="Cambria Math"/>
              </w:rPr>
            </w:pPr>
            <w:r w:rsidRPr="008C04B3">
              <w:rPr>
                <w:rFonts w:ascii="Cambria Math" w:hAnsi="Cambria Math"/>
              </w:rPr>
              <w:t>±</w:t>
            </w:r>
          </w:p>
        </w:tc>
        <w:tc>
          <w:tcPr>
            <w:tcW w:w="3692" w:type="dxa"/>
            <w:tcBorders>
              <w:top w:val="nil"/>
              <w:left w:val="nil"/>
              <w:bottom w:val="nil"/>
              <w:right w:val="nil"/>
            </w:tcBorders>
            <w:shd w:val="clear" w:color="auto" w:fill="auto"/>
            <w:noWrap/>
            <w:vAlign w:val="center"/>
            <w:hideMark/>
          </w:tcPr>
          <w:p w14:paraId="34B6664E" w14:textId="77777777" w:rsidR="00BA37DA" w:rsidRPr="008C04B3" w:rsidRDefault="00BA37DA" w:rsidP="003E2B8A">
            <w:pPr>
              <w:pStyle w:val="TableText"/>
            </w:pPr>
            <w:r w:rsidRPr="008C04B3">
              <w:t>6.8</w:t>
            </w:r>
          </w:p>
        </w:tc>
        <w:tc>
          <w:tcPr>
            <w:tcW w:w="1260" w:type="dxa"/>
            <w:tcBorders>
              <w:top w:val="nil"/>
              <w:left w:val="nil"/>
              <w:bottom w:val="nil"/>
              <w:right w:val="single" w:sz="4" w:space="0" w:color="auto"/>
            </w:tcBorders>
            <w:shd w:val="clear" w:color="auto" w:fill="auto"/>
            <w:noWrap/>
            <w:vAlign w:val="center"/>
            <w:hideMark/>
          </w:tcPr>
          <w:p w14:paraId="547F9554" w14:textId="77777777" w:rsidR="00BA37DA" w:rsidRPr="008C04B3" w:rsidRDefault="00BA37DA" w:rsidP="003E2B8A">
            <w:pPr>
              <w:pStyle w:val="TableText"/>
            </w:pPr>
            <w:r w:rsidRPr="008C04B3">
              <w:t>%</w:t>
            </w:r>
          </w:p>
        </w:tc>
        <w:tc>
          <w:tcPr>
            <w:tcW w:w="1198" w:type="dxa"/>
            <w:tcBorders>
              <w:top w:val="nil"/>
              <w:left w:val="nil"/>
              <w:bottom w:val="nil"/>
              <w:right w:val="single" w:sz="4" w:space="0" w:color="auto"/>
            </w:tcBorders>
            <w:shd w:val="clear" w:color="auto" w:fill="auto"/>
            <w:noWrap/>
            <w:vAlign w:val="center"/>
            <w:hideMark/>
          </w:tcPr>
          <w:p w14:paraId="3D908CEF" w14:textId="658F3D0F" w:rsidR="00BA37DA" w:rsidRPr="0074556C" w:rsidRDefault="00BA37DA" w:rsidP="003E2B8A">
            <w:pPr>
              <w:pStyle w:val="TableText"/>
            </w:pPr>
            <w:r w:rsidRPr="0074556C">
              <w:fldChar w:fldCharType="begin">
                <w:fldData xml:space="preserve">PEVuZE5vdGU+PENpdGU+PEF1dGhvcj5IYWdybWFuPC9BdXRob3I+PFllYXI+MTk5NTwvWWVhcj48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</w:fldData>
              </w:fldChar>
            </w:r>
            <w:r w:rsidR="003026BC">
              <w:instrText xml:space="preserve"> ADDIN EN.CITE </w:instrText>
            </w:r>
            <w:r w:rsidR="003026BC">
              <w:fldChar w:fldCharType="begin">
                <w:fldData xml:space="preserve">PEVuZE5vdGU+PENpdGU+PEF1dGhvcj5IYWdybWFuPC9BdXRob3I+PFllYXI+MTk5NTwvWWVhcj48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</w:fldData>
              </w:fldChar>
            </w:r>
            <w:r w:rsidR="003026BC">
              <w:instrText xml:space="preserve"> ADDIN EN.CITE.DATA </w:instrText>
            </w:r>
            <w:r w:rsidR="003026BC">
              <w:fldChar w:fldCharType="end"/>
            </w:r>
            <w:r w:rsidRPr="0074556C">
              <w:fldChar w:fldCharType="separate"/>
            </w:r>
            <w:r w:rsidR="003026BC">
              <w:rPr>
                <w:noProof/>
              </w:rPr>
              <w:t>[160]</w:t>
            </w:r>
            <w:r w:rsidRPr="0074556C">
              <w:fldChar w:fldCharType="end"/>
            </w:r>
          </w:p>
        </w:tc>
      </w:tr>
      <w:tr w:rsidR="001B6F2A" w:rsidRPr="0074556C" w14:paraId="21A18666" w14:textId="77777777" w:rsidTr="001B6F2A">
        <w:trPr>
          <w:trHeight w:val="317"/>
        </w:trPr>
        <w:tc>
          <w:tcPr>
            <w:tcW w:w="2137" w:type="dxa"/>
            <w:tcBorders>
              <w:top w:val="nil"/>
              <w:left w:val="single" w:sz="4" w:space="0" w:color="auto"/>
              <w:bottom w:val="nil"/>
              <w:right w:val="single" w:sz="4" w:space="0" w:color="auto"/>
            </w:tcBorders>
            <w:shd w:val="clear" w:color="auto" w:fill="auto"/>
            <w:noWrap/>
            <w:vAlign w:val="center"/>
            <w:hideMark/>
          </w:tcPr>
          <w:p w14:paraId="375174C6" w14:textId="77777777" w:rsidR="00BA37DA" w:rsidRPr="008C04B3" w:rsidRDefault="00BA37DA" w:rsidP="003E2B8A">
            <w:pPr>
              <w:pStyle w:val="TableText"/>
            </w:pPr>
            <w:r w:rsidRPr="008C04B3">
              <w:t>α</w:t>
            </w:r>
            <w:r w:rsidRPr="008C04B3">
              <w:rPr>
                <w:vertAlign w:val="subscript"/>
              </w:rPr>
              <w:t>Mo</w:t>
            </w:r>
          </w:p>
        </w:tc>
        <w:tc>
          <w:tcPr>
            <w:tcW w:w="381" w:type="dxa"/>
            <w:tcBorders>
              <w:top w:val="nil"/>
              <w:left w:val="nil"/>
              <w:right w:val="nil"/>
            </w:tcBorders>
            <w:shd w:val="clear" w:color="auto" w:fill="auto"/>
            <w:noWrap/>
            <w:vAlign w:val="center"/>
            <w:hideMark/>
          </w:tcPr>
          <w:p w14:paraId="4AF9AE90" w14:textId="77777777" w:rsidR="00BA37DA" w:rsidRPr="008C04B3" w:rsidRDefault="00BA37DA" w:rsidP="003E2B8A">
            <w:pPr>
              <w:pStyle w:val="TableText"/>
              <w:rPr>
                <w:rFonts w:ascii="Cambria Math" w:hAnsi="Cambria Math"/>
              </w:rPr>
            </w:pPr>
            <w:r w:rsidRPr="008C04B3">
              <w:rPr>
                <w:rFonts w:ascii="Cambria Math" w:hAnsi="Cambria Math"/>
              </w:rPr>
              <w:t>±</w:t>
            </w:r>
          </w:p>
        </w:tc>
        <w:tc>
          <w:tcPr>
            <w:tcW w:w="3692" w:type="dxa"/>
            <w:tcBorders>
              <w:top w:val="nil"/>
              <w:left w:val="nil"/>
              <w:bottom w:val="nil"/>
              <w:right w:val="nil"/>
            </w:tcBorders>
            <w:shd w:val="clear" w:color="auto" w:fill="auto"/>
            <w:vAlign w:val="center"/>
            <w:hideMark/>
          </w:tcPr>
          <w:p w14:paraId="67AAB3F6" w14:textId="77777777" w:rsidR="00BA37DA" w:rsidRPr="008C04B3" w:rsidRDefault="00BA37DA" w:rsidP="003E2B8A">
            <w:pPr>
              <w:pStyle w:val="TableText"/>
            </w:pPr>
            <w:r w:rsidRPr="008C04B3">
              <w:t>3   &lt; 1500°C</w:t>
            </w:r>
          </w:p>
          <w:p w14:paraId="1AC6C28E" w14:textId="77777777" w:rsidR="00BA37DA" w:rsidRPr="008C04B3" w:rsidRDefault="00BA37DA" w:rsidP="003E2B8A">
            <w:pPr>
              <w:pStyle w:val="TableText"/>
            </w:pPr>
            <w:r w:rsidRPr="008C04B3">
              <w:t>5   &gt; 1500°C</w:t>
            </w:r>
          </w:p>
        </w:tc>
        <w:tc>
          <w:tcPr>
            <w:tcW w:w="1260" w:type="dxa"/>
            <w:tcBorders>
              <w:top w:val="nil"/>
              <w:left w:val="nil"/>
              <w:bottom w:val="nil"/>
              <w:right w:val="single" w:sz="4" w:space="0" w:color="auto"/>
            </w:tcBorders>
            <w:shd w:val="clear" w:color="auto" w:fill="auto"/>
            <w:noWrap/>
            <w:vAlign w:val="center"/>
            <w:hideMark/>
          </w:tcPr>
          <w:p w14:paraId="5622816C" w14:textId="77777777" w:rsidR="00BA37DA" w:rsidRPr="008C04B3" w:rsidRDefault="00BA37DA" w:rsidP="003E2B8A">
            <w:pPr>
              <w:pStyle w:val="TableText"/>
            </w:pPr>
            <w:r w:rsidRPr="008C04B3">
              <w:t>%</w:t>
            </w:r>
          </w:p>
        </w:tc>
        <w:tc>
          <w:tcPr>
            <w:tcW w:w="1198" w:type="dxa"/>
            <w:tcBorders>
              <w:top w:val="nil"/>
              <w:left w:val="nil"/>
              <w:bottom w:val="nil"/>
              <w:right w:val="single" w:sz="4" w:space="0" w:color="auto"/>
            </w:tcBorders>
            <w:shd w:val="clear" w:color="auto" w:fill="auto"/>
            <w:noWrap/>
            <w:vAlign w:val="center"/>
            <w:hideMark/>
          </w:tcPr>
          <w:p w14:paraId="04CC0326" w14:textId="670CE52C" w:rsidR="00BA37DA" w:rsidRPr="0074556C" w:rsidRDefault="00BA37DA" w:rsidP="003E2B8A">
            <w:pPr>
              <w:pStyle w:val="TableText"/>
            </w:pPr>
            <w:r w:rsidRPr="0074556C">
              <w:fldChar w:fldCharType="begin"/>
            </w:r>
            <w:r w:rsidR="003026BC">
              <w:instrText xml:space="preserve"> ADDIN EN.CITE &lt;EndNote&gt;&lt;Cite&gt;&lt;Author&gt;CINDAS&lt;/Author&gt;&lt;Year&gt;2016&lt;/Year&gt;&lt;RecNum&gt;491&lt;/RecNum&gt;&lt;DisplayText&gt;[156]&lt;/DisplayText&gt;&lt;record&gt;&lt;rec-number&gt;491&lt;/rec-number&gt;&lt;foreign-keys&gt;&lt;key app="EN" db-id="eseee05sfe5vt6efvr0xapvq20vfdsfp5fvf" timestamp="1715880499"&gt;491&lt;/key&gt;&lt;/foreign-keys&gt;&lt;ref-type name="Journal Article"&gt;17&lt;/ref-type&gt;&lt;contributors&gt;&lt;authors&gt;&lt;author&gt;CINDAS&lt;/author&gt;&lt;/authors&gt;&lt;/contributors&gt;&lt;titles&gt;&lt;title&gt;global benchmark for critically evaluated materials properties&amp;#xD;data&lt;/title&gt;&lt;/titles&gt;&lt;dates&gt;&lt;year&gt;2016&lt;/year&gt;&lt;/dates&gt;&lt;urls&gt;&lt;/urls&gt;&lt;electronic-resource-num&gt;http://cindasdata.com&lt;/electronic-resource-num&gt;&lt;/record&gt;&lt;/Cite&gt;&lt;/EndNote&gt;</w:instrText>
            </w:r>
            <w:r w:rsidRPr="0074556C">
              <w:fldChar w:fldCharType="separate"/>
            </w:r>
            <w:r w:rsidR="003026BC">
              <w:rPr>
                <w:noProof/>
              </w:rPr>
              <w:t>[156]</w:t>
            </w:r>
            <w:r w:rsidRPr="0074556C">
              <w:fldChar w:fldCharType="end"/>
            </w:r>
          </w:p>
        </w:tc>
      </w:tr>
      <w:tr w:rsidR="001B6F2A" w:rsidRPr="0074556C" w14:paraId="02EC0035" w14:textId="77777777" w:rsidTr="001B6F2A">
        <w:trPr>
          <w:trHeight w:val="317"/>
        </w:trPr>
        <w:tc>
          <w:tcPr>
            <w:tcW w:w="2137" w:type="dxa"/>
            <w:tcBorders>
              <w:top w:val="nil"/>
              <w:left w:val="single" w:sz="4" w:space="0" w:color="auto"/>
              <w:bottom w:val="nil"/>
              <w:right w:val="single" w:sz="4" w:space="0" w:color="auto"/>
            </w:tcBorders>
            <w:shd w:val="clear" w:color="auto" w:fill="auto"/>
            <w:noWrap/>
            <w:vAlign w:val="center"/>
            <w:hideMark/>
          </w:tcPr>
          <w:p w14:paraId="4CADB65E" w14:textId="77777777" w:rsidR="00BA37DA" w:rsidRPr="008C04B3" w:rsidRDefault="00BA37DA" w:rsidP="003E2B8A">
            <w:pPr>
              <w:pStyle w:val="TableText"/>
            </w:pPr>
            <w:r w:rsidRPr="008C04B3">
              <w:t>α</w:t>
            </w:r>
            <w:r w:rsidRPr="008C04B3">
              <w:rPr>
                <w:vertAlign w:val="subscript"/>
              </w:rPr>
              <w:t>SIC</w:t>
            </w:r>
          </w:p>
        </w:tc>
        <w:tc>
          <w:tcPr>
            <w:tcW w:w="381" w:type="dxa"/>
            <w:tcBorders>
              <w:top w:val="nil"/>
              <w:left w:val="nil"/>
              <w:right w:val="nil"/>
            </w:tcBorders>
            <w:shd w:val="clear" w:color="auto" w:fill="auto"/>
            <w:noWrap/>
            <w:vAlign w:val="center"/>
            <w:hideMark/>
          </w:tcPr>
          <w:p w14:paraId="3F3A20A5" w14:textId="77777777" w:rsidR="00BA37DA" w:rsidRPr="008C04B3" w:rsidRDefault="00BA37DA" w:rsidP="003E2B8A">
            <w:pPr>
              <w:pStyle w:val="TableText"/>
              <w:rPr>
                <w:rFonts w:ascii="Cambria Math" w:hAnsi="Cambria Math"/>
              </w:rPr>
            </w:pPr>
            <w:r w:rsidRPr="008C04B3">
              <w:rPr>
                <w:rFonts w:ascii="Cambria Math" w:hAnsi="Cambria Math"/>
              </w:rPr>
              <w:t>±</w:t>
            </w:r>
          </w:p>
        </w:tc>
        <w:tc>
          <w:tcPr>
            <w:tcW w:w="3692" w:type="dxa"/>
            <w:tcBorders>
              <w:top w:val="nil"/>
              <w:left w:val="nil"/>
              <w:bottom w:val="nil"/>
              <w:right w:val="nil"/>
            </w:tcBorders>
            <w:shd w:val="clear" w:color="auto" w:fill="auto"/>
            <w:noWrap/>
            <w:vAlign w:val="center"/>
            <w:hideMark/>
          </w:tcPr>
          <w:p w14:paraId="34033462" w14:textId="77777777" w:rsidR="00BA37DA" w:rsidRPr="008C04B3" w:rsidRDefault="00BA37DA" w:rsidP="003E2B8A">
            <w:pPr>
              <w:pStyle w:val="TableText"/>
            </w:pPr>
            <w:r w:rsidRPr="008C04B3">
              <w:t>10</w:t>
            </w:r>
          </w:p>
        </w:tc>
        <w:tc>
          <w:tcPr>
            <w:tcW w:w="1260" w:type="dxa"/>
            <w:tcBorders>
              <w:top w:val="nil"/>
              <w:left w:val="nil"/>
              <w:bottom w:val="nil"/>
              <w:right w:val="single" w:sz="4" w:space="0" w:color="auto"/>
            </w:tcBorders>
            <w:shd w:val="clear" w:color="auto" w:fill="auto"/>
            <w:noWrap/>
            <w:vAlign w:val="center"/>
            <w:hideMark/>
          </w:tcPr>
          <w:p w14:paraId="79FD504A" w14:textId="77777777" w:rsidR="00BA37DA" w:rsidRPr="008C04B3" w:rsidRDefault="00BA37DA" w:rsidP="003E2B8A">
            <w:pPr>
              <w:pStyle w:val="TableText"/>
            </w:pPr>
            <w:r w:rsidRPr="008C04B3">
              <w:t>%</w:t>
            </w:r>
          </w:p>
        </w:tc>
        <w:tc>
          <w:tcPr>
            <w:tcW w:w="1198" w:type="dxa"/>
            <w:tcBorders>
              <w:top w:val="nil"/>
              <w:left w:val="nil"/>
              <w:bottom w:val="nil"/>
              <w:right w:val="single" w:sz="4" w:space="0" w:color="auto"/>
            </w:tcBorders>
            <w:shd w:val="clear" w:color="auto" w:fill="auto"/>
            <w:noWrap/>
            <w:vAlign w:val="center"/>
            <w:hideMark/>
          </w:tcPr>
          <w:p w14:paraId="05FE2C09" w14:textId="421F6208" w:rsidR="00BA37DA" w:rsidRPr="0074556C" w:rsidRDefault="00BA37DA" w:rsidP="003E2B8A">
            <w:pPr>
              <w:pStyle w:val="TableText"/>
            </w:pPr>
            <w:r w:rsidRPr="0074556C">
              <w:fldChar w:fldCharType="begin"/>
            </w:r>
            <w:r w:rsidR="003026BC">
              <w:instrText xml:space="preserve"> ADDIN EN.CITE &lt;EndNote&gt;&lt;Cite&gt;&lt;Author&gt;Snead&lt;/Author&gt;&lt;Year&gt;2007&lt;/Year&gt;&lt;RecNum&gt;445&lt;/RecNum&gt;&lt;DisplayText&gt;[161]&lt;/DisplayText&gt;&lt;record&gt;&lt;rec-number&gt;445&lt;/rec-number&gt;&lt;foreign-keys&gt;&lt;key app="EN" db-id="eseee05sfe5vt6efvr0xapvq20vfdsfp5fvf" timestamp="1712250992"&gt;445&lt;/key&gt;&lt;/foreign-keys&gt;&lt;ref-type name="Journal Article"&gt;17&lt;/ref-type&gt;&lt;contributors&gt;&lt;authors&gt;&lt;author&gt;Snead, Lance L.&lt;/author&gt;&lt;author&gt;Nozawa, Takashi&lt;/author&gt;&lt;author&gt;Katoh, Yutai&lt;/author&gt;&lt;author&gt;Byun, Thak-Sang&lt;/author&gt;&lt;author&gt;Kondo, Sosuke&lt;/author&gt;&lt;author&gt;Petti, David A.&lt;/author&gt;&lt;/authors&gt;&lt;/contributors&gt;&lt;titles&gt;&lt;title&gt;Handbook of SiC properties for fuel performance modeling&lt;/title&gt;&lt;secondary-title&gt;Journal of Nuclear Materials&lt;/secondary-title&gt;&lt;/titles&gt;&lt;periodical&gt;&lt;full-title&gt;Journal of Nuclear Materials&lt;/full-title&gt;&lt;/periodical&gt;&lt;pages&gt;329-377&lt;/pages&gt;&lt;volume&gt;371&lt;/volume&gt;&lt;number&gt;1&lt;/number&gt;&lt;dates&gt;&lt;year&gt;2007&lt;/year&gt;&lt;pub-dates&gt;&lt;date&gt;2007/09/15/&lt;/date&gt;&lt;/pub-dates&gt;&lt;/dates&gt;&lt;isbn&gt;0022-3115&lt;/isbn&gt;&lt;urls&gt;&lt;related-urls&gt;&lt;url&gt;https://www.sciencedirect.com/science/article/pii/S0022311507007623&lt;/url&gt;&lt;/related-urls&gt;&lt;/urls&gt;&lt;electronic-resource-num&gt;https://doi.org/10.1016/j.jnucmat.2007.05.016&lt;/electronic-resource-num&gt;&lt;/record&gt;&lt;/Cite&gt;&lt;/EndNote&gt;</w:instrText>
            </w:r>
            <w:r w:rsidRPr="0074556C">
              <w:fldChar w:fldCharType="separate"/>
            </w:r>
            <w:r w:rsidR="003026BC">
              <w:rPr>
                <w:noProof/>
              </w:rPr>
              <w:t>[161]</w:t>
            </w:r>
            <w:r w:rsidRPr="0074556C">
              <w:fldChar w:fldCharType="end"/>
            </w:r>
          </w:p>
        </w:tc>
      </w:tr>
      <w:tr w:rsidR="001B6F2A" w:rsidRPr="0074556C" w14:paraId="207CAF8B" w14:textId="77777777" w:rsidTr="001B6F2A">
        <w:trPr>
          <w:trHeight w:val="317"/>
        </w:trPr>
        <w:tc>
          <w:tcPr>
            <w:tcW w:w="2137" w:type="dxa"/>
            <w:tcBorders>
              <w:top w:val="nil"/>
              <w:left w:val="single" w:sz="4" w:space="0" w:color="auto"/>
              <w:bottom w:val="nil"/>
              <w:right w:val="single" w:sz="4" w:space="0" w:color="auto"/>
            </w:tcBorders>
            <w:shd w:val="clear" w:color="auto" w:fill="auto"/>
            <w:noWrap/>
            <w:vAlign w:val="center"/>
            <w:hideMark/>
          </w:tcPr>
          <w:p w14:paraId="32D0A7CE" w14:textId="77777777" w:rsidR="00BA37DA" w:rsidRPr="008C04B3" w:rsidRDefault="00BA37DA" w:rsidP="003E2B8A">
            <w:pPr>
              <w:pStyle w:val="TableText"/>
            </w:pPr>
            <w:r w:rsidRPr="008C04B3">
              <w:t>α</w:t>
            </w:r>
            <w:r w:rsidRPr="008C04B3">
              <w:rPr>
                <w:vertAlign w:val="subscript"/>
              </w:rPr>
              <w:t>SS304</w:t>
            </w:r>
          </w:p>
        </w:tc>
        <w:tc>
          <w:tcPr>
            <w:tcW w:w="381" w:type="dxa"/>
            <w:tcBorders>
              <w:top w:val="nil"/>
              <w:left w:val="nil"/>
              <w:right w:val="nil"/>
            </w:tcBorders>
            <w:shd w:val="clear" w:color="auto" w:fill="auto"/>
            <w:noWrap/>
            <w:vAlign w:val="center"/>
            <w:hideMark/>
          </w:tcPr>
          <w:p w14:paraId="09C2464F" w14:textId="77777777" w:rsidR="00BA37DA" w:rsidRPr="008C04B3" w:rsidRDefault="00BA37DA" w:rsidP="003E2B8A">
            <w:pPr>
              <w:pStyle w:val="TableText"/>
              <w:rPr>
                <w:rFonts w:ascii="Cambria Math" w:hAnsi="Cambria Math"/>
              </w:rPr>
            </w:pPr>
            <w:r w:rsidRPr="008C04B3">
              <w:rPr>
                <w:rFonts w:ascii="Cambria Math" w:hAnsi="Cambria Math"/>
              </w:rPr>
              <w:t>±</w:t>
            </w:r>
          </w:p>
        </w:tc>
        <w:tc>
          <w:tcPr>
            <w:tcW w:w="3692" w:type="dxa"/>
            <w:tcBorders>
              <w:top w:val="nil"/>
              <w:left w:val="nil"/>
              <w:bottom w:val="nil"/>
              <w:right w:val="nil"/>
            </w:tcBorders>
            <w:shd w:val="clear" w:color="auto" w:fill="auto"/>
            <w:noWrap/>
            <w:vAlign w:val="center"/>
            <w:hideMark/>
          </w:tcPr>
          <w:p w14:paraId="7D0FFF37" w14:textId="77777777" w:rsidR="00BA37DA" w:rsidRPr="008C04B3" w:rsidRDefault="00BA37DA" w:rsidP="003E2B8A">
            <w:pPr>
              <w:pStyle w:val="TableText"/>
            </w:pPr>
            <w:r w:rsidRPr="008C04B3">
              <w:t>7</w:t>
            </w:r>
          </w:p>
        </w:tc>
        <w:tc>
          <w:tcPr>
            <w:tcW w:w="1260" w:type="dxa"/>
            <w:tcBorders>
              <w:top w:val="nil"/>
              <w:left w:val="nil"/>
              <w:bottom w:val="nil"/>
              <w:right w:val="single" w:sz="4" w:space="0" w:color="auto"/>
            </w:tcBorders>
            <w:shd w:val="clear" w:color="auto" w:fill="auto"/>
            <w:noWrap/>
            <w:vAlign w:val="center"/>
            <w:hideMark/>
          </w:tcPr>
          <w:p w14:paraId="69BEDBDC" w14:textId="77777777" w:rsidR="00BA37DA" w:rsidRPr="008C04B3" w:rsidRDefault="00BA37DA" w:rsidP="003E2B8A">
            <w:pPr>
              <w:pStyle w:val="TableText"/>
            </w:pPr>
            <w:r w:rsidRPr="008C04B3">
              <w:t>%</w:t>
            </w:r>
          </w:p>
        </w:tc>
        <w:tc>
          <w:tcPr>
            <w:tcW w:w="1198" w:type="dxa"/>
            <w:tcBorders>
              <w:top w:val="nil"/>
              <w:left w:val="nil"/>
              <w:bottom w:val="nil"/>
              <w:right w:val="single" w:sz="4" w:space="0" w:color="auto"/>
            </w:tcBorders>
            <w:shd w:val="clear" w:color="auto" w:fill="auto"/>
            <w:noWrap/>
            <w:vAlign w:val="center"/>
            <w:hideMark/>
          </w:tcPr>
          <w:p w14:paraId="5A0582ED" w14:textId="52034FEA" w:rsidR="00BA37DA" w:rsidRPr="0074556C" w:rsidRDefault="00BA37DA" w:rsidP="003E2B8A">
            <w:pPr>
              <w:pStyle w:val="TableText"/>
            </w:pPr>
            <w:r w:rsidRPr="0074556C">
              <w:fldChar w:fldCharType="begin"/>
            </w:r>
            <w:r w:rsidR="003026BC">
              <w:instrText xml:space="preserve"> ADDIN EN.CITE &lt;EndNote&gt;&lt;Cite&gt;&lt;Author&gt;Touloukian&lt;/Author&gt;&lt;Year&gt;1975&lt;/Year&gt;&lt;RecNum&gt;448&lt;/RecNum&gt;&lt;DisplayText&gt;[162]&lt;/DisplayText&gt;&lt;record&gt;&lt;rec-number&gt;448&lt;/rec-number&gt;&lt;foreign-keys&gt;&lt;key app="EN" db-id="eseee05sfe5vt6efvr0xapvq20vfdsfp5fvf" timestamp="1712614525"&gt;448&lt;/key&gt;&lt;/foreign-keys&gt;&lt;ref-type name="Report"&gt;27&lt;/ref-type&gt;&lt;contributors&gt;&lt;authors&gt;&lt;author&gt;Touloukian, Y. S.&lt;/author&gt;&lt;author&gt;Kirby, R. K.&lt;/author&gt;&lt;author&gt;Taylor, R. E.&lt;/author&gt;&lt;author&gt;Desai, P. D.&lt;/author&gt;&lt;/authors&gt;&lt;/contributors&gt;&lt;titles&gt;&lt;title&gt;Thermophysical properties of matter - the TPRC data series. Volume 12. Thermal expansion metallic elements and alloys. (Reannouncement). Data book&lt;/title&gt;&lt;/titles&gt;&lt;keywords&gt;&lt;keyword&gt;36 MATERIALS SCIENCE&lt;/keyword&gt;&lt;keyword&gt;ALLOYS&lt;/keyword&gt;&lt;keyword&gt;THERMODYNAMIC PROPERTIES&lt;/keyword&gt;&lt;keyword&gt;METALS&lt;/keyword&gt;&lt;keyword&gt;COMPILED DATA&lt;/keyword&gt;&lt;keyword&gt;DATA&lt;/keyword&gt;&lt;keyword&gt;ELEMENTS&lt;/keyword&gt;&lt;keyword&gt;INFORMATION&lt;/keyword&gt;&lt;keyword&gt;NUMERICAL DATA&lt;/keyword&gt;&lt;keyword&gt;PHYSICAL PROPERTIES&lt;/keyword&gt;&lt;keyword&gt;360104* - Metals &amp;amp; Alloys- Physical Properties&lt;/keyword&gt;&lt;/keywords&gt;&lt;dates&gt;&lt;year&gt;1975&lt;/year&gt;&lt;pub-dates&gt;&lt;date&gt;1975-01-01&lt;/date&gt;&lt;/pub-dates&gt;&lt;/dates&gt;&lt;pub-location&gt;United States&lt;/pub-location&gt;&lt;urls&gt;&lt;related-urls&gt;&lt;url&gt;https://www.osti.gov/biblio/5439716&lt;/url&gt;&lt;/related-urls&gt;&lt;/urls&gt;&lt;custom1&gt;Research Org.: Purdue Univ., Lafayette, IN (United States). Thermophysical and Electronic Properties Information Center&lt;/custom1&gt;&lt;custom3&gt;Report Number: AD-A-129115/2/XAB&lt;/custom3&gt;&lt;custom5&gt;Availability: NTIS&lt;/custom5&gt;&lt;electronic-resource-num&gt;Other Information: Reannounced with new availability. See also Volume 13, AD-A129 116&lt;/electronic-resource-num&gt;&lt;language&gt;English&lt;/language&gt;&lt;/record&gt;&lt;/Cite&gt;&lt;/EndNote&gt;</w:instrText>
            </w:r>
            <w:r w:rsidRPr="0074556C">
              <w:fldChar w:fldCharType="separate"/>
            </w:r>
            <w:r w:rsidR="003026BC">
              <w:rPr>
                <w:noProof/>
              </w:rPr>
              <w:t>[162]</w:t>
            </w:r>
            <w:r w:rsidRPr="0074556C">
              <w:fldChar w:fldCharType="end"/>
            </w:r>
          </w:p>
        </w:tc>
      </w:tr>
      <w:tr w:rsidR="001B6F2A" w:rsidRPr="0074556C" w14:paraId="35A94F57" w14:textId="77777777" w:rsidTr="001B6F2A">
        <w:trPr>
          <w:trHeight w:val="317"/>
        </w:trPr>
        <w:tc>
          <w:tcPr>
            <w:tcW w:w="2137" w:type="dxa"/>
            <w:tcBorders>
              <w:top w:val="nil"/>
              <w:left w:val="single" w:sz="4" w:space="0" w:color="auto"/>
              <w:bottom w:val="nil"/>
              <w:right w:val="single" w:sz="4" w:space="0" w:color="auto"/>
            </w:tcBorders>
            <w:shd w:val="clear" w:color="auto" w:fill="auto"/>
            <w:noWrap/>
            <w:vAlign w:val="center"/>
            <w:hideMark/>
          </w:tcPr>
          <w:p w14:paraId="6A671B1F" w14:textId="77777777" w:rsidR="00BA37DA" w:rsidRPr="008C04B3" w:rsidRDefault="00BA37DA" w:rsidP="003E2B8A">
            <w:pPr>
              <w:pStyle w:val="TableText"/>
            </w:pPr>
            <w:r w:rsidRPr="008C04B3">
              <w:t>α</w:t>
            </w:r>
            <w:r w:rsidRPr="008C04B3">
              <w:rPr>
                <w:vertAlign w:val="subscript"/>
              </w:rPr>
              <w:t>TI6AL4V</w:t>
            </w:r>
          </w:p>
        </w:tc>
        <w:tc>
          <w:tcPr>
            <w:tcW w:w="381" w:type="dxa"/>
            <w:tcBorders>
              <w:top w:val="nil"/>
              <w:left w:val="nil"/>
              <w:right w:val="nil"/>
            </w:tcBorders>
            <w:shd w:val="clear" w:color="auto" w:fill="auto"/>
            <w:noWrap/>
            <w:vAlign w:val="center"/>
            <w:hideMark/>
          </w:tcPr>
          <w:p w14:paraId="108853E0" w14:textId="77777777" w:rsidR="00BA37DA" w:rsidRPr="008C04B3" w:rsidRDefault="00BA37DA" w:rsidP="003E2B8A">
            <w:pPr>
              <w:pStyle w:val="TableText"/>
              <w:rPr>
                <w:rFonts w:ascii="Cambria Math" w:hAnsi="Cambria Math"/>
              </w:rPr>
            </w:pPr>
            <w:r w:rsidRPr="008C04B3">
              <w:rPr>
                <w:rFonts w:ascii="Cambria Math" w:hAnsi="Cambria Math"/>
              </w:rPr>
              <w:t>±</w:t>
            </w:r>
          </w:p>
        </w:tc>
        <w:tc>
          <w:tcPr>
            <w:tcW w:w="3692" w:type="dxa"/>
            <w:tcBorders>
              <w:top w:val="nil"/>
              <w:left w:val="nil"/>
              <w:bottom w:val="nil"/>
              <w:right w:val="nil"/>
            </w:tcBorders>
            <w:shd w:val="clear" w:color="auto" w:fill="auto"/>
            <w:noWrap/>
            <w:vAlign w:val="center"/>
            <w:hideMark/>
          </w:tcPr>
          <w:p w14:paraId="59066328" w14:textId="77777777" w:rsidR="00BA37DA" w:rsidRPr="008C04B3" w:rsidRDefault="00BA37DA" w:rsidP="003E2B8A">
            <w:pPr>
              <w:pStyle w:val="TableText"/>
            </w:pPr>
            <w:r w:rsidRPr="008C04B3">
              <w:t>6</w:t>
            </w:r>
          </w:p>
        </w:tc>
        <w:tc>
          <w:tcPr>
            <w:tcW w:w="1260" w:type="dxa"/>
            <w:tcBorders>
              <w:top w:val="nil"/>
              <w:left w:val="nil"/>
              <w:bottom w:val="nil"/>
              <w:right w:val="single" w:sz="4" w:space="0" w:color="auto"/>
            </w:tcBorders>
            <w:shd w:val="clear" w:color="auto" w:fill="auto"/>
            <w:noWrap/>
            <w:vAlign w:val="center"/>
            <w:hideMark/>
          </w:tcPr>
          <w:p w14:paraId="6516EADE" w14:textId="77777777" w:rsidR="00BA37DA" w:rsidRPr="008C04B3" w:rsidRDefault="00BA37DA" w:rsidP="003E2B8A">
            <w:pPr>
              <w:pStyle w:val="TableText"/>
            </w:pPr>
            <w:r w:rsidRPr="008C04B3">
              <w:t>%</w:t>
            </w:r>
          </w:p>
        </w:tc>
        <w:tc>
          <w:tcPr>
            <w:tcW w:w="1198" w:type="dxa"/>
            <w:tcBorders>
              <w:top w:val="nil"/>
              <w:left w:val="nil"/>
              <w:bottom w:val="nil"/>
              <w:right w:val="single" w:sz="4" w:space="0" w:color="auto"/>
            </w:tcBorders>
            <w:shd w:val="clear" w:color="auto" w:fill="auto"/>
            <w:noWrap/>
            <w:vAlign w:val="center"/>
            <w:hideMark/>
          </w:tcPr>
          <w:p w14:paraId="3B3D31B9" w14:textId="3BE980F2" w:rsidR="00BA37DA" w:rsidRPr="0074556C" w:rsidRDefault="00BA37DA" w:rsidP="003E2B8A">
            <w:pPr>
              <w:pStyle w:val="TableText"/>
            </w:pPr>
            <w:r w:rsidRPr="0074556C">
              <w:fldChar w:fldCharType="begin"/>
            </w:r>
            <w:r w:rsidR="003026BC">
              <w:instrText xml:space="preserve"> ADDIN EN.CITE &lt;EndNote&gt;&lt;Cite&gt;&lt;Author&gt;Touloukian&lt;/Author&gt;&lt;Year&gt;1975&lt;/Year&gt;&lt;RecNum&gt;448&lt;/RecNum&gt;&lt;DisplayText&gt;[162]&lt;/DisplayText&gt;&lt;record&gt;&lt;rec-number&gt;448&lt;/rec-number&gt;&lt;foreign-keys&gt;&lt;key app="EN" db-id="eseee05sfe5vt6efvr0xapvq20vfdsfp5fvf" timestamp="1712614525"&gt;448&lt;/key&gt;&lt;/foreign-keys&gt;&lt;ref-type name="Report"&gt;27&lt;/ref-type&gt;&lt;contributors&gt;&lt;authors&gt;&lt;author&gt;Touloukian, Y. S.&lt;/author&gt;&lt;author&gt;Kirby, R. K.&lt;/author&gt;&lt;author&gt;Taylor, R. E.&lt;/author&gt;&lt;author&gt;Desai, P. D.&lt;/author&gt;&lt;/authors&gt;&lt;/contributors&gt;&lt;titles&gt;&lt;title&gt;Thermophysical properties of matter - the TPRC data series. Volume 12. Thermal expansion metallic elements and alloys. (Reannouncement). Data book&lt;/title&gt;&lt;/titles&gt;&lt;keywords&gt;&lt;keyword&gt;36 MATERIALS SCIENCE&lt;/keyword&gt;&lt;keyword&gt;ALLOYS&lt;/keyword&gt;&lt;keyword&gt;THERMODYNAMIC PROPERTIES&lt;/keyword&gt;&lt;keyword&gt;METALS&lt;/keyword&gt;&lt;keyword&gt;COMPILED DATA&lt;/keyword&gt;&lt;keyword&gt;DATA&lt;/keyword&gt;&lt;keyword&gt;ELEMENTS&lt;/keyword&gt;&lt;keyword&gt;INFORMATION&lt;/keyword&gt;&lt;keyword&gt;NUMERICAL DATA&lt;/keyword&gt;&lt;keyword&gt;PHYSICAL PROPERTIES&lt;/keyword&gt;&lt;keyword&gt;360104* - Metals &amp;amp; Alloys- Physical Properties&lt;/keyword&gt;&lt;/keywords&gt;&lt;dates&gt;&lt;year&gt;1975&lt;/year&gt;&lt;pub-dates&gt;&lt;date&gt;1975-01-01&lt;/date&gt;&lt;/pub-dates&gt;&lt;/dates&gt;&lt;pub-location&gt;United States&lt;/pub-location&gt;&lt;urls&gt;&lt;related-urls&gt;&lt;url&gt;https://www.osti.gov/biblio/5439716&lt;/url&gt;&lt;/related-urls&gt;&lt;/urls&gt;&lt;custom1&gt;Research Org.: Purdue Univ., Lafayette, IN (United States). Thermophysical and Electronic Properties Information Center&lt;/custom1&gt;&lt;custom3&gt;Report Number: AD-A-129115/2/XAB&lt;/custom3&gt;&lt;custom5&gt;Availability: NTIS&lt;/custom5&gt;&lt;electronic-resource-num&gt;Other Information: Reannounced with new availability. See also Volume 13, AD-A129 116&lt;/electronic-resource-num&gt;&lt;language&gt;English&lt;/language&gt;&lt;/record&gt;&lt;/Cite&gt;&lt;/EndNote&gt;</w:instrText>
            </w:r>
            <w:r w:rsidRPr="0074556C">
              <w:fldChar w:fldCharType="separate"/>
            </w:r>
            <w:r w:rsidR="003026BC">
              <w:rPr>
                <w:noProof/>
              </w:rPr>
              <w:t>[162]</w:t>
            </w:r>
            <w:r w:rsidRPr="0074556C">
              <w:fldChar w:fldCharType="end"/>
            </w:r>
          </w:p>
        </w:tc>
      </w:tr>
      <w:tr w:rsidR="001B6F2A" w:rsidRPr="0074556C" w14:paraId="468FC70C" w14:textId="77777777" w:rsidTr="001B6F2A">
        <w:trPr>
          <w:trHeight w:val="317"/>
        </w:trPr>
        <w:tc>
          <w:tcPr>
            <w:tcW w:w="2137" w:type="dxa"/>
            <w:tcBorders>
              <w:top w:val="nil"/>
              <w:left w:val="single" w:sz="4" w:space="0" w:color="auto"/>
              <w:bottom w:val="nil"/>
              <w:right w:val="single" w:sz="4" w:space="0" w:color="auto"/>
            </w:tcBorders>
            <w:shd w:val="clear" w:color="auto" w:fill="auto"/>
            <w:noWrap/>
            <w:vAlign w:val="center"/>
            <w:hideMark/>
          </w:tcPr>
          <w:p w14:paraId="3B557ADF" w14:textId="77777777" w:rsidR="00BA37DA" w:rsidRPr="008C04B3" w:rsidRDefault="00BA37DA" w:rsidP="003E2B8A">
            <w:pPr>
              <w:pStyle w:val="TableText"/>
            </w:pPr>
            <w:r w:rsidRPr="008C04B3">
              <w:t>α</w:t>
            </w:r>
            <w:r w:rsidRPr="008C04B3">
              <w:rPr>
                <w:vertAlign w:val="subscript"/>
              </w:rPr>
              <w:t>Fuel</w:t>
            </w:r>
          </w:p>
        </w:tc>
        <w:tc>
          <w:tcPr>
            <w:tcW w:w="381" w:type="dxa"/>
            <w:tcBorders>
              <w:top w:val="nil"/>
              <w:left w:val="nil"/>
              <w:right w:val="nil"/>
            </w:tcBorders>
            <w:shd w:val="clear" w:color="auto" w:fill="auto"/>
            <w:noWrap/>
            <w:vAlign w:val="center"/>
            <w:hideMark/>
          </w:tcPr>
          <w:p w14:paraId="595794AD" w14:textId="77777777" w:rsidR="00BA37DA" w:rsidRPr="008C04B3" w:rsidRDefault="00BA37DA" w:rsidP="003E2B8A">
            <w:pPr>
              <w:pStyle w:val="TableText"/>
              <w:rPr>
                <w:rFonts w:ascii="Cambria Math" w:hAnsi="Cambria Math"/>
              </w:rPr>
            </w:pPr>
            <w:r w:rsidRPr="008C04B3">
              <w:rPr>
                <w:rFonts w:ascii="Cambria Math" w:hAnsi="Cambria Math"/>
              </w:rPr>
              <w:t>±</w:t>
            </w:r>
          </w:p>
        </w:tc>
        <w:tc>
          <w:tcPr>
            <w:tcW w:w="3692" w:type="dxa"/>
            <w:tcBorders>
              <w:top w:val="nil"/>
              <w:left w:val="nil"/>
              <w:bottom w:val="nil"/>
              <w:right w:val="nil"/>
            </w:tcBorders>
            <w:shd w:val="clear" w:color="auto" w:fill="auto"/>
            <w:noWrap/>
            <w:vAlign w:val="center"/>
            <w:hideMark/>
          </w:tcPr>
          <w:p w14:paraId="0FEF9E9F" w14:textId="77777777" w:rsidR="00BA37DA" w:rsidRPr="008C04B3" w:rsidRDefault="00BA37DA" w:rsidP="003E2B8A">
            <w:pPr>
              <w:pStyle w:val="TableText"/>
            </w:pPr>
            <w:r w:rsidRPr="008C04B3">
              <w:t>10</w:t>
            </w:r>
          </w:p>
        </w:tc>
        <w:tc>
          <w:tcPr>
            <w:tcW w:w="1260" w:type="dxa"/>
            <w:tcBorders>
              <w:top w:val="nil"/>
              <w:left w:val="nil"/>
              <w:bottom w:val="nil"/>
              <w:right w:val="single" w:sz="4" w:space="0" w:color="auto"/>
            </w:tcBorders>
            <w:shd w:val="clear" w:color="auto" w:fill="auto"/>
            <w:noWrap/>
            <w:vAlign w:val="center"/>
            <w:hideMark/>
          </w:tcPr>
          <w:p w14:paraId="76A4F135" w14:textId="77777777" w:rsidR="00BA37DA" w:rsidRPr="008C04B3" w:rsidRDefault="00BA37DA" w:rsidP="003E2B8A">
            <w:pPr>
              <w:pStyle w:val="TableText"/>
            </w:pPr>
            <w:r w:rsidRPr="008C04B3">
              <w:t>%</w:t>
            </w:r>
          </w:p>
        </w:tc>
        <w:tc>
          <w:tcPr>
            <w:tcW w:w="1198" w:type="dxa"/>
            <w:tcBorders>
              <w:top w:val="nil"/>
              <w:left w:val="nil"/>
              <w:bottom w:val="nil"/>
              <w:right w:val="single" w:sz="4" w:space="0" w:color="auto"/>
            </w:tcBorders>
            <w:shd w:val="clear" w:color="auto" w:fill="auto"/>
            <w:noWrap/>
            <w:vAlign w:val="center"/>
            <w:hideMark/>
          </w:tcPr>
          <w:p w14:paraId="30C667FB" w14:textId="2F841ACB" w:rsidR="00BA37DA" w:rsidRPr="0074556C" w:rsidRDefault="00BA37DA" w:rsidP="003E2B8A">
            <w:pPr>
              <w:pStyle w:val="TableText"/>
            </w:pPr>
            <w:r w:rsidRPr="0074556C">
              <w:fldChar w:fldCharType="begin">
                <w:fldData xml:space="preserve">PEVuZE5vdGU+PENpdGU+PEF1dGhvcj5IYWdybWFuPC9BdXRob3I+PFllYXI+MTk5NTwvWWVhcj48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</w:fldData>
              </w:fldChar>
            </w:r>
            <w:r w:rsidR="003026BC">
              <w:instrText xml:space="preserve"> ADDIN EN.CITE </w:instrText>
            </w:r>
            <w:r w:rsidR="003026BC">
              <w:fldChar w:fldCharType="begin">
                <w:fldData xml:space="preserve">PEVuZE5vdGU+PENpdGU+PEF1dGhvcj5IYWdybWFuPC9BdXRob3I+PFllYXI+MTk5NTwvWWVhcj48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</w:fldData>
              </w:fldChar>
            </w:r>
            <w:r w:rsidR="003026BC">
              <w:instrText xml:space="preserve"> ADDIN EN.CITE.DATA </w:instrText>
            </w:r>
            <w:r w:rsidR="003026BC">
              <w:fldChar w:fldCharType="end"/>
            </w:r>
            <w:r w:rsidRPr="0074556C">
              <w:fldChar w:fldCharType="separate"/>
            </w:r>
            <w:r w:rsidR="003026BC">
              <w:rPr>
                <w:noProof/>
              </w:rPr>
              <w:t>[160]</w:t>
            </w:r>
            <w:r w:rsidRPr="0074556C">
              <w:fldChar w:fldCharType="end"/>
            </w:r>
          </w:p>
        </w:tc>
      </w:tr>
      <w:tr w:rsidR="001B6F2A" w:rsidRPr="0074556C" w14:paraId="30D2863E" w14:textId="77777777" w:rsidTr="001B6F2A">
        <w:trPr>
          <w:trHeight w:val="317"/>
        </w:trPr>
        <w:tc>
          <w:tcPr>
            <w:tcW w:w="2137" w:type="dxa"/>
            <w:tcBorders>
              <w:top w:val="nil"/>
              <w:left w:val="single" w:sz="4" w:space="0" w:color="auto"/>
              <w:bottom w:val="single" w:sz="8" w:space="0" w:color="auto"/>
              <w:right w:val="single" w:sz="4" w:space="0" w:color="auto"/>
            </w:tcBorders>
            <w:shd w:val="clear" w:color="auto" w:fill="auto"/>
            <w:noWrap/>
            <w:vAlign w:val="center"/>
            <w:hideMark/>
          </w:tcPr>
          <w:p w14:paraId="14D40069" w14:textId="77777777" w:rsidR="00BA37DA" w:rsidRPr="008C04B3" w:rsidRDefault="00BA37DA" w:rsidP="003E2B8A">
            <w:pPr>
              <w:pStyle w:val="TableText"/>
            </w:pPr>
            <w:r w:rsidRPr="008C04B3">
              <w:t>BU</w:t>
            </w:r>
            <w:r w:rsidRPr="008C04B3">
              <w:rPr>
                <w:vertAlign w:val="subscript"/>
              </w:rPr>
              <w:t>Fuel</w:t>
            </w:r>
          </w:p>
        </w:tc>
        <w:tc>
          <w:tcPr>
            <w:tcW w:w="4073" w:type="dxa"/>
            <w:gridSpan w:val="2"/>
            <w:tcBorders>
              <w:top w:val="nil"/>
              <w:left w:val="nil"/>
              <w:bottom w:val="single" w:sz="4" w:space="0" w:color="auto"/>
              <w:right w:val="nil"/>
            </w:tcBorders>
            <w:shd w:val="clear" w:color="auto" w:fill="auto"/>
            <w:noWrap/>
            <w:vAlign w:val="center"/>
            <w:hideMark/>
          </w:tcPr>
          <w:p w14:paraId="242088F3" w14:textId="77777777" w:rsidR="00BA37DA" w:rsidRPr="008C04B3" w:rsidRDefault="00BA37DA" w:rsidP="003E2B8A">
            <w:pPr>
              <w:pStyle w:val="TableText"/>
            </w:pPr>
            <w:r w:rsidRPr="008C04B3">
              <w:t>50-60</w:t>
            </w:r>
          </w:p>
        </w:tc>
        <w:tc>
          <w:tcPr>
            <w:tcW w:w="1260" w:type="dxa"/>
            <w:tcBorders>
              <w:top w:val="nil"/>
              <w:left w:val="nil"/>
              <w:bottom w:val="single" w:sz="8" w:space="0" w:color="auto"/>
              <w:right w:val="single" w:sz="4" w:space="0" w:color="auto"/>
            </w:tcBorders>
            <w:shd w:val="clear" w:color="auto" w:fill="auto"/>
            <w:noWrap/>
            <w:vAlign w:val="center"/>
            <w:hideMark/>
          </w:tcPr>
          <w:p w14:paraId="0F328CBA" w14:textId="77777777" w:rsidR="00BA37DA" w:rsidRPr="008C04B3" w:rsidRDefault="00BA37DA" w:rsidP="003E2B8A">
            <w:pPr>
              <w:pStyle w:val="TableText"/>
            </w:pPr>
            <w:r w:rsidRPr="008C04B3">
              <w:t>GWd/MtU</w:t>
            </w:r>
          </w:p>
        </w:tc>
        <w:tc>
          <w:tcPr>
            <w:tcW w:w="1198" w:type="dxa"/>
            <w:tcBorders>
              <w:top w:val="nil"/>
              <w:left w:val="nil"/>
              <w:bottom w:val="single" w:sz="8" w:space="0" w:color="auto"/>
              <w:right w:val="single" w:sz="4" w:space="0" w:color="auto"/>
            </w:tcBorders>
            <w:shd w:val="clear" w:color="auto" w:fill="auto"/>
            <w:noWrap/>
            <w:vAlign w:val="center"/>
            <w:hideMark/>
          </w:tcPr>
          <w:p w14:paraId="214D62C3" w14:textId="7BD9388B" w:rsidR="00BA37DA" w:rsidRPr="0074556C" w:rsidRDefault="00BA37DA" w:rsidP="003E2B8A">
            <w:pPr>
              <w:pStyle w:val="TableText"/>
            </w:pPr>
            <w:r w:rsidRPr="0074556C">
              <w:fldChar w:fldCharType="begin"/>
            </w:r>
            <w:r w:rsidR="003026BC">
              <w:instrText xml:space="preserve"> ADDIN EN.CITE &lt;EndNote&gt;&lt;Cite&gt;&lt;Author&gt;Lanning&lt;/Author&gt;&lt;Year&gt;1997&lt;/Year&gt;&lt;RecNum&gt;494&lt;/RecNum&gt;&lt;DisplayText&gt;[163]&lt;/DisplayText&gt;&lt;record&gt;&lt;rec-number&gt;494&lt;/rec-number&gt;&lt;foreign-keys&gt;&lt;key app="EN" db-id="eseee05sfe5vt6efvr0xapvq20vfdsfp5fvf" timestamp="1715882027"&gt;494&lt;/key&gt;&lt;/foreign-keys&gt;&lt;ref-type name="Book"&gt;6&lt;/ref-type&gt;&lt;contributors&gt;&lt;authors&gt;&lt;author&gt;Lanning, DD&lt;/author&gt;&lt;author&gt;Beyer, CE&lt;/author&gt;&lt;author&gt;Geelhood, KJ&lt;/author&gt;&lt;/authors&gt;&lt;/contributors&gt;&lt;titles&gt;&lt;title&gt;Frapcon-3 updates, including mixed-oxide fuel properties&lt;/title&gt;&lt;secondary-title&gt;NUREG/CR-6534&lt;/secondary-title&gt;&lt;/titles&gt;&lt;periodical&gt;&lt;full-title&gt;NUREG/CR-6534&lt;/full-title&gt;&lt;/periodical&gt;&lt;volume&gt;NUREG/CR-6534, Vol. 4&lt;/volume&gt;&lt;dates&gt;&lt;year&gt;1997&lt;/year&gt;&lt;/dates&gt;&lt;publisher&gt;U.S. Nuclear Regulatory Commission&lt;/publisher&gt;&lt;urls&gt;&lt;/urls&gt;&lt;electronic-resource-num&gt;https://www.nrc.gov/docs/ML0514/ML051440720.pdf&lt;/electronic-resource-num&gt;&lt;/record&gt;&lt;/Cite&gt;&lt;/EndNote&gt;</w:instrText>
            </w:r>
            <w:r w:rsidRPr="0074556C">
              <w:fldChar w:fldCharType="separate"/>
            </w:r>
            <w:r w:rsidR="003026BC">
              <w:rPr>
                <w:noProof/>
              </w:rPr>
              <w:t>[163]</w:t>
            </w:r>
            <w:r w:rsidRPr="0074556C">
              <w:fldChar w:fldCharType="end"/>
            </w:r>
          </w:p>
        </w:tc>
      </w:tr>
      <w:tr w:rsidR="001B6F2A" w:rsidRPr="0074556C" w14:paraId="44CA9FE4" w14:textId="77777777" w:rsidTr="001B6F2A">
        <w:trPr>
          <w:trHeight w:val="286"/>
        </w:trPr>
        <w:tc>
          <w:tcPr>
            <w:tcW w:w="2137" w:type="dxa"/>
            <w:tcBorders>
              <w:top w:val="nil"/>
              <w:left w:val="single" w:sz="4" w:space="0" w:color="auto"/>
              <w:bottom w:val="nil"/>
              <w:right w:val="single" w:sz="4" w:space="0" w:color="auto"/>
            </w:tcBorders>
            <w:shd w:val="clear" w:color="auto" w:fill="auto"/>
            <w:noWrap/>
            <w:vAlign w:val="center"/>
            <w:hideMark/>
          </w:tcPr>
          <w:p w14:paraId="1774C33B" w14:textId="77777777" w:rsidR="00BA37DA" w:rsidRPr="008C04B3" w:rsidRDefault="00BA37DA" w:rsidP="003E2B8A">
            <w:pPr>
              <w:pStyle w:val="TableText"/>
            </w:pPr>
            <w:r w:rsidRPr="008C04B3">
              <w:t>SSC</w:t>
            </w:r>
            <w:r w:rsidRPr="008C04B3">
              <w:rPr>
                <w:vertAlign w:val="subscript"/>
              </w:rPr>
              <w:t>Fuel-Dish</w:t>
            </w:r>
          </w:p>
        </w:tc>
        <w:tc>
          <w:tcPr>
            <w:tcW w:w="4073" w:type="dxa"/>
            <w:gridSpan w:val="2"/>
            <w:tcBorders>
              <w:top w:val="single" w:sz="4" w:space="0" w:color="auto"/>
              <w:left w:val="nil"/>
              <w:bottom w:val="nil"/>
              <w:right w:val="nil"/>
            </w:tcBorders>
            <w:shd w:val="clear" w:color="auto" w:fill="auto"/>
            <w:noWrap/>
            <w:vAlign w:val="center"/>
            <w:hideMark/>
          </w:tcPr>
          <w:p w14:paraId="75726594" w14:textId="77777777" w:rsidR="00BA37DA" w:rsidRPr="008C04B3" w:rsidRDefault="00BA37DA" w:rsidP="003E2B8A">
            <w:pPr>
              <w:pStyle w:val="TableText"/>
            </w:pPr>
            <w:r w:rsidRPr="008C04B3">
              <w:t>[0,0.109] (VXF)</w:t>
            </w:r>
          </w:p>
          <w:p w14:paraId="40AFD2FB" w14:textId="77777777" w:rsidR="00BA37DA" w:rsidRPr="008C04B3" w:rsidRDefault="00BA37DA" w:rsidP="003E2B8A">
            <w:pPr>
              <w:pStyle w:val="TableText"/>
            </w:pPr>
            <w:r w:rsidRPr="008C04B3">
              <w:t>[0,0.073] (RB)</w:t>
            </w:r>
          </w:p>
        </w:tc>
        <w:tc>
          <w:tcPr>
            <w:tcW w:w="1260" w:type="dxa"/>
            <w:tcBorders>
              <w:top w:val="nil"/>
              <w:left w:val="nil"/>
              <w:bottom w:val="nil"/>
              <w:right w:val="single" w:sz="4" w:space="0" w:color="auto"/>
            </w:tcBorders>
            <w:shd w:val="clear" w:color="auto" w:fill="auto"/>
            <w:noWrap/>
            <w:vAlign w:val="center"/>
            <w:hideMark/>
          </w:tcPr>
          <w:p w14:paraId="343DB689" w14:textId="77777777" w:rsidR="00BA37DA" w:rsidRPr="008C04B3" w:rsidRDefault="00BA37DA" w:rsidP="003E2B8A">
            <w:pPr>
              <w:pStyle w:val="TableText"/>
            </w:pPr>
            <w:r w:rsidRPr="008C04B3">
              <w:t> MW/m</w:t>
            </w:r>
            <w:r w:rsidRPr="008C04B3">
              <w:rPr>
                <w:vertAlign w:val="superscript"/>
              </w:rPr>
              <w:t>2</w:t>
            </w:r>
            <w:r w:rsidRPr="008C04B3">
              <w:t>-K</w:t>
            </w:r>
          </w:p>
        </w:tc>
        <w:tc>
          <w:tcPr>
            <w:tcW w:w="1198" w:type="dxa"/>
            <w:tcBorders>
              <w:top w:val="nil"/>
              <w:left w:val="nil"/>
              <w:bottom w:val="nil"/>
              <w:right w:val="single" w:sz="4" w:space="0" w:color="auto"/>
            </w:tcBorders>
            <w:shd w:val="clear" w:color="auto" w:fill="auto"/>
            <w:noWrap/>
            <w:vAlign w:val="center"/>
            <w:hideMark/>
          </w:tcPr>
          <w:p w14:paraId="3E9066F5" w14:textId="100A3290" w:rsidR="00BA37DA" w:rsidRPr="0074556C" w:rsidRDefault="00BA37DA" w:rsidP="003E2B8A">
            <w:pPr>
              <w:pStyle w:val="TableText"/>
            </w:pPr>
            <w:r w:rsidRPr="0074556C">
              <w:fldChar w:fldCharType="begin"/>
            </w:r>
            <w:r w:rsidR="003026BC">
              <w:instrText xml:space="preserve"> ADDIN EN.CITE &lt;EndNote&gt;&lt;Cite&gt;&lt;Author&gt;McDuffee&lt;/Author&gt;&lt;Year&gt;2013&lt;/Year&gt;&lt;RecNum&gt;427&lt;/RecNum&gt;&lt;DisplayText&gt;[153]&lt;/DisplayText&gt;&lt;record&gt;&lt;rec-number&gt;427&lt;/rec-number&gt;&lt;foreign-keys&gt;&lt;key app="EN" db-id="eseee05sfe5vt6efvr0xapvq20vfdsfp5fvf" timestamp="1710045524"&gt;427&lt;/key&gt;&lt;/foreign-keys&gt;&lt;ref-type name="Conference Paper"&gt;47&lt;/ref-type&gt;&lt;contributors&gt;&lt;authors&gt;&lt;author&gt;McDuffee, Joel L.&lt;/author&gt;&lt;/authors&gt;&lt;/contributors&gt;&lt;titles&gt;&lt;title&gt;Heat Transfer Through Small Moveable Gas Gaps in a Multi-Body System Using the ANSYS Finite Element Software&lt;/title&gt;&lt;secondary-title&gt;ASME 2013 Heat Transfer Summer Conference&lt;/secondary-title&gt;&lt;/titles&gt;&lt;number&gt;V001T01A038&lt;/number&gt;&lt;dates&gt;&lt;year&gt;2013&lt;/year&gt;&lt;/dates&gt;&lt;urls&gt;&lt;related-urls&gt;&lt;url&gt;https://doi.org/10.1115/HT2013-17783&lt;/url&gt;&lt;/related-urls&gt;&lt;/urls&gt;&lt;custom1&gt;Volume 1: Heat Transfer in Energy Systems; Thermophysical Properties; Theory and Fundamental Research in Heat Transfer&lt;/custom1&gt;&lt;custom2&gt;ASME 2013 Heat Transfer Summer Conference collocated with the ASME 2013 7th International Conference on Energy Sustainability and the ASME 2013 11th International Conference on Fuel Cell Science, Engineering and Technology&lt;/custom2&gt;&lt;custom3&gt;HT2013&lt;/custom3&gt;&lt;custom4&gt;Heat Transfer Summer Conference&lt;/custom4&gt;&lt;electronic-resource-num&gt;10.1115/HT2013-17783&lt;/electronic-resource-num&gt;&lt;access-date&gt;3/10/2024&lt;/access-date&gt;&lt;/record&gt;&lt;/Cite&gt;&lt;/EndNote&gt;</w:instrText>
            </w:r>
            <w:r w:rsidRPr="0074556C">
              <w:fldChar w:fldCharType="separate"/>
            </w:r>
            <w:r w:rsidR="003026BC">
              <w:rPr>
                <w:noProof/>
              </w:rPr>
              <w:t>[153]</w:t>
            </w:r>
            <w:r w:rsidRPr="0074556C">
              <w:fldChar w:fldCharType="end"/>
            </w:r>
          </w:p>
        </w:tc>
      </w:tr>
      <w:tr w:rsidR="001B6F2A" w:rsidRPr="0074556C" w14:paraId="66068D80" w14:textId="77777777" w:rsidTr="001B6F2A">
        <w:trPr>
          <w:trHeight w:val="300"/>
        </w:trPr>
        <w:tc>
          <w:tcPr>
            <w:tcW w:w="2137" w:type="dxa"/>
            <w:tcBorders>
              <w:top w:val="nil"/>
              <w:left w:val="single" w:sz="4" w:space="0" w:color="auto"/>
              <w:bottom w:val="nil"/>
              <w:right w:val="single" w:sz="4" w:space="0" w:color="auto"/>
            </w:tcBorders>
            <w:shd w:val="clear" w:color="auto" w:fill="auto"/>
            <w:noWrap/>
            <w:vAlign w:val="center"/>
            <w:hideMark/>
          </w:tcPr>
          <w:p w14:paraId="2C64D455" w14:textId="77777777" w:rsidR="00BA37DA" w:rsidRPr="008C04B3" w:rsidRDefault="00BA37DA" w:rsidP="003E2B8A">
            <w:pPr>
              <w:pStyle w:val="TableText"/>
            </w:pPr>
            <w:r w:rsidRPr="008C04B3">
              <w:t>SSC</w:t>
            </w:r>
            <w:r w:rsidRPr="008C04B3">
              <w:rPr>
                <w:vertAlign w:val="subscript"/>
              </w:rPr>
              <w:t>Therm-Tube</w:t>
            </w:r>
          </w:p>
        </w:tc>
        <w:tc>
          <w:tcPr>
            <w:tcW w:w="4073" w:type="dxa"/>
            <w:gridSpan w:val="2"/>
            <w:tcBorders>
              <w:top w:val="nil"/>
              <w:left w:val="nil"/>
              <w:bottom w:val="nil"/>
              <w:right w:val="nil"/>
            </w:tcBorders>
            <w:shd w:val="clear" w:color="auto" w:fill="auto"/>
            <w:noWrap/>
            <w:vAlign w:val="center"/>
            <w:hideMark/>
          </w:tcPr>
          <w:p w14:paraId="333286F0" w14:textId="77777777" w:rsidR="00BA37DA" w:rsidRPr="008C04B3" w:rsidRDefault="00BA37DA" w:rsidP="003E2B8A">
            <w:pPr>
              <w:pStyle w:val="TableText"/>
            </w:pPr>
            <w:r w:rsidRPr="008C04B3">
              <w:t>[0,1.121] (VXF)</w:t>
            </w:r>
          </w:p>
          <w:p w14:paraId="346F78A9" w14:textId="77777777" w:rsidR="00BA37DA" w:rsidRPr="008C04B3" w:rsidRDefault="00BA37DA" w:rsidP="003E2B8A">
            <w:pPr>
              <w:pStyle w:val="TableText"/>
            </w:pPr>
            <w:r w:rsidRPr="008C04B3">
              <w:t>[0,0.769] (RB)</w:t>
            </w:r>
          </w:p>
        </w:tc>
        <w:tc>
          <w:tcPr>
            <w:tcW w:w="1260" w:type="dxa"/>
            <w:tcBorders>
              <w:top w:val="nil"/>
              <w:left w:val="nil"/>
              <w:bottom w:val="nil"/>
              <w:right w:val="single" w:sz="4" w:space="0" w:color="auto"/>
            </w:tcBorders>
            <w:shd w:val="clear" w:color="auto" w:fill="auto"/>
            <w:noWrap/>
            <w:vAlign w:val="center"/>
            <w:hideMark/>
          </w:tcPr>
          <w:p w14:paraId="3374AC35" w14:textId="77777777" w:rsidR="00BA37DA" w:rsidRPr="008C04B3" w:rsidRDefault="00BA37DA" w:rsidP="003E2B8A">
            <w:pPr>
              <w:pStyle w:val="TableText"/>
            </w:pPr>
            <w:r w:rsidRPr="008C04B3">
              <w:t> MW/m</w:t>
            </w:r>
            <w:r w:rsidRPr="008C04B3">
              <w:rPr>
                <w:vertAlign w:val="superscript"/>
              </w:rPr>
              <w:t>2</w:t>
            </w:r>
            <w:r w:rsidRPr="008C04B3">
              <w:t>-K</w:t>
            </w:r>
          </w:p>
        </w:tc>
        <w:tc>
          <w:tcPr>
            <w:tcW w:w="1198" w:type="dxa"/>
            <w:tcBorders>
              <w:top w:val="nil"/>
              <w:left w:val="nil"/>
              <w:bottom w:val="nil"/>
              <w:right w:val="single" w:sz="4" w:space="0" w:color="auto"/>
            </w:tcBorders>
            <w:shd w:val="clear" w:color="auto" w:fill="auto"/>
            <w:noWrap/>
            <w:vAlign w:val="center"/>
            <w:hideMark/>
          </w:tcPr>
          <w:p w14:paraId="1DFF4BAA" w14:textId="345C49DE" w:rsidR="00BA37DA" w:rsidRPr="0074556C" w:rsidRDefault="00BA37DA" w:rsidP="003E2B8A">
            <w:pPr>
              <w:pStyle w:val="TableText"/>
            </w:pPr>
            <w:r w:rsidRPr="0074556C">
              <w:fldChar w:fldCharType="begin"/>
            </w:r>
            <w:r w:rsidR="003026BC">
              <w:instrText xml:space="preserve"> ADDIN EN.CITE &lt;EndNote&gt;&lt;Cite&gt;&lt;Author&gt;McDuffee&lt;/Author&gt;&lt;Year&gt;2013&lt;/Year&gt;&lt;RecNum&gt;427&lt;/RecNum&gt;&lt;DisplayText&gt;[153]&lt;/DisplayText&gt;&lt;record&gt;&lt;rec-number&gt;427&lt;/rec-number&gt;&lt;foreign-keys&gt;&lt;key app="EN" db-id="eseee05sfe5vt6efvr0xapvq20vfdsfp5fvf" timestamp="1710045524"&gt;427&lt;/key&gt;&lt;/foreign-keys&gt;&lt;ref-type name="Conference Paper"&gt;47&lt;/ref-type&gt;&lt;contributors&gt;&lt;authors&gt;&lt;author&gt;McDuffee, Joel L.&lt;/author&gt;&lt;/authors&gt;&lt;/contributors&gt;&lt;titles&gt;&lt;title&gt;Heat Transfer Through Small Moveable Gas Gaps in a Multi-Body System Using the ANSYS Finite Element Software&lt;/title&gt;&lt;secondary-title&gt;ASME 2013 Heat Transfer Summer Conference&lt;/secondary-title&gt;&lt;/titles&gt;&lt;number&gt;V001T01A038&lt;/number&gt;&lt;dates&gt;&lt;year&gt;2013&lt;/year&gt;&lt;/dates&gt;&lt;urls&gt;&lt;related-urls&gt;&lt;url&gt;https://doi.org/10.1115/HT2013-17783&lt;/url&gt;&lt;/related-urls&gt;&lt;/urls&gt;&lt;custom1&gt;Volume 1: Heat Transfer in Energy Systems; Thermophysical Properties; Theory and Fundamental Research in Heat Transfer&lt;/custom1&gt;&lt;custom2&gt;ASME 2013 Heat Transfer Summer Conference collocated with the ASME 2013 7th International Conference on Energy Sustainability and the ASME 2013 11th International Conference on Fuel Cell Science, Engineering and Technology&lt;/custom2&gt;&lt;custom3&gt;HT2013&lt;/custom3&gt;&lt;custom4&gt;Heat Transfer Summer Conference&lt;/custom4&gt;&lt;electronic-resource-num&gt;10.1115/HT2013-17783&lt;/electronic-resource-num&gt;&lt;access-date&gt;3/10/2024&lt;/access-date&gt;&lt;/record&gt;&lt;/Cite&gt;&lt;/EndNote&gt;</w:instrText>
            </w:r>
            <w:r w:rsidRPr="0074556C">
              <w:fldChar w:fldCharType="separate"/>
            </w:r>
            <w:r w:rsidR="003026BC">
              <w:rPr>
                <w:noProof/>
              </w:rPr>
              <w:t>[153]</w:t>
            </w:r>
            <w:r w:rsidRPr="0074556C">
              <w:fldChar w:fldCharType="end"/>
            </w:r>
          </w:p>
        </w:tc>
      </w:tr>
      <w:tr w:rsidR="001B6F2A" w:rsidRPr="0074556C" w14:paraId="5D8D9EAF" w14:textId="77777777" w:rsidTr="001B6F2A">
        <w:trPr>
          <w:trHeight w:val="300"/>
        </w:trPr>
        <w:tc>
          <w:tcPr>
            <w:tcW w:w="2137" w:type="dxa"/>
            <w:tcBorders>
              <w:top w:val="nil"/>
              <w:left w:val="single" w:sz="4" w:space="0" w:color="auto"/>
              <w:bottom w:val="nil"/>
              <w:right w:val="single" w:sz="4" w:space="0" w:color="auto"/>
            </w:tcBorders>
            <w:shd w:val="clear" w:color="auto" w:fill="auto"/>
            <w:noWrap/>
            <w:vAlign w:val="center"/>
            <w:hideMark/>
          </w:tcPr>
          <w:p w14:paraId="246F520D" w14:textId="77777777" w:rsidR="00BA37DA" w:rsidRPr="008C04B3" w:rsidRDefault="00BA37DA" w:rsidP="003E2B8A">
            <w:pPr>
              <w:pStyle w:val="TableText"/>
            </w:pPr>
            <w:r w:rsidRPr="008C04B3">
              <w:t>SSC</w:t>
            </w:r>
            <w:r w:rsidRPr="008C04B3">
              <w:rPr>
                <w:vertAlign w:val="subscript"/>
              </w:rPr>
              <w:t>Dish-Tube</w:t>
            </w:r>
          </w:p>
        </w:tc>
        <w:tc>
          <w:tcPr>
            <w:tcW w:w="4073" w:type="dxa"/>
            <w:gridSpan w:val="2"/>
            <w:tcBorders>
              <w:top w:val="nil"/>
              <w:left w:val="nil"/>
              <w:right w:val="nil"/>
            </w:tcBorders>
            <w:shd w:val="clear" w:color="auto" w:fill="auto"/>
            <w:noWrap/>
            <w:vAlign w:val="center"/>
            <w:hideMark/>
          </w:tcPr>
          <w:p w14:paraId="5DAB7B70" w14:textId="77777777" w:rsidR="00BA37DA" w:rsidRPr="008C04B3" w:rsidRDefault="00BA37DA" w:rsidP="003E2B8A">
            <w:pPr>
              <w:pStyle w:val="TableText"/>
            </w:pPr>
            <w:r w:rsidRPr="008C04B3">
              <w:t>[0,1.200] (VXF)</w:t>
            </w:r>
          </w:p>
          <w:p w14:paraId="16AB52CE" w14:textId="77777777" w:rsidR="00BA37DA" w:rsidRPr="008C04B3" w:rsidRDefault="00BA37DA" w:rsidP="003E2B8A">
            <w:pPr>
              <w:pStyle w:val="TableText"/>
            </w:pPr>
            <w:r w:rsidRPr="008C04B3">
              <w:t>[0,1.017] (RB)</w:t>
            </w:r>
          </w:p>
        </w:tc>
        <w:tc>
          <w:tcPr>
            <w:tcW w:w="1260" w:type="dxa"/>
            <w:tcBorders>
              <w:top w:val="nil"/>
              <w:left w:val="nil"/>
              <w:bottom w:val="nil"/>
              <w:right w:val="single" w:sz="4" w:space="0" w:color="auto"/>
            </w:tcBorders>
            <w:shd w:val="clear" w:color="auto" w:fill="auto"/>
            <w:noWrap/>
            <w:vAlign w:val="center"/>
            <w:hideMark/>
          </w:tcPr>
          <w:p w14:paraId="45945784" w14:textId="77777777" w:rsidR="00BA37DA" w:rsidRPr="008C04B3" w:rsidRDefault="00BA37DA" w:rsidP="003E2B8A">
            <w:pPr>
              <w:pStyle w:val="TableText"/>
            </w:pPr>
            <w:r w:rsidRPr="008C04B3">
              <w:t> MW/m</w:t>
            </w:r>
            <w:r w:rsidRPr="008C04B3">
              <w:rPr>
                <w:vertAlign w:val="superscript"/>
              </w:rPr>
              <w:t>2</w:t>
            </w:r>
            <w:r w:rsidRPr="008C04B3">
              <w:t>-K</w:t>
            </w:r>
          </w:p>
        </w:tc>
        <w:tc>
          <w:tcPr>
            <w:tcW w:w="1198" w:type="dxa"/>
            <w:tcBorders>
              <w:top w:val="nil"/>
              <w:left w:val="nil"/>
              <w:bottom w:val="nil"/>
              <w:right w:val="single" w:sz="4" w:space="0" w:color="auto"/>
            </w:tcBorders>
            <w:shd w:val="clear" w:color="auto" w:fill="auto"/>
            <w:noWrap/>
            <w:vAlign w:val="center"/>
            <w:hideMark/>
          </w:tcPr>
          <w:p w14:paraId="66EE4302" w14:textId="353F328B" w:rsidR="00BA37DA" w:rsidRPr="0074556C" w:rsidRDefault="00BA37DA" w:rsidP="003E2B8A">
            <w:pPr>
              <w:pStyle w:val="TableText"/>
            </w:pPr>
            <w:r w:rsidRPr="0074556C">
              <w:fldChar w:fldCharType="begin"/>
            </w:r>
            <w:r w:rsidR="003026BC">
              <w:instrText xml:space="preserve"> ADDIN EN.CITE &lt;EndNote&gt;&lt;Cite&gt;&lt;Author&gt;McDuffee&lt;/Author&gt;&lt;Year&gt;2013&lt;/Year&gt;&lt;RecNum&gt;427&lt;/RecNum&gt;&lt;DisplayText&gt;[153]&lt;/DisplayText&gt;&lt;record&gt;&lt;rec-number&gt;427&lt;/rec-number&gt;&lt;foreign-keys&gt;&lt;key app="EN" db-id="eseee05sfe5vt6efvr0xapvq20vfdsfp5fvf" timestamp="1710045524"&gt;427&lt;/key&gt;&lt;/foreign-keys&gt;&lt;ref-type name="Conference Paper"&gt;47&lt;/ref-type&gt;&lt;contributors&gt;&lt;authors&gt;&lt;author&gt;McDuffee, Joel L.&lt;/author&gt;&lt;/authors&gt;&lt;/contributors&gt;&lt;titles&gt;&lt;title&gt;Heat Transfer Through Small Moveable Gas Gaps in a Multi-Body System Using the ANSYS Finite Element Software&lt;/title&gt;&lt;secondary-title&gt;ASME 2013 Heat Transfer Summer Conference&lt;/secondary-title&gt;&lt;/titles&gt;&lt;number&gt;V001T01A038&lt;/number&gt;&lt;dates&gt;&lt;year&gt;2013&lt;/year&gt;&lt;/dates&gt;&lt;urls&gt;&lt;related-urls&gt;&lt;url&gt;https://doi.org/10.1115/HT2013-17783&lt;/url&gt;&lt;/related-urls&gt;&lt;/urls&gt;&lt;custom1&gt;Volume 1: Heat Transfer in Energy Systems; Thermophysical Properties; Theory and Fundamental Research in Heat Transfer&lt;/custom1&gt;&lt;custom2&gt;ASME 2013 Heat Transfer Summer Conference collocated with the ASME 2013 7th International Conference on Energy Sustainability and the ASME 2013 11th International Conference on Fuel Cell Science, Engineering and Technology&lt;/custom2&gt;&lt;custom3&gt;HT2013&lt;/custom3&gt;&lt;custom4&gt;Heat Transfer Summer Conference&lt;/custom4&gt;&lt;electronic-resource-num&gt;10.1115/HT2013-17783&lt;/electronic-resource-num&gt;&lt;access-date&gt;3/10/2024&lt;/access-date&gt;&lt;/record&gt;&lt;/Cite&gt;&lt;/EndNote&gt;</w:instrText>
            </w:r>
            <w:r w:rsidRPr="0074556C">
              <w:fldChar w:fldCharType="separate"/>
            </w:r>
            <w:r w:rsidR="003026BC">
              <w:rPr>
                <w:noProof/>
              </w:rPr>
              <w:t>[153]</w:t>
            </w:r>
            <w:r w:rsidRPr="0074556C">
              <w:fldChar w:fldCharType="end"/>
            </w:r>
          </w:p>
        </w:tc>
      </w:tr>
      <w:tr w:rsidR="001B6F2A" w:rsidRPr="0074556C" w14:paraId="0ED2DFAE" w14:textId="77777777" w:rsidTr="001B6F2A">
        <w:trPr>
          <w:trHeight w:val="300"/>
        </w:trPr>
        <w:tc>
          <w:tcPr>
            <w:tcW w:w="2137" w:type="dxa"/>
            <w:tcBorders>
              <w:top w:val="nil"/>
              <w:left w:val="single" w:sz="4" w:space="0" w:color="auto"/>
              <w:bottom w:val="single" w:sz="8" w:space="0" w:color="auto"/>
              <w:right w:val="single" w:sz="4" w:space="0" w:color="auto"/>
            </w:tcBorders>
            <w:shd w:val="clear" w:color="auto" w:fill="auto"/>
            <w:noWrap/>
            <w:vAlign w:val="center"/>
            <w:hideMark/>
          </w:tcPr>
          <w:p w14:paraId="1D0D7C30" w14:textId="77777777" w:rsidR="00BA37DA" w:rsidRPr="008C04B3" w:rsidRDefault="00BA37DA" w:rsidP="003E2B8A">
            <w:pPr>
              <w:pStyle w:val="TableText"/>
            </w:pPr>
            <w:r w:rsidRPr="008C04B3">
              <w:t>SSC</w:t>
            </w:r>
            <w:r w:rsidRPr="008C04B3">
              <w:rPr>
                <w:vertAlign w:val="subscript"/>
              </w:rPr>
              <w:t>Dish-Holder</w:t>
            </w:r>
          </w:p>
        </w:tc>
        <w:tc>
          <w:tcPr>
            <w:tcW w:w="4073" w:type="dxa"/>
            <w:gridSpan w:val="2"/>
            <w:tcBorders>
              <w:top w:val="nil"/>
              <w:left w:val="nil"/>
              <w:bottom w:val="single" w:sz="4" w:space="0" w:color="auto"/>
              <w:right w:val="nil"/>
            </w:tcBorders>
            <w:shd w:val="clear" w:color="auto" w:fill="auto"/>
            <w:noWrap/>
            <w:vAlign w:val="center"/>
            <w:hideMark/>
          </w:tcPr>
          <w:p w14:paraId="29620465" w14:textId="77777777" w:rsidR="00BA37DA" w:rsidRPr="008C04B3" w:rsidRDefault="00BA37DA" w:rsidP="003E2B8A">
            <w:pPr>
              <w:pStyle w:val="TableText"/>
            </w:pPr>
            <w:r w:rsidRPr="008C04B3">
              <w:t>[0,0.266] (VXF)</w:t>
            </w:r>
          </w:p>
          <w:p w14:paraId="304F710E" w14:textId="77777777" w:rsidR="00BA37DA" w:rsidRPr="008C04B3" w:rsidRDefault="00BA37DA" w:rsidP="003E2B8A">
            <w:pPr>
              <w:pStyle w:val="TableText"/>
            </w:pPr>
            <w:r w:rsidRPr="008C04B3">
              <w:t>[0,1.020] (RB)</w:t>
            </w:r>
          </w:p>
        </w:tc>
        <w:tc>
          <w:tcPr>
            <w:tcW w:w="1260" w:type="dxa"/>
            <w:tcBorders>
              <w:top w:val="nil"/>
              <w:left w:val="nil"/>
              <w:bottom w:val="single" w:sz="8" w:space="0" w:color="auto"/>
              <w:right w:val="single" w:sz="4" w:space="0" w:color="auto"/>
            </w:tcBorders>
            <w:shd w:val="clear" w:color="auto" w:fill="auto"/>
            <w:noWrap/>
            <w:vAlign w:val="center"/>
            <w:hideMark/>
          </w:tcPr>
          <w:p w14:paraId="72B1022C" w14:textId="77777777" w:rsidR="00BA37DA" w:rsidRPr="008C04B3" w:rsidRDefault="00BA37DA" w:rsidP="003E2B8A">
            <w:pPr>
              <w:pStyle w:val="TableText"/>
            </w:pPr>
            <w:r w:rsidRPr="008C04B3">
              <w:t> MW/m</w:t>
            </w:r>
            <w:r w:rsidRPr="008C04B3">
              <w:rPr>
                <w:vertAlign w:val="superscript"/>
              </w:rPr>
              <w:t>2</w:t>
            </w:r>
            <w:r w:rsidRPr="008C04B3">
              <w:t>-K</w:t>
            </w:r>
          </w:p>
        </w:tc>
        <w:tc>
          <w:tcPr>
            <w:tcW w:w="1198" w:type="dxa"/>
            <w:tcBorders>
              <w:top w:val="nil"/>
              <w:left w:val="nil"/>
              <w:bottom w:val="single" w:sz="8" w:space="0" w:color="auto"/>
              <w:right w:val="single" w:sz="4" w:space="0" w:color="auto"/>
            </w:tcBorders>
            <w:shd w:val="clear" w:color="auto" w:fill="auto"/>
            <w:noWrap/>
            <w:vAlign w:val="center"/>
            <w:hideMark/>
          </w:tcPr>
          <w:p w14:paraId="0BAD34E5" w14:textId="07B69428" w:rsidR="00BA37DA" w:rsidRPr="0074556C" w:rsidRDefault="00BA37DA" w:rsidP="003E2B8A">
            <w:pPr>
              <w:pStyle w:val="TableText"/>
            </w:pPr>
            <w:r w:rsidRPr="0074556C">
              <w:fldChar w:fldCharType="begin"/>
            </w:r>
            <w:r w:rsidR="003026BC">
              <w:instrText xml:space="preserve"> ADDIN EN.CITE &lt;EndNote&gt;&lt;Cite&gt;&lt;Author&gt;McDuffee&lt;/Author&gt;&lt;Year&gt;2013&lt;/Year&gt;&lt;RecNum&gt;427&lt;/RecNum&gt;&lt;DisplayText&gt;[153]&lt;/DisplayText&gt;&lt;record&gt;&lt;rec-number&gt;427&lt;/rec-number&gt;&lt;foreign-keys&gt;&lt;key app="EN" db-id="eseee05sfe5vt6efvr0xapvq20vfdsfp5fvf" timestamp="1710045524"&gt;427&lt;/key&gt;&lt;/foreign-keys&gt;&lt;ref-type name="Conference Paper"&gt;47&lt;/ref-type&gt;&lt;contributors&gt;&lt;authors&gt;&lt;author&gt;McDuffee, Joel L.&lt;/author&gt;&lt;/authors&gt;&lt;/contributors&gt;&lt;titles&gt;&lt;title&gt;Heat Transfer Through Small Moveable Gas Gaps in a Multi-Body System Using the ANSYS Finite Element Software&lt;/title&gt;&lt;secondary-title&gt;ASME 2013 Heat Transfer Summer Conference&lt;/secondary-title&gt;&lt;/titles&gt;&lt;number&gt;V001T01A038&lt;/number&gt;&lt;dates&gt;&lt;year&gt;2013&lt;/year&gt;&lt;/dates&gt;&lt;urls&gt;&lt;related-urls&gt;&lt;url&gt;https://doi.org/10.1115/HT2013-17783&lt;/url&gt;&lt;/related-urls&gt;&lt;/urls&gt;&lt;custom1&gt;Volume 1: Heat Transfer in Energy Systems; Thermophysical Properties; Theory and Fundamental Research in Heat Transfer&lt;/custom1&gt;&lt;custom2&gt;ASME 2013 Heat Transfer Summer Conference collocated with the ASME 2013 7th International Conference on Energy Sustainability and the ASME 2013 11th International Conference on Fuel Cell Science, Engineering and Technology&lt;/custom2&gt;&lt;custom3&gt;HT2013&lt;/custom3&gt;&lt;custom4&gt;Heat Transfer Summer Conference&lt;/custom4&gt;&lt;electronic-resource-num&gt;10.1115/HT2013-17783&lt;/electronic-resource-num&gt;&lt;access-date&gt;3/10/2024&lt;/access-date&gt;&lt;/record&gt;&lt;/Cite&gt;&lt;/EndNote&gt;</w:instrText>
            </w:r>
            <w:r w:rsidRPr="0074556C">
              <w:fldChar w:fldCharType="separate"/>
            </w:r>
            <w:r w:rsidR="003026BC">
              <w:rPr>
                <w:noProof/>
              </w:rPr>
              <w:t>[153]</w:t>
            </w:r>
            <w:r w:rsidRPr="0074556C">
              <w:fldChar w:fldCharType="end"/>
            </w:r>
          </w:p>
        </w:tc>
      </w:tr>
      <w:tr w:rsidR="001B6F2A" w:rsidRPr="0074556C" w14:paraId="6E939E8F" w14:textId="77777777" w:rsidTr="001B6F2A">
        <w:trPr>
          <w:trHeight w:val="640"/>
        </w:trPr>
        <w:tc>
          <w:tcPr>
            <w:tcW w:w="2137" w:type="dxa"/>
            <w:tcBorders>
              <w:top w:val="nil"/>
              <w:left w:val="single" w:sz="4" w:space="0" w:color="auto"/>
              <w:bottom w:val="nil"/>
              <w:right w:val="single" w:sz="4" w:space="0" w:color="auto"/>
            </w:tcBorders>
            <w:shd w:val="clear" w:color="auto" w:fill="auto"/>
            <w:noWrap/>
            <w:vAlign w:val="center"/>
            <w:hideMark/>
          </w:tcPr>
          <w:p w14:paraId="4ADBC950" w14:textId="77777777" w:rsidR="00BA37DA" w:rsidRPr="008C04B3" w:rsidRDefault="00BA37DA" w:rsidP="003E2B8A">
            <w:pPr>
              <w:pStyle w:val="TableText"/>
            </w:pPr>
            <w:r w:rsidRPr="008C04B3">
              <w:t>SiC Irradiation</w:t>
            </w:r>
          </w:p>
        </w:tc>
        <w:tc>
          <w:tcPr>
            <w:tcW w:w="4073" w:type="dxa"/>
            <w:gridSpan w:val="2"/>
            <w:tcBorders>
              <w:top w:val="single" w:sz="4" w:space="0" w:color="auto"/>
              <w:left w:val="nil"/>
              <w:bottom w:val="nil"/>
              <w:right w:val="nil"/>
            </w:tcBorders>
            <w:shd w:val="clear" w:color="auto" w:fill="auto"/>
            <w:noWrap/>
            <w:vAlign w:val="bottom"/>
            <w:hideMark/>
          </w:tcPr>
          <w:p w14:paraId="6CC6D741" w14:textId="77777777" w:rsidR="00BA37DA" w:rsidRPr="008C04B3" w:rsidRDefault="00BA37DA" w:rsidP="003E2B8A">
            <w:pPr>
              <w:pStyle w:val="TableText"/>
            </w:pPr>
            <w:r w:rsidRPr="008C04B3">
              <w:t>0-1.25 (VXF)</w:t>
            </w:r>
          </w:p>
          <w:p w14:paraId="233CC69C" w14:textId="77777777" w:rsidR="00BA37DA" w:rsidRPr="008C04B3" w:rsidRDefault="00BA37DA" w:rsidP="003E2B8A">
            <w:pPr>
              <w:pStyle w:val="TableText"/>
            </w:pPr>
            <w:r w:rsidRPr="008C04B3">
              <w:t>0-6.12 (RB)</w:t>
            </w:r>
          </w:p>
        </w:tc>
        <w:tc>
          <w:tcPr>
            <w:tcW w:w="1260" w:type="dxa"/>
            <w:tcBorders>
              <w:top w:val="nil"/>
              <w:left w:val="nil"/>
              <w:bottom w:val="nil"/>
              <w:right w:val="single" w:sz="4" w:space="0" w:color="auto"/>
            </w:tcBorders>
            <w:shd w:val="clear" w:color="auto" w:fill="auto"/>
            <w:noWrap/>
            <w:vAlign w:val="center"/>
            <w:hideMark/>
          </w:tcPr>
          <w:p w14:paraId="6D9C1B05" w14:textId="77777777" w:rsidR="00BA37DA" w:rsidRPr="008C04B3" w:rsidRDefault="00BA37DA" w:rsidP="003E2B8A">
            <w:pPr>
              <w:pStyle w:val="TableText"/>
            </w:pPr>
            <w:r w:rsidRPr="008C04B3">
              <w:t>dpa</w:t>
            </w:r>
          </w:p>
        </w:tc>
        <w:tc>
          <w:tcPr>
            <w:tcW w:w="1198" w:type="dxa"/>
            <w:tcBorders>
              <w:top w:val="nil"/>
              <w:left w:val="nil"/>
              <w:bottom w:val="nil"/>
              <w:right w:val="single" w:sz="4" w:space="0" w:color="auto"/>
            </w:tcBorders>
            <w:shd w:val="clear" w:color="auto" w:fill="auto"/>
            <w:noWrap/>
            <w:vAlign w:val="center"/>
            <w:hideMark/>
          </w:tcPr>
          <w:p w14:paraId="18C5928B" w14:textId="717F0961" w:rsidR="00BA37DA" w:rsidRPr="0074556C" w:rsidRDefault="00BA37DA" w:rsidP="003E2B8A">
            <w:pPr>
              <w:pStyle w:val="TableText"/>
            </w:pPr>
            <w:r w:rsidRPr="0074556C">
              <w:fldChar w:fldCharType="begin"/>
            </w:r>
            <w:r w:rsidR="003026BC">
              <w:instrText xml:space="preserve"> ADDIN EN.CITE &lt;EndNote&gt;&lt;Cite&gt;&lt;Author&gt;Chandler&lt;/Author&gt;&lt;Year&gt;2020&lt;/Year&gt;&lt;RecNum&gt;469&lt;/RecNum&gt;&lt;DisplayText&gt;[131]&lt;/DisplayText&gt;&lt;record&gt;&lt;rec-number&gt;469&lt;/rec-number&gt;&lt;foreign-keys&gt;&lt;key app="EN" db-id="eseee05sfe5vt6efvr0xapvq20vfdsfp5fvf" timestamp="1713901234"&gt;469&lt;/key&gt;&lt;/foreign-keys&gt;&lt;ref-type name="Journal Article"&gt;17&lt;/ref-type&gt;&lt;contributors&gt;&lt;authors&gt;&lt;author&gt;Chandler, David&lt;/author&gt;&lt;author&gt;Betzler, Benjamin R.&lt;/author&gt;&lt;author&gt;Davidson, Eva E.&lt;/author&gt;&lt;author&gt;Ilas, Germina&lt;/author&gt;&lt;/authors&gt;&lt;/contributors&gt;&lt;titles&gt;&lt;title&gt;Modeling and simulation of a High Flux Isotope Reactor representative core model for updated performance and safety basis assessments&lt;/title&gt;&lt;secondary-title&gt;Nuclear Engineering and Design&lt;/secondary-title&gt;&lt;/titles&gt;&lt;periodical&gt;&lt;full-title&gt;Nuclear Engineering and Design&lt;/full-title&gt;&lt;/periodical&gt;&lt;pages&gt;110752&lt;/pages&gt;&lt;volume&gt;366&lt;/volume&gt;&lt;keywords&gt;&lt;keyword&gt;High Flux Isotope Reactor&lt;/keyword&gt;&lt;keyword&gt;Research reactor&lt;/keyword&gt;&lt;keyword&gt;Neutronics&lt;/keyword&gt;&lt;keyword&gt;Reactor physics&lt;/keyword&gt;&lt;keyword&gt;Depletion&lt;/keyword&gt;&lt;keyword&gt;Thermal-hydraulics&lt;/keyword&gt;&lt;/keywords&gt;&lt;dates&gt;&lt;year&gt;2020&lt;/year&gt;&lt;pub-dates&gt;&lt;date&gt;2020/09/01/&lt;/date&gt;&lt;/pub-dates&gt;&lt;/dates&gt;&lt;isbn&gt;0029-5493&lt;/isbn&gt;&lt;urls&gt;&lt;related-urls&gt;&lt;url&gt;https://www.sciencedirect.com/science/article/pii/S0029549320302466&lt;/url&gt;&lt;/related-urls&gt;&lt;/urls&gt;&lt;electronic-resource-num&gt;https://doi.org/10.1016/j.nucengdes.2020.110752&lt;/electronic-resource-num&gt;&lt;/record&gt;&lt;/Cite&gt;&lt;/EndNote&gt;</w:instrText>
            </w:r>
            <w:r w:rsidRPr="0074556C">
              <w:fldChar w:fldCharType="separate"/>
            </w:r>
            <w:r w:rsidR="003026BC">
              <w:rPr>
                <w:noProof/>
              </w:rPr>
              <w:t>[131]</w:t>
            </w:r>
            <w:r w:rsidRPr="0074556C">
              <w:fldChar w:fldCharType="end"/>
            </w:r>
          </w:p>
        </w:tc>
      </w:tr>
      <w:tr w:rsidR="001B6F2A" w:rsidRPr="0074556C" w14:paraId="151F7D4A" w14:textId="77777777" w:rsidTr="001B6F2A">
        <w:trPr>
          <w:trHeight w:val="320"/>
        </w:trPr>
        <w:tc>
          <w:tcPr>
            <w:tcW w:w="2137" w:type="dxa"/>
            <w:tcBorders>
              <w:top w:val="nil"/>
              <w:left w:val="single" w:sz="4" w:space="0" w:color="auto"/>
              <w:bottom w:val="single" w:sz="8" w:space="0" w:color="auto"/>
              <w:right w:val="single" w:sz="4" w:space="0" w:color="auto"/>
            </w:tcBorders>
            <w:shd w:val="clear" w:color="auto" w:fill="auto"/>
            <w:noWrap/>
            <w:vAlign w:val="center"/>
            <w:hideMark/>
          </w:tcPr>
          <w:p w14:paraId="3036B967" w14:textId="77777777" w:rsidR="00BA37DA" w:rsidRPr="008C04B3" w:rsidRDefault="00BA37DA" w:rsidP="003E2B8A">
            <w:pPr>
              <w:pStyle w:val="TableText"/>
            </w:pPr>
            <w:r w:rsidRPr="008C04B3">
              <w:t>PTD</w:t>
            </w:r>
          </w:p>
        </w:tc>
        <w:tc>
          <w:tcPr>
            <w:tcW w:w="4073" w:type="dxa"/>
            <w:gridSpan w:val="2"/>
            <w:tcBorders>
              <w:top w:val="nil"/>
              <w:left w:val="nil"/>
              <w:bottom w:val="single" w:sz="8" w:space="0" w:color="auto"/>
              <w:right w:val="nil"/>
            </w:tcBorders>
            <w:shd w:val="clear" w:color="auto" w:fill="auto"/>
            <w:noWrap/>
            <w:vAlign w:val="center"/>
            <w:hideMark/>
          </w:tcPr>
          <w:p w14:paraId="3E737C29" w14:textId="77777777" w:rsidR="00BA37DA" w:rsidRPr="008C04B3" w:rsidRDefault="00BA37DA" w:rsidP="003E2B8A">
            <w:pPr>
              <w:pStyle w:val="TableText"/>
            </w:pPr>
            <w:r w:rsidRPr="008C04B3">
              <w:t>90-100</w:t>
            </w:r>
          </w:p>
        </w:tc>
        <w:tc>
          <w:tcPr>
            <w:tcW w:w="1260" w:type="dxa"/>
            <w:tcBorders>
              <w:top w:val="nil"/>
              <w:left w:val="nil"/>
              <w:bottom w:val="single" w:sz="8" w:space="0" w:color="auto"/>
              <w:right w:val="single" w:sz="4" w:space="0" w:color="auto"/>
            </w:tcBorders>
            <w:shd w:val="clear" w:color="auto" w:fill="auto"/>
            <w:noWrap/>
            <w:vAlign w:val="center"/>
            <w:hideMark/>
          </w:tcPr>
          <w:p w14:paraId="6F6EFF44" w14:textId="77777777" w:rsidR="00BA37DA" w:rsidRPr="008C04B3" w:rsidRDefault="00BA37DA" w:rsidP="003E2B8A">
            <w:pPr>
              <w:pStyle w:val="TableText"/>
            </w:pPr>
            <w:r w:rsidRPr="008C04B3">
              <w:t>%</w:t>
            </w:r>
          </w:p>
        </w:tc>
        <w:tc>
          <w:tcPr>
            <w:tcW w:w="1198" w:type="dxa"/>
            <w:tcBorders>
              <w:top w:val="nil"/>
              <w:left w:val="nil"/>
              <w:bottom w:val="single" w:sz="8" w:space="0" w:color="auto"/>
              <w:right w:val="single" w:sz="4" w:space="0" w:color="auto"/>
            </w:tcBorders>
            <w:shd w:val="clear" w:color="auto" w:fill="auto"/>
            <w:noWrap/>
            <w:vAlign w:val="center"/>
            <w:hideMark/>
          </w:tcPr>
          <w:p w14:paraId="1043D3C2" w14:textId="4A8B97FD" w:rsidR="00BA37DA" w:rsidRPr="0074556C" w:rsidRDefault="00BA37DA" w:rsidP="003E2B8A">
            <w:pPr>
              <w:pStyle w:val="TableText"/>
            </w:pPr>
            <w:r w:rsidRPr="0074556C">
              <w:fldChar w:fldCharType="begin"/>
            </w:r>
            <w:r>
              <w:instrText xml:space="preserve"> ADDIN EN.CITE &lt;EndNote&gt;&lt;Cite&gt;&lt;Author&gt;Petrie&lt;/Author&gt;&lt;Year&gt;2019&lt;/Year&gt;&lt;RecNum&gt;330&lt;/RecNum&gt;&lt;DisplayText&gt;[22]&lt;/DisplayText&gt;&lt;record&gt;&lt;rec-number&gt;330&lt;/rec-number&gt;&lt;foreign-keys&gt;&lt;key app="EN" db-id="eseee05sfe5vt6efvr0xapvq20vfdsfp5fvf" timestamp="1694799017" guid="87a38962-dc46-43d3-b93c-17a925259823"&gt;330&lt;/key&gt;&lt;/foreign-keys&gt;&lt;ref-type name="Journal Article"&gt;17&lt;/ref-type&gt;&lt;contributors&gt;&lt;authors&gt;&lt;author&gt;Petrie, Christian M.&lt;/author&gt;&lt;author&gt;Burns, Joseph R.&lt;/author&gt;&lt;author&gt;Raftery, Alicia M.&lt;/author&gt;&lt;author&gt;Nelson, Andrew T.&lt;/author&gt;&lt;author&gt;Terrani, Kurt A.&lt;/author&gt;&lt;/authors&gt;&lt;/contributors&gt;&lt;titles&gt;&lt;title&gt;Separate effects irradiation testing of miniature fuel specimens&lt;/title&gt;&lt;secondary-title&gt;Journal of Nuclear Materials&lt;/secondary-title&gt;&lt;/titles&gt;&lt;periodical&gt;&lt;full-title&gt;Journal of Nuclear Materials&lt;/full-title&gt;&lt;/periodical&gt;&lt;pages&gt;151783&lt;/pages&gt;&lt;volume&gt;526&lt;/volume&gt;&lt;keywords&gt;&lt;keyword&gt;Fuel&lt;/keyword&gt;&lt;keyword&gt;Irradiation&lt;/keyword&gt;&lt;keyword&gt;Separate effects&lt;/keyword&gt;&lt;keyword&gt;Burnup&lt;/keyword&gt;&lt;/keywords&gt;&lt;dates&gt;&lt;year&gt;2019&lt;/year&gt;&lt;pub-dates&gt;&lt;date&gt;2019/12/01/&lt;/date&gt;&lt;/pub-dates&gt;&lt;/dates&gt;&lt;isbn&gt;0022-3115&lt;/isbn&gt;&lt;urls&gt;&lt;related-urls&gt;&lt;url&gt;https://www.sciencedirect.com/science/article/pii/S0022311519304155&lt;/url&gt;&lt;/related-urls&gt;&lt;/urls&gt;&lt;electronic-resource-num&gt;https://doi.org/10.1016/j.jnucmat.2019.151783&lt;/electronic-resource-num&gt;&lt;/record&gt;&lt;/Cite&gt;&lt;/EndNote&gt;</w:instrText>
            </w:r>
            <w:r w:rsidRPr="0074556C">
              <w:fldChar w:fldCharType="separate"/>
            </w:r>
            <w:r>
              <w:rPr>
                <w:noProof/>
              </w:rPr>
              <w:t>[22]</w:t>
            </w:r>
            <w:r w:rsidRPr="0074556C">
              <w:fldChar w:fldCharType="end"/>
            </w:r>
          </w:p>
        </w:tc>
      </w:tr>
    </w:tbl>
    <w:p w14:paraId="5FDD93F7" w14:textId="77777777" w:rsidR="00BF3814" w:rsidRDefault="00BF3814">
      <w:r>
        <w:br w:type="page"/>
      </w:r>
    </w:p>
    <w:p w14:paraId="256105EA" w14:textId="77777777" w:rsidR="00147085" w:rsidRPr="0074556C" w:rsidRDefault="00147085" w:rsidP="00147085">
      <w:r w:rsidRPr="0074556C">
        <w:lastRenderedPageBreak/>
        <w:t>temperature</w:t>
      </w:r>
      <w:r>
        <w:t>-</w:t>
      </w:r>
      <w:r w:rsidRPr="0074556C">
        <w:t xml:space="preserve">dependent uncertainties when applicable. The uncertainty in the HGRs of each material </w:t>
      </w:r>
      <w:r>
        <w:t>was</w:t>
      </w:r>
      <w:r w:rsidRPr="0074556C">
        <w:t xml:space="preserve"> assumed to be 9% based on the reported maximum acceptable in the flux tilt in HFIR</w:t>
      </w:r>
      <w:r>
        <w:t>,</w:t>
      </w:r>
      <w:r w:rsidRPr="0074556C">
        <w:t xml:space="preserve"> as reported by Chandler et al. </w:t>
      </w:r>
      <w:r w:rsidRPr="0074556C">
        <w:fldChar w:fldCharType="begin"/>
      </w:r>
      <w:r>
        <w:instrText xml:space="preserve"> ADDIN EN.CITE &lt;EndNote&gt;&lt;Cite&gt;&lt;Author&gt;Chandler&lt;/Author&gt;&lt;Year&gt;2020&lt;/Year&gt;&lt;RecNum&gt;469&lt;/RecNum&gt;&lt;DisplayText&gt;[131]&lt;/DisplayText&gt;&lt;record&gt;&lt;rec-number&gt;469&lt;/rec-number&gt;&lt;foreign-keys&gt;&lt;key app="EN" db-id="eseee05sfe5vt6efvr0xapvq20vfdsfp5fvf" timestamp="1713901234"&gt;469&lt;/key&gt;&lt;/foreign-keys&gt;&lt;ref-type name="Journal Article"&gt;17&lt;/ref-type&gt;&lt;contributors&gt;&lt;authors&gt;&lt;author&gt;Chandler, David&lt;/author&gt;&lt;author&gt;Betzler, Benjamin R.&lt;/author&gt;&lt;author&gt;Davidson, Eva E.&lt;/author&gt;&lt;author&gt;Ilas, Germina&lt;/author&gt;&lt;/authors&gt;&lt;/contributors&gt;&lt;titles&gt;&lt;title&gt;Modeling and simulation of a High Flux Isotope Reactor representative core model for updated performance and safety basis assessments&lt;/title&gt;&lt;secondary-title&gt;Nuclear Engineering and Design&lt;/secondary-title&gt;&lt;/titles&gt;&lt;periodical&gt;&lt;full-title&gt;Nuclear Engineering and Design&lt;/full-title&gt;&lt;/periodical&gt;&lt;pages&gt;110752&lt;/pages&gt;&lt;volume&gt;366&lt;/volume&gt;&lt;keywords&gt;&lt;keyword&gt;High Flux Isotope Reactor&lt;/keyword&gt;&lt;keyword&gt;Research reactor&lt;/keyword&gt;&lt;keyword&gt;Neutronics&lt;/keyword&gt;&lt;keyword&gt;Reactor physics&lt;/keyword&gt;&lt;keyword&gt;Depletion&lt;/keyword&gt;&lt;keyword&gt;Thermal-hydraulics&lt;/keyword&gt;&lt;/keywords&gt;&lt;dates&gt;&lt;year&gt;2020&lt;/year&gt;&lt;pub-dates&gt;&lt;date&gt;2020/09/01/&lt;/date&gt;&lt;/pub-dates&gt;&lt;/dates&gt;&lt;isbn&gt;0029-5493&lt;/isbn&gt;&lt;urls&gt;&lt;related-urls&gt;&lt;url&gt;https://www.sciencedirect.com/science/article/pii/S0029549320302466&lt;/url&gt;&lt;/related-urls&gt;&lt;/urls&gt;&lt;electronic-resource-num&gt;https://doi.org/10.1016/j.nucengdes.2020.110752&lt;/electronic-resource-num&gt;&lt;/record&gt;&lt;/Cite&gt;&lt;/EndNote&gt;</w:instrText>
      </w:r>
      <w:r w:rsidRPr="0074556C">
        <w:fldChar w:fldCharType="separate"/>
      </w:r>
      <w:r>
        <w:rPr>
          <w:noProof/>
        </w:rPr>
        <w:t>[131]</w:t>
      </w:r>
      <w:r w:rsidRPr="0074556C">
        <w:fldChar w:fldCharType="end"/>
      </w:r>
      <w:r>
        <w:t>. T</w:t>
      </w:r>
      <w:r w:rsidRPr="0074556C">
        <w:t>his a conservative estimate of HGR uncertainty</w:t>
      </w:r>
      <w:r>
        <w:t xml:space="preserve"> under nominal operational conditions and accounts for variations in surrounding experimental loading</w:t>
      </w:r>
      <w:r w:rsidRPr="0074556C">
        <w:t>.</w:t>
      </w:r>
    </w:p>
    <w:p w14:paraId="5E0BB660" w14:textId="21C03156" w:rsidR="0014151A" w:rsidRDefault="00147085" w:rsidP="00147085">
      <w:r>
        <w:t>Materials with t</w:t>
      </w:r>
      <w:r w:rsidRPr="0074556C">
        <w:t xml:space="preserve">hermal properties that consider irradiation effects include </w:t>
      </w:r>
      <w:r>
        <w:t>G</w:t>
      </w:r>
      <w:r w:rsidRPr="0074556C">
        <w:t>rafoil</w:t>
      </w:r>
      <w:r>
        <w:t>,</w:t>
      </w:r>
      <w:r w:rsidRPr="0074556C">
        <w:t xml:space="preserve"> SiC, and the fuel. The thermal conductivity of </w:t>
      </w:r>
      <w:r>
        <w:t>G</w:t>
      </w:r>
      <w:r w:rsidRPr="0074556C">
        <w:t xml:space="preserve">rafoil assumes </w:t>
      </w:r>
      <w:r>
        <w:t xml:space="preserve">a </w:t>
      </w:r>
      <w:r w:rsidRPr="0074556C">
        <w:t xml:space="preserve">constant post-irradiation value of 38 W/mK, similar to H451 graphite at a fluence of 8 </w:t>
      </w:r>
      <w:r w:rsidRPr="0074556C">
        <w:sym w:font="Symbol" w:char="F0B4"/>
      </w:r>
      <w:r w:rsidRPr="0074556C">
        <w:t xml:space="preserve"> 10</w:t>
      </w:r>
      <w:r w:rsidRPr="0074556C">
        <w:rPr>
          <w:vertAlign w:val="superscript"/>
        </w:rPr>
        <w:t>25</w:t>
      </w:r>
      <w:r w:rsidRPr="0074556C">
        <w:t xml:space="preserve"> n/m</w:t>
      </w:r>
      <w:r w:rsidRPr="0074556C">
        <w:rPr>
          <w:vertAlign w:val="superscript"/>
        </w:rPr>
        <w:t>2</w:t>
      </w:r>
      <w:r w:rsidRPr="0074556C">
        <w:t xml:space="preserve"> between 500 and 1200 °C</w:t>
      </w:r>
      <w:r>
        <w:t>,</w:t>
      </w:r>
      <w:r w:rsidRPr="0074556C">
        <w:t xml:space="preserve"> as reported by Strydom et al. </w:t>
      </w:r>
      <w:r w:rsidRPr="0074556C">
        <w:fldChar w:fldCharType="begin"/>
      </w:r>
      <w:r>
        <w:instrText xml:space="preserve"> ADDIN EN.CITE &lt;EndNote&gt;&lt;Cite&gt;&lt;Author&gt;Strydom&lt;/Author&gt;&lt;Year&gt;2018&lt;/Year&gt;&lt;RecNum&gt;271&lt;/RecNum&gt;&lt;DisplayText&gt;[155]&lt;/DisplayText&gt;&lt;record&gt;&lt;rec-number&gt;271&lt;/rec-number&gt;&lt;foreign-keys&gt;&lt;key app="EN" db-id="eseee05sfe5vt6efvr0xapvq20vfdsfp5fvf" timestamp="1678219743" guid="bb55172f-a78f-41e6-8f55-b8ecdba9a023"&gt;271&lt;/key&gt;&lt;/foreign-keys&gt;&lt;ref-type name="Report"&gt;27&lt;/ref-type&gt;&lt;contributors&gt;&lt;authors&gt;&lt;author&gt;Strydom, Gerhard&lt;/author&gt;&lt;/authors&gt;&lt;/contributors&gt;&lt;titles&gt;&lt;title&gt;IAEA Coordinated Research Project on HTGR Physics, Thermal-Hydraulics, and Depletion Uncertainty Analysis Prismatic HTGR Benchmark Specification: Phase II&lt;/title&gt;&lt;/titles&gt;&lt;keywords&gt;&lt;keyword&gt;42 ENGINEERING&lt;/keyword&gt;&lt;keyword&gt;HTGR TYPE REACTORS&lt;/keyword&gt;&lt;keyword&gt;THERMAL HYDRAULICS&lt;/keyword&gt;&lt;keyword&gt;COORDINATED RESEARCH PROGRAMS&lt;/keyword&gt;&lt;keyword&gt;NUCLEAR ENERGY&lt;/keyword&gt;&lt;keyword&gt;tristructural isotropic&lt;/keyword&gt;&lt;keyword&gt;hot full power&lt;/keyword&gt;&lt;/keywords&gt;&lt;dates&gt;&lt;year&gt;2018&lt;/year&gt;&lt;pub-dates&gt;&lt;date&gt;2018-04-01&lt;/date&gt;&lt;/pub-dates&gt;&lt;/dates&gt;&lt;pub-location&gt;United States&lt;/pub-location&gt;&lt;urls&gt;&lt;related-urls&gt;&lt;url&gt;https://www.osti.gov/biblio/1467563&lt;/url&gt;&lt;url&gt;https://www.osti.gov/servlets/purl/1467563&lt;/url&gt;&lt;/related-urls&gt;&lt;/urls&gt;&lt;custom1&gt;Research Org.: Idaho National Lab. (INL), Idaho Falls, ID (United States)&lt;/custom1&gt;&lt;custom2&gt;Sponsor Org.: USDOE Office of Nuclear Energy (NE)&lt;/custom2&gt;&lt;custom3&gt;Report Number: INL/EXT-18-44815-Rev000&lt;/custom3&gt;&lt;custom4&gt;Contract Number: AC07-05ID14517&lt;/custom4&gt;&lt;electronic-resource-num&gt;10.2172/1467563&lt;/electronic-resource-num&gt;&lt;language&gt;English&lt;/language&gt;&lt;/record&gt;&lt;/Cite&gt;&lt;/EndNote&gt;</w:instrText>
      </w:r>
      <w:r w:rsidRPr="0074556C">
        <w:fldChar w:fldCharType="separate"/>
      </w:r>
      <w:r>
        <w:rPr>
          <w:noProof/>
        </w:rPr>
        <w:t>[155]</w:t>
      </w:r>
      <w:r w:rsidRPr="0074556C">
        <w:fldChar w:fldCharType="end"/>
      </w:r>
      <w:r w:rsidRPr="0074556C">
        <w:t xml:space="preserve">. The uncertainty in the </w:t>
      </w:r>
      <w:r>
        <w:t>G</w:t>
      </w:r>
      <w:r w:rsidRPr="0074556C">
        <w:t xml:space="preserve">rafoil thermal properties </w:t>
      </w:r>
      <w:r>
        <w:t>does</w:t>
      </w:r>
      <w:r w:rsidRPr="0074556C">
        <w:t xml:space="preserve"> not consider any change in irradiation dose. The thermal conductivity of </w:t>
      </w:r>
      <w:r w:rsidR="00437698" w:rsidRPr="0074556C">
        <w:t>the thermometry varies based on the irradiation swelling of SiC. The swelling in SiC is</w:t>
      </w:r>
      <w:r w:rsidR="00437698" w:rsidRPr="008110D5">
        <w:t xml:space="preserve"> </w:t>
      </w:r>
      <w:r w:rsidR="00437698" w:rsidRPr="0074556C">
        <w:t xml:space="preserve">determined by an independent function to calculate dose based on the days spent in an </w:t>
      </w:r>
      <w:r w:rsidR="008110D5" w:rsidRPr="0074556C">
        <w:t xml:space="preserve">irradiation position. The maximum dose for SiC within the allowable irradiation time is 1.25 dpa for the VXF position and 6.12 dpa for the RB position. The thermal conductivity </w:t>
      </w:r>
      <w:r w:rsidR="003E2B8A" w:rsidRPr="0074556C">
        <w:t xml:space="preserve">of the fuel is determined using a function that incorporates both temperature and irradiation dose and has uncertainties associated with each </w:t>
      </w:r>
      <w:r w:rsidR="003E2B8A" w:rsidRPr="0074556C">
        <w:fldChar w:fldCharType="begin"/>
      </w:r>
      <w:r w:rsidR="003026BC">
        <w:instrText xml:space="preserve"> ADDIN EN.CITE &lt;EndNote&gt;&lt;Cite&gt;&lt;Author&gt;Beyer&lt;/Author&gt;&lt;Year&gt;1998&lt;/Year&gt;&lt;RecNum&gt;460&lt;/RecNum&gt;&lt;DisplayText&gt;[149]&lt;/DisplayText&gt;&lt;record&gt;&lt;rec-number&gt;460&lt;/rec-number&gt;&lt;foreign-keys&gt;&lt;key app="EN" db-id="eseee05sfe5vt6efvr0xapvq20vfdsfp5fvf" timestamp="1712615754"&gt;460&lt;/key&gt;&lt;/foreign-keys&gt;&lt;ref-type name="Conference Proceedings"&gt;10&lt;/ref-type&gt;&lt;contributors&gt;&lt;authors&gt;&lt;author&gt;Beyer, C. E.&lt;/author&gt;&lt;author&gt;Lanning, D. D.&lt;/author&gt;&lt;/authors&gt;&lt;/contributors&gt;&lt;titles&gt;&lt;title&gt;Review of fuel thermal conductivity data and models&lt;/title&gt;&lt;alt-title&gt;[]&lt;/alt-title&gt;&lt;/titles&gt;&lt;keywords&gt;&lt;keyword&gt;&amp;quot;22 NUCLEAR REACTOR TECHNOLOGY&amp;quot;&lt;/keyword&gt;&lt;keyword&gt;&amp;quot;BURNUP&amp;quot;&lt;/keyword&gt;&lt;keyword&gt;&amp;quot;COMPARATIVE EVALUATIONS&amp;quot;&lt;/keyword&gt;&lt;keyword&gt;&amp;quot;FUNCTIONAL MODELS&amp;quot;&lt;/keyword&gt;&lt;keyword&gt;&amp;quot;NUCLEAR FUELS&amp;quot;&lt;/keyword&gt;&lt;keyword&gt;&amp;quot;REACTOR CORES&amp;quot;&lt;/keyword&gt;&lt;keyword&gt;&amp;quot;THERMAL CONDUCTIVITY&amp;quot;&lt;/keyword&gt;&lt;keyword&gt;&amp;quot;THERMAL DEGRADATION&amp;quot;&lt;/keyword&gt;&lt;keyword&gt;&amp;quot;THERMAL DIFFUSION&amp;quot;&lt;/keyword&gt;&lt;keyword&gt;&amp;quot;URANIUM DIOXIDE&amp;quot;&lt;/keyword&gt;&lt;/keywords&gt;&lt;dates&gt;&lt;year&gt;1998&lt;/year&gt;&lt;pub-dates&gt;&lt;date&gt;1999-12-31&lt;/date&gt;&lt;/pub-dates&gt;&lt;/dates&gt;&lt;pub-location&gt;NEA&lt;/pub-location&gt;&lt;publisher&gt;OECD-NEA, Paris (France)&lt;/publisher&gt;&lt;urls&gt;&lt;/urls&gt;&lt;custom3&gt;CONF-9803158-&lt;/custom3&gt;&lt;electronic-resource-num&gt;https://doi.org/&amp;#xD;Conference: Thermal performance of high burn-up LWR fuel, Cadarache (France), 3-6 Mar 1998; Other Information: DN: 12 refs.; PBD: 1998; Related Information: Is Part Of Proceedings of the Seminar on thermal performance of high burn-up LWR fuel; PB: 392 p.&lt;/electronic-resource-num&gt;&lt;language&gt;English&lt;/language&gt;&lt;/record&gt;&lt;/Cite&gt;&lt;/EndNote&gt;</w:instrText>
      </w:r>
      <w:r w:rsidR="003E2B8A" w:rsidRPr="0074556C">
        <w:fldChar w:fldCharType="separate"/>
      </w:r>
      <w:r w:rsidR="003026BC">
        <w:rPr>
          <w:noProof/>
        </w:rPr>
        <w:t>[149]</w:t>
      </w:r>
      <w:r w:rsidR="003E2B8A" w:rsidRPr="0074556C">
        <w:fldChar w:fldCharType="end"/>
      </w:r>
      <w:r w:rsidR="003E2B8A" w:rsidRPr="0074556C">
        <w:t>. For the screening analysis, the burnup will vary about the expected discharge burnup of 50</w:t>
      </w:r>
      <w:r w:rsidR="003E2B8A">
        <w:t>–</w:t>
      </w:r>
      <w:r w:rsidR="003E2B8A" w:rsidRPr="0074556C">
        <w:t xml:space="preserve">60 GWd/MtU, which is the typical discharge burnup for LWRs. </w:t>
      </w:r>
    </w:p>
    <w:p w14:paraId="7F679DE9" w14:textId="6C71EB66" w:rsidR="003E2B8A" w:rsidRPr="0074556C" w:rsidRDefault="0014151A" w:rsidP="003E2B8A">
      <w:r>
        <w:t>Most</w:t>
      </w:r>
      <w:r w:rsidR="005A4FA6">
        <w:t xml:space="preserve"> parameter</w:t>
      </w:r>
      <w:r>
        <w:t>s</w:t>
      </w:r>
      <w:r w:rsidR="005A4FA6">
        <w:t xml:space="preserve"> within the analysis </w:t>
      </w:r>
      <w:r>
        <w:t>are</w:t>
      </w:r>
      <w:r w:rsidR="005A4FA6">
        <w:t xml:space="preserve"> independent</w:t>
      </w:r>
      <w:r>
        <w:t xml:space="preserve">. </w:t>
      </w:r>
      <w:r w:rsidR="00DA0556">
        <w:t>D</w:t>
      </w:r>
      <w:r>
        <w:t xml:space="preserve">ependent </w:t>
      </w:r>
      <w:r w:rsidR="00DA0556">
        <w:t>parameters include</w:t>
      </w:r>
      <w:r>
        <w:t xml:space="preserve"> the thermal properties of SiC and fuel which, as previously mentioned, are functions of irradiation, and the thermal contact conductance which is a function of thermal </w:t>
      </w:r>
      <w:r>
        <w:lastRenderedPageBreak/>
        <w:t>conductivity.</w:t>
      </w:r>
      <w:r w:rsidR="005A4FA6">
        <w:t xml:space="preserve"> </w:t>
      </w:r>
      <w:r w:rsidR="00DA0556">
        <w:t>This could artificially increase the sensitivities of the associated independent parameters.</w:t>
      </w:r>
      <w:r w:rsidR="00C30B33">
        <w:t xml:space="preserve"> </w:t>
      </w:r>
      <w:r w:rsidR="00162BC8">
        <w:t xml:space="preserve">I </w:t>
      </w:r>
      <w:r w:rsidR="00426BE8">
        <w:t>have</w:t>
      </w:r>
      <w:r w:rsidR="00162BC8">
        <w:t xml:space="preserve"> ensure</w:t>
      </w:r>
      <w:r w:rsidR="00426BE8">
        <w:t>d</w:t>
      </w:r>
      <w:r w:rsidR="00162BC8">
        <w:t xml:space="preserve"> the values</w:t>
      </w:r>
      <w:r w:rsidR="007A6B3C">
        <w:t xml:space="preserve"> presented</w:t>
      </w:r>
      <w:r w:rsidR="00162BC8">
        <w:t xml:space="preserve"> are reasonable</w:t>
      </w:r>
      <w:r w:rsidR="00C30B33">
        <w:t xml:space="preserve"> through personal judgement</w:t>
      </w:r>
      <w:r w:rsidR="0080292D">
        <w:t xml:space="preserve"> and </w:t>
      </w:r>
      <w:r w:rsidR="005E2FFF">
        <w:t>deliberation with several colleagues</w:t>
      </w:r>
      <w:r w:rsidR="00C30B33">
        <w:t>.</w:t>
      </w:r>
      <w:r w:rsidR="00F50C22">
        <w:t xml:space="preserve"> </w:t>
      </w:r>
    </w:p>
    <w:p w14:paraId="13B6705B" w14:textId="3FAA821F" w:rsidR="003E2B8A" w:rsidRDefault="003E2B8A" w:rsidP="00BA37DA">
      <w:r w:rsidRPr="0074556C">
        <w:t xml:space="preserve">The ANSYS model accounts for thermal contact conductance (TCC) across material interfaces in contact </w:t>
      </w:r>
      <w:r w:rsidRPr="0074556C">
        <w:fldChar w:fldCharType="begin"/>
      </w:r>
      <w:r w:rsidR="003026BC">
        <w:instrText xml:space="preserve"> ADDIN EN.CITE &lt;EndNote&gt;&lt;Cite&gt;&lt;Author&gt;McDuffee&lt;/Author&gt;&lt;Year&gt;2013&lt;/Year&gt;&lt;RecNum&gt;427&lt;/RecNum&gt;&lt;DisplayText&gt;[153]&lt;/DisplayText&gt;&lt;record&gt;&lt;rec-number&gt;427&lt;/rec-number&gt;&lt;foreign-keys&gt;&lt;key app="EN" db-id="eseee05sfe5vt6efvr0xapvq20vfdsfp5fvf" timestamp="1710045524"&gt;427&lt;/key&gt;&lt;/foreign-keys&gt;&lt;ref-type name="Conference Paper"&gt;47&lt;/ref-type&gt;&lt;contributors&gt;&lt;authors&gt;&lt;author&gt;McDuffee, Joel L.&lt;/author&gt;&lt;/authors&gt;&lt;/contributors&gt;&lt;titles&gt;&lt;title&gt;Heat Transfer Through Small Moveable Gas Gaps in a Multi-Body System Using the ANSYS Finite Element Software&lt;/title&gt;&lt;secondary-title&gt;ASME 2013 Heat Transfer Summer Conference&lt;/secondary-title&gt;&lt;/titles&gt;&lt;number&gt;V001T01A038&lt;/number&gt;&lt;dates&gt;&lt;year&gt;2013&lt;/year&gt;&lt;/dates&gt;&lt;urls&gt;&lt;related-urls&gt;&lt;url&gt;https://doi.org/10.1115/HT2013-17783&lt;/url&gt;&lt;/related-urls&gt;&lt;/urls&gt;&lt;custom1&gt;Volume 1: Heat Transfer in Energy Systems; Thermophysical Properties; Theory and Fundamental Research in Heat Transfer&lt;/custom1&gt;&lt;custom2&gt;ASME 2013 Heat Transfer Summer Conference collocated with the ASME 2013 7th International Conference on Energy Sustainability and the ASME 2013 11th International Conference on Fuel Cell Science, Engineering and Technology&lt;/custom2&gt;&lt;custom3&gt;HT2013&lt;/custom3&gt;&lt;custom4&gt;Heat Transfer Summer Conference&lt;/custom4&gt;&lt;electronic-resource-num&gt;10.1115/HT2013-17783&lt;/electronic-resource-num&gt;&lt;access-date&gt;3/10/2024&lt;/access-date&gt;&lt;/record&gt;&lt;/Cite&gt;&lt;/EndNote&gt;</w:instrText>
      </w:r>
      <w:r w:rsidRPr="0074556C">
        <w:fldChar w:fldCharType="separate"/>
      </w:r>
      <w:r w:rsidR="003026BC">
        <w:rPr>
          <w:noProof/>
        </w:rPr>
        <w:t>[153]</w:t>
      </w:r>
      <w:r w:rsidRPr="0074556C">
        <w:fldChar w:fldCharType="end"/>
      </w:r>
      <w:r w:rsidRPr="0074556C">
        <w:t xml:space="preserve">. The TCC is split into two parts, gap and solid spot conductance (SSC). The gap conductance </w:t>
      </w:r>
      <w:r>
        <w:t>was</w:t>
      </w:r>
      <w:r w:rsidRPr="0074556C">
        <w:t xml:space="preserve"> varied in the sensitivity analysis based on the uncertainties in the thermal properties of the fill gas. Since the true value of TCC during the experiments is unknown, the SSC </w:t>
      </w:r>
      <w:r>
        <w:t>was</w:t>
      </w:r>
      <w:r w:rsidRPr="0074556C">
        <w:t xml:space="preserve"> varied from 0</w:t>
      </w:r>
      <w:r>
        <w:t>—</w:t>
      </w:r>
      <w:r w:rsidRPr="0074556C">
        <w:t>representing a majority of heat transfer through the interstitial gas</w:t>
      </w:r>
      <w:r>
        <w:t>—</w:t>
      </w:r>
      <w:r w:rsidRPr="0074556C">
        <w:t xml:space="preserve">to its maximum allowable value, approaching an ideal heat transfer system. The SSC </w:t>
      </w:r>
      <w:r>
        <w:t>was</w:t>
      </w:r>
      <w:r w:rsidRPr="0074556C">
        <w:t xml:space="preserve"> directly varied between several key contacts</w:t>
      </w:r>
      <w:r>
        <w:t>,</w:t>
      </w:r>
      <w:r w:rsidRPr="0074556C">
        <w:t xml:space="preserve"> which were selected as the most important for heat transfer from the fuel and thermometry; the TCC between the fuel and the dish, the thermometry and the tube, the dish and the tube</w:t>
      </w:r>
      <w:r>
        <w:t>,</w:t>
      </w:r>
      <w:r w:rsidRPr="0074556C">
        <w:t xml:space="preserve"> and the dish and the holder. The minimum and maximum calculated values of the SSC for each contact considered are given in</w:t>
      </w:r>
      <w:r>
        <w:t xml:space="preserve"> </w:t>
      </w:r>
      <w:r>
        <w:fldChar w:fldCharType="begin"/>
      </w:r>
      <w:r>
        <w:instrText xml:space="preserve"> REF _Ref198117494 \h </w:instrText>
      </w:r>
      <w:r>
        <w:fldChar w:fldCharType="separate"/>
      </w:r>
      <w:r w:rsidR="00BF7E93" w:rsidRPr="009D2AA9">
        <w:t xml:space="preserve">Table </w:t>
      </w:r>
      <w:r w:rsidR="00BF7E93">
        <w:rPr>
          <w:noProof/>
        </w:rPr>
        <w:t>4</w:t>
      </w:r>
      <w:r w:rsidR="00BF7E93" w:rsidRPr="009D2AA9">
        <w:t>.</w:t>
      </w:r>
      <w:r w:rsidR="00BF7E93">
        <w:rPr>
          <w:noProof/>
        </w:rPr>
        <w:t>3</w:t>
      </w:r>
      <w:r>
        <w:fldChar w:fldCharType="end"/>
      </w:r>
      <w:r w:rsidRPr="0074556C">
        <w:t xml:space="preserve">. </w:t>
      </w:r>
    </w:p>
    <w:p w14:paraId="214CB437" w14:textId="776FB66D" w:rsidR="00BA37DA" w:rsidRPr="0074556C" w:rsidRDefault="00BA37DA" w:rsidP="00BA37DA">
      <w:r w:rsidRPr="0074556C">
        <w:t>The fill gas composition and holder outer diameter are the most important design parameters used in determining the irradiation temperature of the capsules and have a large combined sample space within both the VXF and RB irradiation positions. The screening analysis was performed for two temperature regimes</w:t>
      </w:r>
      <w:r>
        <w:t>:</w:t>
      </w:r>
      <w:r w:rsidRPr="0074556C">
        <w:t xml:space="preserve"> the higher</w:t>
      </w:r>
      <w:r>
        <w:t>-</w:t>
      </w:r>
      <w:r w:rsidRPr="0074556C">
        <w:t xml:space="preserve">temperature regime </w:t>
      </w:r>
      <w:r>
        <w:t>is</w:t>
      </w:r>
      <w:r w:rsidRPr="0074556C">
        <w:t xml:space="preserve"> representative of RB MiniFuel experiments</w:t>
      </w:r>
      <w:r>
        <w:t>,</w:t>
      </w:r>
      <w:r w:rsidRPr="0074556C">
        <w:t xml:space="preserve"> and the low</w:t>
      </w:r>
      <w:r>
        <w:t>-</w:t>
      </w:r>
      <w:r w:rsidRPr="0074556C">
        <w:t xml:space="preserve">temperature regime </w:t>
      </w:r>
      <w:r>
        <w:t>represents</w:t>
      </w:r>
      <w:r w:rsidRPr="0074556C">
        <w:t xml:space="preserve"> VXF experiments. When using nominal parameters, the fuel temperature was ~1100 °C in the high-temperature model and ~500 °C in the low</w:t>
      </w:r>
      <w:r>
        <w:t>-</w:t>
      </w:r>
      <w:r w:rsidRPr="0074556C">
        <w:t xml:space="preserve">temperature model. </w:t>
      </w:r>
    </w:p>
    <w:p w14:paraId="2226DDF3" w14:textId="5D815951" w:rsidR="00BA37DA" w:rsidRDefault="00BA37DA" w:rsidP="00BA37DA">
      <w:r>
        <w:lastRenderedPageBreak/>
        <w:t>For a</w:t>
      </w:r>
      <w:r w:rsidRPr="0074556C">
        <w:t>ll calculations for the Morris and Sobol sensitivity analyses</w:t>
      </w:r>
      <w:r>
        <w:t>,</w:t>
      </w:r>
      <w:r w:rsidRPr="0074556C">
        <w:t xml:space="preserve"> the SALib </w:t>
      </w:r>
      <w:r>
        <w:t>P</w:t>
      </w:r>
      <w:r w:rsidRPr="0074556C">
        <w:t xml:space="preserve">ython libraries </w:t>
      </w:r>
      <w:r w:rsidRPr="0074556C">
        <w:fldChar w:fldCharType="begin"/>
      </w:r>
      <w:r w:rsidR="003026BC">
        <w:instrText xml:space="preserve"> ADDIN EN.CITE &lt;EndNote&gt;&lt;Cite&gt;&lt;Author&gt;Jon Herman&lt;/Author&gt;&lt;Year&gt;2017&lt;/Year&gt;&lt;RecNum&gt;434&lt;/RecNum&gt;&lt;DisplayText&gt;[164, 165]&lt;/DisplayText&gt;&lt;record&gt;&lt;rec-number&gt;434&lt;/rec-number&gt;&lt;foreign-keys&gt;&lt;key app="EN" db-id="eseee05sfe5vt6efvr0xapvq20vfdsfp5fvf" timestamp="1710172001"&gt;434&lt;/key&gt;&lt;/foreign-keys&gt;&lt;ref-type name="Journal Article"&gt;17&lt;/ref-type&gt;&lt;contributors&gt;&lt;authors&gt;&lt;author&gt;Jon Herman,&lt;/author&gt;&lt;author&gt;Will Usher&lt;/author&gt;&lt;/authors&gt;&lt;/contributors&gt;&lt;titles&gt;&lt;title&gt;SALib: An open-source Python library for sensitivity analysis. Journal of Open Source Software&lt;/title&gt;&lt;secondary-title&gt;The Journal of Open Source Software&lt;/secondary-title&gt;&lt;/titles&gt;&lt;periodical&gt;&lt;full-title&gt;The Journal of Open Source Software&lt;/full-title&gt;&lt;/periodical&gt;&lt;volume&gt;2&lt;/volume&gt;&lt;num-vols&gt;9&lt;/num-vols&gt;&lt;dates&gt;&lt;year&gt;2017&lt;/year&gt;&lt;pub-dates&gt;&lt;date&gt;Jan 2017&lt;/date&gt;&lt;/pub-dates&gt;&lt;/dates&gt;&lt;urls&gt;&lt;/urls&gt;&lt;electronic-resource-num&gt;https://doi.org/10.21105/joss.00097&lt;/electronic-resource-num&gt;&lt;/record&gt;&lt;/Cite&gt;&lt;Cite&gt;&lt;Author&gt;Takuya Iwanaga&lt;/Author&gt;&lt;Year&gt;2022&lt;/Year&gt;&lt;RecNum&gt;435&lt;/RecNum&gt;&lt;record&gt;&lt;rec-number&gt;435&lt;/rec-number&gt;&lt;foreign-keys&gt;&lt;key app="EN" db-id="eseee05sfe5vt6efvr0xapvq20vfdsfp5fvf" timestamp="1710172083"&gt;435&lt;/key&gt;&lt;/foreign-keys&gt;&lt;ref-type name="Journal Article"&gt;17&lt;/ref-type&gt;&lt;contributors&gt;&lt;authors&gt;&lt;author&gt;Takuya Iwanaga,&lt;/author&gt;&lt;author&gt;William Usher,&lt;/author&gt;&lt;author&gt;Jonathan Herman&lt;/author&gt;&lt;/authors&gt;&lt;/contributors&gt;&lt;titles&gt;&lt;title&gt;Toward SALib 2.0: Advancing the accessibility and interpretability of global sensitivity analyses&lt;/title&gt;&lt;secondary-title&gt;Socio-Environmental Systems Modelling&lt;/secondary-title&gt;&lt;/titles&gt;&lt;periodical&gt;&lt;full-title&gt;Socio-Environmental Systems Modelling&lt;/full-title&gt;&lt;/periodical&gt;&lt;pages&gt;18155&lt;/pages&gt;&lt;volume&gt;4&lt;/volume&gt;&lt;dates&gt;&lt;year&gt;2022&lt;/year&gt;&lt;pub-dates&gt;&lt;date&gt;May 2022&lt;/date&gt;&lt;/pub-dates&gt;&lt;/dates&gt;&lt;urls&gt;&lt;/urls&gt;&lt;electronic-resource-num&gt;https://doi.org/10.18174/sesmo.18155&lt;/electronic-resource-num&gt;&lt;/record&gt;&lt;/Cite&gt;&lt;/EndNote&gt;</w:instrText>
      </w:r>
      <w:r w:rsidRPr="0074556C">
        <w:fldChar w:fldCharType="separate"/>
      </w:r>
      <w:r w:rsidR="003026BC">
        <w:rPr>
          <w:noProof/>
        </w:rPr>
        <w:t>[164, 165]</w:t>
      </w:r>
      <w:r w:rsidRPr="0074556C">
        <w:fldChar w:fldCharType="end"/>
      </w:r>
      <w:r>
        <w:t xml:space="preserve"> were used</w:t>
      </w:r>
      <w:r w:rsidRPr="0074556C">
        <w:t xml:space="preserve">. A number of previous works suggested that 40 optimal trajectories can provide a converged </w:t>
      </w:r>
      <w:r>
        <w:t xml:space="preserve">Morris </w:t>
      </w:r>
      <w:r w:rsidRPr="0074556C">
        <w:t xml:space="preserve">parameter screening </w:t>
      </w:r>
      <w:r w:rsidRPr="0074556C">
        <w:fldChar w:fldCharType="begin">
          <w:fldData xml:space="preserve">PEVuZE5vdGU+PENpdGU+PEF1dGhvcj5ZYW5nPC9BdXRob3I+PFllYXI+MjAxMTwvWWVhcj48UmVj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=
</w:fldData>
        </w:fldChar>
      </w:r>
      <w:r w:rsidR="003026BC">
        <w:instrText xml:space="preserve"> ADDIN EN.CITE </w:instrText>
      </w:r>
      <w:r w:rsidR="003026BC">
        <w:fldChar w:fldCharType="begin">
          <w:fldData xml:space="preserve">PEVuZE5vdGU+PENpdGU+PEF1dGhvcj5ZYW5nPC9BdXRob3I+PFllYXI+MjAxMTwvWWVhcj48UmVj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=
</w:fldData>
        </w:fldChar>
      </w:r>
      <w:r w:rsidR="003026BC">
        <w:instrText xml:space="preserve"> ADDIN EN.CITE.DATA </w:instrText>
      </w:r>
      <w:r w:rsidR="003026BC">
        <w:fldChar w:fldCharType="end"/>
      </w:r>
      <w:r w:rsidRPr="0074556C">
        <w:fldChar w:fldCharType="separate"/>
      </w:r>
      <w:r w:rsidR="003026BC">
        <w:rPr>
          <w:noProof/>
        </w:rPr>
        <w:t>[37, 166-173]</w:t>
      </w:r>
      <w:r w:rsidRPr="0074556C">
        <w:fldChar w:fldCharType="end"/>
      </w:r>
      <w:r w:rsidRPr="0074556C">
        <w:t xml:space="preserve">. </w:t>
      </w:r>
      <w:r>
        <w:t>Following this approach,</w:t>
      </w:r>
      <w:r w:rsidRPr="0074556C">
        <w:t xml:space="preserve"> the parameters </w:t>
      </w:r>
      <w:r>
        <w:t xml:space="preserve">were screened </w:t>
      </w:r>
      <w:r w:rsidRPr="0074556C">
        <w:t xml:space="preserve">into groups of high and low importance so that only the most important parameters </w:t>
      </w:r>
      <w:r>
        <w:t>were</w:t>
      </w:r>
      <w:r w:rsidRPr="0074556C">
        <w:t xml:space="preserve"> included in the Sobol analysis. To ensure </w:t>
      </w:r>
      <w:r>
        <w:t xml:space="preserve">that </w:t>
      </w:r>
      <w:r w:rsidRPr="0074556C">
        <w:t xml:space="preserve">the sample space of the input parameters is better represented, sampling optimizations from Campolongo et al. </w:t>
      </w:r>
      <w:r w:rsidRPr="0074556C">
        <w:fldChar w:fldCharType="begin"/>
      </w:r>
      <w:r>
        <w:instrText xml:space="preserve"> ADDIN EN.CITE &lt;EndNote&gt;&lt;Cite&gt;&lt;Author&gt;Campolongo&lt;/Author&gt;&lt;Year&gt;2007&lt;/Year&gt;&lt;RecNum&gt;406&lt;/RecNum&gt;&lt;DisplayText&gt;[36]&lt;/DisplayText&gt;&lt;record&gt;&lt;rec-number&gt;406&lt;/rec-number&gt;&lt;foreign-keys&gt;&lt;key app="EN" db-id="eseee05sfe5vt6efvr0xapvq20vfdsfp5fvf" timestamp="1709065790"&gt;406&lt;/key&gt;&lt;/foreign-keys&gt;&lt;ref-type name="Journal Article"&gt;17&lt;/ref-type&gt;&lt;contributors&gt;&lt;authors&gt;&lt;author&gt;Campolongo, Francesca&lt;/author&gt;&lt;author&gt;Cariboni, Jessica&lt;/author&gt;&lt;author&gt;Saltelli, Andrea&lt;/author&gt;&lt;/authors&gt;&lt;/contributors&gt;&lt;titles&gt;&lt;title&gt;An effective screening design for sensitivity analysis of large models&lt;/title&gt;&lt;secondary-title&gt;Environmental Modelling &amp;amp; Software&lt;/secondary-title&gt;&lt;/titles&gt;&lt;periodical&gt;&lt;full-title&gt;Environmental Modelling &amp;amp; Software&lt;/full-title&gt;&lt;/periodical&gt;&lt;pages&gt;1509-1518&lt;/pages&gt;&lt;volume&gt;22&lt;/volume&gt;&lt;number&gt;10&lt;/number&gt;&lt;keywords&gt;&lt;keyword&gt;Sensitivity analysis&lt;/keyword&gt;&lt;keyword&gt;Screening problem&lt;/keyword&gt;&lt;keyword&gt;Model-free methods&lt;/keyword&gt;&lt;keyword&gt;Effective sampling strategy&lt;/keyword&gt;&lt;keyword&gt;Dimethylsulphide (DMS)&lt;/keyword&gt;&lt;/keywords&gt;&lt;dates&gt;&lt;year&gt;2007&lt;/year&gt;&lt;pub-dates&gt;&lt;date&gt;2007/10/01/&lt;/date&gt;&lt;/pub-dates&gt;&lt;/dates&gt;&lt;isbn&gt;1364-8152&lt;/isbn&gt;&lt;urls&gt;&lt;related-urls&gt;&lt;url&gt;https://www.sciencedirect.com/science/article/pii/S1364815206002805&lt;/url&gt;&lt;/related-urls&gt;&lt;/urls&gt;&lt;electronic-resource-num&gt;https://doi.org/10.1016/j.envsoft.2006.10.004&lt;/electronic-resource-num&gt;&lt;/record&gt;&lt;/Cite&gt;&lt;/EndNote&gt;</w:instrText>
      </w:r>
      <w:r w:rsidRPr="0074556C">
        <w:fldChar w:fldCharType="separate"/>
      </w:r>
      <w:r>
        <w:rPr>
          <w:noProof/>
        </w:rPr>
        <w:t>[36]</w:t>
      </w:r>
      <w:r w:rsidRPr="0074556C">
        <w:fldChar w:fldCharType="end"/>
      </w:r>
      <w:r w:rsidRPr="0074556C">
        <w:t xml:space="preserve"> and Ruano et al. </w:t>
      </w:r>
      <w:r w:rsidRPr="0074556C">
        <w:fldChar w:fldCharType="begin"/>
      </w:r>
      <w:r>
        <w:instrText xml:space="preserve"> ADDIN EN.CITE &lt;EndNote&gt;&lt;Cite&gt;&lt;Author&gt;Ruano&lt;/Author&gt;&lt;Year&gt;2012&lt;/Year&gt;&lt;RecNum&gt;407&lt;/RecNum&gt;&lt;DisplayText&gt;[37]&lt;/DisplayText&gt;&lt;record&gt;&lt;rec-number&gt;407&lt;/rec-number&gt;&lt;foreign-keys&gt;&lt;key app="EN" db-id="eseee05sfe5vt6efvr0xapvq20vfdsfp5fvf" timestamp="1709065792"&gt;407&lt;/key&gt;&lt;/foreign-keys&gt;&lt;ref-type name="Journal Article"&gt;17&lt;/ref-type&gt;&lt;contributors&gt;&lt;authors&gt;&lt;author&gt;Ruano, M. V.&lt;/author&gt;&lt;author&gt;Ribes, J.&lt;/author&gt;&lt;author&gt;Seco, A.&lt;/author&gt;&lt;author&gt;Ferrer, J.&lt;/author&gt;&lt;/authors&gt;&lt;/contributors&gt;&lt;titles&gt;&lt;title&gt;An improved sampling strategy based on trajectory design for application of the Morris method to systems with many input factors&lt;/title&gt;&lt;secondary-title&gt;Environmental Modelling &amp;amp; Software&lt;/secondary-title&gt;&lt;/titles&gt;&lt;periodical&gt;&lt;full-title&gt;Environmental Modelling &amp;amp; Software&lt;/full-title&gt;&lt;/periodical&gt;&lt;pages&gt;103-109&lt;/pages&gt;&lt;volume&gt;37&lt;/volume&gt;&lt;keywords&gt;&lt;keyword&gt;Fuzzy controllers&lt;/keyword&gt;&lt;keyword&gt;Morris screening&lt;/keyword&gt;&lt;keyword&gt;Sampling strategy&lt;/keyword&gt;&lt;keyword&gt;Sensitivity analysis&lt;/keyword&gt;&lt;/keywords&gt;&lt;dates&gt;&lt;year&gt;2012&lt;/year&gt;&lt;pub-dates&gt;&lt;date&gt;2012/11/01/&lt;/date&gt;&lt;/pub-dates&gt;&lt;/dates&gt;&lt;isbn&gt;1364-8152&lt;/isbn&gt;&lt;urls&gt;&lt;related-urls&gt;&lt;url&gt;https://www.sciencedirect.com/science/article/pii/S1364815212000904&lt;/url&gt;&lt;/related-urls&gt;&lt;/urls&gt;&lt;electronic-resource-num&gt;https://doi.org/10.1016/j.envsoft.2012.03.008&lt;/electronic-resource-num&gt;&lt;/record&gt;&lt;/Cite&gt;&lt;/EndNote&gt;</w:instrText>
      </w:r>
      <w:r w:rsidRPr="0074556C">
        <w:fldChar w:fldCharType="separate"/>
      </w:r>
      <w:r>
        <w:rPr>
          <w:noProof/>
        </w:rPr>
        <w:t>[37]</w:t>
      </w:r>
      <w:r w:rsidRPr="0074556C">
        <w:fldChar w:fldCharType="end"/>
      </w:r>
      <w:r w:rsidRPr="0074556C">
        <w:t xml:space="preserve">, which are both default features of the SALib Morris sampler were utilized. </w:t>
      </w:r>
    </w:p>
    <w:p w14:paraId="2F121CB6" w14:textId="0A6ADF20" w:rsidR="00BA37DA" w:rsidRPr="0074556C" w:rsidRDefault="00BA37DA" w:rsidP="00BA37DA">
      <w:r w:rsidRPr="0074556C">
        <w:t xml:space="preserve">The Morris screening ranks parameters based on the mean, </w:t>
      </w:r>
      <w:r w:rsidRPr="0074556C">
        <w:sym w:font="Symbol" w:char="F06D"/>
      </w:r>
      <w:r w:rsidRPr="0074556C">
        <w:t xml:space="preserve">, and standard deviation, </w:t>
      </w:r>
      <w:r w:rsidRPr="0074556C">
        <w:sym w:font="Symbol" w:char="F073"/>
      </w:r>
      <w:r w:rsidRPr="0074556C">
        <w:t xml:space="preserve">, in the output. For this study, rather than using the mean, the absolute mean, </w:t>
      </w:r>
      <w:r w:rsidRPr="0074556C">
        <w:sym w:font="Symbol" w:char="F06D"/>
      </w:r>
      <w:r w:rsidRPr="0074556C">
        <w:t xml:space="preserve">*, </w:t>
      </w:r>
      <w:r>
        <w:t>was</w:t>
      </w:r>
      <w:r w:rsidRPr="0074556C">
        <w:t xml:space="preserve"> used, which has been shown by Campolongo et al. </w:t>
      </w:r>
      <w:r w:rsidRPr="0074556C">
        <w:fldChar w:fldCharType="begin"/>
      </w:r>
      <w:r>
        <w:instrText xml:space="preserve"> ADDIN EN.CITE &lt;EndNote&gt;&lt;Cite&gt;&lt;Author&gt;Campolongo&lt;/Author&gt;&lt;Year&gt;2007&lt;/Year&gt;&lt;RecNum&gt;406&lt;/RecNum&gt;&lt;DisplayText&gt;[36]&lt;/DisplayText&gt;&lt;record&gt;&lt;rec-number&gt;406&lt;/rec-number&gt;&lt;foreign-keys&gt;&lt;key app="EN" db-id="eseee05sfe5vt6efvr0xapvq20vfdsfp5fvf" timestamp="1709065790"&gt;406&lt;/key&gt;&lt;/foreign-keys&gt;&lt;ref-type name="Journal Article"&gt;17&lt;/ref-type&gt;&lt;contributors&gt;&lt;authors&gt;&lt;author&gt;Campolongo, Francesca&lt;/author&gt;&lt;author&gt;Cariboni, Jessica&lt;/author&gt;&lt;author&gt;Saltelli, Andrea&lt;/author&gt;&lt;/authors&gt;&lt;/contributors&gt;&lt;titles&gt;&lt;title&gt;An effective screening design for sensitivity analysis of large models&lt;/title&gt;&lt;secondary-title&gt;Environmental Modelling &amp;amp; Software&lt;/secondary-title&gt;&lt;/titles&gt;&lt;periodical&gt;&lt;full-title&gt;Environmental Modelling &amp;amp; Software&lt;/full-title&gt;&lt;/periodical&gt;&lt;pages&gt;1509-1518&lt;/pages&gt;&lt;volume&gt;22&lt;/volume&gt;&lt;number&gt;10&lt;/number&gt;&lt;keywords&gt;&lt;keyword&gt;Sensitivity analysis&lt;/keyword&gt;&lt;keyword&gt;Screening problem&lt;/keyword&gt;&lt;keyword&gt;Model-free methods&lt;/keyword&gt;&lt;keyword&gt;Effective sampling strategy&lt;/keyword&gt;&lt;keyword&gt;Dimethylsulphide (DMS)&lt;/keyword&gt;&lt;/keywords&gt;&lt;dates&gt;&lt;year&gt;2007&lt;/year&gt;&lt;pub-dates&gt;&lt;date&gt;2007/10/01/&lt;/date&gt;&lt;/pub-dates&gt;&lt;/dates&gt;&lt;isbn&gt;1364-8152&lt;/isbn&gt;&lt;urls&gt;&lt;related-urls&gt;&lt;url&gt;https://www.sciencedirect.com/science/article/pii/S1364815206002805&lt;/url&gt;&lt;/related-urls&gt;&lt;/urls&gt;&lt;electronic-resource-num&gt;https://doi.org/10.1016/j.envsoft.2006.10.004&lt;/electronic-resource-num&gt;&lt;/record&gt;&lt;/Cite&gt;&lt;/EndNote&gt;</w:instrText>
      </w:r>
      <w:r w:rsidRPr="0074556C">
        <w:fldChar w:fldCharType="separate"/>
      </w:r>
      <w:r>
        <w:rPr>
          <w:noProof/>
        </w:rPr>
        <w:t>[36]</w:t>
      </w:r>
      <w:r w:rsidRPr="0074556C">
        <w:fldChar w:fldCharType="end"/>
      </w:r>
      <w:r w:rsidRPr="0074556C">
        <w:t xml:space="preserve"> to be more representative of the sensitivity and </w:t>
      </w:r>
      <w:r>
        <w:t xml:space="preserve">to </w:t>
      </w:r>
      <w:r w:rsidRPr="0074556C">
        <w:t>account for self-cancellation of terms.</w:t>
      </w:r>
      <w:r>
        <w:t xml:space="preserve"> </w:t>
      </w:r>
      <w:r w:rsidRPr="0074556C">
        <w:t xml:space="preserve">Parameters that have a large </w:t>
      </w:r>
      <w:r w:rsidRPr="0074556C">
        <w:sym w:font="Symbol" w:char="F06D"/>
      </w:r>
      <w:r w:rsidRPr="0074556C">
        <w:t>* will show high individual sensitivity to the output</w:t>
      </w:r>
      <w:r>
        <w:t>,</w:t>
      </w:r>
      <w:r w:rsidRPr="0074556C">
        <w:t xml:space="preserve"> and parameters with a large </w:t>
      </w:r>
      <w:r w:rsidRPr="0074556C">
        <w:sym w:font="Symbol" w:char="F073"/>
      </w:r>
      <w:r w:rsidRPr="0074556C">
        <w:t xml:space="preserve"> will show high joint sensitivity to the output due to interactions with other variables </w:t>
      </w:r>
      <w:r w:rsidRPr="0074556C">
        <w:fldChar w:fldCharType="begin"/>
      </w:r>
      <w:r w:rsidR="003026BC">
        <w:instrText xml:space="preserve"> ADDIN EN.CITE &lt;EndNote&gt;&lt;Cite&gt;&lt;Author&gt;Rutjens&lt;/Author&gt;&lt;Year&gt;2023&lt;/Year&gt;&lt;RecNum&gt;474&lt;/RecNum&gt;&lt;DisplayText&gt;[174]&lt;/DisplayText&gt;&lt;record&gt;&lt;rec-number&gt;474&lt;/rec-number&gt;&lt;foreign-keys&gt;&lt;key app="EN" db-id="eseee05sfe5vt6efvr0xapvq20vfdsfp5fvf" timestamp="1714766823"&gt;474&lt;/key&gt;&lt;/foreign-keys&gt;&lt;ref-type name="Journal Article"&gt;17&lt;/ref-type&gt;&lt;contributors&gt;&lt;authors&gt;&lt;author&gt;Rutjens, Rik J. L.&lt;/author&gt;&lt;author&gt;Band, Leah R.&lt;/author&gt;&lt;author&gt;Jones, Matthew D.&lt;/author&gt;&lt;author&gt;Owen, Markus R.&lt;/author&gt;&lt;/authors&gt;&lt;/contributors&gt;&lt;titles&gt;&lt;title&gt;Elementary effects for models with dimensional inputs of arbitrary type and range: Scaling and trajectory generation&lt;/title&gt;&lt;secondary-title&gt;PLOS ONE&lt;/secondary-title&gt;&lt;/titles&gt;&lt;periodical&gt;&lt;full-title&gt;PLOS ONE&lt;/full-title&gt;&lt;/periodical&gt;&lt;pages&gt;e0293344&lt;/pages&gt;&lt;volume&gt;18&lt;/volume&gt;&lt;number&gt;10&lt;/number&gt;&lt;dates&gt;&lt;year&gt;2023&lt;/year&gt;&lt;/dates&gt;&lt;publisher&gt;Public Library of Science&lt;/publisher&gt;&lt;urls&gt;&lt;related-urls&gt;&lt;url&gt;https://doi.org/10.1371/journal.pone.0293344&lt;/url&gt;&lt;/related-urls&gt;&lt;/urls&gt;&lt;electronic-resource-num&gt;10.1371/journal.pone.0293344&lt;/electronic-resource-num&gt;&lt;/record&gt;&lt;/Cite&gt;&lt;/EndNote&gt;</w:instrText>
      </w:r>
      <w:r w:rsidRPr="0074556C">
        <w:fldChar w:fldCharType="separate"/>
      </w:r>
      <w:r w:rsidR="003026BC">
        <w:rPr>
          <w:noProof/>
        </w:rPr>
        <w:t>[174]</w:t>
      </w:r>
      <w:r w:rsidRPr="0074556C">
        <w:fldChar w:fldCharType="end"/>
      </w:r>
      <w:r w:rsidRPr="0074556C">
        <w:t xml:space="preserve">. </w:t>
      </w:r>
    </w:p>
    <w:p w14:paraId="249C0F2E" w14:textId="753F4229" w:rsidR="00BA37DA" w:rsidRPr="0074556C" w:rsidRDefault="00BA37DA" w:rsidP="008110D5">
      <w:r w:rsidRPr="0074556C">
        <w:t xml:space="preserve">While these parameters have the potential to </w:t>
      </w:r>
      <w:r>
        <w:t>provide</w:t>
      </w:r>
      <w:r w:rsidRPr="0074556C">
        <w:t xml:space="preserve"> insight</w:t>
      </w:r>
      <w:r>
        <w:t>s similar to those</w:t>
      </w:r>
      <w:r w:rsidRPr="0074556C">
        <w:t xml:space="preserve"> </w:t>
      </w:r>
      <w:r>
        <w:t xml:space="preserve">of </w:t>
      </w:r>
      <w:r w:rsidRPr="0074556C">
        <w:t xml:space="preserve">a more rigorous analysis method such as </w:t>
      </w:r>
      <w:r>
        <w:t xml:space="preserve">the </w:t>
      </w:r>
      <w:r w:rsidRPr="0074556C">
        <w:t>Sobol</w:t>
      </w:r>
      <w:r>
        <w:t xml:space="preserve"> method</w:t>
      </w:r>
      <w:r w:rsidRPr="0074556C">
        <w:t xml:space="preserve">, they have been shown to be unstable for problems with high non-linearity </w:t>
      </w:r>
      <w:r w:rsidRPr="0074556C">
        <w:fldChar w:fldCharType="begin">
          <w:fldData xml:space="preserve">PEVuZE5vdGU+PENpdGU+PEF1dGhvcj5NZW5iZXJnPC9BdXRob3I+PFllYXI+MjAxNjwvWWVhcj48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==
</w:fldData>
        </w:fldChar>
      </w:r>
      <w:r w:rsidR="003026BC">
        <w:instrText xml:space="preserve"> ADDIN EN.CITE </w:instrText>
      </w:r>
      <w:r w:rsidR="003026BC">
        <w:fldChar w:fldCharType="begin">
          <w:fldData xml:space="preserve">PEVuZE5vdGU+PENpdGU+PEF1dGhvcj5NZW5iZXJnPC9BdXRob3I+PFllYXI+MjAxNjwvWWVhcj48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==
</w:fldData>
        </w:fldChar>
      </w:r>
      <w:r w:rsidR="003026BC">
        <w:instrText xml:space="preserve"> ADDIN EN.CITE.DATA </w:instrText>
      </w:r>
      <w:r w:rsidR="003026BC">
        <w:fldChar w:fldCharType="end"/>
      </w:r>
      <w:r w:rsidRPr="0074556C">
        <w:fldChar w:fldCharType="separate"/>
      </w:r>
      <w:r w:rsidR="003026BC">
        <w:rPr>
          <w:noProof/>
        </w:rPr>
        <w:t>[42, 166, 170, 173]</w:t>
      </w:r>
      <w:r w:rsidRPr="0074556C">
        <w:fldChar w:fldCharType="end"/>
      </w:r>
      <w:r w:rsidRPr="0074556C">
        <w:t xml:space="preserve">. The instability of parameter ranking in the Morris </w:t>
      </w:r>
      <w:r>
        <w:t xml:space="preserve">method </w:t>
      </w:r>
      <w:r w:rsidRPr="0074556C">
        <w:t>can be overcome with a large number of assessed trajectories, but the computational cost is impractical and obviates the advantages of using the Morris method for screening. For this reason, this approach is used solely for screening parameters.</w:t>
      </w:r>
    </w:p>
    <w:p w14:paraId="019EF3A1" w14:textId="1427993A" w:rsidR="000E21E4" w:rsidRDefault="00BA37DA" w:rsidP="00F22A75">
      <w:r w:rsidRPr="0074556C">
        <w:lastRenderedPageBreak/>
        <w:t>The Morris parameter screening was performed using two lines of influence</w:t>
      </w:r>
      <w:r>
        <w:t xml:space="preserve"> </w:t>
      </w:r>
      <w:r w:rsidRPr="0074556C">
        <w:t>as recommended by other studies</w:t>
      </w:r>
      <w:r>
        <w:t xml:space="preserve"> and</w:t>
      </w:r>
      <w:r w:rsidRPr="0074556C">
        <w:t xml:space="preserve"> screening by </w:t>
      </w:r>
      <w:r w:rsidRPr="0074556C">
        <w:sym w:font="Symbol" w:char="F06D"/>
      </w:r>
      <w:r w:rsidRPr="0074556C">
        <w:t xml:space="preserve">* </w:t>
      </w:r>
      <w:r w:rsidRPr="0074556C">
        <w:fldChar w:fldCharType="begin">
          <w:fldData xml:space="preserve">PEVuZE5vdGU+PENpdGU+PEF1dGhvcj5NZW5iZXJnPC9BdXRob3I+PFllYXI+MjAxNjwvWWVhcj48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</w:fldData>
        </w:fldChar>
      </w:r>
      <w:r w:rsidR="003026BC">
        <w:instrText xml:space="preserve"> ADDIN EN.CITE </w:instrText>
      </w:r>
      <w:r w:rsidR="003026BC">
        <w:fldChar w:fldCharType="begin">
          <w:fldData xml:space="preserve">PEVuZE5vdGU+PENpdGU+PEF1dGhvcj5NZW5iZXJnPC9BdXRob3I+PFllYXI+MjAxNjwvWWVhcj48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</w:fldData>
        </w:fldChar>
      </w:r>
      <w:r w:rsidR="003026BC">
        <w:instrText xml:space="preserve"> ADDIN EN.CITE.DATA </w:instrText>
      </w:r>
      <w:r w:rsidR="003026BC">
        <w:fldChar w:fldCharType="end"/>
      </w:r>
      <w:r w:rsidRPr="0074556C">
        <w:fldChar w:fldCharType="separate"/>
      </w:r>
      <w:r w:rsidR="003026BC">
        <w:rPr>
          <w:noProof/>
        </w:rPr>
        <w:t>[168, 170]</w:t>
      </w:r>
      <w:r w:rsidRPr="0074556C">
        <w:fldChar w:fldCharType="end"/>
      </w:r>
      <w:r w:rsidRPr="0074556C">
        <w:t xml:space="preserve">. </w:t>
      </w:r>
      <w:r>
        <w:t xml:space="preserve">A vertical line at </w:t>
      </w:r>
      <w:r w:rsidRPr="0074556C">
        <w:t xml:space="preserve">0.1 of the maximum </w:t>
      </w:r>
      <w:r w:rsidRPr="0074556C">
        <w:sym w:font="Symbol" w:char="F06D"/>
      </w:r>
      <w:r w:rsidRPr="0074556C">
        <w:t>* separates the graph into regions of high and low importance</w:t>
      </w:r>
      <w:r>
        <w:t>.</w:t>
      </w:r>
      <w:r w:rsidRPr="0074556C">
        <w:t xml:space="preserve"> </w:t>
      </w:r>
      <w:r>
        <w:t>The line with a</w:t>
      </w:r>
      <w:r w:rsidRPr="0074556C">
        <w:t xml:space="preserve"> 0.1 ratio of </w:t>
      </w:r>
      <w:r w:rsidRPr="0074556C">
        <w:sym w:font="Symbol" w:char="F06D"/>
      </w:r>
      <w:r w:rsidRPr="0074556C">
        <w:t xml:space="preserve">* to </w:t>
      </w:r>
      <w:r w:rsidRPr="0074556C">
        <w:sym w:font="Symbol" w:char="F073"/>
      </w:r>
      <w:r w:rsidRPr="0074556C">
        <w:t xml:space="preserve"> separates the high importance region into regions of joint and individual influence</w:t>
      </w:r>
      <w:r>
        <w:t xml:space="preserve">. </w:t>
      </w:r>
      <w:r w:rsidRPr="0074556C">
        <w:t>A sample diagram of this screening method is shown in</w:t>
      </w:r>
      <w:r w:rsidR="00941F6F">
        <w:t xml:space="preserve"> </w:t>
      </w:r>
      <w:r w:rsidR="00941F6F" w:rsidRPr="005E68D7">
        <w:rPr>
          <w:b/>
          <w:bCs/>
        </w:rPr>
        <w:fldChar w:fldCharType="begin"/>
      </w:r>
      <w:r w:rsidR="00941F6F" w:rsidRPr="005E68D7">
        <w:rPr>
          <w:b/>
          <w:bCs/>
        </w:rPr>
        <w:instrText xml:space="preserve"> REF _Ref198045111 \h </w:instrText>
      </w:r>
      <w:r w:rsidR="005E68D7">
        <w:rPr>
          <w:b/>
          <w:bCs/>
        </w:rPr>
        <w:instrText xml:space="preserve"> \* MERGEFORMAT </w:instrText>
      </w:r>
      <w:r w:rsidR="00941F6F" w:rsidRPr="005E68D7">
        <w:rPr>
          <w:b/>
          <w:bCs/>
        </w:rPr>
      </w:r>
      <w:r w:rsidR="00941F6F" w:rsidRPr="005E68D7">
        <w:rPr>
          <w:b/>
          <w:bCs/>
        </w:rPr>
        <w:fldChar w:fldCharType="separate"/>
      </w:r>
      <w:r w:rsidR="00BF7E93" w:rsidRPr="00BF7E93">
        <w:rPr>
          <w:b/>
          <w:bCs/>
        </w:rPr>
        <w:t xml:space="preserve">Figure </w:t>
      </w:r>
      <w:r w:rsidR="00BF7E93" w:rsidRPr="00BF7E93">
        <w:rPr>
          <w:b/>
          <w:bCs/>
          <w:noProof/>
        </w:rPr>
        <w:t>4.2</w:t>
      </w:r>
      <w:r w:rsidR="00941F6F" w:rsidRPr="005E68D7">
        <w:rPr>
          <w:b/>
          <w:bCs/>
        </w:rPr>
        <w:fldChar w:fldCharType="end"/>
      </w:r>
      <w:r w:rsidRPr="0074556C">
        <w:t xml:space="preserve">. All parameters that </w:t>
      </w:r>
      <w:r>
        <w:t>met</w:t>
      </w:r>
      <w:r w:rsidRPr="0074556C">
        <w:t xml:space="preserve"> the high importance threshold </w:t>
      </w:r>
      <w:r>
        <w:t>were</w:t>
      </w:r>
      <w:r w:rsidRPr="0074556C">
        <w:t xml:space="preserve"> used within the Sobol sensitivity analysis.</w:t>
      </w:r>
    </w:p>
    <w:p w14:paraId="2B0AA21F" w14:textId="77777777" w:rsidR="003E2B8A" w:rsidRPr="0074556C" w:rsidRDefault="003E2B8A" w:rsidP="00F22A75">
      <w:pPr>
        <w:pStyle w:val="Heading3"/>
        <w:spacing w:before="0" w:after="0"/>
      </w:pPr>
      <w:bookmarkStart w:id="146" w:name="_Toc202957481"/>
      <w:r w:rsidRPr="0074556C">
        <w:t>Sobol Sensitivity Analysis</w:t>
      </w:r>
      <w:r>
        <w:t xml:space="preserve"> Methods</w:t>
      </w:r>
      <w:bookmarkEnd w:id="146"/>
    </w:p>
    <w:p w14:paraId="3CDB8763" w14:textId="77777777" w:rsidR="00147085" w:rsidRDefault="003E2B8A" w:rsidP="00F22A75">
      <w:r>
        <w:t>T</w:t>
      </w:r>
      <w:r w:rsidRPr="0074556C">
        <w:t xml:space="preserve">he parameters that were deemed of high importance within the Morris screening study </w:t>
      </w:r>
      <w:r>
        <w:t>were used in t</w:t>
      </w:r>
      <w:r w:rsidRPr="0074556C">
        <w:t xml:space="preserve">he Sobol sensitivity analysis. As previously mentioned, the primary design </w:t>
      </w:r>
      <w:r w:rsidR="00147085" w:rsidRPr="0074556C">
        <w:t xml:space="preserve">parameters currently used for determining the subcapsule irradiation temperature are the fill gas and holder outer diameter, which is why they were excluded from the Morris screening. It has also been determined that the primary design parameter for determining the temperature gradient across the fuel is the fuel height. Within </w:t>
      </w:r>
      <w:r w:rsidR="00147085">
        <w:t>the</w:t>
      </w:r>
      <w:r w:rsidR="00147085" w:rsidRPr="0074556C">
        <w:t xml:space="preserve"> study, two different Sobol analyses were performed</w:t>
      </w:r>
      <w:r w:rsidR="00147085" w:rsidRPr="00A35CBD">
        <w:t>—</w:t>
      </w:r>
      <w:r w:rsidR="00147085">
        <w:t>the first</w:t>
      </w:r>
      <w:r w:rsidR="00147085" w:rsidRPr="00A35CBD">
        <w:t xml:space="preserve"> with and </w:t>
      </w:r>
      <w:r w:rsidR="00147085">
        <w:t>second</w:t>
      </w:r>
      <w:r w:rsidR="00147085" w:rsidRPr="00A35CBD">
        <w:t xml:space="preserve"> without these parameters to determine the sensitivity of the model and uncertainty of the model, respectively.</w:t>
      </w:r>
    </w:p>
    <w:p w14:paraId="703753C3" w14:textId="5B4FE558" w:rsidR="000E21E4" w:rsidRDefault="00147085" w:rsidP="00F22A75">
      <w:r w:rsidRPr="0074556C">
        <w:t xml:space="preserve">The goal of the first analysis </w:t>
      </w:r>
      <w:r>
        <w:t>was</w:t>
      </w:r>
      <w:r w:rsidRPr="0074556C">
        <w:t xml:space="preserve"> to confirm that the primary design parameters have the greatest influence on the output POIs. The combination of holder outer diameter and fill gas composition within this analysis was varied within the safety bounds for gap conductance within the VXF or RB irradiation positions, respectively. The allowable ranges for gap conductance are 43 to 2385 W/C*m</w:t>
      </w:r>
      <w:r w:rsidRPr="0074556C">
        <w:rPr>
          <w:vertAlign w:val="superscript"/>
        </w:rPr>
        <w:t>2</w:t>
      </w:r>
      <w:r w:rsidRPr="0074556C">
        <w:t xml:space="preserve"> in </w:t>
      </w:r>
      <w:r>
        <w:t xml:space="preserve">the </w:t>
      </w:r>
      <w:r w:rsidRPr="0074556C">
        <w:t>VXF and 136 to 3423 W/C*m</w:t>
      </w:r>
      <w:r w:rsidRPr="0074556C">
        <w:rPr>
          <w:vertAlign w:val="superscript"/>
        </w:rPr>
        <w:t>2</w:t>
      </w:r>
      <w:r w:rsidR="000E21E4">
        <w:br w:type="page"/>
      </w:r>
    </w:p>
    <w:p w14:paraId="5AD90A3F" w14:textId="7D8E4B22" w:rsidR="00BA37DA" w:rsidRPr="0074556C" w:rsidRDefault="00BA37DA" w:rsidP="000E21E4">
      <w:r w:rsidRPr="0074556C">
        <w:rPr>
          <w:noProof/>
        </w:rPr>
        <w:lastRenderedPageBreak/>
        <w:drawing>
          <wp:inline distT="0" distB="0" distL="0" distR="0" wp14:anchorId="6A182633" wp14:editId="3B7E6F35">
            <wp:extent cx="5486400" cy="4282440"/>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50" cstate="print">
                      <a:extLst>
                        <a:ext uri="{28A0092B-C50C-407E-A947-70E740481C1C}">
                          <a14:useLocalDpi xmlns:a14="http://schemas.microsoft.com/office/drawing/2010/main" val="0"/>
                        </a:ext>
                      </a:extLst>
                    </a:blip>
                    <a:stretch>
                      <a:fillRect/>
                    </a:stretch>
                  </pic:blipFill>
                  <pic:spPr>
                    <a:xfrm>
                      <a:off x="0" y="0"/>
                      <a:ext cx="5486400" cy="4282440"/>
                    </a:xfrm>
                    <a:prstGeom prst="rect">
                      <a:avLst/>
                    </a:prstGeom>
                  </pic:spPr>
                </pic:pic>
              </a:graphicData>
            </a:graphic>
          </wp:inline>
        </w:drawing>
      </w:r>
    </w:p>
    <w:p w14:paraId="536B05AD" w14:textId="5F8EC0FE" w:rsidR="00BA37DA" w:rsidRPr="0031654F" w:rsidRDefault="00941F6F" w:rsidP="00874CBB">
      <w:pPr>
        <w:pStyle w:val="Caption"/>
      </w:pPr>
      <w:bookmarkStart w:id="147" w:name="_Ref198045111"/>
      <w:bookmarkStart w:id="148" w:name="_Toc202957565"/>
      <w:r w:rsidRPr="0031654F">
        <w:t xml:space="preserve">Figure </w:t>
      </w:r>
      <w:fldSimple w:instr=" STYLEREF 1 \s ">
        <w:r w:rsidR="00BF7E93">
          <w:rPr>
            <w:noProof/>
          </w:rPr>
          <w:t>4</w:t>
        </w:r>
      </w:fldSimple>
      <w:r w:rsidRPr="0031654F">
        <w:t>.</w:t>
      </w:r>
      <w:fldSimple w:instr=" SEQ Figure \* ARABIC \s 1 ">
        <w:r w:rsidR="00BF7E93">
          <w:rPr>
            <w:noProof/>
          </w:rPr>
          <w:t>2</w:t>
        </w:r>
      </w:fldSimple>
      <w:bookmarkEnd w:id="147"/>
      <w:r w:rsidRPr="0031654F">
        <w:t xml:space="preserve">. </w:t>
      </w:r>
      <w:r w:rsidR="00BA37DA" w:rsidRPr="0031654F">
        <w:t>Morris Method parameter screening methodology.</w:t>
      </w:r>
      <w:bookmarkEnd w:id="148"/>
    </w:p>
    <w:p w14:paraId="29BB418E" w14:textId="77777777" w:rsidR="000E21E4" w:rsidRDefault="000E21E4">
      <w:pPr>
        <w:rPr>
          <w:b/>
          <w:bCs/>
          <w:i/>
          <w:szCs w:val="26"/>
        </w:rPr>
      </w:pPr>
      <w:r>
        <w:br w:type="page"/>
      </w:r>
    </w:p>
    <w:p w14:paraId="2024E529" w14:textId="77777777" w:rsidR="00147085" w:rsidRDefault="00147085" w:rsidP="008110D5">
      <w:r w:rsidRPr="0074556C">
        <w:lastRenderedPageBreak/>
        <w:t xml:space="preserve">in </w:t>
      </w:r>
      <w:r>
        <w:t xml:space="preserve">the </w:t>
      </w:r>
      <w:r w:rsidRPr="0074556C">
        <w:t>RB</w:t>
      </w:r>
      <w:r>
        <w:t xml:space="preserve"> positions</w:t>
      </w:r>
      <w:r w:rsidRPr="0074556C">
        <w:t xml:space="preserve">. An additional Sobol analysis was performed </w:t>
      </w:r>
      <w:r>
        <w:t xml:space="preserve">that </w:t>
      </w:r>
      <w:r w:rsidRPr="0074556C">
        <w:t>exclud</w:t>
      </w:r>
      <w:r>
        <w:t>ed</w:t>
      </w:r>
      <w:r w:rsidRPr="0074556C">
        <w:t xml:space="preserve"> the design parameters </w:t>
      </w:r>
      <w:r>
        <w:t xml:space="preserve">in order </w:t>
      </w:r>
      <w:r w:rsidRPr="0074556C">
        <w:t>to quantify uncertainty in the outputs</w:t>
      </w:r>
      <w:r>
        <w:t xml:space="preserve">; this was done because </w:t>
      </w:r>
      <w:r w:rsidRPr="0074556C">
        <w:t xml:space="preserve">the exact values of the holder OD and fill gas are </w:t>
      </w:r>
      <w:r w:rsidRPr="00573B14">
        <w:t xml:space="preserve">measured to within instrument tolerance </w:t>
      </w:r>
      <w:r w:rsidRPr="0074556C">
        <w:t xml:space="preserve">and are therefore not contributors to uncertainty. The goal of the second analysis </w:t>
      </w:r>
      <w:r>
        <w:t>was</w:t>
      </w:r>
      <w:r w:rsidRPr="0074556C">
        <w:t xml:space="preserve"> to quantify the uncertainty of the model based on the parameters that are not controlled during subcapsule assembly.</w:t>
      </w:r>
    </w:p>
    <w:p w14:paraId="3E611BDB" w14:textId="105ECE81" w:rsidR="00C14268" w:rsidRPr="003E2B8A" w:rsidRDefault="00BA37DA" w:rsidP="008110D5">
      <w:r w:rsidRPr="0074556C">
        <w:t>Unlike the Morris</w:t>
      </w:r>
      <w:r>
        <w:t xml:space="preserve"> method</w:t>
      </w:r>
      <w:r w:rsidRPr="0074556C">
        <w:t>, the Sobol sensitivity analysis within SALib uses a Quasi</w:t>
      </w:r>
      <w:r>
        <w:t>–</w:t>
      </w:r>
      <w:r w:rsidRPr="0074556C">
        <w:t xml:space="preserve">Monte Carlo sampling scheme. Rather than running a set number of cases, the Sobol analysis for each temperature regime </w:t>
      </w:r>
      <w:r>
        <w:t>was</w:t>
      </w:r>
      <w:r w:rsidRPr="0074556C">
        <w:t xml:space="preserve"> run until the rank of each parameter converged. To satisfy the calculation algorithm within SALib, convergence </w:t>
      </w:r>
      <w:r>
        <w:t>was</w:t>
      </w:r>
      <w:r w:rsidRPr="0074556C">
        <w:t xml:space="preserve"> checked on intervals of 2</w:t>
      </w:r>
      <w:r w:rsidRPr="0074556C">
        <w:rPr>
          <w:vertAlign w:val="superscript"/>
        </w:rPr>
        <w:t>n</w:t>
      </w:r>
      <w:r w:rsidRPr="0074556C">
        <w:t>(D+2)</w:t>
      </w:r>
      <w:r>
        <w:t>,</w:t>
      </w:r>
      <w:r w:rsidRPr="0074556C">
        <w:t xml:space="preserve"> where D is the number of input parameters. Sobol indices were determined to be converged if the percent difference between subsequent intervals was less than 1%.</w:t>
      </w:r>
      <w:r w:rsidR="00C14268">
        <w:t xml:space="preserve"> </w:t>
      </w:r>
      <w:r w:rsidRPr="0074556C">
        <w:t xml:space="preserve">The main benefit of this method over the previous method developed by Morris is that it is stable for both linear and highly non-linear correlations </w:t>
      </w:r>
      <w:r w:rsidRPr="0074556C">
        <w:fldChar w:fldCharType="begin">
          <w:fldData xml:space="preserve">PEVuZE5vdGU+PENpdGU+PEF1dGhvcj5Ja29uZW48L0F1dGhvcj48WWVhcj4yMDE2PC9ZZWFyPjxS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==
</w:fldData>
        </w:fldChar>
      </w:r>
      <w:r w:rsidR="003026BC">
        <w:instrText xml:space="preserve"> ADDIN EN.CITE </w:instrText>
      </w:r>
      <w:r w:rsidR="003026BC">
        <w:fldChar w:fldCharType="begin">
          <w:fldData xml:space="preserve">PEVuZE5vdGU+PENpdGU+PEF1dGhvcj5Ja29uZW48L0F1dGhvcj48WWVhcj4yMDE2PC9ZZWFyPjxS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==
</w:fldData>
        </w:fldChar>
      </w:r>
      <w:r w:rsidR="003026BC">
        <w:instrText xml:space="preserve"> ADDIN EN.CITE.DATA </w:instrText>
      </w:r>
      <w:r w:rsidR="003026BC">
        <w:fldChar w:fldCharType="end"/>
      </w:r>
      <w:r w:rsidRPr="0074556C">
        <w:fldChar w:fldCharType="separate"/>
      </w:r>
      <w:r w:rsidR="003026BC">
        <w:rPr>
          <w:noProof/>
        </w:rPr>
        <w:t>[42, 166, 170, 173]</w:t>
      </w:r>
      <w:r w:rsidRPr="0074556C">
        <w:fldChar w:fldCharType="end"/>
      </w:r>
      <w:r w:rsidRPr="0074556C">
        <w:t xml:space="preserve">. The computational cost of this method is significantly higher than the </w:t>
      </w:r>
      <w:r>
        <w:t xml:space="preserve">Morris </w:t>
      </w:r>
      <w:r w:rsidRPr="0074556C">
        <w:t xml:space="preserve">method </w:t>
      </w:r>
      <w:r>
        <w:t>because</w:t>
      </w:r>
      <w:r w:rsidRPr="0074556C">
        <w:t xml:space="preserve"> the samples are taken using a quasi-random Monte Carlo sampling sequence</w:t>
      </w:r>
      <w:r>
        <w:t xml:space="preserve">, </w:t>
      </w:r>
      <w:r w:rsidRPr="0074556C">
        <w:t>thus requir</w:t>
      </w:r>
      <w:r>
        <w:t>ing</w:t>
      </w:r>
      <w:r w:rsidRPr="0074556C">
        <w:t xml:space="preserve"> a large number of samples to provide converged indices. This makes it computationally favorable to perform the Morris </w:t>
      </w:r>
      <w:r>
        <w:t xml:space="preserve">method </w:t>
      </w:r>
      <w:r w:rsidRPr="0074556C">
        <w:t>for a large number of input parameters and to then perform Sobol analysis using a smaller subset of the total model inputs.</w:t>
      </w:r>
      <w:bookmarkStart w:id="149" w:name="_Toc166850928"/>
    </w:p>
    <w:p w14:paraId="1E19B61D" w14:textId="7E81387D" w:rsidR="00BA37DA" w:rsidRPr="0074556C" w:rsidRDefault="00BA37DA" w:rsidP="00F22A75">
      <w:pPr>
        <w:pStyle w:val="Heading3"/>
        <w:spacing w:before="0" w:after="0"/>
      </w:pPr>
      <w:bookmarkStart w:id="150" w:name="_Toc202957482"/>
      <w:r w:rsidRPr="0074556C">
        <w:lastRenderedPageBreak/>
        <w:t>Model Verification and Validation</w:t>
      </w:r>
      <w:bookmarkEnd w:id="150"/>
      <w:r w:rsidRPr="0074556C">
        <w:t xml:space="preserve"> </w:t>
      </w:r>
    </w:p>
    <w:p w14:paraId="2D6F634E" w14:textId="2A4EB49F" w:rsidR="00147085" w:rsidRPr="0074556C" w:rsidRDefault="005B3270" w:rsidP="00F22A75">
      <w:r w:rsidRPr="007258A1">
        <w:rPr>
          <w:b/>
          <w:bCs/>
        </w:rPr>
        <w:fldChar w:fldCharType="begin"/>
      </w:r>
      <w:r w:rsidRPr="007258A1">
        <w:rPr>
          <w:b/>
          <w:bCs/>
        </w:rPr>
        <w:instrText xml:space="preserve"> REF _Ref198131719 \h </w:instrText>
      </w:r>
      <w:r w:rsidR="007258A1">
        <w:rPr>
          <w:b/>
          <w:bCs/>
        </w:rPr>
        <w:instrText xml:space="preserve"> \* MERGEFORMAT </w:instrText>
      </w:r>
      <w:r w:rsidRPr="007258A1">
        <w:rPr>
          <w:b/>
          <w:bCs/>
        </w:rPr>
      </w:r>
      <w:r w:rsidRPr="007258A1">
        <w:rPr>
          <w:b/>
          <w:bCs/>
        </w:rPr>
        <w:fldChar w:fldCharType="separate"/>
      </w:r>
      <w:r w:rsidR="00BF7E93" w:rsidRPr="00BF7E93">
        <w:rPr>
          <w:b/>
          <w:bCs/>
        </w:rPr>
        <w:t xml:space="preserve">Table </w:t>
      </w:r>
      <w:r w:rsidR="00BF7E93" w:rsidRPr="00BF7E93">
        <w:rPr>
          <w:b/>
          <w:bCs/>
          <w:noProof/>
        </w:rPr>
        <w:t>4.4</w:t>
      </w:r>
      <w:r w:rsidRPr="007258A1">
        <w:rPr>
          <w:b/>
          <w:bCs/>
        </w:rPr>
        <w:fldChar w:fldCharType="end"/>
      </w:r>
      <w:r w:rsidR="00114808">
        <w:t xml:space="preserve"> </w:t>
      </w:r>
      <w:r w:rsidR="00BA37DA" w:rsidRPr="0074556C">
        <w:t>shows the comparison between the available MF01 data and our model predictions</w:t>
      </w:r>
      <w:r w:rsidR="00BA37DA">
        <w:t xml:space="preserve"> using as-built capsule data</w:t>
      </w:r>
      <w:r w:rsidR="00BA37DA" w:rsidRPr="0074556C">
        <w:t xml:space="preserve">. The data reported by Petrie et al. </w:t>
      </w:r>
      <w:r w:rsidR="00BA37DA" w:rsidRPr="0074556C">
        <w:fldChar w:fldCharType="begin"/>
      </w:r>
      <w:r w:rsidR="00BA37DA">
        <w:instrText xml:space="preserve"> ADDIN EN.CITE &lt;EndNote&gt;&lt;Cite&gt;&lt;Author&gt;Petrie&lt;/Author&gt;&lt;Year&gt;2019&lt;/Year&gt;&lt;RecNum&gt;330&lt;/RecNum&gt;&lt;DisplayText&gt;[22]&lt;/DisplayText&gt;&lt;record&gt;&lt;rec-number&gt;330&lt;/rec-number&gt;&lt;foreign-keys&gt;&lt;key app="EN" db-id="eseee05sfe5vt6efvr0xapvq20vfdsfp5fvf" timestamp="1694799017" guid="87a38962-dc46-43d3-b93c-17a925259823"&gt;330&lt;/key&gt;&lt;/foreign-keys&gt;&lt;ref-type name="Journal Article"&gt;17&lt;/ref-type&gt;&lt;contributors&gt;&lt;authors&gt;&lt;author&gt;Petrie, Christian M.&lt;/author&gt;&lt;author&gt;Burns, Joseph R.&lt;/author&gt;&lt;author&gt;Raftery, Alicia M.&lt;/author&gt;&lt;author&gt;Nelson, Andrew T.&lt;/author&gt;&lt;author&gt;Terrani, Kurt A.&lt;/author&gt;&lt;/authors&gt;&lt;/contributors&gt;&lt;titles&gt;&lt;title&gt;Separate effects irradiation testing of miniature fuel specimens&lt;/title&gt;&lt;secondary-title&gt;Journal of Nuclear Materials&lt;/secondary-title&gt;&lt;/titles&gt;&lt;periodical&gt;&lt;full-title&gt;Journal of Nuclear Materials&lt;/full-title&gt;&lt;/periodical&gt;&lt;pages&gt;151783&lt;/pages&gt;&lt;volume&gt;526&lt;/volume&gt;&lt;keywords&gt;&lt;keyword&gt;Fuel&lt;/keyword&gt;&lt;keyword&gt;Irradiation&lt;/keyword&gt;&lt;keyword&gt;Separate effects&lt;/keyword&gt;&lt;keyword&gt;Burnup&lt;/keyword&gt;&lt;/keywords&gt;&lt;dates&gt;&lt;year&gt;2019&lt;/year&gt;&lt;pub-dates&gt;&lt;date&gt;2019/12/01/&lt;/date&gt;&lt;/pub-dates&gt;&lt;/dates&gt;&lt;isbn&gt;0022-3115&lt;/isbn&gt;&lt;urls&gt;&lt;related-urls&gt;&lt;url&gt;https://www.sciencedirect.com/science/article/pii/S0022311519304155&lt;/url&gt;&lt;/related-urls&gt;&lt;/urls&gt;&lt;electronic-resource-num&gt;https://doi.org/10.1016/j.jnucmat.2019.151783&lt;/electronic-resource-num&gt;&lt;/record&gt;&lt;/Cite&gt;&lt;/EndNote&gt;</w:instrText>
      </w:r>
      <w:r w:rsidR="00BA37DA" w:rsidRPr="0074556C">
        <w:fldChar w:fldCharType="separate"/>
      </w:r>
      <w:r w:rsidR="00BA37DA">
        <w:rPr>
          <w:noProof/>
        </w:rPr>
        <w:t>[22]</w:t>
      </w:r>
      <w:r w:rsidR="00BA37DA" w:rsidRPr="0074556C">
        <w:fldChar w:fldCharType="end"/>
      </w:r>
      <w:r w:rsidR="00BA37DA" w:rsidRPr="0074556C">
        <w:t xml:space="preserve"> are initial model predictions of the experimental temperatures</w:t>
      </w:r>
      <w:r w:rsidR="00BA37DA">
        <w:t>,</w:t>
      </w:r>
      <w:r w:rsidR="00BA37DA" w:rsidRPr="0074556C">
        <w:t xml:space="preserve"> and the data reported by Harp et al. </w:t>
      </w:r>
      <w:r w:rsidR="00BA37DA" w:rsidRPr="0074556C">
        <w:fldChar w:fldCharType="begin"/>
      </w:r>
      <w:r w:rsidR="003026BC">
        <w:instrText xml:space="preserve"> ADDIN EN.CITE &lt;EndNote&gt;&lt;Cite&gt;&lt;Author&gt;Harp&lt;/Author&gt;&lt;Year&gt;2021&lt;/Year&gt;&lt;RecNum&gt;422&lt;/RecNum&gt;&lt;DisplayText&gt;[137]&lt;/DisplayText&gt;&lt;record&gt;&lt;rec-number&gt;422&lt;/rec-number&gt;&lt;foreign-keys&gt;&lt;key app="EN" db-id="eseee05sfe5vt6efvr0xapvq20vfdsfp5fvf" timestamp="1710037058"&gt;422&lt;/key&gt;&lt;/foreign-keys&gt;&lt;ref-type name="Journal Article"&gt;17&lt;/ref-type&gt;&lt;contributors&gt;&lt;authors&gt;&lt;author&gt;Harp, Jason M.&lt;/author&gt;&lt;author&gt;Morris, Robert N.&lt;/author&gt;&lt;author&gt;Petrie, Christian M.&lt;/author&gt;&lt;author&gt;Burns, Joseph R.&lt;/author&gt;&lt;author&gt;Terrani, Kurt A.&lt;/author&gt;&lt;/authors&gt;&lt;/contributors&gt;&lt;titles&gt;&lt;title&gt;Postirradiation examination from separate effects irradiation testing of uranium nitride kernels and coated particles&lt;/title&gt;&lt;secondary-title&gt;Journal of Nuclear Materials&lt;/secondary-title&gt;&lt;/titles&gt;&lt;periodical&gt;&lt;full-title&gt;Journal of Nuclear Materials&lt;/full-title&gt;&lt;/periodical&gt;&lt;pages&gt;152696&lt;/pages&gt;&lt;volume&gt;544&lt;/volume&gt;&lt;keywords&gt;&lt;keyword&gt;Separate effects&lt;/keyword&gt;&lt;keyword&gt;Irradiation testing&lt;/keyword&gt;&lt;keyword&gt;Postirradiation examination&lt;/keyword&gt;&lt;keyword&gt;Uranium nitride&lt;/keyword&gt;&lt;keyword&gt;TRISO&lt;/keyword&gt;&lt;/keywords&gt;&lt;dates&gt;&lt;year&gt;2021&lt;/year&gt;&lt;pub-dates&gt;&lt;date&gt;2021/02/01/&lt;/date&gt;&lt;/pub-dates&gt;&lt;/dates&gt;&lt;isbn&gt;0022-3115&lt;/isbn&gt;&lt;urls&gt;&lt;related-urls&gt;&lt;url&gt;https://www.sciencedirect.com/science/article/pii/S0022311520313040&lt;/url&gt;&lt;/related-urls&gt;&lt;/urls&gt;&lt;electronic-resource-num&gt;https://doi.org/10.1016/j.jnucmat.2020.152696&lt;/electronic-resource-num&gt;&lt;/record&gt;&lt;/Cite&gt;&lt;/EndNote&gt;</w:instrText>
      </w:r>
      <w:r w:rsidR="00BA37DA" w:rsidRPr="0074556C">
        <w:fldChar w:fldCharType="separate"/>
      </w:r>
      <w:r w:rsidR="003026BC">
        <w:rPr>
          <w:noProof/>
        </w:rPr>
        <w:t>[137]</w:t>
      </w:r>
      <w:r w:rsidR="00BA37DA" w:rsidRPr="0074556C">
        <w:fldChar w:fldCharType="end"/>
      </w:r>
      <w:r w:rsidR="00BA37DA" w:rsidRPr="0074556C">
        <w:t xml:space="preserve"> are from PIE of the subcapsules.</w:t>
      </w:r>
      <w:r w:rsidR="00BA37DA">
        <w:t xml:space="preserve"> </w:t>
      </w:r>
      <w:r w:rsidR="00BA37DA" w:rsidRPr="0074556C">
        <w:t xml:space="preserve">Across all fidelities the models agree with the previously developed models within an average of 10 °C. Sources of error between the PIE data and the originally developed models for MF01 were discussed by Harp et al. </w:t>
      </w:r>
      <w:r w:rsidR="00BA37DA" w:rsidRPr="0074556C">
        <w:fldChar w:fldCharType="begin"/>
      </w:r>
      <w:r w:rsidR="003026BC">
        <w:instrText xml:space="preserve"> ADDIN EN.CITE &lt;EndNote&gt;&lt;Cite&gt;&lt;Author&gt;Harp&lt;/Author&gt;&lt;Year&gt;2021&lt;/Year&gt;&lt;RecNum&gt;422&lt;/RecNum&gt;&lt;DisplayText&gt;[137]&lt;/DisplayText&gt;&lt;record&gt;&lt;rec-number&gt;422&lt;/rec-number&gt;&lt;foreign-keys&gt;&lt;key app="EN" db-id="eseee05sfe5vt6efvr0xapvq20vfdsfp5fvf" timestamp="1710037058"&gt;422&lt;/key&gt;&lt;/foreign-keys&gt;&lt;ref-type name="Journal Article"&gt;17&lt;/ref-type&gt;&lt;contributors&gt;&lt;authors&gt;&lt;author&gt;Harp, Jason M.&lt;/author&gt;&lt;author&gt;Morris, Robert N.&lt;/author&gt;&lt;author&gt;Petrie, Christian M.&lt;/author&gt;&lt;author&gt;Burns, Joseph R.&lt;/author&gt;&lt;author&gt;Terrani, Kurt A.&lt;/author&gt;&lt;/authors&gt;&lt;/contributors&gt;&lt;titles&gt;&lt;title&gt;Postirradiation examination from separate effects irradiation testing of uranium nitride kernels and coated particles&lt;/title&gt;&lt;secondary-title&gt;Journal of Nuclear Materials&lt;/secondary-title&gt;&lt;/titles&gt;&lt;periodical&gt;&lt;full-title&gt;Journal of Nuclear Materials&lt;/full-title&gt;&lt;/periodical&gt;&lt;pages&gt;152696&lt;/pages&gt;&lt;volume&gt;544&lt;/volume&gt;&lt;keywords&gt;&lt;keyword&gt;Separate effects&lt;/keyword&gt;&lt;keyword&gt;Irradiation testing&lt;/keyword&gt;&lt;keyword&gt;Postirradiation examination&lt;/keyword&gt;&lt;keyword&gt;Uranium nitride&lt;/keyword&gt;&lt;keyword&gt;TRISO&lt;/keyword&gt;&lt;/keywords&gt;&lt;dates&gt;&lt;year&gt;2021&lt;/year&gt;&lt;pub-dates&gt;&lt;date&gt;2021/02/01/&lt;/date&gt;&lt;/pub-dates&gt;&lt;/dates&gt;&lt;isbn&gt;0022-3115&lt;/isbn&gt;&lt;urls&gt;&lt;related-urls&gt;&lt;url&gt;https://www.sciencedirect.com/science/article/pii/S0022311520313040&lt;/url&gt;&lt;/related-urls&gt;&lt;/urls&gt;&lt;electronic-resource-num&gt;https://doi.org/10.1016/j.jnucmat.2020.152696&lt;/electronic-resource-num&gt;&lt;/record&gt;&lt;/Cite&gt;&lt;/EndNote&gt;</w:instrText>
      </w:r>
      <w:r w:rsidR="00BA37DA" w:rsidRPr="0074556C">
        <w:fldChar w:fldCharType="separate"/>
      </w:r>
      <w:r w:rsidR="003026BC">
        <w:rPr>
          <w:noProof/>
        </w:rPr>
        <w:t>[137]</w:t>
      </w:r>
      <w:r w:rsidR="00BA37DA" w:rsidRPr="0074556C">
        <w:fldChar w:fldCharType="end"/>
      </w:r>
      <w:r w:rsidR="00BA37DA" w:rsidRPr="0074556C">
        <w:t xml:space="preserve">. The primary sources of error were hypothesized as differences in the as-built subcapsule geometry and fill gas composition, and in the HFIR loading from the time of calculation to the time of insertion, </w:t>
      </w:r>
      <w:r w:rsidR="00BA37DA">
        <w:t>which altered</w:t>
      </w:r>
      <w:r w:rsidR="00BA37DA" w:rsidRPr="0074556C">
        <w:t xml:space="preserve"> the component gamma heating rates. </w:t>
      </w:r>
      <w:bookmarkStart w:id="151" w:name="_Ref171675795"/>
      <w:r w:rsidR="00147085" w:rsidRPr="0074556C">
        <w:t xml:space="preserve">These potential sources of uncertainty </w:t>
      </w:r>
      <w:r w:rsidR="00147085">
        <w:t>will</w:t>
      </w:r>
      <w:r w:rsidR="00147085" w:rsidRPr="0074556C">
        <w:t xml:space="preserve"> all</w:t>
      </w:r>
      <w:r w:rsidR="00147085">
        <w:t xml:space="preserve"> be</w:t>
      </w:r>
      <w:r w:rsidR="00147085" w:rsidRPr="0074556C">
        <w:t xml:space="preserve"> inspected within</w:t>
      </w:r>
      <w:r w:rsidR="00147085">
        <w:t xml:space="preserve"> the</w:t>
      </w:r>
      <w:r w:rsidR="00147085" w:rsidRPr="0074556C">
        <w:t xml:space="preserve"> sensitivity analyses.</w:t>
      </w:r>
    </w:p>
    <w:p w14:paraId="267D2581" w14:textId="39EE7877" w:rsidR="00C14268" w:rsidRPr="00147085" w:rsidRDefault="00147085" w:rsidP="00F22A75">
      <w:pPr>
        <w:rPr>
          <w:rFonts w:ascii="Cambria Math" w:hAnsi="Cambria Math"/>
          <w:iCs/>
          <w:color w:val="000000" w:themeColor="text1"/>
        </w:rPr>
      </w:pPr>
      <w:r w:rsidRPr="0074556C">
        <w:t>The results of the model-to-model comparison are given in</w:t>
      </w:r>
      <w:r>
        <w:t xml:space="preserve"> </w:t>
      </w:r>
      <w:r w:rsidRPr="007258A1">
        <w:rPr>
          <w:b/>
          <w:bCs/>
        </w:rPr>
        <w:fldChar w:fldCharType="begin"/>
      </w:r>
      <w:r w:rsidRPr="007258A1">
        <w:rPr>
          <w:b/>
          <w:bCs/>
        </w:rPr>
        <w:instrText xml:space="preserve"> REF _Ref198131746 \h </w:instrText>
      </w:r>
      <w:r>
        <w:rPr>
          <w:b/>
          <w:bCs/>
        </w:rPr>
        <w:instrText xml:space="preserve"> \* MERGEFORMAT </w:instrText>
      </w:r>
      <w:r w:rsidRPr="007258A1">
        <w:rPr>
          <w:b/>
          <w:bCs/>
        </w:rPr>
      </w:r>
      <w:r w:rsidRPr="007258A1">
        <w:rPr>
          <w:b/>
          <w:bCs/>
        </w:rPr>
        <w:fldChar w:fldCharType="separate"/>
      </w:r>
      <w:r w:rsidR="00BF7E93" w:rsidRPr="00BF7E93">
        <w:rPr>
          <w:b/>
          <w:bCs/>
        </w:rPr>
        <w:t xml:space="preserve">Table </w:t>
      </w:r>
      <w:r w:rsidR="00BF7E93" w:rsidRPr="00BF7E93">
        <w:rPr>
          <w:b/>
          <w:bCs/>
          <w:noProof/>
        </w:rPr>
        <w:t>4.5</w:t>
      </w:r>
      <w:r w:rsidRPr="007258A1">
        <w:rPr>
          <w:b/>
          <w:bCs/>
        </w:rPr>
        <w:fldChar w:fldCharType="end"/>
      </w:r>
      <w:r>
        <w:t xml:space="preserve">. </w:t>
      </w:r>
      <w:r w:rsidRPr="0074556C">
        <w:t xml:space="preserve">From the comparison, the results </w:t>
      </w:r>
      <w:r>
        <w:t>show</w:t>
      </w:r>
      <w:r w:rsidRPr="0074556C">
        <w:t xml:space="preserve"> relatively good agreement</w:t>
      </w:r>
      <w:r>
        <w:t xml:space="preserve"> </w:t>
      </w:r>
      <w:r w:rsidRPr="0074556C">
        <w:t xml:space="preserve">across all fidelities, but there is a consistent difference in average fuel temperature of ~28 </w:t>
      </w:r>
      <w:r>
        <w:t>°</w:t>
      </w:r>
      <w:r w:rsidRPr="0074556C">
        <w:t>C even though the modeling methodologies for the development of both models and the data used for both model calculations are the same. This temperature difference is thought to be associated with axial heat transfer between the subcapsules in the full target that is not accounted for in the reduced</w:t>
      </w:r>
      <w:r>
        <w:t>-</w:t>
      </w:r>
      <w:r w:rsidRPr="0074556C">
        <w:t>order single</w:t>
      </w:r>
      <w:r>
        <w:t>-</w:t>
      </w:r>
      <w:r w:rsidRPr="0074556C">
        <w:t>subcapsule model. Overall, the single</w:t>
      </w:r>
      <w:r>
        <w:t>-</w:t>
      </w:r>
      <w:r w:rsidRPr="0074556C">
        <w:t>subcapsule model is</w:t>
      </w:r>
      <w:r>
        <w:t xml:space="preserve"> </w:t>
      </w:r>
      <w:r w:rsidRPr="0074556C">
        <w:t>sufficient in capturing the behavior of the full irradiation target as the general trends in the fuel temperature match those of MF01 and RB01.</w:t>
      </w:r>
      <w:r w:rsidR="00BA37DA">
        <w:br w:type="page"/>
      </w:r>
      <w:bookmarkStart w:id="152" w:name="_Ref198117638"/>
    </w:p>
    <w:p w14:paraId="426963A6" w14:textId="4F0BBF85" w:rsidR="00C14268" w:rsidRPr="0074556C" w:rsidRDefault="005B3270" w:rsidP="00874CBB">
      <w:pPr>
        <w:pStyle w:val="Caption"/>
      </w:pPr>
      <w:bookmarkStart w:id="153" w:name="_Ref198131719"/>
      <w:bookmarkStart w:id="154" w:name="_Toc202957525"/>
      <w:bookmarkEnd w:id="152"/>
      <w:r w:rsidRPr="009D2AA9">
        <w:lastRenderedPageBreak/>
        <w:t xml:space="preserve">Table </w:t>
      </w:r>
      <w:fldSimple w:instr=" STYLEREF 1 \s ">
        <w:r w:rsidR="00BF7E93">
          <w:rPr>
            <w:noProof/>
          </w:rPr>
          <w:t>4</w:t>
        </w:r>
      </w:fldSimple>
      <w:r w:rsidRPr="009D2AA9">
        <w:t>.</w:t>
      </w:r>
      <w:fldSimple w:instr=" SEQ Table \* ARABIC \s 1 ">
        <w:r w:rsidR="00BF7E93">
          <w:rPr>
            <w:noProof/>
          </w:rPr>
          <w:t>4</w:t>
        </w:r>
      </w:fldSimple>
      <w:bookmarkEnd w:id="153"/>
      <w:r w:rsidRPr="009D2AA9">
        <w:t xml:space="preserve">. </w:t>
      </w:r>
      <w:r w:rsidR="00C14268" w:rsidRPr="0074556C">
        <w:t xml:space="preserve">MF01 time averaged fuel temperature prediction with model by Petrie et al. </w:t>
      </w:r>
      <w:r w:rsidR="00C14268" w:rsidRPr="0074556C">
        <w:fldChar w:fldCharType="begin"/>
      </w:r>
      <w:r w:rsidR="00C14268">
        <w:instrText xml:space="preserve"> ADDIN EN.CITE &lt;EndNote&gt;&lt;Cite&gt;&lt;Author&gt;Petrie&lt;/Author&gt;&lt;Year&gt;2019&lt;/Year&gt;&lt;RecNum&gt;330&lt;/RecNum&gt;&lt;DisplayText&gt;[22]&lt;/DisplayText&gt;&lt;record&gt;&lt;rec-number&gt;330&lt;/rec-number&gt;&lt;foreign-keys&gt;&lt;key app="EN" db-id="eseee05sfe5vt6efvr0xapvq20vfdsfp5fvf" timestamp="1694799017" guid="87a38962-dc46-43d3-b93c-17a925259823"&gt;330&lt;/key&gt;&lt;/foreign-keys&gt;&lt;ref-type name="Journal Article"&gt;17&lt;/ref-type&gt;&lt;contributors&gt;&lt;authors&gt;&lt;author&gt;Petrie, Christian M.&lt;/author&gt;&lt;author&gt;Burns, Joseph R.&lt;/author&gt;&lt;author&gt;Raftery, Alicia M.&lt;/author&gt;&lt;author&gt;Nelson, Andrew T.&lt;/author&gt;&lt;author&gt;Terrani, Kurt A.&lt;/author&gt;&lt;/authors&gt;&lt;/contributors&gt;&lt;titles&gt;&lt;title&gt;Separate effects irradiation testing of miniature fuel specimens&lt;/title&gt;&lt;secondary-title&gt;Journal of Nuclear Materials&lt;/secondary-title&gt;&lt;/titles&gt;&lt;periodical&gt;&lt;full-title&gt;Journal of Nuclear Materials&lt;/full-title&gt;&lt;/periodical&gt;&lt;pages&gt;151783&lt;/pages&gt;&lt;volume&gt;526&lt;/volume&gt;&lt;keywords&gt;&lt;keyword&gt;Fuel&lt;/keyword&gt;&lt;keyword&gt;Irradiation&lt;/keyword&gt;&lt;keyword&gt;Separate effects&lt;/keyword&gt;&lt;keyword&gt;Burnup&lt;/keyword&gt;&lt;/keywords&gt;&lt;dates&gt;&lt;year&gt;2019&lt;/year&gt;&lt;pub-dates&gt;&lt;date&gt;2019/12/01/&lt;/date&gt;&lt;/pub-dates&gt;&lt;/dates&gt;&lt;isbn&gt;0022-3115&lt;/isbn&gt;&lt;urls&gt;&lt;related-urls&gt;&lt;url&gt;https://www.sciencedirect.com/science/article/pii/S0022311519304155&lt;/url&gt;&lt;/related-urls&gt;&lt;/urls&gt;&lt;electronic-resource-num&gt;https://doi.org/10.1016/j.jnucmat.2019.151783&lt;/electronic-resource-num&gt;&lt;/record&gt;&lt;/Cite&gt;&lt;/EndNote&gt;</w:instrText>
      </w:r>
      <w:r w:rsidR="00C14268" w:rsidRPr="0074556C">
        <w:fldChar w:fldCharType="separate"/>
      </w:r>
      <w:r w:rsidR="00C14268">
        <w:rPr>
          <w:noProof/>
        </w:rPr>
        <w:t>[22]</w:t>
      </w:r>
      <w:r w:rsidR="00C14268" w:rsidRPr="0074556C">
        <w:fldChar w:fldCharType="end"/>
      </w:r>
      <w:r w:rsidR="00C14268" w:rsidRPr="0074556C">
        <w:t xml:space="preserve"> and PIE data from Harp et al. </w:t>
      </w:r>
      <w:r w:rsidR="00C14268" w:rsidRPr="0074556C">
        <w:fldChar w:fldCharType="begin"/>
      </w:r>
      <w:r w:rsidR="003026BC">
        <w:instrText xml:space="preserve"> ADDIN EN.CITE &lt;EndNote&gt;&lt;Cite&gt;&lt;Author&gt;Harp&lt;/Author&gt;&lt;Year&gt;2021&lt;/Year&gt;&lt;RecNum&gt;422&lt;/RecNum&gt;&lt;DisplayText&gt;[137]&lt;/DisplayText&gt;&lt;record&gt;&lt;rec-number&gt;422&lt;/rec-number&gt;&lt;foreign-keys&gt;&lt;key app="EN" db-id="eseee05sfe5vt6efvr0xapvq20vfdsfp5fvf" timestamp="1710037058"&gt;422&lt;/key&gt;&lt;/foreign-keys&gt;&lt;ref-type name="Journal Article"&gt;17&lt;/ref-type&gt;&lt;contributors&gt;&lt;authors&gt;&lt;author&gt;Harp, Jason M.&lt;/author&gt;&lt;author&gt;Morris, Robert N.&lt;/author&gt;&lt;author&gt;Petrie, Christian M.&lt;/author&gt;&lt;author&gt;Burns, Joseph R.&lt;/author&gt;&lt;author&gt;Terrani, Kurt A.&lt;/author&gt;&lt;/authors&gt;&lt;/contributors&gt;&lt;titles&gt;&lt;title&gt;Postirradiation examination from separate effects irradiation testing of uranium nitride kernels and coated particles&lt;/title&gt;&lt;secondary-title&gt;Journal of Nuclear Materials&lt;/secondary-title&gt;&lt;/titles&gt;&lt;periodical&gt;&lt;full-title&gt;Journal of Nuclear Materials&lt;/full-title&gt;&lt;/periodical&gt;&lt;pages&gt;152696&lt;/pages&gt;&lt;volume&gt;544&lt;/volume&gt;&lt;keywords&gt;&lt;keyword&gt;Separate effects&lt;/keyword&gt;&lt;keyword&gt;Irradiation testing&lt;/keyword&gt;&lt;keyword&gt;Postirradiation examination&lt;/keyword&gt;&lt;keyword&gt;Uranium nitride&lt;/keyword&gt;&lt;keyword&gt;TRISO&lt;/keyword&gt;&lt;/keywords&gt;&lt;dates&gt;&lt;year&gt;2021&lt;/year&gt;&lt;pub-dates&gt;&lt;date&gt;2021/02/01/&lt;/date&gt;&lt;/pub-dates&gt;&lt;/dates&gt;&lt;isbn&gt;0022-3115&lt;/isbn&gt;&lt;urls&gt;&lt;related-urls&gt;&lt;url&gt;https://www.sciencedirect.com/science/article/pii/S0022311520313040&lt;/url&gt;&lt;/related-urls&gt;&lt;/urls&gt;&lt;electronic-resource-num&gt;https://doi.org/10.1016/j.jnucmat.2020.152696&lt;/electronic-resource-num&gt;&lt;/record&gt;&lt;/Cite&gt;&lt;/EndNote&gt;</w:instrText>
      </w:r>
      <w:r w:rsidR="00C14268" w:rsidRPr="0074556C">
        <w:fldChar w:fldCharType="separate"/>
      </w:r>
      <w:r w:rsidR="003026BC">
        <w:rPr>
          <w:noProof/>
        </w:rPr>
        <w:t>[137]</w:t>
      </w:r>
      <w:bookmarkEnd w:id="154"/>
      <w:r w:rsidR="00C14268" w:rsidRPr="0074556C">
        <w:fldChar w:fldCharType="end"/>
      </w:r>
    </w:p>
    <w:tbl>
      <w:tblPr>
        <w:tblStyle w:val="TableGrid"/>
        <w:tblW w:w="5341" w:type="dxa"/>
        <w:tblInd w:w="1642" w:type="dxa"/>
        <w:tblLayout w:type="fixed"/>
        <w:tblLook w:val="04A0" w:firstRow="1" w:lastRow="0" w:firstColumn="1" w:lastColumn="0" w:noHBand="0" w:noVBand="1"/>
      </w:tblPr>
      <w:tblGrid>
        <w:gridCol w:w="1471"/>
        <w:gridCol w:w="1530"/>
        <w:gridCol w:w="1170"/>
        <w:gridCol w:w="1170"/>
      </w:tblGrid>
      <w:tr w:rsidR="00C14268" w:rsidRPr="0074556C" w14:paraId="0F8FE9AE" w14:textId="77777777" w:rsidTr="00AE2101">
        <w:tc>
          <w:tcPr>
            <w:tcW w:w="1471" w:type="dxa"/>
          </w:tcPr>
          <w:p w14:paraId="6020BAA8" w14:textId="77777777" w:rsidR="00C14268" w:rsidRPr="0074556C" w:rsidRDefault="00C14268" w:rsidP="00AE2101">
            <w:r w:rsidRPr="0074556C">
              <w:t>Subcapsule</w:t>
            </w:r>
          </w:p>
          <w:p w14:paraId="62A5B9B0" w14:textId="77777777" w:rsidR="00C14268" w:rsidRPr="0074556C" w:rsidRDefault="00C14268" w:rsidP="00AE2101">
            <w:r w:rsidRPr="0074556C">
              <w:t>Number</w:t>
            </w:r>
          </w:p>
        </w:tc>
        <w:tc>
          <w:tcPr>
            <w:tcW w:w="1530" w:type="dxa"/>
          </w:tcPr>
          <w:p w14:paraId="0AD17C0B" w14:textId="77777777" w:rsidR="00C14268" w:rsidRPr="0074556C" w:rsidRDefault="00C14268" w:rsidP="00AE2101">
            <w:r w:rsidRPr="0074556C">
              <w:t>Single</w:t>
            </w:r>
          </w:p>
          <w:p w14:paraId="21906314" w14:textId="77777777" w:rsidR="00C14268" w:rsidRPr="0074556C" w:rsidRDefault="00C14268" w:rsidP="00AE2101">
            <w:r w:rsidRPr="0074556C">
              <w:t>Subcapsule</w:t>
            </w:r>
          </w:p>
          <w:p w14:paraId="3B35A8C5" w14:textId="77777777" w:rsidR="00C14268" w:rsidRPr="0074556C" w:rsidRDefault="00C14268" w:rsidP="00AE2101">
            <w:r w:rsidRPr="0074556C">
              <w:t>2-D</w:t>
            </w:r>
          </w:p>
        </w:tc>
        <w:tc>
          <w:tcPr>
            <w:tcW w:w="1170" w:type="dxa"/>
          </w:tcPr>
          <w:p w14:paraId="14985161" w14:textId="77777777" w:rsidR="00C14268" w:rsidRPr="0074556C" w:rsidRDefault="00C14268" w:rsidP="00AE2101">
            <w:pPr>
              <w:ind w:right="-16"/>
            </w:pPr>
            <w:r w:rsidRPr="0074556C">
              <w:t>Petrie et al. Model</w:t>
            </w:r>
          </w:p>
        </w:tc>
        <w:tc>
          <w:tcPr>
            <w:tcW w:w="1170" w:type="dxa"/>
          </w:tcPr>
          <w:p w14:paraId="3276B87A" w14:textId="77777777" w:rsidR="00C14268" w:rsidRPr="0074556C" w:rsidRDefault="00C14268" w:rsidP="00AE2101">
            <w:pPr>
              <w:ind w:right="-16"/>
            </w:pPr>
            <w:r w:rsidRPr="0074556C">
              <w:t>Harp et al. PIE</w:t>
            </w:r>
          </w:p>
        </w:tc>
      </w:tr>
      <w:tr w:rsidR="00C14268" w:rsidRPr="0074556C" w14:paraId="3A59298C" w14:textId="77777777" w:rsidTr="00AE2101">
        <w:tc>
          <w:tcPr>
            <w:tcW w:w="1471" w:type="dxa"/>
          </w:tcPr>
          <w:p w14:paraId="1F046505" w14:textId="77777777" w:rsidR="00C14268" w:rsidRPr="0074556C" w:rsidRDefault="00C14268" w:rsidP="00AE2101">
            <w:r w:rsidRPr="0074556C">
              <w:t>1</w:t>
            </w:r>
          </w:p>
        </w:tc>
        <w:tc>
          <w:tcPr>
            <w:tcW w:w="1530" w:type="dxa"/>
          </w:tcPr>
          <w:p w14:paraId="06A43C20" w14:textId="2C059DCA" w:rsidR="00C14268" w:rsidRPr="0074556C" w:rsidRDefault="00C14268" w:rsidP="00AE2101">
            <w:r w:rsidRPr="0074556C">
              <w:t>515</w:t>
            </w:r>
            <w:r>
              <w:t xml:space="preserve"> </w:t>
            </w:r>
            <w:r w:rsidR="00114808" w:rsidRPr="0074556C">
              <w:t>°</w:t>
            </w:r>
            <w:r>
              <w:t>C</w:t>
            </w:r>
          </w:p>
        </w:tc>
        <w:tc>
          <w:tcPr>
            <w:tcW w:w="1170" w:type="dxa"/>
          </w:tcPr>
          <w:p w14:paraId="65A339CA" w14:textId="03E4D854" w:rsidR="00C14268" w:rsidRPr="0074556C" w:rsidRDefault="00C14268" w:rsidP="00AE2101">
            <w:r w:rsidRPr="0074556C">
              <w:t>502</w:t>
            </w:r>
            <w:r>
              <w:t xml:space="preserve"> </w:t>
            </w:r>
            <w:r w:rsidR="00114808" w:rsidRPr="0074556C">
              <w:t>°</w:t>
            </w:r>
            <w:r>
              <w:t>C</w:t>
            </w:r>
          </w:p>
        </w:tc>
        <w:tc>
          <w:tcPr>
            <w:tcW w:w="1170" w:type="dxa"/>
          </w:tcPr>
          <w:p w14:paraId="41ECF3FE" w14:textId="18639503" w:rsidR="00C14268" w:rsidRPr="0074556C" w:rsidRDefault="00C14268" w:rsidP="00AE2101">
            <w:r w:rsidRPr="0074556C">
              <w:t>451</w:t>
            </w:r>
            <w:r>
              <w:t xml:space="preserve"> </w:t>
            </w:r>
            <w:r w:rsidR="00114808" w:rsidRPr="0074556C">
              <w:t>°</w:t>
            </w:r>
            <w:r>
              <w:t>C</w:t>
            </w:r>
          </w:p>
        </w:tc>
      </w:tr>
      <w:tr w:rsidR="00C14268" w:rsidRPr="0074556C" w14:paraId="105D534E" w14:textId="77777777" w:rsidTr="00AE2101">
        <w:tc>
          <w:tcPr>
            <w:tcW w:w="1471" w:type="dxa"/>
          </w:tcPr>
          <w:p w14:paraId="099BA446" w14:textId="77777777" w:rsidR="00C14268" w:rsidRPr="0074556C" w:rsidRDefault="00C14268" w:rsidP="00AE2101">
            <w:r w:rsidRPr="0074556C">
              <w:t>2</w:t>
            </w:r>
          </w:p>
        </w:tc>
        <w:tc>
          <w:tcPr>
            <w:tcW w:w="1530" w:type="dxa"/>
          </w:tcPr>
          <w:p w14:paraId="32F9BEB0" w14:textId="6E8326A5" w:rsidR="00C14268" w:rsidRPr="0074556C" w:rsidRDefault="00C14268" w:rsidP="00AE2101">
            <w:r w:rsidRPr="0074556C">
              <w:t>519</w:t>
            </w:r>
            <w:r>
              <w:t xml:space="preserve"> </w:t>
            </w:r>
            <w:r w:rsidR="00114808" w:rsidRPr="0074556C">
              <w:t>°</w:t>
            </w:r>
            <w:r>
              <w:t>C</w:t>
            </w:r>
          </w:p>
        </w:tc>
        <w:tc>
          <w:tcPr>
            <w:tcW w:w="1170" w:type="dxa"/>
          </w:tcPr>
          <w:p w14:paraId="321534B0" w14:textId="03418701" w:rsidR="00C14268" w:rsidRPr="0074556C" w:rsidRDefault="00C14268" w:rsidP="00AE2101">
            <w:r w:rsidRPr="0074556C">
              <w:t>512</w:t>
            </w:r>
            <w:r>
              <w:t xml:space="preserve"> </w:t>
            </w:r>
            <w:r w:rsidR="00114808" w:rsidRPr="0074556C">
              <w:t>°</w:t>
            </w:r>
            <w:r>
              <w:t>C</w:t>
            </w:r>
          </w:p>
        </w:tc>
        <w:tc>
          <w:tcPr>
            <w:tcW w:w="1170" w:type="dxa"/>
          </w:tcPr>
          <w:p w14:paraId="72931A1A" w14:textId="5FC4B513" w:rsidR="00C14268" w:rsidRPr="0074556C" w:rsidRDefault="00C14268" w:rsidP="00AE2101">
            <w:r w:rsidRPr="0074556C">
              <w:t>462</w:t>
            </w:r>
            <w:r>
              <w:t xml:space="preserve"> </w:t>
            </w:r>
            <w:r w:rsidR="00114808" w:rsidRPr="0074556C">
              <w:t>°</w:t>
            </w:r>
            <w:r>
              <w:t>C</w:t>
            </w:r>
          </w:p>
        </w:tc>
      </w:tr>
      <w:tr w:rsidR="00C14268" w:rsidRPr="0074556C" w14:paraId="686DB07A" w14:textId="77777777" w:rsidTr="00AE2101">
        <w:tc>
          <w:tcPr>
            <w:tcW w:w="1471" w:type="dxa"/>
          </w:tcPr>
          <w:p w14:paraId="6751948D" w14:textId="77777777" w:rsidR="00C14268" w:rsidRPr="0074556C" w:rsidRDefault="00C14268" w:rsidP="00AE2101">
            <w:r w:rsidRPr="0074556C">
              <w:t>5</w:t>
            </w:r>
          </w:p>
        </w:tc>
        <w:tc>
          <w:tcPr>
            <w:tcW w:w="1530" w:type="dxa"/>
          </w:tcPr>
          <w:p w14:paraId="3FBCCE6C" w14:textId="386E8718" w:rsidR="00C14268" w:rsidRPr="0074556C" w:rsidRDefault="00C14268" w:rsidP="00AE2101">
            <w:r w:rsidRPr="0074556C">
              <w:t>497</w:t>
            </w:r>
            <w:r>
              <w:t xml:space="preserve"> </w:t>
            </w:r>
            <w:r w:rsidR="00114808" w:rsidRPr="0074556C">
              <w:t>°</w:t>
            </w:r>
            <w:r>
              <w:t>C</w:t>
            </w:r>
          </w:p>
        </w:tc>
        <w:tc>
          <w:tcPr>
            <w:tcW w:w="1170" w:type="dxa"/>
          </w:tcPr>
          <w:p w14:paraId="4947DFF9" w14:textId="7D4BD360" w:rsidR="00C14268" w:rsidRPr="0074556C" w:rsidRDefault="00C14268" w:rsidP="00AE2101">
            <w:r w:rsidRPr="0074556C">
              <w:t>499</w:t>
            </w:r>
            <w:r>
              <w:t xml:space="preserve"> </w:t>
            </w:r>
            <w:r w:rsidR="00114808" w:rsidRPr="0074556C">
              <w:t>°</w:t>
            </w:r>
            <w:r>
              <w:t>C</w:t>
            </w:r>
          </w:p>
        </w:tc>
        <w:tc>
          <w:tcPr>
            <w:tcW w:w="1170" w:type="dxa"/>
          </w:tcPr>
          <w:p w14:paraId="65682C05" w14:textId="60F8F7EF" w:rsidR="00C14268" w:rsidRPr="0074556C" w:rsidRDefault="00C14268" w:rsidP="00AE2101">
            <w:r w:rsidRPr="0074556C">
              <w:t>446</w:t>
            </w:r>
            <w:r>
              <w:t xml:space="preserve"> </w:t>
            </w:r>
            <w:r w:rsidR="00114808" w:rsidRPr="0074556C">
              <w:t>°</w:t>
            </w:r>
            <w:r>
              <w:t>C</w:t>
            </w:r>
          </w:p>
        </w:tc>
      </w:tr>
    </w:tbl>
    <w:p w14:paraId="02513288" w14:textId="77777777" w:rsidR="008B5EE4" w:rsidRDefault="008B5EE4" w:rsidP="008110D5">
      <w:bookmarkStart w:id="155" w:name="_Ref198117676"/>
      <w:bookmarkEnd w:id="151"/>
    </w:p>
    <w:p w14:paraId="02FD69F2" w14:textId="29178D34" w:rsidR="003E2B8A" w:rsidRDefault="003E2B8A" w:rsidP="00147085">
      <w:pPr>
        <w:spacing w:line="240" w:lineRule="auto"/>
      </w:pPr>
      <w:r>
        <w:br w:type="page"/>
      </w:r>
    </w:p>
    <w:p w14:paraId="6955BA39" w14:textId="2039D9B4" w:rsidR="00BA37DA" w:rsidRPr="0074556C" w:rsidRDefault="005B3270" w:rsidP="00874CBB">
      <w:pPr>
        <w:pStyle w:val="Caption"/>
      </w:pPr>
      <w:bookmarkStart w:id="156" w:name="_Ref198131746"/>
      <w:bookmarkStart w:id="157" w:name="_Toc202957526"/>
      <w:bookmarkEnd w:id="155"/>
      <w:r w:rsidRPr="009D2AA9">
        <w:lastRenderedPageBreak/>
        <w:t xml:space="preserve">Table </w:t>
      </w:r>
      <w:fldSimple w:instr=" STYLEREF 1 \s ">
        <w:r w:rsidR="00BF7E93">
          <w:rPr>
            <w:noProof/>
          </w:rPr>
          <w:t>4</w:t>
        </w:r>
      </w:fldSimple>
      <w:r w:rsidRPr="009D2AA9">
        <w:t>.</w:t>
      </w:r>
      <w:fldSimple w:instr=" SEQ Table \* ARABIC \s 1 ">
        <w:r w:rsidR="00BF7E93">
          <w:rPr>
            <w:noProof/>
          </w:rPr>
          <w:t>5</w:t>
        </w:r>
      </w:fldSimple>
      <w:bookmarkEnd w:id="156"/>
      <w:r w:rsidRPr="009D2AA9">
        <w:t xml:space="preserve">. </w:t>
      </w:r>
      <w:r w:rsidR="00BA37DA" w:rsidRPr="0074556C">
        <w:t>RB01 model-to-model comparison of time</w:t>
      </w:r>
      <w:r w:rsidR="00BA37DA">
        <w:t>-</w:t>
      </w:r>
      <w:r w:rsidR="00BA37DA" w:rsidRPr="0074556C">
        <w:t xml:space="preserve">averaged fuel temperature prediction with model by Gorton et al.  </w:t>
      </w:r>
      <w:r w:rsidR="00BA37DA" w:rsidRPr="0074556C">
        <w:fldChar w:fldCharType="begin"/>
      </w:r>
      <w:r w:rsidR="003026BC">
        <w:instrText xml:space="preserve"> ADDIN EN.CITE &lt;EndNote&gt;&lt;Cite&gt;&lt;Author&gt;Gorton&lt;/Author&gt;&lt;Year&gt;2024&lt;/Year&gt;&lt;RecNum&gt;507&lt;/RecNum&gt;&lt;DisplayText&gt;[133]&lt;/DisplayText&gt;&lt;record&gt;&lt;rec-number&gt;507&lt;/rec-number&gt;&lt;foreign-keys&gt;&lt;key app="EN" db-id="eseee05sfe5vt6efvr0xapvq20vfdsfp5fvf" timestamp="1721161778"&gt;507&lt;/key&gt;&lt;/foreign-keys&gt;&lt;ref-type name="Journal Article"&gt;17&lt;/ref-type&gt;&lt;contributors&gt;&lt;authors&gt;&lt;author&gt;Gorton, Jacob&lt;/author&gt;&lt;author&gt;Le Coq, Annabelle&lt;/author&gt;&lt;author&gt;Wallen, Zane G.&lt;/author&gt;&lt;author&gt;Petrie, Christian M.&lt;/author&gt;&lt;author&gt;White, Joshua T.&lt;/author&gt;&lt;author&gt;Dunwoody, John T.&lt;/author&gt;&lt;author&gt;Mann, Shane&lt;/author&gt;&lt;author&gt;Capps, Nathan A.&lt;/author&gt;&lt;author&gt;Nelson, Andrew T.&lt;/author&gt;&lt;/authors&gt;&lt;/contributors&gt;&lt;titles&gt;&lt;title&gt;Separate effects irradiation testing targeting fission gas release from Cr-doped UO2&lt;/title&gt;&lt;secondary-title&gt;Nuclear Engineering and Design&lt;/secondary-title&gt;&lt;/titles&gt;&lt;periodical&gt;&lt;full-title&gt;Nuclear Engineering and Design&lt;/full-title&gt;&lt;/periodical&gt;&lt;volume&gt;In Review&lt;/volume&gt;&lt;dates&gt;&lt;year&gt;2024&lt;/year&gt;&lt;/dates&gt;&lt;urls&gt;&lt;/urls&gt;&lt;/record&gt;&lt;/Cite&gt;&lt;/EndNote&gt;</w:instrText>
      </w:r>
      <w:r w:rsidR="00BA37DA" w:rsidRPr="0074556C">
        <w:fldChar w:fldCharType="separate"/>
      </w:r>
      <w:r w:rsidR="003026BC">
        <w:rPr>
          <w:noProof/>
        </w:rPr>
        <w:t>[133]</w:t>
      </w:r>
      <w:r w:rsidR="00BA37DA" w:rsidRPr="0074556C">
        <w:fldChar w:fldCharType="end"/>
      </w:r>
      <w:r w:rsidR="00BA37DA" w:rsidRPr="0074556C">
        <w:t>.</w:t>
      </w:r>
      <w:bookmarkEnd w:id="157"/>
    </w:p>
    <w:tbl>
      <w:tblPr>
        <w:tblStyle w:val="TableGrid"/>
        <w:tblW w:w="4171" w:type="dxa"/>
        <w:tblInd w:w="2224" w:type="dxa"/>
        <w:tblLayout w:type="fixed"/>
        <w:tblLook w:val="04A0" w:firstRow="1" w:lastRow="0" w:firstColumn="1" w:lastColumn="0" w:noHBand="0" w:noVBand="1"/>
      </w:tblPr>
      <w:tblGrid>
        <w:gridCol w:w="1471"/>
        <w:gridCol w:w="1530"/>
        <w:gridCol w:w="1170"/>
      </w:tblGrid>
      <w:tr w:rsidR="00BA37DA" w:rsidRPr="0074556C" w14:paraId="3E0B77BA" w14:textId="77777777" w:rsidTr="00AE2101">
        <w:tc>
          <w:tcPr>
            <w:tcW w:w="1471" w:type="dxa"/>
          </w:tcPr>
          <w:p w14:paraId="18D6096E" w14:textId="77777777" w:rsidR="00BA37DA" w:rsidRPr="0074556C" w:rsidRDefault="00BA37DA" w:rsidP="00AE2101">
            <w:r w:rsidRPr="0074556C">
              <w:t>Subcapsule</w:t>
            </w:r>
          </w:p>
          <w:p w14:paraId="663489F0" w14:textId="77777777" w:rsidR="00BA37DA" w:rsidRPr="0074556C" w:rsidRDefault="00BA37DA" w:rsidP="00AE2101">
            <w:r w:rsidRPr="0074556C">
              <w:t>Number</w:t>
            </w:r>
          </w:p>
        </w:tc>
        <w:tc>
          <w:tcPr>
            <w:tcW w:w="1530" w:type="dxa"/>
          </w:tcPr>
          <w:p w14:paraId="089CB93F" w14:textId="77777777" w:rsidR="00BA37DA" w:rsidRPr="0074556C" w:rsidRDefault="00BA37DA" w:rsidP="00AE2101">
            <w:r w:rsidRPr="0074556C">
              <w:t>Single</w:t>
            </w:r>
          </w:p>
          <w:p w14:paraId="7F7B5F6E" w14:textId="77777777" w:rsidR="00BA37DA" w:rsidRPr="0074556C" w:rsidRDefault="00BA37DA" w:rsidP="00AE2101">
            <w:r w:rsidRPr="0074556C">
              <w:t>Subcapsule</w:t>
            </w:r>
          </w:p>
          <w:p w14:paraId="3B08EBFB" w14:textId="77777777" w:rsidR="00BA37DA" w:rsidRPr="0074556C" w:rsidRDefault="00BA37DA" w:rsidP="00AE2101">
            <w:r w:rsidRPr="0074556C">
              <w:t>2-D</w:t>
            </w:r>
          </w:p>
        </w:tc>
        <w:tc>
          <w:tcPr>
            <w:tcW w:w="1170" w:type="dxa"/>
          </w:tcPr>
          <w:p w14:paraId="6051E11C" w14:textId="77777777" w:rsidR="00BA37DA" w:rsidRPr="0074556C" w:rsidRDefault="00BA37DA" w:rsidP="00AE2101">
            <w:r w:rsidRPr="0074556C">
              <w:t>Original</w:t>
            </w:r>
          </w:p>
          <w:p w14:paraId="4035E2B6" w14:textId="77777777" w:rsidR="00BA37DA" w:rsidRPr="0074556C" w:rsidRDefault="00BA37DA" w:rsidP="00AE2101">
            <w:pPr>
              <w:ind w:right="-115"/>
            </w:pPr>
            <w:r w:rsidRPr="0074556C">
              <w:t>RB01</w:t>
            </w:r>
          </w:p>
          <w:p w14:paraId="6E473D67" w14:textId="77777777" w:rsidR="00BA37DA" w:rsidRPr="0074556C" w:rsidRDefault="00BA37DA" w:rsidP="00AE2101">
            <w:pPr>
              <w:ind w:right="-16"/>
            </w:pPr>
            <w:r w:rsidRPr="0074556C">
              <w:t>Model</w:t>
            </w:r>
          </w:p>
        </w:tc>
      </w:tr>
      <w:tr w:rsidR="00BA37DA" w:rsidRPr="0074556C" w14:paraId="5FC28E97" w14:textId="77777777" w:rsidTr="00AE2101">
        <w:tc>
          <w:tcPr>
            <w:tcW w:w="1471" w:type="dxa"/>
          </w:tcPr>
          <w:p w14:paraId="58FCF635" w14:textId="77777777" w:rsidR="00BA37DA" w:rsidRPr="0074556C" w:rsidRDefault="00BA37DA" w:rsidP="00AE2101">
            <w:r w:rsidRPr="0074556C">
              <w:t>1</w:t>
            </w:r>
          </w:p>
        </w:tc>
        <w:tc>
          <w:tcPr>
            <w:tcW w:w="1530" w:type="dxa"/>
          </w:tcPr>
          <w:p w14:paraId="7B7E2EB6" w14:textId="664DB6F7" w:rsidR="00BA37DA" w:rsidRPr="0074556C" w:rsidRDefault="00BA37DA" w:rsidP="00AE2101">
            <w:r w:rsidRPr="0074556C">
              <w:t>1077</w:t>
            </w:r>
            <w:r>
              <w:t xml:space="preserve"> </w:t>
            </w:r>
            <w:r w:rsidR="00114808" w:rsidRPr="0074556C">
              <w:t>°</w:t>
            </w:r>
            <w:r>
              <w:t>C</w:t>
            </w:r>
          </w:p>
        </w:tc>
        <w:tc>
          <w:tcPr>
            <w:tcW w:w="1170" w:type="dxa"/>
          </w:tcPr>
          <w:p w14:paraId="32D2E5B1" w14:textId="3F585846" w:rsidR="00BA37DA" w:rsidRPr="0074556C" w:rsidRDefault="00BA37DA" w:rsidP="00AE2101">
            <w:r w:rsidRPr="0074556C">
              <w:t>1083</w:t>
            </w:r>
            <w:r>
              <w:t xml:space="preserve"> </w:t>
            </w:r>
            <w:r w:rsidR="00114808" w:rsidRPr="0074556C">
              <w:t>°</w:t>
            </w:r>
            <w:r>
              <w:t>C</w:t>
            </w:r>
          </w:p>
        </w:tc>
      </w:tr>
      <w:tr w:rsidR="00BA37DA" w:rsidRPr="0074556C" w14:paraId="4BB5AE8B" w14:textId="77777777" w:rsidTr="00AE2101">
        <w:tc>
          <w:tcPr>
            <w:tcW w:w="1471" w:type="dxa"/>
          </w:tcPr>
          <w:p w14:paraId="45E52826" w14:textId="77777777" w:rsidR="00BA37DA" w:rsidRPr="0074556C" w:rsidRDefault="00BA37DA" w:rsidP="00AE2101">
            <w:r w:rsidRPr="0074556C">
              <w:t>2</w:t>
            </w:r>
          </w:p>
        </w:tc>
        <w:tc>
          <w:tcPr>
            <w:tcW w:w="1530" w:type="dxa"/>
          </w:tcPr>
          <w:p w14:paraId="034205DC" w14:textId="753AA80B" w:rsidR="00BA37DA" w:rsidRPr="0074556C" w:rsidRDefault="00BA37DA" w:rsidP="00AE2101">
            <w:r w:rsidRPr="0074556C">
              <w:t>1069</w:t>
            </w:r>
            <w:r>
              <w:t xml:space="preserve"> </w:t>
            </w:r>
            <w:r w:rsidR="00114808" w:rsidRPr="0074556C">
              <w:t>°</w:t>
            </w:r>
            <w:r>
              <w:t>C</w:t>
            </w:r>
          </w:p>
        </w:tc>
        <w:tc>
          <w:tcPr>
            <w:tcW w:w="1170" w:type="dxa"/>
          </w:tcPr>
          <w:p w14:paraId="16E78A69" w14:textId="3B3F5A82" w:rsidR="00BA37DA" w:rsidRPr="0074556C" w:rsidRDefault="00BA37DA" w:rsidP="00AE2101">
            <w:r w:rsidRPr="0074556C">
              <w:t>1096</w:t>
            </w:r>
            <w:r>
              <w:t xml:space="preserve"> </w:t>
            </w:r>
            <w:r w:rsidR="00114808" w:rsidRPr="0074556C">
              <w:t>°</w:t>
            </w:r>
            <w:r>
              <w:t>C</w:t>
            </w:r>
          </w:p>
        </w:tc>
      </w:tr>
      <w:tr w:rsidR="00BA37DA" w:rsidRPr="0074556C" w14:paraId="5B901530" w14:textId="77777777" w:rsidTr="00AE2101">
        <w:tc>
          <w:tcPr>
            <w:tcW w:w="1471" w:type="dxa"/>
          </w:tcPr>
          <w:p w14:paraId="13F5F785" w14:textId="77777777" w:rsidR="00BA37DA" w:rsidRPr="0074556C" w:rsidRDefault="00BA37DA" w:rsidP="00AE2101">
            <w:r w:rsidRPr="0074556C">
              <w:t>3</w:t>
            </w:r>
          </w:p>
        </w:tc>
        <w:tc>
          <w:tcPr>
            <w:tcW w:w="1530" w:type="dxa"/>
          </w:tcPr>
          <w:p w14:paraId="5E2567CE" w14:textId="4F75CCB2" w:rsidR="00BA37DA" w:rsidRPr="0074556C" w:rsidRDefault="00BA37DA" w:rsidP="00AE2101">
            <w:r w:rsidRPr="0074556C">
              <w:t>1058</w:t>
            </w:r>
            <w:r>
              <w:t xml:space="preserve"> </w:t>
            </w:r>
            <w:r w:rsidR="00114808" w:rsidRPr="0074556C">
              <w:t>°</w:t>
            </w:r>
            <w:r>
              <w:t>C</w:t>
            </w:r>
          </w:p>
        </w:tc>
        <w:tc>
          <w:tcPr>
            <w:tcW w:w="1170" w:type="dxa"/>
          </w:tcPr>
          <w:p w14:paraId="5C0C3668" w14:textId="08800858" w:rsidR="00BA37DA" w:rsidRPr="0074556C" w:rsidRDefault="00BA37DA" w:rsidP="00AE2101">
            <w:r w:rsidRPr="0074556C">
              <w:t>1085</w:t>
            </w:r>
            <w:r>
              <w:t xml:space="preserve"> </w:t>
            </w:r>
            <w:r w:rsidR="00114808" w:rsidRPr="0074556C">
              <w:t>°</w:t>
            </w:r>
            <w:r>
              <w:t>C</w:t>
            </w:r>
          </w:p>
        </w:tc>
      </w:tr>
      <w:tr w:rsidR="00BA37DA" w:rsidRPr="0074556C" w14:paraId="5F3F5EC6" w14:textId="77777777" w:rsidTr="00AE2101">
        <w:tc>
          <w:tcPr>
            <w:tcW w:w="1471" w:type="dxa"/>
          </w:tcPr>
          <w:p w14:paraId="4189B15F" w14:textId="77777777" w:rsidR="00BA37DA" w:rsidRPr="0074556C" w:rsidRDefault="00BA37DA" w:rsidP="00AE2101">
            <w:r w:rsidRPr="0074556C">
              <w:t>4</w:t>
            </w:r>
          </w:p>
        </w:tc>
        <w:tc>
          <w:tcPr>
            <w:tcW w:w="1530" w:type="dxa"/>
          </w:tcPr>
          <w:p w14:paraId="5A6668AB" w14:textId="588DB56C" w:rsidR="00BA37DA" w:rsidRPr="0074556C" w:rsidRDefault="00BA37DA" w:rsidP="00AE2101">
            <w:r w:rsidRPr="0074556C">
              <w:t>1045</w:t>
            </w:r>
            <w:r>
              <w:t xml:space="preserve"> </w:t>
            </w:r>
            <w:r w:rsidR="00114808" w:rsidRPr="0074556C">
              <w:t>°</w:t>
            </w:r>
            <w:r>
              <w:t>C</w:t>
            </w:r>
          </w:p>
        </w:tc>
        <w:tc>
          <w:tcPr>
            <w:tcW w:w="1170" w:type="dxa"/>
          </w:tcPr>
          <w:p w14:paraId="25CA5C30" w14:textId="32CCC6A6" w:rsidR="00BA37DA" w:rsidRPr="0074556C" w:rsidRDefault="00BA37DA" w:rsidP="00AE2101">
            <w:r w:rsidRPr="0074556C">
              <w:t>1069</w:t>
            </w:r>
            <w:r>
              <w:t xml:space="preserve"> </w:t>
            </w:r>
            <w:r w:rsidR="00114808" w:rsidRPr="0074556C">
              <w:t>°</w:t>
            </w:r>
            <w:r>
              <w:t>C</w:t>
            </w:r>
          </w:p>
        </w:tc>
      </w:tr>
      <w:tr w:rsidR="00BA37DA" w:rsidRPr="0074556C" w14:paraId="290F2714" w14:textId="77777777" w:rsidTr="00AE2101">
        <w:tc>
          <w:tcPr>
            <w:tcW w:w="1471" w:type="dxa"/>
          </w:tcPr>
          <w:p w14:paraId="1D23BAC2" w14:textId="77777777" w:rsidR="00BA37DA" w:rsidRPr="0074556C" w:rsidRDefault="00BA37DA" w:rsidP="00AE2101">
            <w:r w:rsidRPr="0074556C">
              <w:t>5</w:t>
            </w:r>
          </w:p>
        </w:tc>
        <w:tc>
          <w:tcPr>
            <w:tcW w:w="1530" w:type="dxa"/>
          </w:tcPr>
          <w:p w14:paraId="7EC05C5F" w14:textId="2E6E4D06" w:rsidR="00BA37DA" w:rsidRPr="0074556C" w:rsidRDefault="00BA37DA" w:rsidP="00AE2101">
            <w:r w:rsidRPr="0074556C">
              <w:t>1036</w:t>
            </w:r>
            <w:r>
              <w:t xml:space="preserve"> </w:t>
            </w:r>
            <w:r w:rsidR="00114808" w:rsidRPr="0074556C">
              <w:t>°</w:t>
            </w:r>
            <w:r>
              <w:t>C</w:t>
            </w:r>
          </w:p>
        </w:tc>
        <w:tc>
          <w:tcPr>
            <w:tcW w:w="1170" w:type="dxa"/>
          </w:tcPr>
          <w:p w14:paraId="34A495AF" w14:textId="74EDAE5C" w:rsidR="00BA37DA" w:rsidRPr="0074556C" w:rsidRDefault="00BA37DA" w:rsidP="00AE2101">
            <w:r w:rsidRPr="0074556C">
              <w:t>1064</w:t>
            </w:r>
            <w:r>
              <w:t xml:space="preserve"> </w:t>
            </w:r>
            <w:r w:rsidR="00114808" w:rsidRPr="0074556C">
              <w:t>°</w:t>
            </w:r>
            <w:r>
              <w:t>C</w:t>
            </w:r>
          </w:p>
        </w:tc>
      </w:tr>
      <w:tr w:rsidR="00BA37DA" w:rsidRPr="0074556C" w14:paraId="5A3EFF8E" w14:textId="77777777" w:rsidTr="00AE2101">
        <w:tc>
          <w:tcPr>
            <w:tcW w:w="1471" w:type="dxa"/>
          </w:tcPr>
          <w:p w14:paraId="455AEF33" w14:textId="77777777" w:rsidR="00BA37DA" w:rsidRPr="0074556C" w:rsidRDefault="00BA37DA" w:rsidP="00AE2101">
            <w:r w:rsidRPr="0074556C">
              <w:t>6</w:t>
            </w:r>
          </w:p>
        </w:tc>
        <w:tc>
          <w:tcPr>
            <w:tcW w:w="1530" w:type="dxa"/>
          </w:tcPr>
          <w:p w14:paraId="4C975590" w14:textId="070037EE" w:rsidR="00BA37DA" w:rsidRPr="0074556C" w:rsidRDefault="00BA37DA" w:rsidP="00AE2101">
            <w:r w:rsidRPr="0074556C">
              <w:t>1055</w:t>
            </w:r>
            <w:r>
              <w:t xml:space="preserve"> </w:t>
            </w:r>
            <w:r w:rsidR="00114808" w:rsidRPr="0074556C">
              <w:t>°</w:t>
            </w:r>
            <w:r>
              <w:t>C</w:t>
            </w:r>
          </w:p>
        </w:tc>
        <w:tc>
          <w:tcPr>
            <w:tcW w:w="1170" w:type="dxa"/>
          </w:tcPr>
          <w:p w14:paraId="64BA4D93" w14:textId="5D46FA61" w:rsidR="00BA37DA" w:rsidRPr="0074556C" w:rsidRDefault="00BA37DA" w:rsidP="00AE2101">
            <w:r w:rsidRPr="0074556C">
              <w:t>1076</w:t>
            </w:r>
            <w:r>
              <w:t xml:space="preserve"> </w:t>
            </w:r>
            <w:r w:rsidR="00114808" w:rsidRPr="0074556C">
              <w:t>°</w:t>
            </w:r>
            <w:r>
              <w:t>C</w:t>
            </w:r>
          </w:p>
        </w:tc>
      </w:tr>
      <w:bookmarkEnd w:id="149"/>
    </w:tbl>
    <w:p w14:paraId="45DC8538" w14:textId="77777777" w:rsidR="00BA37DA" w:rsidRPr="0074556C" w:rsidRDefault="00BA37DA" w:rsidP="00BA37DA">
      <w:r w:rsidRPr="0074556C">
        <w:br w:type="page"/>
      </w:r>
    </w:p>
    <w:p w14:paraId="3E4F57CE" w14:textId="77777777" w:rsidR="00147085" w:rsidRPr="0074556C" w:rsidRDefault="00147085" w:rsidP="00F22A75">
      <w:pPr>
        <w:pStyle w:val="Heading3"/>
        <w:spacing w:before="0" w:after="0"/>
      </w:pPr>
      <w:bookmarkStart w:id="158" w:name="_Toc202957483"/>
      <w:r w:rsidRPr="0074556C">
        <w:lastRenderedPageBreak/>
        <w:t>Morris Parameter Screening</w:t>
      </w:r>
      <w:r>
        <w:t xml:space="preserve"> Results</w:t>
      </w:r>
      <w:bookmarkEnd w:id="158"/>
    </w:p>
    <w:p w14:paraId="04E83E19" w14:textId="6E656FEE" w:rsidR="00147085" w:rsidRPr="0074556C" w:rsidRDefault="00147085" w:rsidP="00F22A75">
      <w:r w:rsidRPr="0074556C">
        <w:t xml:space="preserve">The results of the </w:t>
      </w:r>
      <w:r>
        <w:t>Morris</w:t>
      </w:r>
      <w:r w:rsidRPr="0074556C">
        <w:t xml:space="preserve"> </w:t>
      </w:r>
      <w:r>
        <w:t xml:space="preserve">parameter screening </w:t>
      </w:r>
      <w:r w:rsidRPr="0074556C">
        <w:t xml:space="preserve">with respect to the average fuel temperature and the temperature gradient across the fuel are shown in </w:t>
      </w:r>
      <w:r w:rsidRPr="005E68D7">
        <w:rPr>
          <w:b/>
          <w:bCs/>
        </w:rPr>
        <w:fldChar w:fldCharType="begin"/>
      </w:r>
      <w:r w:rsidRPr="005E68D7">
        <w:rPr>
          <w:b/>
          <w:bCs/>
        </w:rPr>
        <w:instrText xml:space="preserve"> REF _Ref198045149 \h </w:instrText>
      </w:r>
      <w:r>
        <w:rPr>
          <w:b/>
          <w:bCs/>
        </w:rPr>
        <w:instrText xml:space="preserve"> \* MERGEFORMAT </w:instrText>
      </w:r>
      <w:r w:rsidRPr="005E68D7">
        <w:rPr>
          <w:b/>
          <w:bCs/>
        </w:rPr>
      </w:r>
      <w:r w:rsidRPr="005E68D7">
        <w:rPr>
          <w:b/>
          <w:bCs/>
        </w:rPr>
        <w:fldChar w:fldCharType="separate"/>
      </w:r>
      <w:r w:rsidR="00BF7E93" w:rsidRPr="00BF7E93">
        <w:rPr>
          <w:b/>
          <w:bCs/>
        </w:rPr>
        <w:t xml:space="preserve">Figure </w:t>
      </w:r>
      <w:r w:rsidR="00BF7E93" w:rsidRPr="00BF7E93">
        <w:rPr>
          <w:b/>
          <w:bCs/>
          <w:noProof/>
        </w:rPr>
        <w:t>4.3</w:t>
      </w:r>
      <w:r w:rsidRPr="005E68D7">
        <w:rPr>
          <w:b/>
          <w:bCs/>
        </w:rPr>
        <w:fldChar w:fldCharType="end"/>
      </w:r>
      <w:r w:rsidRPr="0074556C">
        <w:t xml:space="preserve"> and </w:t>
      </w:r>
      <w:r w:rsidRPr="005E68D7">
        <w:rPr>
          <w:b/>
          <w:bCs/>
        </w:rPr>
        <w:fldChar w:fldCharType="begin"/>
      </w:r>
      <w:r w:rsidRPr="005E68D7">
        <w:rPr>
          <w:b/>
          <w:bCs/>
        </w:rPr>
        <w:instrText xml:space="preserve"> REF _Ref198045195 \h </w:instrText>
      </w:r>
      <w:r>
        <w:rPr>
          <w:b/>
          <w:bCs/>
        </w:rPr>
        <w:instrText xml:space="preserve"> \* MERGEFORMAT </w:instrText>
      </w:r>
      <w:r w:rsidRPr="005E68D7">
        <w:rPr>
          <w:b/>
          <w:bCs/>
        </w:rPr>
      </w:r>
      <w:r w:rsidRPr="005E68D7">
        <w:rPr>
          <w:b/>
          <w:bCs/>
        </w:rPr>
        <w:fldChar w:fldCharType="separate"/>
      </w:r>
      <w:r w:rsidR="00BF7E93" w:rsidRPr="00BF7E93">
        <w:rPr>
          <w:b/>
          <w:bCs/>
        </w:rPr>
        <w:t xml:space="preserve">Figure </w:t>
      </w:r>
      <w:r w:rsidR="00BF7E93" w:rsidRPr="00BF7E93">
        <w:rPr>
          <w:b/>
          <w:bCs/>
          <w:noProof/>
        </w:rPr>
        <w:t>4.4</w:t>
      </w:r>
      <w:r w:rsidRPr="005E68D7">
        <w:rPr>
          <w:b/>
          <w:bCs/>
        </w:rPr>
        <w:fldChar w:fldCharType="end"/>
      </w:r>
      <w:r>
        <w:t xml:space="preserve"> for high-temperature fuel</w:t>
      </w:r>
      <w:r w:rsidRPr="0074556C">
        <w:t xml:space="preserve"> and </w:t>
      </w:r>
      <w:r w:rsidRPr="005E68D7">
        <w:rPr>
          <w:b/>
          <w:bCs/>
        </w:rPr>
        <w:fldChar w:fldCharType="begin"/>
      </w:r>
      <w:r w:rsidRPr="005E68D7">
        <w:rPr>
          <w:b/>
          <w:bCs/>
        </w:rPr>
        <w:instrText xml:space="preserve"> REF _Ref198045203 \h </w:instrText>
      </w:r>
      <w:r>
        <w:rPr>
          <w:b/>
          <w:bCs/>
        </w:rPr>
        <w:instrText xml:space="preserve"> \* MERGEFORMAT </w:instrText>
      </w:r>
      <w:r w:rsidRPr="005E68D7">
        <w:rPr>
          <w:b/>
          <w:bCs/>
        </w:rPr>
      </w:r>
      <w:r w:rsidRPr="005E68D7">
        <w:rPr>
          <w:b/>
          <w:bCs/>
        </w:rPr>
        <w:fldChar w:fldCharType="separate"/>
      </w:r>
      <w:r w:rsidR="00BF7E93" w:rsidRPr="00BF7E93">
        <w:rPr>
          <w:b/>
          <w:bCs/>
        </w:rPr>
        <w:t xml:space="preserve">Figure </w:t>
      </w:r>
      <w:r w:rsidR="00BF7E93" w:rsidRPr="00BF7E93">
        <w:rPr>
          <w:b/>
          <w:bCs/>
          <w:noProof/>
        </w:rPr>
        <w:t>4.5</w:t>
      </w:r>
      <w:r w:rsidRPr="005E68D7">
        <w:rPr>
          <w:b/>
          <w:bCs/>
        </w:rPr>
        <w:fldChar w:fldCharType="end"/>
      </w:r>
      <w:r>
        <w:t xml:space="preserve"> </w:t>
      </w:r>
      <w:r w:rsidRPr="0074556C">
        <w:t xml:space="preserve">and </w:t>
      </w:r>
      <w:r w:rsidRPr="005E68D7">
        <w:rPr>
          <w:b/>
          <w:bCs/>
        </w:rPr>
        <w:fldChar w:fldCharType="begin"/>
      </w:r>
      <w:r w:rsidRPr="005E68D7">
        <w:rPr>
          <w:b/>
          <w:bCs/>
        </w:rPr>
        <w:instrText xml:space="preserve"> REF _Ref198045214 \h </w:instrText>
      </w:r>
      <w:r>
        <w:rPr>
          <w:b/>
          <w:bCs/>
        </w:rPr>
        <w:instrText xml:space="preserve"> \* MERGEFORMAT </w:instrText>
      </w:r>
      <w:r w:rsidRPr="005E68D7">
        <w:rPr>
          <w:b/>
          <w:bCs/>
        </w:rPr>
      </w:r>
      <w:r w:rsidRPr="005E68D7">
        <w:rPr>
          <w:b/>
          <w:bCs/>
        </w:rPr>
        <w:fldChar w:fldCharType="separate"/>
      </w:r>
      <w:r w:rsidR="00BF7E93" w:rsidRPr="00BF7E93">
        <w:rPr>
          <w:b/>
          <w:bCs/>
        </w:rPr>
        <w:t xml:space="preserve">Figure </w:t>
      </w:r>
      <w:r w:rsidR="00BF7E93" w:rsidRPr="00BF7E93">
        <w:rPr>
          <w:b/>
          <w:bCs/>
          <w:noProof/>
        </w:rPr>
        <w:t>4.6</w:t>
      </w:r>
      <w:r w:rsidRPr="005E68D7">
        <w:rPr>
          <w:b/>
          <w:bCs/>
        </w:rPr>
        <w:fldChar w:fldCharType="end"/>
      </w:r>
      <w:r>
        <w:t xml:space="preserve"> for low-temperature fuel</w:t>
      </w:r>
      <w:r w:rsidRPr="0074556C">
        <w:t>. Within these figures</w:t>
      </w:r>
      <w:r>
        <w:t>,</w:t>
      </w:r>
      <w:r w:rsidRPr="0074556C">
        <w:t xml:space="preserve"> only the parameters within the high</w:t>
      </w:r>
      <w:r>
        <w:t>-</w:t>
      </w:r>
      <w:r w:rsidRPr="0074556C">
        <w:t xml:space="preserve">influence regime of the plot at above 0.1 of the maximum </w:t>
      </w:r>
      <w:r w:rsidRPr="0074556C">
        <w:sym w:font="Symbol" w:char="F06D"/>
      </w:r>
      <w:r w:rsidRPr="0074556C">
        <w:t xml:space="preserve">* are labeled. The remaining parameters are unlabeled for clarity and </w:t>
      </w:r>
      <w:r>
        <w:t xml:space="preserve">are </w:t>
      </w:r>
      <w:r w:rsidRPr="0074556C">
        <w:t>considered to have low influence. The results for the average thermometry temperature are not shown since the results screen the same parameters as the average fuel temperature.</w:t>
      </w:r>
    </w:p>
    <w:p w14:paraId="0CAEE3BF" w14:textId="77777777" w:rsidR="00147085" w:rsidRDefault="00147085" w:rsidP="00F22A75">
      <w:pPr>
        <w:rPr>
          <w:b/>
          <w:bCs/>
          <w:i/>
          <w:szCs w:val="26"/>
        </w:rPr>
      </w:pPr>
      <w:r w:rsidRPr="0074556C">
        <w:t>The screening results suggest</w:t>
      </w:r>
      <w:r>
        <w:t xml:space="preserve"> that</w:t>
      </w:r>
      <w:r w:rsidRPr="0074556C">
        <w:t xml:space="preserve"> the majority of the prediction uncertainty results from uncertainty in the HGRs, TCC between several components, and the thermal conductivity</w:t>
      </w:r>
      <w:r w:rsidRPr="008110D5">
        <w:t xml:space="preserve"> </w:t>
      </w:r>
      <w:r w:rsidRPr="0074556C">
        <w:t xml:space="preserve">of several materials. The </w:t>
      </w:r>
      <w:r>
        <w:t>greatest</w:t>
      </w:r>
      <w:r w:rsidRPr="0074556C">
        <w:t xml:space="preserve"> influence from the geometric inputs were those that directly changed the dimensions of the fuel, with some influence stemming from dimensions of heater materials and the housing. The results show a consistently greater magnitude of uncertainty at higher</w:t>
      </w:r>
      <w:r>
        <w:t>-</w:t>
      </w:r>
      <w:r w:rsidRPr="0074556C">
        <w:t>temperature irradiations.</w:t>
      </w:r>
    </w:p>
    <w:p w14:paraId="2C63D674" w14:textId="77777777" w:rsidR="00147085" w:rsidRDefault="00147085" w:rsidP="00F22A75">
      <w:pPr>
        <w:pStyle w:val="Heading3"/>
        <w:spacing w:before="0" w:after="0"/>
      </w:pPr>
      <w:bookmarkStart w:id="159" w:name="_Toc202957484"/>
      <w:r w:rsidRPr="0074556C">
        <w:t>Sobol Sensitivity Analysis</w:t>
      </w:r>
      <w:r>
        <w:t xml:space="preserve"> Results</w:t>
      </w:r>
      <w:bookmarkEnd w:id="159"/>
    </w:p>
    <w:p w14:paraId="0D26DF3C" w14:textId="456585A7" w:rsidR="00147085" w:rsidRPr="0074556C" w:rsidRDefault="00147085" w:rsidP="00F22A75">
      <w:pPr>
        <w:widowControl w:val="0"/>
      </w:pPr>
      <w:r w:rsidRPr="007258A1">
        <w:rPr>
          <w:b/>
          <w:bCs/>
        </w:rPr>
        <w:fldChar w:fldCharType="begin"/>
      </w:r>
      <w:r w:rsidRPr="007258A1">
        <w:rPr>
          <w:b/>
          <w:bCs/>
        </w:rPr>
        <w:instrText xml:space="preserve"> REF _Ref198131791 \h </w:instrText>
      </w:r>
      <w:r>
        <w:rPr>
          <w:b/>
          <w:bCs/>
        </w:rPr>
        <w:instrText xml:space="preserve"> \* MERGEFORMAT </w:instrText>
      </w:r>
      <w:r w:rsidRPr="007258A1">
        <w:rPr>
          <w:b/>
          <w:bCs/>
        </w:rPr>
      </w:r>
      <w:r w:rsidRPr="007258A1">
        <w:rPr>
          <w:b/>
          <w:bCs/>
        </w:rPr>
        <w:fldChar w:fldCharType="separate"/>
      </w:r>
      <w:r w:rsidR="00BF7E93" w:rsidRPr="00BF7E93">
        <w:rPr>
          <w:b/>
          <w:bCs/>
        </w:rPr>
        <w:t xml:space="preserve">Table </w:t>
      </w:r>
      <w:r w:rsidR="00BF7E93" w:rsidRPr="00BF7E93">
        <w:rPr>
          <w:b/>
          <w:bCs/>
          <w:noProof/>
        </w:rPr>
        <w:t>4.6</w:t>
      </w:r>
      <w:r w:rsidRPr="007258A1">
        <w:rPr>
          <w:b/>
          <w:bCs/>
        </w:rPr>
        <w:fldChar w:fldCharType="end"/>
      </w:r>
      <w:r>
        <w:t xml:space="preserve"> </w:t>
      </w:r>
      <w:r w:rsidRPr="0074556C">
        <w:t>contains the parameters that were determined to be of high importance within the Morris screening analysis. The fill gas composition and the holder outer radius of the subcapsule were only used in the first analysis to confirm that they are the most influential on design temperatures. Each case was run to ensure less than 5% difference</w:t>
      </w:r>
    </w:p>
    <w:p w14:paraId="7DFE3C9A" w14:textId="1AA678C3" w:rsidR="00147085" w:rsidRDefault="00147085" w:rsidP="00F22A75">
      <w:r w:rsidRPr="0074556C">
        <w:t xml:space="preserve">between consecutive calculations of the highest ranked Sobol indices. A sample </w:t>
      </w:r>
      <w:r>
        <w:br w:type="page"/>
      </w:r>
    </w:p>
    <w:p w14:paraId="5A24514A" w14:textId="77777777" w:rsidR="00BA37DA" w:rsidRPr="0074556C" w:rsidRDefault="00BA37DA" w:rsidP="00BA37DA">
      <w:pPr>
        <w:jc w:val="center"/>
      </w:pPr>
    </w:p>
    <w:p w14:paraId="1D67E399" w14:textId="77777777" w:rsidR="00BA37DA" w:rsidRPr="0074556C" w:rsidRDefault="00BA37DA" w:rsidP="00BA37DA">
      <w:pPr>
        <w:jc w:val="center"/>
      </w:pPr>
      <w:r w:rsidRPr="0074556C">
        <w:rPr>
          <w:noProof/>
        </w:rPr>
        <w:drawing>
          <wp:inline distT="0" distB="0" distL="0" distR="0" wp14:anchorId="7C7D27AE" wp14:editId="68683FD6">
            <wp:extent cx="5486400" cy="4124320"/>
            <wp:effectExtent l="0" t="0" r="0" b="381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rotWithShape="1">
                    <a:blip r:embed="rId51" cstate="print">
                      <a:extLst>
                        <a:ext uri="{28A0092B-C50C-407E-A947-70E740481C1C}">
                          <a14:useLocalDpi xmlns:a14="http://schemas.microsoft.com/office/drawing/2010/main" val="0"/>
                        </a:ext>
                      </a:extLst>
                    </a:blip>
                    <a:srcRect l="4667" t="10845" r="7866" b="1487"/>
                    <a:stretch/>
                  </pic:blipFill>
                  <pic:spPr bwMode="auto">
                    <a:xfrm>
                      <a:off x="0" y="0"/>
                      <a:ext cx="5486400" cy="4124320"/>
                    </a:xfrm>
                    <a:prstGeom prst="rect">
                      <a:avLst/>
                    </a:prstGeom>
                    <a:ln>
                      <a:noFill/>
                    </a:ln>
                    <a:extLst>
                      <a:ext uri="{53640926-AAD7-44D8-BBD7-CCE9431645EC}">
                        <a14:shadowObscured xmlns:a14="http://schemas.microsoft.com/office/drawing/2010/main"/>
                      </a:ext>
                    </a:extLst>
                  </pic:spPr>
                </pic:pic>
              </a:graphicData>
            </a:graphic>
          </wp:inline>
        </w:drawing>
      </w:r>
    </w:p>
    <w:p w14:paraId="35931D9A" w14:textId="4376B361" w:rsidR="00BA37DA" w:rsidRDefault="00941F6F" w:rsidP="00874CBB">
      <w:pPr>
        <w:pStyle w:val="Caption"/>
      </w:pPr>
      <w:bookmarkStart w:id="160" w:name="_Ref198045149"/>
      <w:bookmarkStart w:id="161" w:name="_Toc202957566"/>
      <w:r>
        <w:t xml:space="preserve">Figure </w:t>
      </w:r>
      <w:fldSimple w:instr=" STYLEREF 1 \s ">
        <w:r w:rsidR="00BF7E93">
          <w:rPr>
            <w:noProof/>
          </w:rPr>
          <w:t>4</w:t>
        </w:r>
      </w:fldSimple>
      <w:r>
        <w:t>.</w:t>
      </w:r>
      <w:fldSimple w:instr=" SEQ Figure \* ARABIC \s 1 ">
        <w:r w:rsidR="00BF7E93">
          <w:rPr>
            <w:noProof/>
          </w:rPr>
          <w:t>3</w:t>
        </w:r>
      </w:fldSimple>
      <w:bookmarkEnd w:id="160"/>
      <w:r>
        <w:t>.</w:t>
      </w:r>
      <w:r w:rsidR="00BA37DA" w:rsidRPr="0074556C">
        <w:t xml:space="preserve"> Morris parameter screening for high</w:t>
      </w:r>
      <w:r w:rsidR="00BA37DA">
        <w:t>-</w:t>
      </w:r>
      <w:r w:rsidR="00BA37DA" w:rsidRPr="0074556C">
        <w:t>temperature UO</w:t>
      </w:r>
      <w:r w:rsidR="00BA37DA" w:rsidRPr="0074556C">
        <w:rPr>
          <w:vertAlign w:val="subscript"/>
        </w:rPr>
        <w:t>2</w:t>
      </w:r>
      <w:r w:rsidR="00BA37DA" w:rsidRPr="0074556C">
        <w:t xml:space="preserve"> fuel with respect to average fuel temperature.</w:t>
      </w:r>
      <w:bookmarkEnd w:id="161"/>
    </w:p>
    <w:p w14:paraId="50235A47" w14:textId="77777777" w:rsidR="0031654F" w:rsidRPr="0031654F" w:rsidRDefault="0031654F" w:rsidP="0031654F"/>
    <w:p w14:paraId="67E37F8D" w14:textId="77777777" w:rsidR="00BA37DA" w:rsidRPr="0074556C" w:rsidRDefault="00BA37DA" w:rsidP="00BA37DA">
      <w:pPr>
        <w:jc w:val="center"/>
      </w:pPr>
      <w:r w:rsidRPr="0074556C">
        <w:rPr>
          <w:noProof/>
        </w:rPr>
        <w:lastRenderedPageBreak/>
        <w:drawing>
          <wp:inline distT="0" distB="0" distL="0" distR="0" wp14:anchorId="0265D7E0" wp14:editId="18176BC4">
            <wp:extent cx="5486400" cy="4082433"/>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rotWithShape="1">
                    <a:blip r:embed="rId52" cstate="print">
                      <a:extLst>
                        <a:ext uri="{28A0092B-C50C-407E-A947-70E740481C1C}">
                          <a14:useLocalDpi xmlns:a14="http://schemas.microsoft.com/office/drawing/2010/main" val="0"/>
                        </a:ext>
                      </a:extLst>
                    </a:blip>
                    <a:srcRect l="2799" t="10667" r="8667" b="1497"/>
                    <a:stretch/>
                  </pic:blipFill>
                  <pic:spPr bwMode="auto">
                    <a:xfrm>
                      <a:off x="0" y="0"/>
                      <a:ext cx="5486400" cy="4082433"/>
                    </a:xfrm>
                    <a:prstGeom prst="rect">
                      <a:avLst/>
                    </a:prstGeom>
                    <a:ln>
                      <a:noFill/>
                    </a:ln>
                    <a:extLst>
                      <a:ext uri="{53640926-AAD7-44D8-BBD7-CCE9431645EC}">
                        <a14:shadowObscured xmlns:a14="http://schemas.microsoft.com/office/drawing/2010/main"/>
                      </a:ext>
                    </a:extLst>
                  </pic:spPr>
                </pic:pic>
              </a:graphicData>
            </a:graphic>
          </wp:inline>
        </w:drawing>
      </w:r>
    </w:p>
    <w:p w14:paraId="1DA11F90" w14:textId="17517807" w:rsidR="00BA37DA" w:rsidRPr="0074556C" w:rsidRDefault="00941F6F" w:rsidP="00874CBB">
      <w:pPr>
        <w:pStyle w:val="Caption"/>
      </w:pPr>
      <w:bookmarkStart w:id="162" w:name="_Ref198045195"/>
      <w:bookmarkStart w:id="163" w:name="_Toc202957567"/>
      <w:r>
        <w:t xml:space="preserve">Figure </w:t>
      </w:r>
      <w:fldSimple w:instr=" STYLEREF 1 \s ">
        <w:r w:rsidR="00BF7E93">
          <w:rPr>
            <w:noProof/>
          </w:rPr>
          <w:t>4</w:t>
        </w:r>
      </w:fldSimple>
      <w:r>
        <w:t>.</w:t>
      </w:r>
      <w:fldSimple w:instr=" SEQ Figure \* ARABIC \s 1 ">
        <w:r w:rsidR="00BF7E93">
          <w:rPr>
            <w:noProof/>
          </w:rPr>
          <w:t>4</w:t>
        </w:r>
      </w:fldSimple>
      <w:bookmarkEnd w:id="162"/>
      <w:r>
        <w:t>.</w:t>
      </w:r>
      <w:r w:rsidRPr="0074556C">
        <w:t xml:space="preserve"> </w:t>
      </w:r>
      <w:r w:rsidR="00BA37DA" w:rsidRPr="0074556C">
        <w:t>Morris parameter screening for high</w:t>
      </w:r>
      <w:r w:rsidR="00BA37DA">
        <w:t>-</w:t>
      </w:r>
      <w:r w:rsidR="00BA37DA" w:rsidRPr="0074556C">
        <w:t>temperature UO</w:t>
      </w:r>
      <w:r w:rsidR="00BA37DA" w:rsidRPr="0074556C">
        <w:rPr>
          <w:vertAlign w:val="subscript"/>
        </w:rPr>
        <w:t>2</w:t>
      </w:r>
      <w:r w:rsidR="00BA37DA" w:rsidRPr="0074556C">
        <w:t xml:space="preserve"> fuel with respect to fuel temperature gradient.</w:t>
      </w:r>
      <w:bookmarkEnd w:id="163"/>
    </w:p>
    <w:p w14:paraId="49449AE6" w14:textId="77777777" w:rsidR="00BA37DA" w:rsidRPr="0074556C" w:rsidRDefault="00BA37DA" w:rsidP="00BA37DA">
      <w:pPr>
        <w:jc w:val="center"/>
      </w:pPr>
    </w:p>
    <w:p w14:paraId="67F73D3F" w14:textId="77777777" w:rsidR="00BA37DA" w:rsidRPr="0074556C" w:rsidRDefault="00BA37DA" w:rsidP="00BA37DA">
      <w:pPr>
        <w:jc w:val="center"/>
      </w:pPr>
      <w:r w:rsidRPr="0074556C">
        <w:rPr>
          <w:noProof/>
        </w:rPr>
        <w:lastRenderedPageBreak/>
        <w:drawing>
          <wp:inline distT="0" distB="0" distL="0" distR="0" wp14:anchorId="558E0B4E" wp14:editId="45549CA8">
            <wp:extent cx="5486400" cy="4169018"/>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rotWithShape="1">
                    <a:blip r:embed="rId53" cstate="print">
                      <a:extLst>
                        <a:ext uri="{28A0092B-C50C-407E-A947-70E740481C1C}">
                          <a14:useLocalDpi xmlns:a14="http://schemas.microsoft.com/office/drawing/2010/main" val="0"/>
                        </a:ext>
                      </a:extLst>
                    </a:blip>
                    <a:srcRect l="4934" t="10845" r="8533" b="1482"/>
                    <a:stretch/>
                  </pic:blipFill>
                  <pic:spPr bwMode="auto">
                    <a:xfrm>
                      <a:off x="0" y="0"/>
                      <a:ext cx="5486400" cy="4169018"/>
                    </a:xfrm>
                    <a:prstGeom prst="rect">
                      <a:avLst/>
                    </a:prstGeom>
                    <a:ln>
                      <a:noFill/>
                    </a:ln>
                    <a:extLst>
                      <a:ext uri="{53640926-AAD7-44D8-BBD7-CCE9431645EC}">
                        <a14:shadowObscured xmlns:a14="http://schemas.microsoft.com/office/drawing/2010/main"/>
                      </a:ext>
                    </a:extLst>
                  </pic:spPr>
                </pic:pic>
              </a:graphicData>
            </a:graphic>
          </wp:inline>
        </w:drawing>
      </w:r>
    </w:p>
    <w:p w14:paraId="12F595F9" w14:textId="1AFCC08C" w:rsidR="00BA37DA" w:rsidRDefault="00941F6F" w:rsidP="00874CBB">
      <w:pPr>
        <w:pStyle w:val="Caption"/>
      </w:pPr>
      <w:bookmarkStart w:id="164" w:name="_Ref198045203"/>
      <w:bookmarkStart w:id="165" w:name="_Toc202957568"/>
      <w:r>
        <w:t xml:space="preserve">Figure </w:t>
      </w:r>
      <w:fldSimple w:instr=" STYLEREF 1 \s ">
        <w:r w:rsidR="00BF7E93">
          <w:rPr>
            <w:noProof/>
          </w:rPr>
          <w:t>4</w:t>
        </w:r>
      </w:fldSimple>
      <w:r>
        <w:t>.</w:t>
      </w:r>
      <w:fldSimple w:instr=" SEQ Figure \* ARABIC \s 1 ">
        <w:r w:rsidR="00BF7E93">
          <w:rPr>
            <w:noProof/>
          </w:rPr>
          <w:t>5</w:t>
        </w:r>
      </w:fldSimple>
      <w:bookmarkEnd w:id="164"/>
      <w:r>
        <w:t>.</w:t>
      </w:r>
      <w:r w:rsidRPr="0074556C">
        <w:t xml:space="preserve"> </w:t>
      </w:r>
      <w:r w:rsidR="00BA37DA" w:rsidRPr="0074556C">
        <w:t>Morris parameter screening for low</w:t>
      </w:r>
      <w:r w:rsidR="00BA37DA">
        <w:t>-</w:t>
      </w:r>
      <w:r w:rsidR="00BA37DA" w:rsidRPr="0074556C">
        <w:t>temperature UO</w:t>
      </w:r>
      <w:r w:rsidR="00BA37DA" w:rsidRPr="0074556C">
        <w:rPr>
          <w:vertAlign w:val="subscript"/>
        </w:rPr>
        <w:t>2</w:t>
      </w:r>
      <w:r w:rsidR="00BA37DA" w:rsidRPr="0074556C">
        <w:t xml:space="preserve"> fuel with respect to average fuel temperature.</w:t>
      </w:r>
      <w:bookmarkEnd w:id="165"/>
    </w:p>
    <w:p w14:paraId="44A9585D" w14:textId="77777777" w:rsidR="0031654F" w:rsidRPr="0031654F" w:rsidRDefault="0031654F" w:rsidP="0031654F"/>
    <w:p w14:paraId="72871D23" w14:textId="77777777" w:rsidR="00BA37DA" w:rsidRPr="0074556C" w:rsidRDefault="00BA37DA" w:rsidP="00BA37DA">
      <w:pPr>
        <w:jc w:val="center"/>
      </w:pPr>
      <w:r w:rsidRPr="0074556C">
        <w:rPr>
          <w:noProof/>
        </w:rPr>
        <w:lastRenderedPageBreak/>
        <w:drawing>
          <wp:inline distT="0" distB="0" distL="0" distR="0" wp14:anchorId="5A0AB365" wp14:editId="679105C7">
            <wp:extent cx="5486400" cy="4109970"/>
            <wp:effectExtent l="0" t="0" r="0" b="508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rotWithShape="1">
                    <a:blip r:embed="rId54" cstate="print">
                      <a:extLst>
                        <a:ext uri="{28A0092B-C50C-407E-A947-70E740481C1C}">
                          <a14:useLocalDpi xmlns:a14="http://schemas.microsoft.com/office/drawing/2010/main" val="0"/>
                        </a:ext>
                      </a:extLst>
                    </a:blip>
                    <a:srcRect l="4667" t="10845" r="7733" b="1658"/>
                    <a:stretch/>
                  </pic:blipFill>
                  <pic:spPr bwMode="auto">
                    <a:xfrm>
                      <a:off x="0" y="0"/>
                      <a:ext cx="5486400" cy="4109970"/>
                    </a:xfrm>
                    <a:prstGeom prst="rect">
                      <a:avLst/>
                    </a:prstGeom>
                    <a:ln>
                      <a:noFill/>
                    </a:ln>
                    <a:extLst>
                      <a:ext uri="{53640926-AAD7-44D8-BBD7-CCE9431645EC}">
                        <a14:shadowObscured xmlns:a14="http://schemas.microsoft.com/office/drawing/2010/main"/>
                      </a:ext>
                    </a:extLst>
                  </pic:spPr>
                </pic:pic>
              </a:graphicData>
            </a:graphic>
          </wp:inline>
        </w:drawing>
      </w:r>
    </w:p>
    <w:p w14:paraId="4475C3F2" w14:textId="2178D2F9" w:rsidR="00BA37DA" w:rsidRPr="0074556C" w:rsidRDefault="00941F6F" w:rsidP="00874CBB">
      <w:pPr>
        <w:pStyle w:val="Caption"/>
      </w:pPr>
      <w:bookmarkStart w:id="166" w:name="_Ref198045214"/>
      <w:bookmarkStart w:id="167" w:name="_Toc202957569"/>
      <w:r>
        <w:t xml:space="preserve">Figure </w:t>
      </w:r>
      <w:fldSimple w:instr=" STYLEREF 1 \s ">
        <w:r w:rsidR="00BF7E93">
          <w:rPr>
            <w:noProof/>
          </w:rPr>
          <w:t>4</w:t>
        </w:r>
      </w:fldSimple>
      <w:r>
        <w:t>.</w:t>
      </w:r>
      <w:fldSimple w:instr=" SEQ Figure \* ARABIC \s 1 ">
        <w:r w:rsidR="00BF7E93">
          <w:rPr>
            <w:noProof/>
          </w:rPr>
          <w:t>6</w:t>
        </w:r>
      </w:fldSimple>
      <w:bookmarkEnd w:id="166"/>
      <w:r>
        <w:t>.</w:t>
      </w:r>
      <w:r w:rsidRPr="0074556C">
        <w:t xml:space="preserve"> </w:t>
      </w:r>
      <w:r w:rsidR="00BA37DA" w:rsidRPr="0074556C">
        <w:t>Morris parameter screening for low</w:t>
      </w:r>
      <w:r w:rsidR="00BA37DA">
        <w:t>-t</w:t>
      </w:r>
      <w:r w:rsidR="00BA37DA" w:rsidRPr="0074556C">
        <w:t>emperature UO</w:t>
      </w:r>
      <w:r w:rsidR="00BA37DA" w:rsidRPr="0074556C">
        <w:rPr>
          <w:vertAlign w:val="subscript"/>
        </w:rPr>
        <w:t>2</w:t>
      </w:r>
      <w:r w:rsidR="00BA37DA" w:rsidRPr="0074556C">
        <w:t xml:space="preserve"> fuel with respect to fuel temperature gradient.</w:t>
      </w:r>
      <w:bookmarkEnd w:id="167"/>
    </w:p>
    <w:p w14:paraId="3B577518" w14:textId="10C9E505" w:rsidR="00C14268" w:rsidRDefault="00C14268" w:rsidP="00147085">
      <w:pPr>
        <w:spacing w:line="240" w:lineRule="auto"/>
      </w:pPr>
      <w:r>
        <w:br w:type="page"/>
      </w:r>
    </w:p>
    <w:p w14:paraId="6775B409" w14:textId="5A67A942" w:rsidR="00BA37DA" w:rsidRPr="0074556C" w:rsidRDefault="00295AA6" w:rsidP="00874CBB">
      <w:pPr>
        <w:pStyle w:val="Caption"/>
      </w:pPr>
      <w:bookmarkStart w:id="168" w:name="_Ref198131791"/>
      <w:bookmarkStart w:id="169" w:name="_Toc202957527"/>
      <w:r w:rsidRPr="009D2AA9">
        <w:lastRenderedPageBreak/>
        <w:t xml:space="preserve">Table </w:t>
      </w:r>
      <w:fldSimple w:instr=" STYLEREF 1 \s ">
        <w:r w:rsidR="00BF7E93">
          <w:rPr>
            <w:noProof/>
          </w:rPr>
          <w:t>4</w:t>
        </w:r>
      </w:fldSimple>
      <w:r w:rsidRPr="009D2AA9">
        <w:t>.</w:t>
      </w:r>
      <w:fldSimple w:instr=" SEQ Table \* ARABIC \s 1 ">
        <w:r w:rsidR="00BF7E93">
          <w:rPr>
            <w:noProof/>
          </w:rPr>
          <w:t>6</w:t>
        </w:r>
      </w:fldSimple>
      <w:bookmarkEnd w:id="168"/>
      <w:r w:rsidRPr="009D2AA9">
        <w:t xml:space="preserve">. </w:t>
      </w:r>
      <w:r w:rsidR="00BA37DA" w:rsidRPr="0074556C">
        <w:t>Sobol sensitivity parameters from the Morris parameter screening</w:t>
      </w:r>
      <w:bookmarkEnd w:id="169"/>
    </w:p>
    <w:tbl>
      <w:tblPr>
        <w:tblStyle w:val="TableGrid"/>
        <w:tblW w:w="0" w:type="auto"/>
        <w:tblLook w:val="04A0" w:firstRow="1" w:lastRow="0" w:firstColumn="1" w:lastColumn="0" w:noHBand="0" w:noVBand="1"/>
      </w:tblPr>
      <w:tblGrid>
        <w:gridCol w:w="1695"/>
        <w:gridCol w:w="3420"/>
        <w:gridCol w:w="3495"/>
      </w:tblGrid>
      <w:tr w:rsidR="00BA37DA" w:rsidRPr="0074556C" w14:paraId="6B5369FC" w14:textId="77777777" w:rsidTr="00AE2101">
        <w:tc>
          <w:tcPr>
            <w:tcW w:w="1695" w:type="dxa"/>
            <w:tcBorders>
              <w:top w:val="single" w:sz="12" w:space="0" w:color="auto"/>
              <w:left w:val="single" w:sz="12" w:space="0" w:color="auto"/>
              <w:bottom w:val="double" w:sz="12" w:space="0" w:color="auto"/>
              <w:right w:val="single" w:sz="12" w:space="0" w:color="auto"/>
            </w:tcBorders>
            <w:vAlign w:val="center"/>
          </w:tcPr>
          <w:p w14:paraId="2988A100" w14:textId="77777777" w:rsidR="00BA37DA" w:rsidRPr="0074556C" w:rsidRDefault="00BA37DA" w:rsidP="003E2B8A">
            <w:pPr>
              <w:pStyle w:val="TableText"/>
            </w:pPr>
            <w:r w:rsidRPr="0074556C">
              <w:t>Parameter</w:t>
            </w:r>
          </w:p>
        </w:tc>
        <w:tc>
          <w:tcPr>
            <w:tcW w:w="3420" w:type="dxa"/>
            <w:tcBorders>
              <w:top w:val="single" w:sz="12" w:space="0" w:color="auto"/>
              <w:left w:val="single" w:sz="12" w:space="0" w:color="auto"/>
              <w:bottom w:val="double" w:sz="12" w:space="0" w:color="auto"/>
              <w:right w:val="single" w:sz="12" w:space="0" w:color="auto"/>
            </w:tcBorders>
          </w:tcPr>
          <w:p w14:paraId="79954DC5" w14:textId="77777777" w:rsidR="00BA37DA" w:rsidRPr="0074556C" w:rsidRDefault="00BA37DA" w:rsidP="003E2B8A">
            <w:pPr>
              <w:pStyle w:val="TableText"/>
            </w:pPr>
            <w:r w:rsidRPr="0074556C">
              <w:t>Low Temperature Morris Screening</w:t>
            </w:r>
          </w:p>
        </w:tc>
        <w:tc>
          <w:tcPr>
            <w:tcW w:w="3495" w:type="dxa"/>
            <w:tcBorders>
              <w:top w:val="single" w:sz="12" w:space="0" w:color="auto"/>
              <w:left w:val="single" w:sz="12" w:space="0" w:color="auto"/>
              <w:bottom w:val="double" w:sz="12" w:space="0" w:color="auto"/>
              <w:right w:val="single" w:sz="12" w:space="0" w:color="auto"/>
            </w:tcBorders>
          </w:tcPr>
          <w:p w14:paraId="6FD5776C" w14:textId="77777777" w:rsidR="00BA37DA" w:rsidRPr="0074556C" w:rsidRDefault="00BA37DA" w:rsidP="003E2B8A">
            <w:pPr>
              <w:pStyle w:val="TableText"/>
            </w:pPr>
            <w:r w:rsidRPr="0074556C">
              <w:t>High Temperature Morris Screening</w:t>
            </w:r>
          </w:p>
        </w:tc>
      </w:tr>
      <w:tr w:rsidR="00BA37DA" w:rsidRPr="0074556C" w14:paraId="1F11D1E3" w14:textId="77777777" w:rsidTr="00AE2101">
        <w:tc>
          <w:tcPr>
            <w:tcW w:w="1695" w:type="dxa"/>
            <w:vMerge w:val="restart"/>
            <w:tcBorders>
              <w:top w:val="double" w:sz="12" w:space="0" w:color="auto"/>
              <w:left w:val="single" w:sz="12" w:space="0" w:color="auto"/>
              <w:right w:val="single" w:sz="12" w:space="0" w:color="auto"/>
            </w:tcBorders>
            <w:vAlign w:val="center"/>
          </w:tcPr>
          <w:p w14:paraId="7A15DD35" w14:textId="77777777" w:rsidR="00BA37DA" w:rsidRPr="0074556C" w:rsidRDefault="00BA37DA" w:rsidP="003E2B8A">
            <w:pPr>
              <w:pStyle w:val="TableText"/>
            </w:pPr>
            <w:r w:rsidRPr="0074556C">
              <w:t>Geometry</w:t>
            </w:r>
          </w:p>
        </w:tc>
        <w:tc>
          <w:tcPr>
            <w:tcW w:w="3420" w:type="dxa"/>
            <w:tcBorders>
              <w:top w:val="double" w:sz="12" w:space="0" w:color="auto"/>
              <w:left w:val="single" w:sz="12" w:space="0" w:color="auto"/>
            </w:tcBorders>
            <w:vAlign w:val="center"/>
          </w:tcPr>
          <w:p w14:paraId="33D4336A" w14:textId="77777777" w:rsidR="00BA37DA" w:rsidRPr="0074556C" w:rsidRDefault="00BA37DA" w:rsidP="003E2B8A">
            <w:pPr>
              <w:pStyle w:val="TableText"/>
            </w:pPr>
            <w:r w:rsidRPr="0074556C">
              <w:t>H</w:t>
            </w:r>
            <w:r w:rsidRPr="0074556C">
              <w:rPr>
                <w:vertAlign w:val="subscript"/>
              </w:rPr>
              <w:t>Fuel</w:t>
            </w:r>
          </w:p>
        </w:tc>
        <w:tc>
          <w:tcPr>
            <w:tcW w:w="3495" w:type="dxa"/>
            <w:tcBorders>
              <w:top w:val="double" w:sz="12" w:space="0" w:color="auto"/>
              <w:right w:val="single" w:sz="12" w:space="0" w:color="auto"/>
            </w:tcBorders>
            <w:vAlign w:val="center"/>
          </w:tcPr>
          <w:p w14:paraId="6EC53868" w14:textId="77777777" w:rsidR="00BA37DA" w:rsidRPr="0074556C" w:rsidRDefault="00BA37DA" w:rsidP="003E2B8A">
            <w:pPr>
              <w:pStyle w:val="TableText"/>
              <w:rPr>
                <w:vertAlign w:val="subscript"/>
              </w:rPr>
            </w:pPr>
            <w:r w:rsidRPr="0074556C">
              <w:t>H</w:t>
            </w:r>
            <w:r w:rsidRPr="0074556C">
              <w:rPr>
                <w:vertAlign w:val="subscript"/>
              </w:rPr>
              <w:t>Fuel</w:t>
            </w:r>
          </w:p>
        </w:tc>
      </w:tr>
      <w:tr w:rsidR="00BA37DA" w:rsidRPr="0074556C" w14:paraId="5C9C820F" w14:textId="77777777" w:rsidTr="00AE2101">
        <w:tc>
          <w:tcPr>
            <w:tcW w:w="1695" w:type="dxa"/>
            <w:vMerge/>
            <w:tcBorders>
              <w:left w:val="single" w:sz="12" w:space="0" w:color="auto"/>
              <w:right w:val="single" w:sz="12" w:space="0" w:color="auto"/>
            </w:tcBorders>
          </w:tcPr>
          <w:p w14:paraId="09ADBEB8" w14:textId="77777777" w:rsidR="00BA37DA" w:rsidRPr="0074556C" w:rsidRDefault="00BA37DA" w:rsidP="003E2B8A">
            <w:pPr>
              <w:pStyle w:val="TableText"/>
            </w:pPr>
          </w:p>
        </w:tc>
        <w:tc>
          <w:tcPr>
            <w:tcW w:w="3420" w:type="dxa"/>
            <w:tcBorders>
              <w:left w:val="single" w:sz="12" w:space="0" w:color="auto"/>
            </w:tcBorders>
            <w:vAlign w:val="center"/>
          </w:tcPr>
          <w:p w14:paraId="697A56BB" w14:textId="77777777" w:rsidR="00BA37DA" w:rsidRPr="0074556C" w:rsidRDefault="00BA37DA" w:rsidP="003E2B8A">
            <w:pPr>
              <w:pStyle w:val="TableText"/>
            </w:pPr>
            <w:r w:rsidRPr="0074556C">
              <w:t>R</w:t>
            </w:r>
            <w:r w:rsidRPr="0074556C">
              <w:rPr>
                <w:vertAlign w:val="subscript"/>
              </w:rPr>
              <w:t>Fuel</w:t>
            </w:r>
          </w:p>
        </w:tc>
        <w:tc>
          <w:tcPr>
            <w:tcW w:w="3495" w:type="dxa"/>
            <w:tcBorders>
              <w:right w:val="single" w:sz="12" w:space="0" w:color="auto"/>
            </w:tcBorders>
            <w:vAlign w:val="center"/>
          </w:tcPr>
          <w:p w14:paraId="155E457D" w14:textId="77777777" w:rsidR="00BA37DA" w:rsidRPr="0074556C" w:rsidRDefault="00BA37DA" w:rsidP="003E2B8A">
            <w:pPr>
              <w:pStyle w:val="TableText"/>
            </w:pPr>
            <w:r w:rsidRPr="0074556C">
              <w:t>*OR</w:t>
            </w:r>
            <w:r w:rsidRPr="0074556C">
              <w:rPr>
                <w:vertAlign w:val="subscript"/>
              </w:rPr>
              <w:t>Holder,1</w:t>
            </w:r>
          </w:p>
        </w:tc>
      </w:tr>
      <w:tr w:rsidR="00BA37DA" w:rsidRPr="0074556C" w14:paraId="29AB318A" w14:textId="77777777" w:rsidTr="00AE2101">
        <w:tc>
          <w:tcPr>
            <w:tcW w:w="1695" w:type="dxa"/>
            <w:vMerge/>
            <w:tcBorders>
              <w:left w:val="single" w:sz="12" w:space="0" w:color="auto"/>
              <w:right w:val="single" w:sz="12" w:space="0" w:color="auto"/>
            </w:tcBorders>
          </w:tcPr>
          <w:p w14:paraId="7B365562" w14:textId="77777777" w:rsidR="00BA37DA" w:rsidRPr="0074556C" w:rsidRDefault="00BA37DA" w:rsidP="003E2B8A">
            <w:pPr>
              <w:pStyle w:val="TableText"/>
            </w:pPr>
          </w:p>
        </w:tc>
        <w:tc>
          <w:tcPr>
            <w:tcW w:w="3420" w:type="dxa"/>
            <w:tcBorders>
              <w:left w:val="single" w:sz="12" w:space="0" w:color="auto"/>
            </w:tcBorders>
            <w:vAlign w:val="center"/>
          </w:tcPr>
          <w:p w14:paraId="6E768BEE" w14:textId="77777777" w:rsidR="00BA37DA" w:rsidRPr="0074556C" w:rsidRDefault="00BA37DA" w:rsidP="003E2B8A">
            <w:pPr>
              <w:pStyle w:val="TableText"/>
              <w:rPr>
                <w:vertAlign w:val="subscript"/>
              </w:rPr>
            </w:pPr>
            <w:r w:rsidRPr="0074556C">
              <w:t>H</w:t>
            </w:r>
            <w:r w:rsidRPr="0074556C">
              <w:rPr>
                <w:vertAlign w:val="subscript"/>
              </w:rPr>
              <w:t>Dish</w:t>
            </w:r>
          </w:p>
        </w:tc>
        <w:tc>
          <w:tcPr>
            <w:tcW w:w="3495" w:type="dxa"/>
            <w:tcBorders>
              <w:right w:val="single" w:sz="12" w:space="0" w:color="auto"/>
            </w:tcBorders>
            <w:vAlign w:val="center"/>
          </w:tcPr>
          <w:p w14:paraId="54E32910" w14:textId="77777777" w:rsidR="00BA37DA" w:rsidRPr="0074556C" w:rsidRDefault="00BA37DA" w:rsidP="003E2B8A">
            <w:pPr>
              <w:pStyle w:val="TableText"/>
            </w:pPr>
          </w:p>
        </w:tc>
      </w:tr>
      <w:tr w:rsidR="00BA37DA" w:rsidRPr="0074556C" w14:paraId="053D1F82" w14:textId="77777777" w:rsidTr="00AE2101">
        <w:tc>
          <w:tcPr>
            <w:tcW w:w="1695" w:type="dxa"/>
            <w:vMerge/>
            <w:tcBorders>
              <w:left w:val="single" w:sz="12" w:space="0" w:color="auto"/>
              <w:right w:val="single" w:sz="12" w:space="0" w:color="auto"/>
            </w:tcBorders>
          </w:tcPr>
          <w:p w14:paraId="27985619" w14:textId="77777777" w:rsidR="00BA37DA" w:rsidRPr="0074556C" w:rsidRDefault="00BA37DA" w:rsidP="003E2B8A">
            <w:pPr>
              <w:pStyle w:val="TableText"/>
            </w:pPr>
          </w:p>
        </w:tc>
        <w:tc>
          <w:tcPr>
            <w:tcW w:w="3420" w:type="dxa"/>
            <w:tcBorders>
              <w:left w:val="single" w:sz="12" w:space="0" w:color="auto"/>
            </w:tcBorders>
            <w:vAlign w:val="center"/>
          </w:tcPr>
          <w:p w14:paraId="1A2BC431" w14:textId="77777777" w:rsidR="00BA37DA" w:rsidRPr="0074556C" w:rsidRDefault="00BA37DA" w:rsidP="003E2B8A">
            <w:pPr>
              <w:pStyle w:val="TableText"/>
            </w:pPr>
            <w:r w:rsidRPr="0074556C">
              <w:t>*OR</w:t>
            </w:r>
            <w:r w:rsidRPr="0074556C">
              <w:rPr>
                <w:vertAlign w:val="subscript"/>
              </w:rPr>
              <w:t>Holder,1</w:t>
            </w:r>
          </w:p>
        </w:tc>
        <w:tc>
          <w:tcPr>
            <w:tcW w:w="3495" w:type="dxa"/>
            <w:tcBorders>
              <w:right w:val="single" w:sz="12" w:space="0" w:color="auto"/>
            </w:tcBorders>
            <w:vAlign w:val="center"/>
          </w:tcPr>
          <w:p w14:paraId="1C124DBD" w14:textId="77777777" w:rsidR="00BA37DA" w:rsidRPr="0074556C" w:rsidRDefault="00BA37DA" w:rsidP="003E2B8A">
            <w:pPr>
              <w:pStyle w:val="TableText"/>
            </w:pPr>
          </w:p>
        </w:tc>
      </w:tr>
      <w:tr w:rsidR="00BA37DA" w:rsidRPr="0074556C" w14:paraId="5F131EAD" w14:textId="77777777" w:rsidTr="00AE2101">
        <w:tc>
          <w:tcPr>
            <w:tcW w:w="1695" w:type="dxa"/>
            <w:vMerge/>
            <w:tcBorders>
              <w:left w:val="single" w:sz="12" w:space="0" w:color="auto"/>
              <w:bottom w:val="double" w:sz="12" w:space="0" w:color="auto"/>
              <w:right w:val="single" w:sz="12" w:space="0" w:color="auto"/>
            </w:tcBorders>
          </w:tcPr>
          <w:p w14:paraId="14EE7B85" w14:textId="77777777" w:rsidR="00BA37DA" w:rsidRPr="0074556C" w:rsidRDefault="00BA37DA" w:rsidP="003E2B8A">
            <w:pPr>
              <w:pStyle w:val="TableText"/>
            </w:pPr>
          </w:p>
        </w:tc>
        <w:tc>
          <w:tcPr>
            <w:tcW w:w="3420" w:type="dxa"/>
            <w:tcBorders>
              <w:left w:val="single" w:sz="12" w:space="0" w:color="auto"/>
              <w:bottom w:val="double" w:sz="12" w:space="0" w:color="auto"/>
            </w:tcBorders>
            <w:vAlign w:val="center"/>
          </w:tcPr>
          <w:p w14:paraId="1C056720" w14:textId="77777777" w:rsidR="00BA37DA" w:rsidRPr="0074556C" w:rsidRDefault="00BA37DA" w:rsidP="003E2B8A">
            <w:pPr>
              <w:pStyle w:val="TableText"/>
            </w:pPr>
            <w:r w:rsidRPr="0074556C">
              <w:t>IR</w:t>
            </w:r>
            <w:r w:rsidRPr="0074556C">
              <w:rPr>
                <w:vertAlign w:val="subscript"/>
              </w:rPr>
              <w:t>Holder,1</w:t>
            </w:r>
          </w:p>
        </w:tc>
        <w:tc>
          <w:tcPr>
            <w:tcW w:w="3495" w:type="dxa"/>
            <w:tcBorders>
              <w:bottom w:val="double" w:sz="12" w:space="0" w:color="auto"/>
              <w:right w:val="single" w:sz="12" w:space="0" w:color="auto"/>
            </w:tcBorders>
            <w:vAlign w:val="center"/>
          </w:tcPr>
          <w:p w14:paraId="1651E6E2" w14:textId="77777777" w:rsidR="00BA37DA" w:rsidRPr="0074556C" w:rsidRDefault="00BA37DA" w:rsidP="003E2B8A">
            <w:pPr>
              <w:pStyle w:val="TableText"/>
            </w:pPr>
          </w:p>
        </w:tc>
      </w:tr>
      <w:tr w:rsidR="00BA37DA" w:rsidRPr="0074556C" w14:paraId="3D9E69F8" w14:textId="77777777" w:rsidTr="00AE2101">
        <w:tc>
          <w:tcPr>
            <w:tcW w:w="1695" w:type="dxa"/>
            <w:vMerge w:val="restart"/>
            <w:tcBorders>
              <w:top w:val="double" w:sz="12" w:space="0" w:color="auto"/>
              <w:left w:val="single" w:sz="12" w:space="0" w:color="auto"/>
              <w:right w:val="single" w:sz="12" w:space="0" w:color="auto"/>
            </w:tcBorders>
            <w:vAlign w:val="center"/>
          </w:tcPr>
          <w:p w14:paraId="7B8CC3FC" w14:textId="77777777" w:rsidR="00BA37DA" w:rsidRPr="0074556C" w:rsidRDefault="00BA37DA" w:rsidP="003E2B8A">
            <w:pPr>
              <w:pStyle w:val="TableText"/>
            </w:pPr>
            <w:r w:rsidRPr="0074556C">
              <w:t>Thermal Properties</w:t>
            </w:r>
          </w:p>
        </w:tc>
        <w:tc>
          <w:tcPr>
            <w:tcW w:w="3420" w:type="dxa"/>
            <w:tcBorders>
              <w:top w:val="double" w:sz="12" w:space="0" w:color="auto"/>
              <w:left w:val="single" w:sz="12" w:space="0" w:color="auto"/>
            </w:tcBorders>
            <w:vAlign w:val="center"/>
          </w:tcPr>
          <w:p w14:paraId="6247A563" w14:textId="77777777" w:rsidR="00BA37DA" w:rsidRPr="0074556C" w:rsidRDefault="00BA37DA" w:rsidP="003E2B8A">
            <w:pPr>
              <w:pStyle w:val="TableText"/>
              <w:rPr>
                <w:vertAlign w:val="subscript"/>
              </w:rPr>
            </w:pPr>
            <w:r w:rsidRPr="0074556C">
              <w:t>BU</w:t>
            </w:r>
            <w:r w:rsidRPr="0074556C">
              <w:rPr>
                <w:vertAlign w:val="subscript"/>
              </w:rPr>
              <w:t>Fuel</w:t>
            </w:r>
          </w:p>
        </w:tc>
        <w:tc>
          <w:tcPr>
            <w:tcW w:w="3495" w:type="dxa"/>
            <w:tcBorders>
              <w:top w:val="double" w:sz="12" w:space="0" w:color="auto"/>
              <w:right w:val="single" w:sz="12" w:space="0" w:color="auto"/>
            </w:tcBorders>
            <w:vAlign w:val="center"/>
          </w:tcPr>
          <w:p w14:paraId="71A0B721" w14:textId="77777777" w:rsidR="00BA37DA" w:rsidRPr="0074556C" w:rsidRDefault="00BA37DA" w:rsidP="003E2B8A">
            <w:pPr>
              <w:pStyle w:val="TableText"/>
            </w:pPr>
            <w:r w:rsidRPr="0074556C">
              <w:t>BU</w:t>
            </w:r>
            <w:r w:rsidRPr="0074556C">
              <w:rPr>
                <w:vertAlign w:val="subscript"/>
              </w:rPr>
              <w:t>Fuel</w:t>
            </w:r>
          </w:p>
        </w:tc>
      </w:tr>
      <w:tr w:rsidR="00BA37DA" w:rsidRPr="0074556C" w14:paraId="66360956" w14:textId="77777777" w:rsidTr="00AE2101">
        <w:tc>
          <w:tcPr>
            <w:tcW w:w="1695" w:type="dxa"/>
            <w:vMerge/>
            <w:tcBorders>
              <w:left w:val="single" w:sz="12" w:space="0" w:color="auto"/>
              <w:right w:val="single" w:sz="12" w:space="0" w:color="auto"/>
            </w:tcBorders>
          </w:tcPr>
          <w:p w14:paraId="0154280A" w14:textId="77777777" w:rsidR="00BA37DA" w:rsidRPr="0074556C" w:rsidRDefault="00BA37DA" w:rsidP="003E2B8A">
            <w:pPr>
              <w:pStyle w:val="TableText"/>
            </w:pPr>
          </w:p>
        </w:tc>
        <w:tc>
          <w:tcPr>
            <w:tcW w:w="3420" w:type="dxa"/>
            <w:tcBorders>
              <w:left w:val="single" w:sz="12" w:space="0" w:color="auto"/>
            </w:tcBorders>
            <w:vAlign w:val="center"/>
          </w:tcPr>
          <w:p w14:paraId="1490AC0D" w14:textId="77777777" w:rsidR="00BA37DA" w:rsidRPr="0074556C" w:rsidRDefault="00BA37DA" w:rsidP="003E2B8A">
            <w:pPr>
              <w:pStyle w:val="TableText"/>
            </w:pPr>
            <w:r w:rsidRPr="0074556C">
              <w:t>Q</w:t>
            </w:r>
            <w:r w:rsidRPr="0074556C">
              <w:rPr>
                <w:vertAlign w:val="subscript"/>
              </w:rPr>
              <w:t>Ti6Al4V</w:t>
            </w:r>
          </w:p>
        </w:tc>
        <w:tc>
          <w:tcPr>
            <w:tcW w:w="3495" w:type="dxa"/>
            <w:tcBorders>
              <w:right w:val="single" w:sz="12" w:space="0" w:color="auto"/>
            </w:tcBorders>
            <w:vAlign w:val="center"/>
          </w:tcPr>
          <w:p w14:paraId="0D252CD8" w14:textId="77777777" w:rsidR="00BA37DA" w:rsidRPr="0074556C" w:rsidRDefault="00BA37DA" w:rsidP="003E2B8A">
            <w:pPr>
              <w:pStyle w:val="TableText"/>
            </w:pPr>
            <w:r w:rsidRPr="0074556C">
              <w:sym w:font="Symbol" w:char="F065"/>
            </w:r>
            <w:r w:rsidRPr="0074556C">
              <w:rPr>
                <w:vertAlign w:val="subscript"/>
              </w:rPr>
              <w:t>Mo</w:t>
            </w:r>
          </w:p>
        </w:tc>
      </w:tr>
      <w:tr w:rsidR="00BA37DA" w:rsidRPr="0074556C" w14:paraId="58D18705" w14:textId="77777777" w:rsidTr="00AE2101">
        <w:tc>
          <w:tcPr>
            <w:tcW w:w="1695" w:type="dxa"/>
            <w:vMerge/>
            <w:tcBorders>
              <w:left w:val="single" w:sz="12" w:space="0" w:color="auto"/>
              <w:right w:val="single" w:sz="12" w:space="0" w:color="auto"/>
            </w:tcBorders>
          </w:tcPr>
          <w:p w14:paraId="4211068A" w14:textId="77777777" w:rsidR="00BA37DA" w:rsidRPr="0074556C" w:rsidRDefault="00BA37DA" w:rsidP="003E2B8A">
            <w:pPr>
              <w:pStyle w:val="TableText"/>
            </w:pPr>
          </w:p>
        </w:tc>
        <w:tc>
          <w:tcPr>
            <w:tcW w:w="3420" w:type="dxa"/>
            <w:tcBorders>
              <w:left w:val="single" w:sz="12" w:space="0" w:color="auto"/>
            </w:tcBorders>
            <w:vAlign w:val="center"/>
          </w:tcPr>
          <w:p w14:paraId="2234B9A5" w14:textId="77777777" w:rsidR="00BA37DA" w:rsidRPr="0074556C" w:rsidRDefault="00BA37DA" w:rsidP="003E2B8A">
            <w:pPr>
              <w:pStyle w:val="TableText"/>
            </w:pPr>
            <w:r w:rsidRPr="0074556C">
              <w:t>Q</w:t>
            </w:r>
            <w:r w:rsidRPr="0074556C">
              <w:rPr>
                <w:vertAlign w:val="subscript"/>
              </w:rPr>
              <w:t>Mo</w:t>
            </w:r>
          </w:p>
        </w:tc>
        <w:tc>
          <w:tcPr>
            <w:tcW w:w="3495" w:type="dxa"/>
            <w:tcBorders>
              <w:right w:val="single" w:sz="12" w:space="0" w:color="auto"/>
            </w:tcBorders>
            <w:vAlign w:val="center"/>
          </w:tcPr>
          <w:p w14:paraId="5BC2BCCA" w14:textId="77777777" w:rsidR="00BA37DA" w:rsidRPr="0074556C" w:rsidRDefault="00BA37DA" w:rsidP="003E2B8A">
            <w:pPr>
              <w:pStyle w:val="TableText"/>
            </w:pPr>
            <w:r w:rsidRPr="0074556C">
              <w:t>Q</w:t>
            </w:r>
            <w:r w:rsidRPr="0074556C">
              <w:rPr>
                <w:vertAlign w:val="subscript"/>
              </w:rPr>
              <w:t>Mo</w:t>
            </w:r>
          </w:p>
        </w:tc>
      </w:tr>
      <w:tr w:rsidR="00BA37DA" w:rsidRPr="0074556C" w14:paraId="5C28E521" w14:textId="77777777" w:rsidTr="00AE2101">
        <w:tc>
          <w:tcPr>
            <w:tcW w:w="1695" w:type="dxa"/>
            <w:vMerge/>
            <w:tcBorders>
              <w:left w:val="single" w:sz="12" w:space="0" w:color="auto"/>
              <w:right w:val="single" w:sz="12" w:space="0" w:color="auto"/>
            </w:tcBorders>
          </w:tcPr>
          <w:p w14:paraId="7935AB65" w14:textId="77777777" w:rsidR="00BA37DA" w:rsidRPr="0074556C" w:rsidRDefault="00BA37DA" w:rsidP="003E2B8A">
            <w:pPr>
              <w:pStyle w:val="TableText"/>
            </w:pPr>
          </w:p>
        </w:tc>
        <w:tc>
          <w:tcPr>
            <w:tcW w:w="3420" w:type="dxa"/>
            <w:tcBorders>
              <w:left w:val="single" w:sz="12" w:space="0" w:color="auto"/>
            </w:tcBorders>
            <w:vAlign w:val="center"/>
          </w:tcPr>
          <w:p w14:paraId="1AFD4711" w14:textId="77777777" w:rsidR="00BA37DA" w:rsidRPr="0074556C" w:rsidRDefault="00BA37DA" w:rsidP="003E2B8A">
            <w:pPr>
              <w:pStyle w:val="TableText"/>
              <w:rPr>
                <w:vertAlign w:val="subscript"/>
              </w:rPr>
            </w:pPr>
            <w:r w:rsidRPr="0074556C">
              <w:t>Q</w:t>
            </w:r>
            <w:r w:rsidRPr="0074556C">
              <w:rPr>
                <w:vertAlign w:val="subscript"/>
              </w:rPr>
              <w:t>Fuel</w:t>
            </w:r>
          </w:p>
        </w:tc>
        <w:tc>
          <w:tcPr>
            <w:tcW w:w="3495" w:type="dxa"/>
            <w:tcBorders>
              <w:right w:val="single" w:sz="12" w:space="0" w:color="auto"/>
            </w:tcBorders>
            <w:vAlign w:val="center"/>
          </w:tcPr>
          <w:p w14:paraId="019C16F2" w14:textId="77777777" w:rsidR="00BA37DA" w:rsidRPr="0074556C" w:rsidRDefault="00BA37DA" w:rsidP="003E2B8A">
            <w:pPr>
              <w:pStyle w:val="TableText"/>
              <w:rPr>
                <w:vertAlign w:val="subscript"/>
              </w:rPr>
            </w:pPr>
            <w:r w:rsidRPr="0074556C">
              <w:t>Q</w:t>
            </w:r>
            <w:r w:rsidRPr="0074556C">
              <w:rPr>
                <w:vertAlign w:val="subscript"/>
              </w:rPr>
              <w:t>Fuel</w:t>
            </w:r>
          </w:p>
        </w:tc>
      </w:tr>
      <w:tr w:rsidR="00BA37DA" w:rsidRPr="0074556C" w14:paraId="60BE9B89" w14:textId="77777777" w:rsidTr="00AE2101">
        <w:tc>
          <w:tcPr>
            <w:tcW w:w="1695" w:type="dxa"/>
            <w:vMerge/>
            <w:tcBorders>
              <w:left w:val="single" w:sz="12" w:space="0" w:color="auto"/>
              <w:right w:val="single" w:sz="12" w:space="0" w:color="auto"/>
            </w:tcBorders>
          </w:tcPr>
          <w:p w14:paraId="27EB0B11" w14:textId="77777777" w:rsidR="00BA37DA" w:rsidRPr="0074556C" w:rsidRDefault="00BA37DA" w:rsidP="003E2B8A">
            <w:pPr>
              <w:pStyle w:val="TableText"/>
            </w:pPr>
          </w:p>
        </w:tc>
        <w:tc>
          <w:tcPr>
            <w:tcW w:w="3420" w:type="dxa"/>
            <w:tcBorders>
              <w:left w:val="single" w:sz="12" w:space="0" w:color="auto"/>
            </w:tcBorders>
            <w:vAlign w:val="center"/>
          </w:tcPr>
          <w:p w14:paraId="7F145593" w14:textId="77777777" w:rsidR="00BA37DA" w:rsidRPr="0074556C" w:rsidRDefault="00BA37DA" w:rsidP="003E2B8A">
            <w:pPr>
              <w:pStyle w:val="TableText"/>
              <w:rPr>
                <w:vertAlign w:val="subscript"/>
              </w:rPr>
            </w:pPr>
            <w:r w:rsidRPr="0074556C">
              <w:t>k</w:t>
            </w:r>
            <w:r w:rsidRPr="0074556C">
              <w:rPr>
                <w:vertAlign w:val="subscript"/>
              </w:rPr>
              <w:t>Fuel</w:t>
            </w:r>
          </w:p>
        </w:tc>
        <w:tc>
          <w:tcPr>
            <w:tcW w:w="3495" w:type="dxa"/>
            <w:tcBorders>
              <w:right w:val="single" w:sz="12" w:space="0" w:color="auto"/>
            </w:tcBorders>
            <w:vAlign w:val="center"/>
          </w:tcPr>
          <w:p w14:paraId="4A23F6C4" w14:textId="77777777" w:rsidR="00BA37DA" w:rsidRPr="0074556C" w:rsidRDefault="00BA37DA" w:rsidP="003E2B8A">
            <w:pPr>
              <w:pStyle w:val="TableText"/>
              <w:rPr>
                <w:vertAlign w:val="subscript"/>
              </w:rPr>
            </w:pPr>
            <w:r w:rsidRPr="0074556C">
              <w:t>k</w:t>
            </w:r>
            <w:r w:rsidRPr="0074556C">
              <w:rPr>
                <w:vertAlign w:val="subscript"/>
              </w:rPr>
              <w:t>Fuel</w:t>
            </w:r>
          </w:p>
        </w:tc>
      </w:tr>
      <w:tr w:rsidR="00BA37DA" w:rsidRPr="0074556C" w14:paraId="474585D1" w14:textId="77777777" w:rsidTr="00AE2101">
        <w:tc>
          <w:tcPr>
            <w:tcW w:w="1695" w:type="dxa"/>
            <w:vMerge/>
            <w:tcBorders>
              <w:left w:val="single" w:sz="12" w:space="0" w:color="auto"/>
              <w:right w:val="single" w:sz="12" w:space="0" w:color="auto"/>
            </w:tcBorders>
          </w:tcPr>
          <w:p w14:paraId="0B61CAE9" w14:textId="77777777" w:rsidR="00BA37DA" w:rsidRPr="0074556C" w:rsidRDefault="00BA37DA" w:rsidP="003E2B8A">
            <w:pPr>
              <w:pStyle w:val="TableText"/>
            </w:pPr>
          </w:p>
        </w:tc>
        <w:tc>
          <w:tcPr>
            <w:tcW w:w="3420" w:type="dxa"/>
            <w:tcBorders>
              <w:left w:val="single" w:sz="12" w:space="0" w:color="auto"/>
            </w:tcBorders>
            <w:vAlign w:val="center"/>
          </w:tcPr>
          <w:p w14:paraId="41B214F3" w14:textId="77777777" w:rsidR="00BA37DA" w:rsidRPr="0074556C" w:rsidRDefault="00BA37DA" w:rsidP="003E2B8A">
            <w:pPr>
              <w:pStyle w:val="TableText"/>
              <w:rPr>
                <w:vertAlign w:val="subscript"/>
              </w:rPr>
            </w:pPr>
            <w:r w:rsidRPr="0074556C">
              <w:t>k</w:t>
            </w:r>
            <w:r w:rsidRPr="0074556C">
              <w:rPr>
                <w:vertAlign w:val="subscript"/>
              </w:rPr>
              <w:t>Ar</w:t>
            </w:r>
          </w:p>
        </w:tc>
        <w:tc>
          <w:tcPr>
            <w:tcW w:w="3495" w:type="dxa"/>
            <w:tcBorders>
              <w:right w:val="single" w:sz="12" w:space="0" w:color="auto"/>
            </w:tcBorders>
            <w:vAlign w:val="center"/>
          </w:tcPr>
          <w:p w14:paraId="67DA92FB" w14:textId="77777777" w:rsidR="00BA37DA" w:rsidRPr="0074556C" w:rsidRDefault="00BA37DA" w:rsidP="003E2B8A">
            <w:pPr>
              <w:pStyle w:val="TableText"/>
            </w:pPr>
            <w:r w:rsidRPr="0074556C">
              <w:t>k</w:t>
            </w:r>
            <w:r w:rsidRPr="0074556C">
              <w:rPr>
                <w:vertAlign w:val="subscript"/>
              </w:rPr>
              <w:t>He</w:t>
            </w:r>
          </w:p>
        </w:tc>
      </w:tr>
      <w:tr w:rsidR="00BA37DA" w:rsidRPr="0074556C" w14:paraId="22F1E637" w14:textId="77777777" w:rsidTr="00AE2101">
        <w:tc>
          <w:tcPr>
            <w:tcW w:w="1695" w:type="dxa"/>
            <w:vMerge/>
            <w:tcBorders>
              <w:left w:val="single" w:sz="12" w:space="0" w:color="auto"/>
              <w:bottom w:val="double" w:sz="12" w:space="0" w:color="auto"/>
              <w:right w:val="single" w:sz="12" w:space="0" w:color="auto"/>
            </w:tcBorders>
          </w:tcPr>
          <w:p w14:paraId="512B8C93" w14:textId="77777777" w:rsidR="00BA37DA" w:rsidRPr="0074556C" w:rsidRDefault="00BA37DA" w:rsidP="003E2B8A">
            <w:pPr>
              <w:pStyle w:val="TableText"/>
            </w:pPr>
          </w:p>
        </w:tc>
        <w:tc>
          <w:tcPr>
            <w:tcW w:w="3420" w:type="dxa"/>
            <w:tcBorders>
              <w:left w:val="single" w:sz="12" w:space="0" w:color="auto"/>
              <w:bottom w:val="double" w:sz="12" w:space="0" w:color="auto"/>
            </w:tcBorders>
            <w:vAlign w:val="center"/>
          </w:tcPr>
          <w:p w14:paraId="0EBCC197" w14:textId="77777777" w:rsidR="00BA37DA" w:rsidRPr="0074556C" w:rsidRDefault="00BA37DA" w:rsidP="003E2B8A">
            <w:pPr>
              <w:pStyle w:val="TableText"/>
            </w:pPr>
            <w:r w:rsidRPr="0074556C">
              <w:t>PTD</w:t>
            </w:r>
          </w:p>
        </w:tc>
        <w:tc>
          <w:tcPr>
            <w:tcW w:w="3495" w:type="dxa"/>
            <w:tcBorders>
              <w:bottom w:val="double" w:sz="12" w:space="0" w:color="auto"/>
              <w:right w:val="single" w:sz="12" w:space="0" w:color="auto"/>
            </w:tcBorders>
            <w:vAlign w:val="center"/>
          </w:tcPr>
          <w:p w14:paraId="7A5B7DB1" w14:textId="77777777" w:rsidR="00BA37DA" w:rsidRPr="0074556C" w:rsidRDefault="00BA37DA" w:rsidP="003E2B8A">
            <w:pPr>
              <w:pStyle w:val="TableText"/>
            </w:pPr>
            <w:r w:rsidRPr="0074556C">
              <w:t>k (Ar)</w:t>
            </w:r>
          </w:p>
        </w:tc>
      </w:tr>
      <w:tr w:rsidR="00BA37DA" w:rsidRPr="0074556C" w14:paraId="1539BC77" w14:textId="77777777" w:rsidTr="00AE2101">
        <w:tc>
          <w:tcPr>
            <w:tcW w:w="1695" w:type="dxa"/>
            <w:vMerge w:val="restart"/>
            <w:tcBorders>
              <w:top w:val="double" w:sz="12" w:space="0" w:color="auto"/>
              <w:left w:val="single" w:sz="12" w:space="0" w:color="auto"/>
              <w:right w:val="single" w:sz="12" w:space="0" w:color="auto"/>
            </w:tcBorders>
            <w:vAlign w:val="center"/>
          </w:tcPr>
          <w:p w14:paraId="351989A6" w14:textId="77777777" w:rsidR="00BA37DA" w:rsidRPr="0074556C" w:rsidRDefault="00BA37DA" w:rsidP="003E2B8A">
            <w:pPr>
              <w:pStyle w:val="TableText"/>
            </w:pPr>
            <w:r w:rsidRPr="0074556C">
              <w:t>Thermal Contact Conductance</w:t>
            </w:r>
          </w:p>
        </w:tc>
        <w:tc>
          <w:tcPr>
            <w:tcW w:w="3420" w:type="dxa"/>
            <w:tcBorders>
              <w:top w:val="double" w:sz="12" w:space="0" w:color="auto"/>
              <w:left w:val="single" w:sz="12" w:space="0" w:color="auto"/>
            </w:tcBorders>
            <w:vAlign w:val="center"/>
          </w:tcPr>
          <w:p w14:paraId="2FC26B97" w14:textId="77777777" w:rsidR="00BA37DA" w:rsidRPr="0074556C" w:rsidRDefault="00BA37DA" w:rsidP="003E2B8A">
            <w:pPr>
              <w:pStyle w:val="TableText"/>
            </w:pPr>
            <w:r w:rsidRPr="0074556C">
              <w:t>TCC</w:t>
            </w:r>
            <w:r w:rsidRPr="0074556C">
              <w:rPr>
                <w:vertAlign w:val="subscript"/>
              </w:rPr>
              <w:t>Fuel-Dish</w:t>
            </w:r>
          </w:p>
        </w:tc>
        <w:tc>
          <w:tcPr>
            <w:tcW w:w="3495" w:type="dxa"/>
            <w:tcBorders>
              <w:top w:val="double" w:sz="12" w:space="0" w:color="auto"/>
              <w:right w:val="single" w:sz="12" w:space="0" w:color="auto"/>
            </w:tcBorders>
            <w:vAlign w:val="center"/>
          </w:tcPr>
          <w:p w14:paraId="50A641DE" w14:textId="77777777" w:rsidR="00BA37DA" w:rsidRPr="0074556C" w:rsidRDefault="00BA37DA" w:rsidP="003E2B8A">
            <w:pPr>
              <w:pStyle w:val="TableText"/>
            </w:pPr>
            <w:r w:rsidRPr="0074556C">
              <w:t>TCC</w:t>
            </w:r>
            <w:r w:rsidRPr="0074556C">
              <w:rPr>
                <w:vertAlign w:val="subscript"/>
              </w:rPr>
              <w:t>Fuel-Dish</w:t>
            </w:r>
          </w:p>
        </w:tc>
      </w:tr>
      <w:tr w:rsidR="00BA37DA" w:rsidRPr="0074556C" w14:paraId="6B309A8B" w14:textId="77777777" w:rsidTr="00AE2101">
        <w:tc>
          <w:tcPr>
            <w:tcW w:w="1695" w:type="dxa"/>
            <w:vMerge/>
            <w:tcBorders>
              <w:left w:val="single" w:sz="12" w:space="0" w:color="auto"/>
              <w:bottom w:val="double" w:sz="12" w:space="0" w:color="auto"/>
              <w:right w:val="single" w:sz="12" w:space="0" w:color="auto"/>
            </w:tcBorders>
            <w:vAlign w:val="center"/>
          </w:tcPr>
          <w:p w14:paraId="62FFDA66" w14:textId="77777777" w:rsidR="00BA37DA" w:rsidRPr="0074556C" w:rsidRDefault="00BA37DA" w:rsidP="003E2B8A">
            <w:pPr>
              <w:pStyle w:val="TableText"/>
            </w:pPr>
          </w:p>
        </w:tc>
        <w:tc>
          <w:tcPr>
            <w:tcW w:w="3420" w:type="dxa"/>
            <w:tcBorders>
              <w:left w:val="single" w:sz="12" w:space="0" w:color="auto"/>
              <w:bottom w:val="double" w:sz="12" w:space="0" w:color="auto"/>
            </w:tcBorders>
            <w:vAlign w:val="center"/>
          </w:tcPr>
          <w:p w14:paraId="0C6A6B9A" w14:textId="77777777" w:rsidR="00BA37DA" w:rsidRPr="0074556C" w:rsidRDefault="00BA37DA" w:rsidP="003E2B8A">
            <w:pPr>
              <w:pStyle w:val="TableText"/>
            </w:pPr>
            <w:r w:rsidRPr="0074556C">
              <w:t>TCC</w:t>
            </w:r>
            <w:r w:rsidRPr="0074556C">
              <w:rPr>
                <w:vertAlign w:val="subscript"/>
              </w:rPr>
              <w:t>Dish-Holder</w:t>
            </w:r>
          </w:p>
        </w:tc>
        <w:tc>
          <w:tcPr>
            <w:tcW w:w="3495" w:type="dxa"/>
            <w:tcBorders>
              <w:bottom w:val="double" w:sz="12" w:space="0" w:color="auto"/>
              <w:right w:val="single" w:sz="12" w:space="0" w:color="auto"/>
            </w:tcBorders>
            <w:vAlign w:val="center"/>
          </w:tcPr>
          <w:p w14:paraId="69AE9FAD" w14:textId="77777777" w:rsidR="00BA37DA" w:rsidRPr="0074556C" w:rsidRDefault="00BA37DA" w:rsidP="003E2B8A">
            <w:pPr>
              <w:pStyle w:val="TableText"/>
            </w:pPr>
            <w:r w:rsidRPr="0074556C">
              <w:t>TCC</w:t>
            </w:r>
            <w:r w:rsidRPr="0074556C">
              <w:rPr>
                <w:vertAlign w:val="subscript"/>
              </w:rPr>
              <w:t>Dish-Holder</w:t>
            </w:r>
          </w:p>
        </w:tc>
      </w:tr>
      <w:tr w:rsidR="00BA37DA" w:rsidRPr="0074556C" w14:paraId="79FE3B72" w14:textId="77777777" w:rsidTr="00AE2101">
        <w:tc>
          <w:tcPr>
            <w:tcW w:w="1695" w:type="dxa"/>
            <w:tcBorders>
              <w:top w:val="double" w:sz="12" w:space="0" w:color="auto"/>
              <w:left w:val="single" w:sz="12" w:space="0" w:color="auto"/>
              <w:bottom w:val="single" w:sz="12" w:space="0" w:color="auto"/>
              <w:right w:val="single" w:sz="12" w:space="0" w:color="auto"/>
            </w:tcBorders>
            <w:vAlign w:val="center"/>
          </w:tcPr>
          <w:p w14:paraId="42A5B983" w14:textId="77777777" w:rsidR="00BA37DA" w:rsidRPr="0074556C" w:rsidRDefault="00BA37DA" w:rsidP="003E2B8A">
            <w:pPr>
              <w:pStyle w:val="TableText"/>
            </w:pPr>
            <w:r w:rsidRPr="0074556C">
              <w:t>Other</w:t>
            </w:r>
          </w:p>
        </w:tc>
        <w:tc>
          <w:tcPr>
            <w:tcW w:w="3420" w:type="dxa"/>
            <w:tcBorders>
              <w:top w:val="double" w:sz="12" w:space="0" w:color="auto"/>
              <w:left w:val="single" w:sz="12" w:space="0" w:color="auto"/>
              <w:bottom w:val="single" w:sz="12" w:space="0" w:color="auto"/>
            </w:tcBorders>
            <w:vAlign w:val="center"/>
          </w:tcPr>
          <w:p w14:paraId="6ACAA988" w14:textId="77777777" w:rsidR="00BA37DA" w:rsidRPr="0074556C" w:rsidRDefault="00BA37DA" w:rsidP="003E2B8A">
            <w:pPr>
              <w:pStyle w:val="TableText"/>
            </w:pPr>
            <w:r w:rsidRPr="0074556C">
              <w:t>*Gas Composition</w:t>
            </w:r>
          </w:p>
        </w:tc>
        <w:tc>
          <w:tcPr>
            <w:tcW w:w="3495" w:type="dxa"/>
            <w:tcBorders>
              <w:top w:val="double" w:sz="12" w:space="0" w:color="auto"/>
              <w:bottom w:val="single" w:sz="12" w:space="0" w:color="auto"/>
              <w:right w:val="single" w:sz="12" w:space="0" w:color="auto"/>
            </w:tcBorders>
            <w:vAlign w:val="center"/>
          </w:tcPr>
          <w:p w14:paraId="7BD6C987" w14:textId="77777777" w:rsidR="00BA37DA" w:rsidRPr="0074556C" w:rsidRDefault="00BA37DA" w:rsidP="003E2B8A">
            <w:pPr>
              <w:pStyle w:val="TableText"/>
            </w:pPr>
            <w:r w:rsidRPr="0074556C">
              <w:t>*Gas Composition</w:t>
            </w:r>
          </w:p>
        </w:tc>
      </w:tr>
    </w:tbl>
    <w:p w14:paraId="293B8AE9" w14:textId="77777777" w:rsidR="00BA37DA" w:rsidRPr="0074556C" w:rsidRDefault="00BA37DA" w:rsidP="003E2B8A">
      <w:pPr>
        <w:pStyle w:val="TableText"/>
      </w:pPr>
      <w:r w:rsidRPr="0074556C">
        <w:t>*Used for sensitivity analysis only and excluded from uncertainty analysis</w:t>
      </w:r>
    </w:p>
    <w:p w14:paraId="04499821" w14:textId="5E9CC6A9" w:rsidR="003E2B8A" w:rsidRDefault="003E2B8A">
      <w:pPr>
        <w:spacing w:line="240" w:lineRule="auto"/>
      </w:pPr>
      <w:r>
        <w:br w:type="page"/>
      </w:r>
    </w:p>
    <w:p w14:paraId="1A110DAB" w14:textId="588B8D70" w:rsidR="00147085" w:rsidRPr="0074556C" w:rsidRDefault="00147085" w:rsidP="00147085">
      <w:r w:rsidRPr="0074556C">
        <w:lastRenderedPageBreak/>
        <w:t>convergence plot is shown in</w:t>
      </w:r>
      <w:r>
        <w:t xml:space="preserve"> </w:t>
      </w:r>
      <w:r w:rsidRPr="005E68D7">
        <w:rPr>
          <w:b/>
          <w:bCs/>
        </w:rPr>
        <w:fldChar w:fldCharType="begin"/>
      </w:r>
      <w:r w:rsidRPr="005E68D7">
        <w:rPr>
          <w:b/>
          <w:bCs/>
        </w:rPr>
        <w:instrText xml:space="preserve"> REF _Ref198045322 \h </w:instrText>
      </w:r>
      <w:r>
        <w:rPr>
          <w:b/>
          <w:bCs/>
        </w:rPr>
        <w:instrText xml:space="preserve"> \* MERGEFORMAT </w:instrText>
      </w:r>
      <w:r w:rsidRPr="005E68D7">
        <w:rPr>
          <w:b/>
          <w:bCs/>
        </w:rPr>
      </w:r>
      <w:r w:rsidRPr="005E68D7">
        <w:rPr>
          <w:b/>
          <w:bCs/>
        </w:rPr>
        <w:fldChar w:fldCharType="separate"/>
      </w:r>
      <w:r w:rsidR="00BF7E93" w:rsidRPr="00BF7E93">
        <w:rPr>
          <w:b/>
          <w:bCs/>
        </w:rPr>
        <w:t xml:space="preserve">Figure </w:t>
      </w:r>
      <w:r w:rsidR="00BF7E93" w:rsidRPr="00BF7E93">
        <w:rPr>
          <w:b/>
          <w:bCs/>
          <w:noProof/>
        </w:rPr>
        <w:t>4.7</w:t>
      </w:r>
      <w:r w:rsidRPr="005E68D7">
        <w:rPr>
          <w:b/>
          <w:bCs/>
        </w:rPr>
        <w:fldChar w:fldCharType="end"/>
      </w:r>
      <w:r w:rsidRPr="0074556C">
        <w:t>. The converged total Sobol indices for the high</w:t>
      </w:r>
      <w:r>
        <w:t>-</w:t>
      </w:r>
      <w:r w:rsidRPr="0074556C">
        <w:t xml:space="preserve"> and low</w:t>
      </w:r>
      <w:r>
        <w:t>-</w:t>
      </w:r>
      <w:r w:rsidRPr="0074556C">
        <w:t>temperature case</w:t>
      </w:r>
      <w:r>
        <w:t>s</w:t>
      </w:r>
      <w:r w:rsidRPr="0074556C">
        <w:t xml:space="preserve"> are shown in </w:t>
      </w:r>
      <w:r w:rsidRPr="005E68D7">
        <w:rPr>
          <w:b/>
          <w:bCs/>
        </w:rPr>
        <w:fldChar w:fldCharType="begin"/>
      </w:r>
      <w:r w:rsidRPr="005E68D7">
        <w:rPr>
          <w:b/>
          <w:bCs/>
        </w:rPr>
        <w:instrText xml:space="preserve"> REF _Ref198045334 \h </w:instrText>
      </w:r>
      <w:r>
        <w:rPr>
          <w:b/>
          <w:bCs/>
        </w:rPr>
        <w:instrText xml:space="preserve"> \* MERGEFORMAT </w:instrText>
      </w:r>
      <w:r w:rsidRPr="005E68D7">
        <w:rPr>
          <w:b/>
          <w:bCs/>
        </w:rPr>
      </w:r>
      <w:r w:rsidRPr="005E68D7">
        <w:rPr>
          <w:b/>
          <w:bCs/>
        </w:rPr>
        <w:fldChar w:fldCharType="separate"/>
      </w:r>
      <w:r w:rsidR="00BF7E93" w:rsidRPr="00BF7E93">
        <w:rPr>
          <w:b/>
          <w:bCs/>
        </w:rPr>
        <w:t xml:space="preserve">Figure </w:t>
      </w:r>
      <w:r w:rsidR="00BF7E93" w:rsidRPr="00BF7E93">
        <w:rPr>
          <w:b/>
          <w:bCs/>
          <w:noProof/>
        </w:rPr>
        <w:t>4.8</w:t>
      </w:r>
      <w:r w:rsidRPr="005E68D7">
        <w:rPr>
          <w:b/>
          <w:bCs/>
        </w:rPr>
        <w:fldChar w:fldCharType="end"/>
      </w:r>
      <w:r>
        <w:t xml:space="preserve"> </w:t>
      </w:r>
      <w:r w:rsidRPr="0074556C">
        <w:t>and</w:t>
      </w:r>
      <w:r>
        <w:t xml:space="preserve"> </w:t>
      </w:r>
      <w:r w:rsidRPr="005E68D7">
        <w:rPr>
          <w:b/>
          <w:bCs/>
        </w:rPr>
        <w:fldChar w:fldCharType="begin"/>
      </w:r>
      <w:r w:rsidRPr="005E68D7">
        <w:rPr>
          <w:b/>
          <w:bCs/>
        </w:rPr>
        <w:instrText xml:space="preserve"> REF _Ref198045344 \h </w:instrText>
      </w:r>
      <w:r>
        <w:rPr>
          <w:b/>
          <w:bCs/>
        </w:rPr>
        <w:instrText xml:space="preserve"> \* MERGEFORMAT </w:instrText>
      </w:r>
      <w:r w:rsidRPr="005E68D7">
        <w:rPr>
          <w:b/>
          <w:bCs/>
        </w:rPr>
      </w:r>
      <w:r w:rsidRPr="005E68D7">
        <w:rPr>
          <w:b/>
          <w:bCs/>
        </w:rPr>
        <w:fldChar w:fldCharType="separate"/>
      </w:r>
      <w:r w:rsidR="00BF7E93" w:rsidRPr="00BF7E93">
        <w:rPr>
          <w:b/>
          <w:bCs/>
        </w:rPr>
        <w:t xml:space="preserve">Figure </w:t>
      </w:r>
      <w:r w:rsidR="00BF7E93" w:rsidRPr="00BF7E93">
        <w:rPr>
          <w:b/>
          <w:bCs/>
          <w:noProof/>
        </w:rPr>
        <w:t>4.9</w:t>
      </w:r>
      <w:r w:rsidRPr="005E68D7">
        <w:rPr>
          <w:b/>
          <w:bCs/>
        </w:rPr>
        <w:fldChar w:fldCharType="end"/>
      </w:r>
      <w:r w:rsidRPr="0074556C">
        <w:t xml:space="preserve">, respectively. The results show that the holder OD and fill gas composition have the </w:t>
      </w:r>
      <w:r>
        <w:t>greatest</w:t>
      </w:r>
      <w:r w:rsidRPr="0074556C">
        <w:t xml:space="preserve"> influence on fuel temperature across the high</w:t>
      </w:r>
      <w:r>
        <w:t>-</w:t>
      </w:r>
      <w:r w:rsidRPr="0074556C">
        <w:t xml:space="preserve"> and low</w:t>
      </w:r>
      <w:r>
        <w:t>-</w:t>
      </w:r>
      <w:r w:rsidRPr="0074556C">
        <w:t xml:space="preserve">temperature regimes, as designed. </w:t>
      </w:r>
    </w:p>
    <w:p w14:paraId="453B7732" w14:textId="06A910CE" w:rsidR="00147085" w:rsidRPr="0074556C" w:rsidRDefault="00147085" w:rsidP="00147085">
      <w:r w:rsidRPr="0074556C">
        <w:t xml:space="preserve">The second analysis was performed excluding the primary design parameters. The converged Sobol indices for each case are shown in </w:t>
      </w:r>
      <w:r w:rsidRPr="005E68D7">
        <w:rPr>
          <w:b/>
          <w:bCs/>
        </w:rPr>
        <w:fldChar w:fldCharType="begin"/>
      </w:r>
      <w:r w:rsidRPr="005E68D7">
        <w:rPr>
          <w:b/>
          <w:bCs/>
        </w:rPr>
        <w:instrText xml:space="preserve"> REF _Ref198045475 \h </w:instrText>
      </w:r>
      <w:r>
        <w:rPr>
          <w:b/>
          <w:bCs/>
        </w:rPr>
        <w:instrText xml:space="preserve"> \* MERGEFORMAT </w:instrText>
      </w:r>
      <w:r w:rsidRPr="005E68D7">
        <w:rPr>
          <w:b/>
          <w:bCs/>
        </w:rPr>
      </w:r>
      <w:r w:rsidRPr="005E68D7">
        <w:rPr>
          <w:b/>
          <w:bCs/>
        </w:rPr>
        <w:fldChar w:fldCharType="separate"/>
      </w:r>
      <w:r w:rsidR="00BF7E93" w:rsidRPr="00BF7E93">
        <w:rPr>
          <w:b/>
          <w:bCs/>
        </w:rPr>
        <w:t xml:space="preserve">Figure </w:t>
      </w:r>
      <w:r w:rsidR="00BF7E93" w:rsidRPr="00BF7E93">
        <w:rPr>
          <w:b/>
          <w:bCs/>
          <w:noProof/>
        </w:rPr>
        <w:t>4.10</w:t>
      </w:r>
      <w:r w:rsidRPr="005E68D7">
        <w:rPr>
          <w:b/>
          <w:bCs/>
        </w:rPr>
        <w:fldChar w:fldCharType="end"/>
      </w:r>
      <w:r>
        <w:t xml:space="preserve"> and </w:t>
      </w:r>
      <w:r w:rsidRPr="005E68D7">
        <w:rPr>
          <w:b/>
          <w:bCs/>
        </w:rPr>
        <w:fldChar w:fldCharType="begin"/>
      </w:r>
      <w:r w:rsidRPr="005E68D7">
        <w:rPr>
          <w:b/>
          <w:bCs/>
        </w:rPr>
        <w:instrText xml:space="preserve"> REF _Ref198045487 \h </w:instrText>
      </w:r>
      <w:r>
        <w:rPr>
          <w:b/>
          <w:bCs/>
        </w:rPr>
        <w:instrText xml:space="preserve"> \* MERGEFORMAT </w:instrText>
      </w:r>
      <w:r w:rsidRPr="005E68D7">
        <w:rPr>
          <w:b/>
          <w:bCs/>
        </w:rPr>
      </w:r>
      <w:r w:rsidRPr="005E68D7">
        <w:rPr>
          <w:b/>
          <w:bCs/>
        </w:rPr>
        <w:fldChar w:fldCharType="separate"/>
      </w:r>
      <w:r w:rsidR="00BF7E93" w:rsidRPr="00BF7E93">
        <w:rPr>
          <w:b/>
          <w:bCs/>
        </w:rPr>
        <w:t xml:space="preserve">Figure </w:t>
      </w:r>
      <w:r w:rsidR="00BF7E93" w:rsidRPr="00BF7E93">
        <w:rPr>
          <w:b/>
          <w:bCs/>
          <w:noProof/>
        </w:rPr>
        <w:t>4.11</w:t>
      </w:r>
      <w:r w:rsidRPr="005E68D7">
        <w:rPr>
          <w:b/>
          <w:bCs/>
        </w:rPr>
        <w:fldChar w:fldCharType="end"/>
      </w:r>
      <w:r w:rsidRPr="0074556C">
        <w:t>. These figures show that the primary sources of uncertainty in calculating the fuel temperatures are the heat generation boundary conditions, fuel height</w:t>
      </w:r>
      <w:r>
        <w:t>,</w:t>
      </w:r>
      <w:r w:rsidRPr="0074556C">
        <w:t xml:space="preserve"> and the TCC between the fuel and the dish. The uncertainty in the fuel temperature gradient stems from uncertainty in the height and thermal properties of the fuel.</w:t>
      </w:r>
    </w:p>
    <w:p w14:paraId="1558928E" w14:textId="7B933506" w:rsidR="00147085" w:rsidRDefault="00147085" w:rsidP="00147085">
      <w:r w:rsidRPr="0074556C">
        <w:t>Histograms of the fuel temperatures from the high</w:t>
      </w:r>
      <w:r>
        <w:t>-</w:t>
      </w:r>
      <w:r w:rsidRPr="0074556C">
        <w:t xml:space="preserve"> and low</w:t>
      </w:r>
      <w:r>
        <w:t>-</w:t>
      </w:r>
      <w:r w:rsidRPr="0074556C">
        <w:t xml:space="preserve">temperature cases are shown in </w:t>
      </w:r>
      <w:r w:rsidRPr="005E68D7">
        <w:rPr>
          <w:b/>
          <w:bCs/>
        </w:rPr>
        <w:fldChar w:fldCharType="begin"/>
      </w:r>
      <w:r w:rsidRPr="005E68D7">
        <w:rPr>
          <w:b/>
          <w:bCs/>
        </w:rPr>
        <w:instrText xml:space="preserve"> REF _Ref198045496 \h </w:instrText>
      </w:r>
      <w:r>
        <w:rPr>
          <w:b/>
          <w:bCs/>
        </w:rPr>
        <w:instrText xml:space="preserve"> \* MERGEFORMAT </w:instrText>
      </w:r>
      <w:r w:rsidRPr="005E68D7">
        <w:rPr>
          <w:b/>
          <w:bCs/>
        </w:rPr>
      </w:r>
      <w:r w:rsidRPr="005E68D7">
        <w:rPr>
          <w:b/>
          <w:bCs/>
        </w:rPr>
        <w:fldChar w:fldCharType="separate"/>
      </w:r>
      <w:r w:rsidR="00BF7E93" w:rsidRPr="00BF7E93">
        <w:rPr>
          <w:b/>
          <w:bCs/>
        </w:rPr>
        <w:t xml:space="preserve">Figure </w:t>
      </w:r>
      <w:r w:rsidR="00BF7E93" w:rsidRPr="00BF7E93">
        <w:rPr>
          <w:b/>
          <w:bCs/>
          <w:noProof/>
        </w:rPr>
        <w:t>4.12</w:t>
      </w:r>
      <w:r w:rsidRPr="005E68D7">
        <w:rPr>
          <w:b/>
          <w:bCs/>
        </w:rPr>
        <w:fldChar w:fldCharType="end"/>
      </w:r>
      <w:r>
        <w:t xml:space="preserve"> </w:t>
      </w:r>
      <w:r w:rsidRPr="0074556C">
        <w:t>and</w:t>
      </w:r>
      <w:r>
        <w:t xml:space="preserve"> </w:t>
      </w:r>
      <w:r w:rsidRPr="005E68D7">
        <w:rPr>
          <w:b/>
          <w:bCs/>
        </w:rPr>
        <w:fldChar w:fldCharType="begin"/>
      </w:r>
      <w:r w:rsidRPr="005E68D7">
        <w:rPr>
          <w:b/>
          <w:bCs/>
        </w:rPr>
        <w:instrText xml:space="preserve"> REF _Ref198045507 \h </w:instrText>
      </w:r>
      <w:r>
        <w:rPr>
          <w:b/>
          <w:bCs/>
        </w:rPr>
        <w:instrText xml:space="preserve"> \* MERGEFORMAT </w:instrText>
      </w:r>
      <w:r w:rsidRPr="005E68D7">
        <w:rPr>
          <w:b/>
          <w:bCs/>
        </w:rPr>
      </w:r>
      <w:r w:rsidRPr="005E68D7">
        <w:rPr>
          <w:b/>
          <w:bCs/>
        </w:rPr>
        <w:fldChar w:fldCharType="separate"/>
      </w:r>
      <w:r w:rsidR="00BF7E93" w:rsidRPr="00BF7E93">
        <w:rPr>
          <w:b/>
          <w:bCs/>
        </w:rPr>
        <w:t xml:space="preserve">Figure </w:t>
      </w:r>
      <w:r w:rsidR="00BF7E93" w:rsidRPr="00BF7E93">
        <w:rPr>
          <w:b/>
          <w:bCs/>
          <w:noProof/>
        </w:rPr>
        <w:t>4.13</w:t>
      </w:r>
      <w:r w:rsidRPr="005E68D7">
        <w:rPr>
          <w:b/>
          <w:bCs/>
        </w:rPr>
        <w:fldChar w:fldCharType="end"/>
      </w:r>
      <w:r w:rsidRPr="0074556C">
        <w:t>. The temperature history from the preliminary Sobol analyses demonstrate the model sensitivity, which is indicative of the full experimental envelope, 300</w:t>
      </w:r>
      <w:r>
        <w:t>–</w:t>
      </w:r>
      <w:r w:rsidRPr="0074556C">
        <w:t xml:space="preserve">1400 °C for </w:t>
      </w:r>
      <w:r>
        <w:t xml:space="preserve">the </w:t>
      </w:r>
      <w:r w:rsidRPr="0074556C">
        <w:t>RB and 300</w:t>
      </w:r>
      <w:r>
        <w:t>–</w:t>
      </w:r>
      <w:r w:rsidRPr="0074556C">
        <w:t xml:space="preserve">1000 °C for </w:t>
      </w:r>
      <w:r>
        <w:t xml:space="preserve">the </w:t>
      </w:r>
      <w:r w:rsidRPr="0074556C">
        <w:t>VXF</w:t>
      </w:r>
      <w:r>
        <w:t xml:space="preserve"> positions</w:t>
      </w:r>
      <w:r w:rsidRPr="0074556C">
        <w:t>. The temperature history from the secondary Sobol analyses give an indication of the model</w:t>
      </w:r>
      <w:r w:rsidRPr="008110D5">
        <w:t xml:space="preserve"> </w:t>
      </w:r>
      <w:r w:rsidRPr="0074556C">
        <w:t>uncertainty</w:t>
      </w:r>
      <w:r>
        <w:t>,</w:t>
      </w:r>
      <w:r w:rsidRPr="0074556C">
        <w:t xml:space="preserve"> which is indicative of an average temperature capsule within the RB or VXF irradiation positions. The histograms demonstrate that the uncertainty in the prediction of</w:t>
      </w:r>
      <w:r w:rsidRPr="008B5EE4">
        <w:t xml:space="preserve"> </w:t>
      </w:r>
      <w:r w:rsidRPr="0074556C">
        <w:t xml:space="preserve">average fuel temperatures is conservatively </w:t>
      </w:r>
      <w:r w:rsidRPr="0074556C">
        <w:sym w:font="Symbol" w:char="F0B1"/>
      </w:r>
      <w:r w:rsidRPr="0074556C">
        <w:t xml:space="preserve">100 °C within </w:t>
      </w:r>
      <w:r>
        <w:t xml:space="preserve">the </w:t>
      </w:r>
      <w:r w:rsidRPr="0074556C">
        <w:t xml:space="preserve">RB and </w:t>
      </w:r>
      <w:r w:rsidRPr="0074556C">
        <w:sym w:font="Symbol" w:char="F0B1"/>
      </w:r>
      <w:r w:rsidRPr="0074556C">
        <w:t xml:space="preserve">50 °C in </w:t>
      </w:r>
      <w:r>
        <w:t>the</w:t>
      </w:r>
      <w:r w:rsidRPr="008110D5">
        <w:t xml:space="preserve"> </w:t>
      </w:r>
      <w:r w:rsidRPr="0074556C">
        <w:t>VXF</w:t>
      </w:r>
      <w:r>
        <w:t xml:space="preserve"> positions</w:t>
      </w:r>
      <w:r w:rsidRPr="0074556C">
        <w:t xml:space="preserve">. </w:t>
      </w:r>
      <w:r w:rsidRPr="00741590">
        <w:rPr>
          <w:b/>
          <w:bCs/>
        </w:rPr>
        <w:fldChar w:fldCharType="begin"/>
      </w:r>
      <w:r w:rsidRPr="00741590">
        <w:rPr>
          <w:b/>
          <w:bCs/>
        </w:rPr>
        <w:instrText xml:space="preserve"> REF _Ref201916069 \h  \* MERGEFORMAT </w:instrText>
      </w:r>
      <w:r w:rsidRPr="00741590">
        <w:rPr>
          <w:b/>
          <w:bCs/>
        </w:rPr>
      </w:r>
      <w:r w:rsidRPr="00741590">
        <w:rPr>
          <w:b/>
          <w:bCs/>
        </w:rPr>
        <w:fldChar w:fldCharType="separate"/>
      </w:r>
      <w:r w:rsidR="00BF7E93" w:rsidRPr="00BF7E93">
        <w:rPr>
          <w:b/>
          <w:bCs/>
        </w:rPr>
        <w:t xml:space="preserve">Table </w:t>
      </w:r>
      <w:r w:rsidR="00BF7E93" w:rsidRPr="00BF7E93">
        <w:rPr>
          <w:b/>
          <w:bCs/>
          <w:noProof/>
        </w:rPr>
        <w:t>4.7</w:t>
      </w:r>
      <w:r w:rsidRPr="00741590">
        <w:rPr>
          <w:b/>
          <w:bCs/>
        </w:rPr>
        <w:fldChar w:fldCharType="end"/>
      </w:r>
      <w:r>
        <w:rPr>
          <w:b/>
          <w:bCs/>
        </w:rPr>
        <w:t xml:space="preserve"> </w:t>
      </w:r>
      <w:r w:rsidRPr="0074556C">
        <w:t xml:space="preserve">contains the statistics from each of the Sobol analyses. </w:t>
      </w:r>
      <w:r>
        <w:t xml:space="preserve">The </w:t>
      </w:r>
      <w:r w:rsidRPr="0074556C">
        <w:t xml:space="preserve">data from the preliminary analyses, denoted </w:t>
      </w:r>
      <w:r w:rsidRPr="00AF7112">
        <w:rPr>
          <w:i/>
          <w:iCs/>
        </w:rPr>
        <w:t>D</w:t>
      </w:r>
      <w:r w:rsidRPr="0074556C">
        <w:t xml:space="preserve"> for the inclusion of the primary design</w:t>
      </w:r>
    </w:p>
    <w:p w14:paraId="32CE5C2A" w14:textId="172713BE" w:rsidR="00147085" w:rsidRDefault="00147085" w:rsidP="00147085">
      <w:r w:rsidRPr="0074556C">
        <w:t xml:space="preserve">parameters, should be taken as model sensitivity, and the data from the secondary </w:t>
      </w:r>
      <w:r>
        <w:br w:type="page"/>
      </w:r>
    </w:p>
    <w:p w14:paraId="05BF61A1" w14:textId="77777777" w:rsidR="008110D5" w:rsidRPr="003E2B8A" w:rsidRDefault="008110D5" w:rsidP="008110D5">
      <w:pPr>
        <w:widowControl w:val="0"/>
      </w:pPr>
    </w:p>
    <w:p w14:paraId="5D7CFDC2" w14:textId="75332F0E" w:rsidR="00BA37DA" w:rsidRPr="0074556C" w:rsidRDefault="00BA37DA" w:rsidP="00BA37DA">
      <w:pPr>
        <w:jc w:val="center"/>
      </w:pPr>
      <w:r w:rsidRPr="0074556C">
        <w:rPr>
          <w:noProof/>
        </w:rPr>
        <w:drawing>
          <wp:inline distT="0" distB="0" distL="0" distR="0" wp14:anchorId="41978633" wp14:editId="39742DD2">
            <wp:extent cx="5486400" cy="3828468"/>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rotWithShape="1">
                    <a:blip r:embed="rId55" cstate="print">
                      <a:extLst>
                        <a:ext uri="{28A0092B-C50C-407E-A947-70E740481C1C}">
                          <a14:useLocalDpi xmlns:a14="http://schemas.microsoft.com/office/drawing/2010/main" val="0"/>
                        </a:ext>
                      </a:extLst>
                    </a:blip>
                    <a:srcRect t="10800" r="6230" b="1955"/>
                    <a:stretch/>
                  </pic:blipFill>
                  <pic:spPr bwMode="auto">
                    <a:xfrm>
                      <a:off x="0" y="0"/>
                      <a:ext cx="5486400" cy="3828468"/>
                    </a:xfrm>
                    <a:prstGeom prst="rect">
                      <a:avLst/>
                    </a:prstGeom>
                    <a:ln>
                      <a:noFill/>
                    </a:ln>
                    <a:extLst>
                      <a:ext uri="{53640926-AAD7-44D8-BBD7-CCE9431645EC}">
                        <a14:shadowObscured xmlns:a14="http://schemas.microsoft.com/office/drawing/2010/main"/>
                      </a:ext>
                    </a:extLst>
                  </pic:spPr>
                </pic:pic>
              </a:graphicData>
            </a:graphic>
          </wp:inline>
        </w:drawing>
      </w:r>
    </w:p>
    <w:p w14:paraId="0E474BF7" w14:textId="52825ED6" w:rsidR="00BA37DA" w:rsidRPr="0074556C" w:rsidRDefault="00941F6F" w:rsidP="00874CBB">
      <w:pPr>
        <w:pStyle w:val="Caption"/>
      </w:pPr>
      <w:bookmarkStart w:id="170" w:name="_Ref198045322"/>
      <w:bookmarkStart w:id="171" w:name="_Toc202957570"/>
      <w:r>
        <w:t xml:space="preserve">Figure </w:t>
      </w:r>
      <w:fldSimple w:instr=" STYLEREF 1 \s ">
        <w:r w:rsidR="00BF7E93">
          <w:rPr>
            <w:noProof/>
          </w:rPr>
          <w:t>4</w:t>
        </w:r>
      </w:fldSimple>
      <w:r>
        <w:t>.</w:t>
      </w:r>
      <w:fldSimple w:instr=" SEQ Figure \* ARABIC \s 1 ">
        <w:r w:rsidR="00BF7E93">
          <w:rPr>
            <w:noProof/>
          </w:rPr>
          <w:t>7</w:t>
        </w:r>
      </w:fldSimple>
      <w:bookmarkEnd w:id="170"/>
      <w:r>
        <w:t>.</w:t>
      </w:r>
      <w:r w:rsidRPr="0074556C">
        <w:t xml:space="preserve"> </w:t>
      </w:r>
      <w:r w:rsidR="00BA37DA" w:rsidRPr="0074556C">
        <w:t>Total Sobol index convergence for high</w:t>
      </w:r>
      <w:r w:rsidR="00BA37DA">
        <w:t>-</w:t>
      </w:r>
      <w:r w:rsidR="00BA37DA" w:rsidRPr="0074556C">
        <w:t>temperature UO</w:t>
      </w:r>
      <w:r w:rsidR="00BA37DA" w:rsidRPr="0074556C">
        <w:rPr>
          <w:vertAlign w:val="subscript"/>
        </w:rPr>
        <w:t>2</w:t>
      </w:r>
      <w:r w:rsidR="00BA37DA" w:rsidRPr="0074556C">
        <w:t xml:space="preserve"> fuel with respect to average fuel temperature.</w:t>
      </w:r>
      <w:bookmarkEnd w:id="171"/>
    </w:p>
    <w:p w14:paraId="221FAB71" w14:textId="5E171828" w:rsidR="00BA37DA" w:rsidRPr="0074556C" w:rsidRDefault="00A837B7" w:rsidP="008110D5">
      <w:pPr>
        <w:spacing w:line="240" w:lineRule="auto"/>
      </w:pPr>
      <w:r>
        <w:br w:type="page"/>
      </w:r>
    </w:p>
    <w:p w14:paraId="3400CFD7" w14:textId="77777777" w:rsidR="00BA37DA" w:rsidRPr="0074556C" w:rsidRDefault="00BA37DA" w:rsidP="00BA37DA">
      <w:r w:rsidRPr="0074556C">
        <w:rPr>
          <w:noProof/>
        </w:rPr>
        <w:lastRenderedPageBreak/>
        <w:drawing>
          <wp:inline distT="0" distB="0" distL="0" distR="0" wp14:anchorId="52CDF357" wp14:editId="41FD25F3">
            <wp:extent cx="5486400" cy="4183796"/>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rotWithShape="1">
                    <a:blip r:embed="rId56" cstate="print">
                      <a:extLst>
                        <a:ext uri="{28A0092B-C50C-407E-A947-70E740481C1C}">
                          <a14:useLocalDpi xmlns:a14="http://schemas.microsoft.com/office/drawing/2010/main" val="0"/>
                        </a:ext>
                      </a:extLst>
                    </a:blip>
                    <a:srcRect l="6801" t="11557" r="9600" b="3443"/>
                    <a:stretch/>
                  </pic:blipFill>
                  <pic:spPr bwMode="auto">
                    <a:xfrm>
                      <a:off x="0" y="0"/>
                      <a:ext cx="5486400" cy="4183796"/>
                    </a:xfrm>
                    <a:prstGeom prst="rect">
                      <a:avLst/>
                    </a:prstGeom>
                    <a:ln>
                      <a:noFill/>
                    </a:ln>
                    <a:extLst>
                      <a:ext uri="{53640926-AAD7-44D8-BBD7-CCE9431645EC}">
                        <a14:shadowObscured xmlns:a14="http://schemas.microsoft.com/office/drawing/2010/main"/>
                      </a:ext>
                    </a:extLst>
                  </pic:spPr>
                </pic:pic>
              </a:graphicData>
            </a:graphic>
          </wp:inline>
        </w:drawing>
      </w:r>
    </w:p>
    <w:p w14:paraId="1E323104" w14:textId="4FE7E407" w:rsidR="00BA37DA" w:rsidRPr="0074556C" w:rsidRDefault="00941F6F" w:rsidP="00874CBB">
      <w:pPr>
        <w:pStyle w:val="Caption"/>
      </w:pPr>
      <w:bookmarkStart w:id="172" w:name="_Ref198045334"/>
      <w:bookmarkStart w:id="173" w:name="_Toc202957571"/>
      <w:r>
        <w:t xml:space="preserve">Figure </w:t>
      </w:r>
      <w:fldSimple w:instr=" STYLEREF 1 \s ">
        <w:r w:rsidR="00BF7E93">
          <w:rPr>
            <w:noProof/>
          </w:rPr>
          <w:t>4</w:t>
        </w:r>
      </w:fldSimple>
      <w:r>
        <w:t>.</w:t>
      </w:r>
      <w:fldSimple w:instr=" SEQ Figure \* ARABIC \s 1 ">
        <w:r w:rsidR="00BF7E93">
          <w:rPr>
            <w:noProof/>
          </w:rPr>
          <w:t>8</w:t>
        </w:r>
      </w:fldSimple>
      <w:bookmarkEnd w:id="172"/>
      <w:r>
        <w:t>.</w:t>
      </w:r>
      <w:r w:rsidRPr="0074556C">
        <w:t xml:space="preserve"> </w:t>
      </w:r>
      <w:r w:rsidR="00BA37DA" w:rsidRPr="0074556C">
        <w:t>Total Sobol indices for high</w:t>
      </w:r>
      <w:r w:rsidR="00BA37DA">
        <w:t>-</w:t>
      </w:r>
      <w:r w:rsidR="00BA37DA" w:rsidRPr="0074556C">
        <w:t>temperature UO</w:t>
      </w:r>
      <w:r w:rsidR="00BA37DA" w:rsidRPr="0074556C">
        <w:rPr>
          <w:vertAlign w:val="subscript"/>
        </w:rPr>
        <w:t>2</w:t>
      </w:r>
      <w:r w:rsidR="00BA37DA" w:rsidRPr="0074556C">
        <w:t xml:space="preserve"> fuel with respect to each POI (</w:t>
      </w:r>
      <w:r w:rsidR="00BA37DA">
        <w:t>i</w:t>
      </w:r>
      <w:r w:rsidR="00BA37DA" w:rsidRPr="0074556C">
        <w:t>ncluding the primary subcapsule design parameters).</w:t>
      </w:r>
      <w:bookmarkEnd w:id="173"/>
      <w:r w:rsidR="00BA37DA" w:rsidRPr="0074556C">
        <w:t xml:space="preserve"> </w:t>
      </w:r>
    </w:p>
    <w:p w14:paraId="068F2BFE" w14:textId="0B39B981" w:rsidR="00A837B7" w:rsidRDefault="00A837B7">
      <w:pPr>
        <w:spacing w:line="240" w:lineRule="auto"/>
      </w:pPr>
      <w:r>
        <w:br w:type="page"/>
      </w:r>
    </w:p>
    <w:p w14:paraId="3D9751F7" w14:textId="77777777" w:rsidR="00BA37DA" w:rsidRPr="0074556C" w:rsidRDefault="00BA37DA" w:rsidP="00BA37DA">
      <w:r w:rsidRPr="0074556C">
        <w:rPr>
          <w:noProof/>
        </w:rPr>
        <w:lastRenderedPageBreak/>
        <w:drawing>
          <wp:inline distT="0" distB="0" distL="0" distR="0" wp14:anchorId="27A5B0D9" wp14:editId="1A7E38F2">
            <wp:extent cx="5486400" cy="4179022"/>
            <wp:effectExtent l="0" t="0" r="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rotWithShape="1">
                    <a:blip r:embed="rId57" cstate="print">
                      <a:extLst>
                        <a:ext uri="{28A0092B-C50C-407E-A947-70E740481C1C}">
                          <a14:useLocalDpi xmlns:a14="http://schemas.microsoft.com/office/drawing/2010/main" val="0"/>
                        </a:ext>
                      </a:extLst>
                    </a:blip>
                    <a:srcRect l="7067" t="11734" r="9600" b="3633"/>
                    <a:stretch/>
                  </pic:blipFill>
                  <pic:spPr bwMode="auto">
                    <a:xfrm>
                      <a:off x="0" y="0"/>
                      <a:ext cx="5486400" cy="4179022"/>
                    </a:xfrm>
                    <a:prstGeom prst="rect">
                      <a:avLst/>
                    </a:prstGeom>
                    <a:ln>
                      <a:noFill/>
                    </a:ln>
                    <a:extLst>
                      <a:ext uri="{53640926-AAD7-44D8-BBD7-CCE9431645EC}">
                        <a14:shadowObscured xmlns:a14="http://schemas.microsoft.com/office/drawing/2010/main"/>
                      </a:ext>
                    </a:extLst>
                  </pic:spPr>
                </pic:pic>
              </a:graphicData>
            </a:graphic>
          </wp:inline>
        </w:drawing>
      </w:r>
    </w:p>
    <w:p w14:paraId="71304E63" w14:textId="066BEEE9" w:rsidR="00BA37DA" w:rsidRPr="0074556C" w:rsidRDefault="00941F6F" w:rsidP="00874CBB">
      <w:pPr>
        <w:pStyle w:val="Caption"/>
      </w:pPr>
      <w:bookmarkStart w:id="174" w:name="_Ref198045344"/>
      <w:bookmarkStart w:id="175" w:name="_Toc202957572"/>
      <w:r>
        <w:t xml:space="preserve">Figure </w:t>
      </w:r>
      <w:fldSimple w:instr=" STYLEREF 1 \s ">
        <w:r w:rsidR="00BF7E93">
          <w:rPr>
            <w:noProof/>
          </w:rPr>
          <w:t>4</w:t>
        </w:r>
      </w:fldSimple>
      <w:r>
        <w:t>.</w:t>
      </w:r>
      <w:fldSimple w:instr=" SEQ Figure \* ARABIC \s 1 ">
        <w:r w:rsidR="00BF7E93">
          <w:rPr>
            <w:noProof/>
          </w:rPr>
          <w:t>9</w:t>
        </w:r>
      </w:fldSimple>
      <w:bookmarkEnd w:id="174"/>
      <w:r>
        <w:t>.</w:t>
      </w:r>
      <w:r w:rsidRPr="0074556C">
        <w:t xml:space="preserve"> </w:t>
      </w:r>
      <w:r w:rsidR="00BA37DA" w:rsidRPr="0074556C">
        <w:t>Total Sobol indices for low</w:t>
      </w:r>
      <w:r w:rsidR="00BA37DA">
        <w:t>-</w:t>
      </w:r>
      <w:r w:rsidR="00BA37DA" w:rsidRPr="0074556C">
        <w:t>temperature UO</w:t>
      </w:r>
      <w:r w:rsidR="00BA37DA" w:rsidRPr="0074556C">
        <w:rPr>
          <w:vertAlign w:val="subscript"/>
        </w:rPr>
        <w:t>2</w:t>
      </w:r>
      <w:r w:rsidR="00BA37DA" w:rsidRPr="0074556C">
        <w:t xml:space="preserve"> fuel with respect to each POI (</w:t>
      </w:r>
      <w:r w:rsidR="00BA37DA">
        <w:t>i</w:t>
      </w:r>
      <w:r w:rsidR="00BA37DA" w:rsidRPr="0074556C">
        <w:t>ncluding the primary subcapsule design parameters).</w:t>
      </w:r>
      <w:bookmarkEnd w:id="175"/>
    </w:p>
    <w:p w14:paraId="653C2E1D" w14:textId="3AEDECFE" w:rsidR="00A837B7" w:rsidRDefault="00A837B7">
      <w:pPr>
        <w:spacing w:line="240" w:lineRule="auto"/>
      </w:pPr>
      <w:r>
        <w:br w:type="page"/>
      </w:r>
    </w:p>
    <w:p w14:paraId="3CED9AAA" w14:textId="77777777" w:rsidR="00BA37DA" w:rsidRPr="0074556C" w:rsidRDefault="00BA37DA" w:rsidP="00BA37DA">
      <w:r w:rsidRPr="0074556C">
        <w:rPr>
          <w:noProof/>
        </w:rPr>
        <w:lastRenderedPageBreak/>
        <w:drawing>
          <wp:inline distT="0" distB="0" distL="0" distR="0" wp14:anchorId="775B53A8" wp14:editId="05A559A2">
            <wp:extent cx="5486400" cy="4085303"/>
            <wp:effectExtent l="0" t="0" r="0" b="4445"/>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rotWithShape="1">
                    <a:blip r:embed="rId58" cstate="print">
                      <a:extLst>
                        <a:ext uri="{28A0092B-C50C-407E-A947-70E740481C1C}">
                          <a14:useLocalDpi xmlns:a14="http://schemas.microsoft.com/office/drawing/2010/main" val="0"/>
                        </a:ext>
                      </a:extLst>
                    </a:blip>
                    <a:srcRect l="7166" t="11425" r="9346" b="5685"/>
                    <a:stretch/>
                  </pic:blipFill>
                  <pic:spPr bwMode="auto">
                    <a:xfrm>
                      <a:off x="0" y="0"/>
                      <a:ext cx="5486400" cy="4085303"/>
                    </a:xfrm>
                    <a:prstGeom prst="rect">
                      <a:avLst/>
                    </a:prstGeom>
                    <a:ln>
                      <a:noFill/>
                    </a:ln>
                    <a:extLst>
                      <a:ext uri="{53640926-AAD7-44D8-BBD7-CCE9431645EC}">
                        <a14:shadowObscured xmlns:a14="http://schemas.microsoft.com/office/drawing/2010/main"/>
                      </a:ext>
                    </a:extLst>
                  </pic:spPr>
                </pic:pic>
              </a:graphicData>
            </a:graphic>
          </wp:inline>
        </w:drawing>
      </w:r>
    </w:p>
    <w:p w14:paraId="02533F9B" w14:textId="7AB71C0F" w:rsidR="00BA37DA" w:rsidRDefault="00941F6F" w:rsidP="00874CBB">
      <w:pPr>
        <w:pStyle w:val="Caption"/>
      </w:pPr>
      <w:bookmarkStart w:id="176" w:name="_Ref198045475"/>
      <w:bookmarkStart w:id="177" w:name="_Toc202957573"/>
      <w:r>
        <w:t xml:space="preserve">Figure </w:t>
      </w:r>
      <w:fldSimple w:instr=" STYLEREF 1 \s ">
        <w:r w:rsidR="00BF7E93">
          <w:rPr>
            <w:noProof/>
          </w:rPr>
          <w:t>4</w:t>
        </w:r>
      </w:fldSimple>
      <w:r>
        <w:t>.</w:t>
      </w:r>
      <w:fldSimple w:instr=" SEQ Figure \* ARABIC \s 1 ">
        <w:r w:rsidR="00BF7E93">
          <w:rPr>
            <w:noProof/>
          </w:rPr>
          <w:t>10</w:t>
        </w:r>
      </w:fldSimple>
      <w:bookmarkEnd w:id="176"/>
      <w:r>
        <w:t>.</w:t>
      </w:r>
      <w:r w:rsidRPr="0074556C">
        <w:t xml:space="preserve"> </w:t>
      </w:r>
      <w:r w:rsidR="00BA37DA" w:rsidRPr="0074556C">
        <w:t>Total Sobol indices for high</w:t>
      </w:r>
      <w:r w:rsidR="00BA37DA">
        <w:t>-</w:t>
      </w:r>
      <w:r w:rsidR="00BA37DA" w:rsidRPr="0074556C">
        <w:t>temperature UO</w:t>
      </w:r>
      <w:r w:rsidR="00BA37DA" w:rsidRPr="0074556C">
        <w:rPr>
          <w:vertAlign w:val="subscript"/>
        </w:rPr>
        <w:t>2</w:t>
      </w:r>
      <w:r w:rsidR="00BA37DA" w:rsidRPr="0074556C">
        <w:t xml:space="preserve"> fuel with respect to each POI (</w:t>
      </w:r>
      <w:r w:rsidR="00BA37DA">
        <w:t>n</w:t>
      </w:r>
      <w:r w:rsidR="00BA37DA" w:rsidRPr="0074556C">
        <w:t>ot including the primary subcapsule design parameters).</w:t>
      </w:r>
      <w:bookmarkEnd w:id="177"/>
    </w:p>
    <w:p w14:paraId="68B5142E" w14:textId="13093627" w:rsidR="00A837B7" w:rsidRDefault="00A837B7">
      <w:pPr>
        <w:spacing w:line="240" w:lineRule="auto"/>
      </w:pPr>
      <w:r>
        <w:br w:type="page"/>
      </w:r>
    </w:p>
    <w:p w14:paraId="4EBBDA99" w14:textId="77777777" w:rsidR="00BA37DA" w:rsidRPr="0074556C" w:rsidRDefault="00BA37DA" w:rsidP="00BA37DA">
      <w:r>
        <w:rPr>
          <w:noProof/>
        </w:rPr>
        <w:lastRenderedPageBreak/>
        <w:drawing>
          <wp:inline distT="0" distB="0" distL="0" distR="0" wp14:anchorId="336C4A3C" wp14:editId="5C68A3FB">
            <wp:extent cx="5486400" cy="4112982"/>
            <wp:effectExtent l="0" t="0" r="0" b="1905"/>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rotWithShape="1">
                    <a:blip r:embed="rId59" cstate="print">
                      <a:extLst>
                        <a:ext uri="{28A0092B-C50C-407E-A947-70E740481C1C}">
                          <a14:useLocalDpi xmlns:a14="http://schemas.microsoft.com/office/drawing/2010/main" val="0"/>
                        </a:ext>
                      </a:extLst>
                    </a:blip>
                    <a:srcRect l="6991" t="11232" r="9319" b="5114"/>
                    <a:stretch/>
                  </pic:blipFill>
                  <pic:spPr bwMode="auto">
                    <a:xfrm>
                      <a:off x="0" y="0"/>
                      <a:ext cx="5486400" cy="4112982"/>
                    </a:xfrm>
                    <a:prstGeom prst="rect">
                      <a:avLst/>
                    </a:prstGeom>
                    <a:ln>
                      <a:noFill/>
                    </a:ln>
                    <a:extLst>
                      <a:ext uri="{53640926-AAD7-44D8-BBD7-CCE9431645EC}">
                        <a14:shadowObscured xmlns:a14="http://schemas.microsoft.com/office/drawing/2010/main"/>
                      </a:ext>
                    </a:extLst>
                  </pic:spPr>
                </pic:pic>
              </a:graphicData>
            </a:graphic>
          </wp:inline>
        </w:drawing>
      </w:r>
    </w:p>
    <w:p w14:paraId="17BE0FC1" w14:textId="5D8AAA27" w:rsidR="00BA37DA" w:rsidRPr="0074556C" w:rsidRDefault="00941F6F" w:rsidP="00874CBB">
      <w:pPr>
        <w:pStyle w:val="Caption"/>
      </w:pPr>
      <w:bookmarkStart w:id="178" w:name="_Ref198045487"/>
      <w:bookmarkStart w:id="179" w:name="_Toc202957574"/>
      <w:r>
        <w:t xml:space="preserve">Figure </w:t>
      </w:r>
      <w:fldSimple w:instr=" STYLEREF 1 \s ">
        <w:r w:rsidR="00BF7E93">
          <w:rPr>
            <w:noProof/>
          </w:rPr>
          <w:t>4</w:t>
        </w:r>
      </w:fldSimple>
      <w:r>
        <w:t>.</w:t>
      </w:r>
      <w:fldSimple w:instr=" SEQ Figure \* ARABIC \s 1 ">
        <w:r w:rsidR="00BF7E93">
          <w:rPr>
            <w:noProof/>
          </w:rPr>
          <w:t>11</w:t>
        </w:r>
      </w:fldSimple>
      <w:bookmarkEnd w:id="178"/>
      <w:r>
        <w:t>.</w:t>
      </w:r>
      <w:r w:rsidRPr="0074556C">
        <w:t xml:space="preserve"> </w:t>
      </w:r>
      <w:r w:rsidR="00BA37DA" w:rsidRPr="0074556C">
        <w:t>Total Sobol indices for low</w:t>
      </w:r>
      <w:r w:rsidR="00BA37DA">
        <w:t>-</w:t>
      </w:r>
      <w:r w:rsidR="00BA37DA" w:rsidRPr="0074556C">
        <w:t>temperature UO</w:t>
      </w:r>
      <w:r w:rsidR="00BA37DA" w:rsidRPr="0074556C">
        <w:rPr>
          <w:vertAlign w:val="subscript"/>
        </w:rPr>
        <w:t>2</w:t>
      </w:r>
      <w:r w:rsidR="00BA37DA" w:rsidRPr="0074556C">
        <w:t xml:space="preserve"> fuel with respect to each POI (</w:t>
      </w:r>
      <w:r w:rsidR="00BA37DA">
        <w:t>n</w:t>
      </w:r>
      <w:r w:rsidR="00BA37DA" w:rsidRPr="0074556C">
        <w:t>ot including the primary subcapsule design parameters).</w:t>
      </w:r>
      <w:bookmarkEnd w:id="179"/>
    </w:p>
    <w:p w14:paraId="716F265E" w14:textId="77777777" w:rsidR="00BA37DA" w:rsidRPr="0074556C" w:rsidRDefault="00BA37DA" w:rsidP="00BA37DA"/>
    <w:p w14:paraId="501FDA62" w14:textId="586C444D" w:rsidR="00A837B7" w:rsidRDefault="00A837B7" w:rsidP="00147085">
      <w:pPr>
        <w:spacing w:line="240" w:lineRule="auto"/>
      </w:pPr>
      <w:r>
        <w:br w:type="page"/>
      </w:r>
    </w:p>
    <w:p w14:paraId="7109D3B7" w14:textId="77777777" w:rsidR="00BA37DA" w:rsidRPr="0074556C" w:rsidRDefault="00BA37DA" w:rsidP="00BA37DA">
      <w:r w:rsidRPr="0074556C">
        <w:rPr>
          <w:noProof/>
        </w:rPr>
        <w:lastRenderedPageBreak/>
        <w:drawing>
          <wp:inline distT="0" distB="0" distL="0" distR="0" wp14:anchorId="3567B943" wp14:editId="673B1A73">
            <wp:extent cx="5486400" cy="4114800"/>
            <wp:effectExtent l="0" t="0" r="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60" cstate="print">
                      <a:extLst>
                        <a:ext uri="{28A0092B-C50C-407E-A947-70E740481C1C}">
                          <a14:useLocalDpi xmlns:a14="http://schemas.microsoft.com/office/drawing/2010/main" val="0"/>
                        </a:ext>
                      </a:extLst>
                    </a:blip>
                    <a:stretch>
                      <a:fillRect/>
                    </a:stretch>
                  </pic:blipFill>
                  <pic:spPr>
                    <a:xfrm>
                      <a:off x="0" y="0"/>
                      <a:ext cx="5486400" cy="4114800"/>
                    </a:xfrm>
                    <a:prstGeom prst="rect">
                      <a:avLst/>
                    </a:prstGeom>
                  </pic:spPr>
                </pic:pic>
              </a:graphicData>
            </a:graphic>
          </wp:inline>
        </w:drawing>
      </w:r>
    </w:p>
    <w:p w14:paraId="210C05D3" w14:textId="1F7ED76D" w:rsidR="00BA37DA" w:rsidRPr="0074556C" w:rsidRDefault="00941F6F" w:rsidP="00874CBB">
      <w:pPr>
        <w:pStyle w:val="Caption"/>
      </w:pPr>
      <w:bookmarkStart w:id="180" w:name="_Ref198045496"/>
      <w:bookmarkStart w:id="181" w:name="_Toc202957575"/>
      <w:r>
        <w:t xml:space="preserve">Figure </w:t>
      </w:r>
      <w:fldSimple w:instr=" STYLEREF 1 \s ">
        <w:r w:rsidR="00BF7E93">
          <w:rPr>
            <w:noProof/>
          </w:rPr>
          <w:t>4</w:t>
        </w:r>
      </w:fldSimple>
      <w:r>
        <w:t>.</w:t>
      </w:r>
      <w:fldSimple w:instr=" SEQ Figure \* ARABIC \s 1 ">
        <w:r w:rsidR="00BF7E93">
          <w:rPr>
            <w:noProof/>
          </w:rPr>
          <w:t>12</w:t>
        </w:r>
      </w:fldSimple>
      <w:bookmarkEnd w:id="180"/>
      <w:r>
        <w:t>.</w:t>
      </w:r>
      <w:r w:rsidRPr="0074556C">
        <w:t xml:space="preserve"> </w:t>
      </w:r>
      <w:r w:rsidR="00BA37DA" w:rsidRPr="0074556C">
        <w:t>Histogram of average fuel temperature for the high</w:t>
      </w:r>
      <w:r w:rsidR="00BA37DA">
        <w:t>-</w:t>
      </w:r>
      <w:r w:rsidR="00BA37DA" w:rsidRPr="0074556C">
        <w:t>temperature UO</w:t>
      </w:r>
      <w:r w:rsidR="00BA37DA" w:rsidRPr="0074556C">
        <w:rPr>
          <w:vertAlign w:val="subscript"/>
        </w:rPr>
        <w:t>2</w:t>
      </w:r>
      <w:r w:rsidR="00BA37DA" w:rsidRPr="0074556C">
        <w:t xml:space="preserve"> fuel Sobol analysis.</w:t>
      </w:r>
      <w:bookmarkEnd w:id="181"/>
    </w:p>
    <w:p w14:paraId="65482A52" w14:textId="536F8EAE" w:rsidR="00A837B7" w:rsidRDefault="00A837B7">
      <w:pPr>
        <w:spacing w:line="240" w:lineRule="auto"/>
      </w:pPr>
      <w:r>
        <w:br w:type="page"/>
      </w:r>
    </w:p>
    <w:p w14:paraId="1C8C6E3F" w14:textId="77777777" w:rsidR="00BA37DA" w:rsidRPr="0074556C" w:rsidRDefault="00BA37DA" w:rsidP="00BA37DA">
      <w:r w:rsidRPr="0074556C">
        <w:rPr>
          <w:noProof/>
        </w:rPr>
        <w:lastRenderedPageBreak/>
        <w:drawing>
          <wp:inline distT="0" distB="0" distL="0" distR="0" wp14:anchorId="6172A92F" wp14:editId="06D15023">
            <wp:extent cx="5486400" cy="4114800"/>
            <wp:effectExtent l="0" t="0" r="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61" cstate="print">
                      <a:extLst>
                        <a:ext uri="{28A0092B-C50C-407E-A947-70E740481C1C}">
                          <a14:useLocalDpi xmlns:a14="http://schemas.microsoft.com/office/drawing/2010/main" val="0"/>
                        </a:ext>
                      </a:extLst>
                    </a:blip>
                    <a:stretch>
                      <a:fillRect/>
                    </a:stretch>
                  </pic:blipFill>
                  <pic:spPr>
                    <a:xfrm>
                      <a:off x="0" y="0"/>
                      <a:ext cx="5486400" cy="4114800"/>
                    </a:xfrm>
                    <a:prstGeom prst="rect">
                      <a:avLst/>
                    </a:prstGeom>
                  </pic:spPr>
                </pic:pic>
              </a:graphicData>
            </a:graphic>
          </wp:inline>
        </w:drawing>
      </w:r>
    </w:p>
    <w:p w14:paraId="526E3449" w14:textId="0349641A" w:rsidR="00BA37DA" w:rsidRPr="0074556C" w:rsidRDefault="00941F6F" w:rsidP="00874CBB">
      <w:pPr>
        <w:pStyle w:val="Caption"/>
      </w:pPr>
      <w:bookmarkStart w:id="182" w:name="_Ref198045507"/>
      <w:bookmarkStart w:id="183" w:name="_Toc202957576"/>
      <w:r>
        <w:t xml:space="preserve">Figure </w:t>
      </w:r>
      <w:fldSimple w:instr=" STYLEREF 1 \s ">
        <w:r w:rsidR="00BF7E93">
          <w:rPr>
            <w:noProof/>
          </w:rPr>
          <w:t>4</w:t>
        </w:r>
      </w:fldSimple>
      <w:r>
        <w:t>.</w:t>
      </w:r>
      <w:fldSimple w:instr=" SEQ Figure \* ARABIC \s 1 ">
        <w:r w:rsidR="00BF7E93">
          <w:rPr>
            <w:noProof/>
          </w:rPr>
          <w:t>13</w:t>
        </w:r>
      </w:fldSimple>
      <w:bookmarkEnd w:id="182"/>
      <w:r>
        <w:t>.</w:t>
      </w:r>
      <w:r w:rsidRPr="0074556C">
        <w:t xml:space="preserve"> </w:t>
      </w:r>
      <w:r w:rsidR="00BA37DA" w:rsidRPr="0074556C">
        <w:t>Histogram of average fuel temperature for the low</w:t>
      </w:r>
      <w:r w:rsidR="00BA37DA">
        <w:t>-</w:t>
      </w:r>
      <w:r w:rsidR="00BA37DA" w:rsidRPr="0074556C">
        <w:t>temperature UO</w:t>
      </w:r>
      <w:r w:rsidR="00BA37DA" w:rsidRPr="0074556C">
        <w:rPr>
          <w:vertAlign w:val="subscript"/>
        </w:rPr>
        <w:t>2</w:t>
      </w:r>
      <w:r w:rsidR="00BA37DA" w:rsidRPr="0074556C">
        <w:t xml:space="preserve"> fuel Sobol analysis.</w:t>
      </w:r>
      <w:bookmarkEnd w:id="183"/>
    </w:p>
    <w:p w14:paraId="6881DE7F" w14:textId="119C987A" w:rsidR="00BA37DA" w:rsidRPr="0074556C" w:rsidRDefault="008B5EE4" w:rsidP="00F22A75">
      <w:pPr>
        <w:spacing w:line="240" w:lineRule="auto"/>
      </w:pPr>
      <w:r>
        <w:br w:type="page"/>
      </w:r>
    </w:p>
    <w:p w14:paraId="363DBB95" w14:textId="65283F46" w:rsidR="008B5EE4" w:rsidRPr="0074556C" w:rsidRDefault="008B5EE4" w:rsidP="00874CBB">
      <w:pPr>
        <w:pStyle w:val="Caption"/>
      </w:pPr>
      <w:r w:rsidRPr="008B5EE4">
        <w:lastRenderedPageBreak/>
        <w:t xml:space="preserve"> </w:t>
      </w:r>
      <w:bookmarkStart w:id="184" w:name="_Ref201916069"/>
      <w:bookmarkStart w:id="185" w:name="_Toc202957528"/>
      <w:r w:rsidRPr="009D2AA9">
        <w:t xml:space="preserve">Table </w:t>
      </w:r>
      <w:fldSimple w:instr=" STYLEREF 1 \s ">
        <w:r w:rsidR="00BF7E93">
          <w:rPr>
            <w:noProof/>
          </w:rPr>
          <w:t>4</w:t>
        </w:r>
      </w:fldSimple>
      <w:r w:rsidRPr="009D2AA9">
        <w:t>.</w:t>
      </w:r>
      <w:fldSimple w:instr=" SEQ Table \* ARABIC \s 1 ">
        <w:r w:rsidR="00BF7E93">
          <w:rPr>
            <w:noProof/>
          </w:rPr>
          <w:t>7</w:t>
        </w:r>
      </w:fldSimple>
      <w:bookmarkEnd w:id="184"/>
      <w:r w:rsidRPr="009D2AA9">
        <w:t>.</w:t>
      </w:r>
      <w:r w:rsidRPr="0074556C">
        <w:t xml:space="preserve"> Statistics for the Sobol sensitivity analysis of ANSYS MiniFuel models</w:t>
      </w:r>
      <w:bookmarkEnd w:id="185"/>
    </w:p>
    <w:tbl>
      <w:tblPr>
        <w:tblStyle w:val="TableGrid"/>
        <w:tblW w:w="9165" w:type="dxa"/>
        <w:tblLayout w:type="fixed"/>
        <w:tblLook w:val="04A0" w:firstRow="1" w:lastRow="0" w:firstColumn="1" w:lastColumn="0" w:noHBand="0" w:noVBand="1"/>
      </w:tblPr>
      <w:tblGrid>
        <w:gridCol w:w="1695"/>
        <w:gridCol w:w="990"/>
        <w:gridCol w:w="1620"/>
        <w:gridCol w:w="1620"/>
        <w:gridCol w:w="1620"/>
        <w:gridCol w:w="1620"/>
      </w:tblGrid>
      <w:tr w:rsidR="008B5EE4" w:rsidRPr="0074556C" w14:paraId="1DBF8662" w14:textId="77777777" w:rsidTr="004E0F0C">
        <w:tc>
          <w:tcPr>
            <w:tcW w:w="2685" w:type="dxa"/>
            <w:gridSpan w:val="2"/>
            <w:tcBorders>
              <w:top w:val="single" w:sz="12" w:space="0" w:color="auto"/>
              <w:left w:val="single" w:sz="12" w:space="0" w:color="auto"/>
              <w:bottom w:val="double" w:sz="12" w:space="0" w:color="auto"/>
              <w:right w:val="double" w:sz="12" w:space="0" w:color="auto"/>
            </w:tcBorders>
            <w:vAlign w:val="center"/>
          </w:tcPr>
          <w:p w14:paraId="79520763" w14:textId="77777777" w:rsidR="008B5EE4" w:rsidRPr="0074556C" w:rsidRDefault="008B5EE4" w:rsidP="004E0F0C">
            <w:pPr>
              <w:pStyle w:val="TableText"/>
            </w:pPr>
            <w:r w:rsidRPr="0074556C">
              <w:t>POI</w:t>
            </w:r>
          </w:p>
        </w:tc>
        <w:tc>
          <w:tcPr>
            <w:tcW w:w="1620" w:type="dxa"/>
            <w:tcBorders>
              <w:top w:val="single" w:sz="12" w:space="0" w:color="auto"/>
              <w:left w:val="double" w:sz="12" w:space="0" w:color="auto"/>
              <w:bottom w:val="double" w:sz="12" w:space="0" w:color="auto"/>
              <w:right w:val="single" w:sz="12" w:space="0" w:color="auto"/>
            </w:tcBorders>
          </w:tcPr>
          <w:p w14:paraId="5AF24D03" w14:textId="77777777" w:rsidR="008B5EE4" w:rsidRPr="0074556C" w:rsidRDefault="008B5EE4" w:rsidP="004E0F0C">
            <w:pPr>
              <w:pStyle w:val="TableText"/>
            </w:pPr>
            <w:r w:rsidRPr="0074556C">
              <w:t>High</w:t>
            </w:r>
          </w:p>
          <w:p w14:paraId="1C81433C" w14:textId="77777777" w:rsidR="008B5EE4" w:rsidRPr="0074556C" w:rsidRDefault="008B5EE4" w:rsidP="004E0F0C">
            <w:pPr>
              <w:pStyle w:val="TableText"/>
            </w:pPr>
            <w:r w:rsidRPr="0074556C">
              <w:t>Temperature</w:t>
            </w:r>
          </w:p>
          <w:p w14:paraId="25FD11CA" w14:textId="77777777" w:rsidR="008B5EE4" w:rsidRPr="0074556C" w:rsidRDefault="008B5EE4" w:rsidP="004E0F0C">
            <w:pPr>
              <w:pStyle w:val="TableText"/>
            </w:pPr>
            <w:r w:rsidRPr="0074556C">
              <w:t>Case (D)</w:t>
            </w:r>
          </w:p>
        </w:tc>
        <w:tc>
          <w:tcPr>
            <w:tcW w:w="1620" w:type="dxa"/>
            <w:tcBorders>
              <w:top w:val="single" w:sz="12" w:space="0" w:color="auto"/>
              <w:left w:val="single" w:sz="12" w:space="0" w:color="auto"/>
              <w:bottom w:val="double" w:sz="12" w:space="0" w:color="auto"/>
              <w:right w:val="double" w:sz="12" w:space="0" w:color="auto"/>
            </w:tcBorders>
          </w:tcPr>
          <w:p w14:paraId="78A046AD" w14:textId="77777777" w:rsidR="008B5EE4" w:rsidRPr="0074556C" w:rsidRDefault="008B5EE4" w:rsidP="004E0F0C">
            <w:pPr>
              <w:pStyle w:val="TableText"/>
            </w:pPr>
            <w:r w:rsidRPr="0074556C">
              <w:t>Low</w:t>
            </w:r>
          </w:p>
          <w:p w14:paraId="37C441F3" w14:textId="77777777" w:rsidR="008B5EE4" w:rsidRPr="0074556C" w:rsidRDefault="008B5EE4" w:rsidP="004E0F0C">
            <w:pPr>
              <w:pStyle w:val="TableText"/>
            </w:pPr>
            <w:r w:rsidRPr="0074556C">
              <w:t>Temperature</w:t>
            </w:r>
          </w:p>
          <w:p w14:paraId="7F22DEB7" w14:textId="77777777" w:rsidR="008B5EE4" w:rsidRPr="0074556C" w:rsidRDefault="008B5EE4" w:rsidP="004E0F0C">
            <w:pPr>
              <w:pStyle w:val="TableText"/>
            </w:pPr>
            <w:r w:rsidRPr="0074556C">
              <w:t>Case (D)</w:t>
            </w:r>
          </w:p>
        </w:tc>
        <w:tc>
          <w:tcPr>
            <w:tcW w:w="1620" w:type="dxa"/>
            <w:tcBorders>
              <w:top w:val="single" w:sz="12" w:space="0" w:color="auto"/>
              <w:left w:val="double" w:sz="12" w:space="0" w:color="auto"/>
              <w:bottom w:val="double" w:sz="12" w:space="0" w:color="auto"/>
              <w:right w:val="single" w:sz="12" w:space="0" w:color="auto"/>
            </w:tcBorders>
          </w:tcPr>
          <w:p w14:paraId="77C711B5" w14:textId="77777777" w:rsidR="008B5EE4" w:rsidRPr="0074556C" w:rsidRDefault="008B5EE4" w:rsidP="004E0F0C">
            <w:pPr>
              <w:pStyle w:val="TableText"/>
            </w:pPr>
            <w:r w:rsidRPr="0074556C">
              <w:t>High</w:t>
            </w:r>
          </w:p>
          <w:p w14:paraId="2AFF3714" w14:textId="77777777" w:rsidR="008B5EE4" w:rsidRPr="0074556C" w:rsidRDefault="008B5EE4" w:rsidP="004E0F0C">
            <w:pPr>
              <w:pStyle w:val="TableText"/>
            </w:pPr>
            <w:r w:rsidRPr="0074556C">
              <w:t>Temperature</w:t>
            </w:r>
          </w:p>
          <w:p w14:paraId="1BF0CA84" w14:textId="77777777" w:rsidR="008B5EE4" w:rsidRPr="0074556C" w:rsidRDefault="008B5EE4" w:rsidP="004E0F0C">
            <w:pPr>
              <w:pStyle w:val="TableText"/>
            </w:pPr>
            <w:r w:rsidRPr="0074556C">
              <w:t>Case (ND)</w:t>
            </w:r>
          </w:p>
        </w:tc>
        <w:tc>
          <w:tcPr>
            <w:tcW w:w="1620" w:type="dxa"/>
            <w:tcBorders>
              <w:top w:val="single" w:sz="12" w:space="0" w:color="auto"/>
              <w:left w:val="single" w:sz="12" w:space="0" w:color="auto"/>
              <w:bottom w:val="double" w:sz="12" w:space="0" w:color="auto"/>
              <w:right w:val="single" w:sz="12" w:space="0" w:color="auto"/>
            </w:tcBorders>
          </w:tcPr>
          <w:p w14:paraId="7F95F208" w14:textId="77777777" w:rsidR="008B5EE4" w:rsidRPr="0074556C" w:rsidRDefault="008B5EE4" w:rsidP="004E0F0C">
            <w:pPr>
              <w:pStyle w:val="TableText"/>
            </w:pPr>
            <w:r w:rsidRPr="0074556C">
              <w:t>Low</w:t>
            </w:r>
          </w:p>
          <w:p w14:paraId="36731312" w14:textId="77777777" w:rsidR="008B5EE4" w:rsidRPr="0074556C" w:rsidRDefault="008B5EE4" w:rsidP="004E0F0C">
            <w:pPr>
              <w:pStyle w:val="TableText"/>
            </w:pPr>
            <w:r w:rsidRPr="0074556C">
              <w:t>Temperature</w:t>
            </w:r>
          </w:p>
          <w:p w14:paraId="77AF5E3F" w14:textId="77777777" w:rsidR="008B5EE4" w:rsidRPr="0074556C" w:rsidRDefault="008B5EE4" w:rsidP="004E0F0C">
            <w:pPr>
              <w:pStyle w:val="TableText"/>
            </w:pPr>
            <w:r w:rsidRPr="0074556C">
              <w:t>Case (ND)</w:t>
            </w:r>
          </w:p>
        </w:tc>
      </w:tr>
      <w:tr w:rsidR="008B5EE4" w:rsidRPr="0074556C" w14:paraId="2826A4E4" w14:textId="77777777" w:rsidTr="004E0F0C">
        <w:tc>
          <w:tcPr>
            <w:tcW w:w="1695" w:type="dxa"/>
            <w:vMerge w:val="restart"/>
            <w:tcBorders>
              <w:top w:val="double" w:sz="12" w:space="0" w:color="auto"/>
              <w:left w:val="single" w:sz="12" w:space="0" w:color="auto"/>
              <w:right w:val="single" w:sz="12" w:space="0" w:color="auto"/>
            </w:tcBorders>
            <w:vAlign w:val="center"/>
          </w:tcPr>
          <w:p w14:paraId="57931BDE" w14:textId="77777777" w:rsidR="008B5EE4" w:rsidRPr="007658B3" w:rsidRDefault="008B5EE4" w:rsidP="004E0F0C">
            <w:pPr>
              <w:pStyle w:val="TableText"/>
            </w:pPr>
            <w:r w:rsidRPr="007658B3">
              <w:t>Fuel</w:t>
            </w:r>
          </w:p>
          <w:p w14:paraId="41A0EB51" w14:textId="77777777" w:rsidR="008B5EE4" w:rsidRPr="007658B3" w:rsidRDefault="008B5EE4" w:rsidP="004E0F0C">
            <w:pPr>
              <w:pStyle w:val="TableText"/>
            </w:pPr>
            <w:r w:rsidRPr="007658B3">
              <w:t>Temperature</w:t>
            </w:r>
          </w:p>
          <w:p w14:paraId="557049D5" w14:textId="77777777" w:rsidR="008B5EE4" w:rsidRPr="007658B3" w:rsidRDefault="008B5EE4" w:rsidP="004E0F0C">
            <w:pPr>
              <w:pStyle w:val="TableText"/>
            </w:pPr>
            <w:r w:rsidRPr="007658B3">
              <w:t>(°C)</w:t>
            </w:r>
          </w:p>
        </w:tc>
        <w:tc>
          <w:tcPr>
            <w:tcW w:w="990" w:type="dxa"/>
            <w:tcBorders>
              <w:top w:val="double" w:sz="12" w:space="0" w:color="auto"/>
              <w:left w:val="single" w:sz="12" w:space="0" w:color="auto"/>
              <w:right w:val="double" w:sz="12" w:space="0" w:color="auto"/>
            </w:tcBorders>
            <w:vAlign w:val="center"/>
          </w:tcPr>
          <w:p w14:paraId="4FCD4E30" w14:textId="77777777" w:rsidR="008B5EE4" w:rsidRPr="007658B3" w:rsidRDefault="008B5EE4" w:rsidP="004E0F0C">
            <w:pPr>
              <w:pStyle w:val="TableText"/>
            </w:pPr>
            <w:r w:rsidRPr="007658B3">
              <w:t>Max</w:t>
            </w:r>
          </w:p>
        </w:tc>
        <w:tc>
          <w:tcPr>
            <w:tcW w:w="1620" w:type="dxa"/>
            <w:tcBorders>
              <w:top w:val="double" w:sz="12" w:space="0" w:color="auto"/>
              <w:left w:val="double" w:sz="12" w:space="0" w:color="auto"/>
              <w:right w:val="single" w:sz="12" w:space="0" w:color="auto"/>
            </w:tcBorders>
            <w:vAlign w:val="center"/>
          </w:tcPr>
          <w:p w14:paraId="123D712A" w14:textId="77777777" w:rsidR="008B5EE4" w:rsidRPr="007658B3" w:rsidRDefault="008B5EE4" w:rsidP="004E0F0C">
            <w:pPr>
              <w:pStyle w:val="TableText"/>
            </w:pPr>
            <w:r w:rsidRPr="007658B3">
              <w:t>1494</w:t>
            </w:r>
          </w:p>
        </w:tc>
        <w:tc>
          <w:tcPr>
            <w:tcW w:w="1620" w:type="dxa"/>
            <w:tcBorders>
              <w:top w:val="double" w:sz="12" w:space="0" w:color="auto"/>
              <w:right w:val="double" w:sz="12" w:space="0" w:color="auto"/>
            </w:tcBorders>
          </w:tcPr>
          <w:p w14:paraId="5A2B170C" w14:textId="77777777" w:rsidR="008B5EE4" w:rsidRPr="007658B3" w:rsidRDefault="008B5EE4" w:rsidP="004E0F0C">
            <w:pPr>
              <w:pStyle w:val="TableText"/>
            </w:pPr>
            <w:r w:rsidRPr="007658B3">
              <w:t>1086</w:t>
            </w:r>
          </w:p>
        </w:tc>
        <w:tc>
          <w:tcPr>
            <w:tcW w:w="1620" w:type="dxa"/>
            <w:tcBorders>
              <w:top w:val="double" w:sz="12" w:space="0" w:color="auto"/>
              <w:left w:val="double" w:sz="12" w:space="0" w:color="auto"/>
              <w:right w:val="single" w:sz="12" w:space="0" w:color="auto"/>
            </w:tcBorders>
          </w:tcPr>
          <w:p w14:paraId="42200971" w14:textId="77777777" w:rsidR="008B5EE4" w:rsidRPr="007658B3" w:rsidRDefault="008B5EE4" w:rsidP="004E0F0C">
            <w:pPr>
              <w:pStyle w:val="TableText"/>
            </w:pPr>
            <w:r w:rsidRPr="007658B3">
              <w:t>1181</w:t>
            </w:r>
          </w:p>
        </w:tc>
        <w:tc>
          <w:tcPr>
            <w:tcW w:w="1620" w:type="dxa"/>
            <w:tcBorders>
              <w:top w:val="double" w:sz="12" w:space="0" w:color="auto"/>
              <w:right w:val="single" w:sz="12" w:space="0" w:color="auto"/>
            </w:tcBorders>
          </w:tcPr>
          <w:p w14:paraId="621704F9" w14:textId="77777777" w:rsidR="008B5EE4" w:rsidRPr="007658B3" w:rsidRDefault="008B5EE4" w:rsidP="004E0F0C">
            <w:pPr>
              <w:pStyle w:val="TableText"/>
            </w:pPr>
            <w:r w:rsidRPr="007658B3">
              <w:t>642</w:t>
            </w:r>
          </w:p>
        </w:tc>
      </w:tr>
      <w:tr w:rsidR="008B5EE4" w:rsidRPr="0074556C" w14:paraId="35F8E63E" w14:textId="77777777" w:rsidTr="004E0F0C">
        <w:tc>
          <w:tcPr>
            <w:tcW w:w="1695" w:type="dxa"/>
            <w:vMerge/>
            <w:tcBorders>
              <w:left w:val="single" w:sz="12" w:space="0" w:color="auto"/>
              <w:right w:val="single" w:sz="12" w:space="0" w:color="auto"/>
            </w:tcBorders>
          </w:tcPr>
          <w:p w14:paraId="6D908FE6" w14:textId="77777777" w:rsidR="008B5EE4" w:rsidRPr="007658B3" w:rsidRDefault="008B5EE4" w:rsidP="004E0F0C">
            <w:pPr>
              <w:pStyle w:val="TableText"/>
            </w:pPr>
          </w:p>
        </w:tc>
        <w:tc>
          <w:tcPr>
            <w:tcW w:w="990" w:type="dxa"/>
            <w:tcBorders>
              <w:left w:val="single" w:sz="12" w:space="0" w:color="auto"/>
              <w:right w:val="double" w:sz="12" w:space="0" w:color="auto"/>
            </w:tcBorders>
            <w:vAlign w:val="center"/>
          </w:tcPr>
          <w:p w14:paraId="5DED58EC" w14:textId="77777777" w:rsidR="008B5EE4" w:rsidRPr="007658B3" w:rsidRDefault="008B5EE4" w:rsidP="004E0F0C">
            <w:pPr>
              <w:pStyle w:val="TableText"/>
            </w:pPr>
            <w:r w:rsidRPr="007658B3">
              <w:t>Min</w:t>
            </w:r>
          </w:p>
        </w:tc>
        <w:tc>
          <w:tcPr>
            <w:tcW w:w="1620" w:type="dxa"/>
            <w:tcBorders>
              <w:left w:val="double" w:sz="12" w:space="0" w:color="auto"/>
              <w:right w:val="single" w:sz="12" w:space="0" w:color="auto"/>
            </w:tcBorders>
            <w:vAlign w:val="center"/>
          </w:tcPr>
          <w:p w14:paraId="75794500" w14:textId="77777777" w:rsidR="008B5EE4" w:rsidRPr="007658B3" w:rsidRDefault="008B5EE4" w:rsidP="004E0F0C">
            <w:pPr>
              <w:pStyle w:val="TableText"/>
            </w:pPr>
            <w:r w:rsidRPr="007658B3">
              <w:t>301</w:t>
            </w:r>
          </w:p>
        </w:tc>
        <w:tc>
          <w:tcPr>
            <w:tcW w:w="1620" w:type="dxa"/>
            <w:tcBorders>
              <w:right w:val="double" w:sz="12" w:space="0" w:color="auto"/>
            </w:tcBorders>
          </w:tcPr>
          <w:p w14:paraId="48590716" w14:textId="77777777" w:rsidR="008B5EE4" w:rsidRPr="007658B3" w:rsidRDefault="008B5EE4" w:rsidP="004E0F0C">
            <w:pPr>
              <w:pStyle w:val="TableText"/>
            </w:pPr>
            <w:r w:rsidRPr="007658B3">
              <w:t>297</w:t>
            </w:r>
          </w:p>
        </w:tc>
        <w:tc>
          <w:tcPr>
            <w:tcW w:w="1620" w:type="dxa"/>
            <w:tcBorders>
              <w:left w:val="double" w:sz="12" w:space="0" w:color="auto"/>
              <w:right w:val="single" w:sz="12" w:space="0" w:color="auto"/>
            </w:tcBorders>
          </w:tcPr>
          <w:p w14:paraId="1A71BB06" w14:textId="77777777" w:rsidR="008B5EE4" w:rsidRPr="007658B3" w:rsidRDefault="008B5EE4" w:rsidP="004E0F0C">
            <w:pPr>
              <w:pStyle w:val="TableText"/>
            </w:pPr>
            <w:r w:rsidRPr="007658B3">
              <w:t>933</w:t>
            </w:r>
          </w:p>
        </w:tc>
        <w:tc>
          <w:tcPr>
            <w:tcW w:w="1620" w:type="dxa"/>
            <w:tcBorders>
              <w:right w:val="single" w:sz="12" w:space="0" w:color="auto"/>
            </w:tcBorders>
          </w:tcPr>
          <w:p w14:paraId="18209B77" w14:textId="77777777" w:rsidR="008B5EE4" w:rsidRPr="007658B3" w:rsidRDefault="008B5EE4" w:rsidP="004E0F0C">
            <w:pPr>
              <w:pStyle w:val="TableText"/>
            </w:pPr>
            <w:r w:rsidRPr="007658B3">
              <w:t>542</w:t>
            </w:r>
          </w:p>
        </w:tc>
      </w:tr>
      <w:tr w:rsidR="008B5EE4" w:rsidRPr="0074556C" w14:paraId="51E465BE" w14:textId="77777777" w:rsidTr="004E0F0C">
        <w:tc>
          <w:tcPr>
            <w:tcW w:w="1695" w:type="dxa"/>
            <w:vMerge/>
            <w:tcBorders>
              <w:left w:val="single" w:sz="12" w:space="0" w:color="auto"/>
              <w:right w:val="single" w:sz="12" w:space="0" w:color="auto"/>
            </w:tcBorders>
          </w:tcPr>
          <w:p w14:paraId="28A5B357" w14:textId="77777777" w:rsidR="008B5EE4" w:rsidRPr="007658B3" w:rsidRDefault="008B5EE4" w:rsidP="004E0F0C">
            <w:pPr>
              <w:pStyle w:val="TableText"/>
            </w:pPr>
          </w:p>
        </w:tc>
        <w:tc>
          <w:tcPr>
            <w:tcW w:w="990" w:type="dxa"/>
            <w:tcBorders>
              <w:left w:val="single" w:sz="12" w:space="0" w:color="auto"/>
              <w:right w:val="double" w:sz="12" w:space="0" w:color="auto"/>
            </w:tcBorders>
            <w:vAlign w:val="center"/>
          </w:tcPr>
          <w:p w14:paraId="77DDC9C6" w14:textId="77777777" w:rsidR="008B5EE4" w:rsidRPr="007658B3" w:rsidRDefault="008B5EE4" w:rsidP="004E0F0C">
            <w:pPr>
              <w:pStyle w:val="TableText"/>
              <w:rPr>
                <w:vertAlign w:val="subscript"/>
              </w:rPr>
            </w:pPr>
            <w:r w:rsidRPr="007658B3">
              <w:t>Range</w:t>
            </w:r>
          </w:p>
        </w:tc>
        <w:tc>
          <w:tcPr>
            <w:tcW w:w="1620" w:type="dxa"/>
            <w:tcBorders>
              <w:left w:val="double" w:sz="12" w:space="0" w:color="auto"/>
              <w:right w:val="single" w:sz="12" w:space="0" w:color="auto"/>
            </w:tcBorders>
            <w:vAlign w:val="center"/>
          </w:tcPr>
          <w:p w14:paraId="1292A17A" w14:textId="77777777" w:rsidR="008B5EE4" w:rsidRPr="007658B3" w:rsidRDefault="008B5EE4" w:rsidP="004E0F0C">
            <w:pPr>
              <w:pStyle w:val="TableText"/>
            </w:pPr>
            <w:r w:rsidRPr="007658B3">
              <w:t>1193</w:t>
            </w:r>
          </w:p>
        </w:tc>
        <w:tc>
          <w:tcPr>
            <w:tcW w:w="1620" w:type="dxa"/>
            <w:tcBorders>
              <w:right w:val="double" w:sz="12" w:space="0" w:color="auto"/>
            </w:tcBorders>
          </w:tcPr>
          <w:p w14:paraId="1E497234" w14:textId="77777777" w:rsidR="008B5EE4" w:rsidRPr="007658B3" w:rsidRDefault="008B5EE4" w:rsidP="004E0F0C">
            <w:pPr>
              <w:pStyle w:val="TableText"/>
            </w:pPr>
            <w:r w:rsidRPr="007658B3">
              <w:t>789</w:t>
            </w:r>
          </w:p>
        </w:tc>
        <w:tc>
          <w:tcPr>
            <w:tcW w:w="1620" w:type="dxa"/>
            <w:tcBorders>
              <w:left w:val="double" w:sz="12" w:space="0" w:color="auto"/>
              <w:right w:val="single" w:sz="12" w:space="0" w:color="auto"/>
            </w:tcBorders>
          </w:tcPr>
          <w:p w14:paraId="02AF072A" w14:textId="77777777" w:rsidR="008B5EE4" w:rsidRPr="007658B3" w:rsidRDefault="008B5EE4" w:rsidP="004E0F0C">
            <w:pPr>
              <w:pStyle w:val="TableText"/>
            </w:pPr>
            <w:r w:rsidRPr="007658B3">
              <w:t>248</w:t>
            </w:r>
          </w:p>
        </w:tc>
        <w:tc>
          <w:tcPr>
            <w:tcW w:w="1620" w:type="dxa"/>
            <w:tcBorders>
              <w:right w:val="single" w:sz="12" w:space="0" w:color="auto"/>
            </w:tcBorders>
          </w:tcPr>
          <w:p w14:paraId="0FB29AAC" w14:textId="77777777" w:rsidR="008B5EE4" w:rsidRPr="007658B3" w:rsidRDefault="008B5EE4" w:rsidP="004E0F0C">
            <w:pPr>
              <w:pStyle w:val="TableText"/>
            </w:pPr>
            <w:r w:rsidRPr="007658B3">
              <w:t>100</w:t>
            </w:r>
          </w:p>
        </w:tc>
      </w:tr>
      <w:tr w:rsidR="008B5EE4" w:rsidRPr="0074556C" w14:paraId="33CB5163" w14:textId="77777777" w:rsidTr="004E0F0C">
        <w:tc>
          <w:tcPr>
            <w:tcW w:w="1695" w:type="dxa"/>
            <w:vMerge/>
            <w:tcBorders>
              <w:left w:val="single" w:sz="12" w:space="0" w:color="auto"/>
              <w:right w:val="single" w:sz="12" w:space="0" w:color="auto"/>
            </w:tcBorders>
          </w:tcPr>
          <w:p w14:paraId="42200FC7" w14:textId="77777777" w:rsidR="008B5EE4" w:rsidRPr="007658B3" w:rsidRDefault="008B5EE4" w:rsidP="004E0F0C">
            <w:pPr>
              <w:pStyle w:val="TableText"/>
            </w:pPr>
          </w:p>
        </w:tc>
        <w:tc>
          <w:tcPr>
            <w:tcW w:w="990" w:type="dxa"/>
            <w:tcBorders>
              <w:left w:val="single" w:sz="12" w:space="0" w:color="auto"/>
              <w:right w:val="double" w:sz="12" w:space="0" w:color="auto"/>
            </w:tcBorders>
            <w:vAlign w:val="center"/>
          </w:tcPr>
          <w:p w14:paraId="630A1264" w14:textId="77777777" w:rsidR="008B5EE4" w:rsidRPr="007658B3" w:rsidRDefault="008B5EE4" w:rsidP="004E0F0C">
            <w:pPr>
              <w:pStyle w:val="TableText"/>
            </w:pPr>
            <w:r w:rsidRPr="007658B3">
              <w:t>Mean</w:t>
            </w:r>
          </w:p>
        </w:tc>
        <w:tc>
          <w:tcPr>
            <w:tcW w:w="1620" w:type="dxa"/>
            <w:tcBorders>
              <w:left w:val="double" w:sz="12" w:space="0" w:color="auto"/>
              <w:right w:val="single" w:sz="12" w:space="0" w:color="auto"/>
            </w:tcBorders>
            <w:vAlign w:val="center"/>
          </w:tcPr>
          <w:p w14:paraId="14708303" w14:textId="77777777" w:rsidR="008B5EE4" w:rsidRPr="007658B3" w:rsidRDefault="008B5EE4" w:rsidP="004E0F0C">
            <w:pPr>
              <w:pStyle w:val="TableText"/>
            </w:pPr>
            <w:r w:rsidRPr="007658B3">
              <w:t>1007</w:t>
            </w:r>
          </w:p>
        </w:tc>
        <w:tc>
          <w:tcPr>
            <w:tcW w:w="1620" w:type="dxa"/>
            <w:tcBorders>
              <w:right w:val="double" w:sz="12" w:space="0" w:color="auto"/>
            </w:tcBorders>
          </w:tcPr>
          <w:p w14:paraId="3B5EC728" w14:textId="77777777" w:rsidR="008B5EE4" w:rsidRPr="007658B3" w:rsidRDefault="008B5EE4" w:rsidP="004E0F0C">
            <w:pPr>
              <w:pStyle w:val="TableText"/>
            </w:pPr>
            <w:r w:rsidRPr="007658B3">
              <w:t>682</w:t>
            </w:r>
          </w:p>
        </w:tc>
        <w:tc>
          <w:tcPr>
            <w:tcW w:w="1620" w:type="dxa"/>
            <w:tcBorders>
              <w:left w:val="double" w:sz="12" w:space="0" w:color="auto"/>
              <w:right w:val="single" w:sz="12" w:space="0" w:color="auto"/>
            </w:tcBorders>
          </w:tcPr>
          <w:p w14:paraId="3E0B24CB" w14:textId="77777777" w:rsidR="008B5EE4" w:rsidRPr="007658B3" w:rsidRDefault="008B5EE4" w:rsidP="004E0F0C">
            <w:pPr>
              <w:pStyle w:val="TableText"/>
            </w:pPr>
            <w:r w:rsidRPr="007658B3">
              <w:t>1041</w:t>
            </w:r>
          </w:p>
        </w:tc>
        <w:tc>
          <w:tcPr>
            <w:tcW w:w="1620" w:type="dxa"/>
            <w:tcBorders>
              <w:right w:val="single" w:sz="12" w:space="0" w:color="auto"/>
            </w:tcBorders>
          </w:tcPr>
          <w:p w14:paraId="4C8F62BA" w14:textId="77777777" w:rsidR="008B5EE4" w:rsidRPr="007658B3" w:rsidRDefault="008B5EE4" w:rsidP="004E0F0C">
            <w:pPr>
              <w:pStyle w:val="TableText"/>
            </w:pPr>
            <w:r w:rsidRPr="007658B3">
              <w:t>587</w:t>
            </w:r>
          </w:p>
        </w:tc>
      </w:tr>
      <w:tr w:rsidR="008B5EE4" w:rsidRPr="0074556C" w14:paraId="73370EF7" w14:textId="77777777" w:rsidTr="004E0F0C">
        <w:tc>
          <w:tcPr>
            <w:tcW w:w="1695" w:type="dxa"/>
            <w:vMerge/>
            <w:tcBorders>
              <w:left w:val="single" w:sz="12" w:space="0" w:color="auto"/>
              <w:bottom w:val="double" w:sz="12" w:space="0" w:color="auto"/>
              <w:right w:val="single" w:sz="12" w:space="0" w:color="auto"/>
            </w:tcBorders>
          </w:tcPr>
          <w:p w14:paraId="19FE1850" w14:textId="77777777" w:rsidR="008B5EE4" w:rsidRPr="007658B3" w:rsidRDefault="008B5EE4" w:rsidP="004E0F0C">
            <w:pPr>
              <w:pStyle w:val="TableText"/>
            </w:pPr>
          </w:p>
        </w:tc>
        <w:tc>
          <w:tcPr>
            <w:tcW w:w="990" w:type="dxa"/>
            <w:tcBorders>
              <w:left w:val="single" w:sz="12" w:space="0" w:color="auto"/>
              <w:bottom w:val="double" w:sz="12" w:space="0" w:color="auto"/>
              <w:right w:val="double" w:sz="12" w:space="0" w:color="auto"/>
            </w:tcBorders>
            <w:vAlign w:val="center"/>
          </w:tcPr>
          <w:p w14:paraId="43F76444" w14:textId="77777777" w:rsidR="008B5EE4" w:rsidRPr="007658B3" w:rsidRDefault="008B5EE4" w:rsidP="004E0F0C">
            <w:pPr>
              <w:pStyle w:val="TableText"/>
            </w:pPr>
            <w:r w:rsidRPr="007658B3">
              <w:t>2</w:t>
            </w:r>
            <w:r w:rsidRPr="007658B3">
              <w:sym w:font="Symbol" w:char="F073"/>
            </w:r>
          </w:p>
        </w:tc>
        <w:tc>
          <w:tcPr>
            <w:tcW w:w="1620" w:type="dxa"/>
            <w:tcBorders>
              <w:left w:val="double" w:sz="12" w:space="0" w:color="auto"/>
              <w:bottom w:val="double" w:sz="12" w:space="0" w:color="auto"/>
              <w:right w:val="single" w:sz="12" w:space="0" w:color="auto"/>
            </w:tcBorders>
            <w:vAlign w:val="center"/>
          </w:tcPr>
          <w:p w14:paraId="04CE6F2E" w14:textId="77777777" w:rsidR="008B5EE4" w:rsidRPr="007658B3" w:rsidRDefault="008B5EE4" w:rsidP="004E0F0C">
            <w:pPr>
              <w:pStyle w:val="TableText"/>
            </w:pPr>
            <w:r w:rsidRPr="007658B3">
              <w:t>448</w:t>
            </w:r>
          </w:p>
        </w:tc>
        <w:tc>
          <w:tcPr>
            <w:tcW w:w="1620" w:type="dxa"/>
            <w:tcBorders>
              <w:bottom w:val="double" w:sz="12" w:space="0" w:color="auto"/>
              <w:right w:val="double" w:sz="12" w:space="0" w:color="auto"/>
            </w:tcBorders>
          </w:tcPr>
          <w:p w14:paraId="7E8BEF74" w14:textId="77777777" w:rsidR="008B5EE4" w:rsidRPr="007658B3" w:rsidRDefault="008B5EE4" w:rsidP="004E0F0C">
            <w:pPr>
              <w:pStyle w:val="TableText"/>
            </w:pPr>
            <w:r w:rsidRPr="007658B3">
              <w:t>365</w:t>
            </w:r>
          </w:p>
        </w:tc>
        <w:tc>
          <w:tcPr>
            <w:tcW w:w="1620" w:type="dxa"/>
            <w:tcBorders>
              <w:left w:val="double" w:sz="12" w:space="0" w:color="auto"/>
              <w:bottom w:val="double" w:sz="12" w:space="0" w:color="auto"/>
              <w:right w:val="single" w:sz="12" w:space="0" w:color="auto"/>
            </w:tcBorders>
          </w:tcPr>
          <w:p w14:paraId="596E3ABD" w14:textId="77777777" w:rsidR="008B5EE4" w:rsidRPr="007658B3" w:rsidRDefault="008B5EE4" w:rsidP="004E0F0C">
            <w:pPr>
              <w:pStyle w:val="TableText"/>
            </w:pPr>
            <w:r w:rsidRPr="007658B3">
              <w:t>82</w:t>
            </w:r>
          </w:p>
        </w:tc>
        <w:tc>
          <w:tcPr>
            <w:tcW w:w="1620" w:type="dxa"/>
            <w:tcBorders>
              <w:bottom w:val="double" w:sz="12" w:space="0" w:color="auto"/>
              <w:right w:val="single" w:sz="12" w:space="0" w:color="auto"/>
            </w:tcBorders>
          </w:tcPr>
          <w:p w14:paraId="74D03967" w14:textId="77777777" w:rsidR="008B5EE4" w:rsidRPr="007658B3" w:rsidRDefault="008B5EE4" w:rsidP="004E0F0C">
            <w:pPr>
              <w:pStyle w:val="TableText"/>
            </w:pPr>
            <w:r w:rsidRPr="007658B3">
              <w:t>34</w:t>
            </w:r>
          </w:p>
        </w:tc>
      </w:tr>
      <w:tr w:rsidR="008B5EE4" w:rsidRPr="0074556C" w14:paraId="36F67E7E" w14:textId="77777777" w:rsidTr="004E0F0C">
        <w:tc>
          <w:tcPr>
            <w:tcW w:w="1695" w:type="dxa"/>
            <w:vMerge w:val="restart"/>
            <w:tcBorders>
              <w:top w:val="double" w:sz="12" w:space="0" w:color="auto"/>
              <w:left w:val="single" w:sz="12" w:space="0" w:color="auto"/>
              <w:right w:val="single" w:sz="12" w:space="0" w:color="auto"/>
            </w:tcBorders>
            <w:vAlign w:val="center"/>
          </w:tcPr>
          <w:p w14:paraId="2245FEF6" w14:textId="77777777" w:rsidR="008B5EE4" w:rsidRPr="007658B3" w:rsidRDefault="008B5EE4" w:rsidP="004E0F0C">
            <w:pPr>
              <w:pStyle w:val="TableText"/>
            </w:pPr>
            <w:r w:rsidRPr="007658B3">
              <w:t>Thermometry</w:t>
            </w:r>
          </w:p>
          <w:p w14:paraId="7252E620" w14:textId="77777777" w:rsidR="008B5EE4" w:rsidRPr="007658B3" w:rsidRDefault="008B5EE4" w:rsidP="004E0F0C">
            <w:pPr>
              <w:pStyle w:val="TableText"/>
            </w:pPr>
            <w:r w:rsidRPr="007658B3">
              <w:t>Temperature</w:t>
            </w:r>
          </w:p>
          <w:p w14:paraId="715353C1" w14:textId="77777777" w:rsidR="008B5EE4" w:rsidRPr="007658B3" w:rsidRDefault="008B5EE4" w:rsidP="004E0F0C">
            <w:pPr>
              <w:pStyle w:val="TableText"/>
            </w:pPr>
            <w:r w:rsidRPr="007658B3">
              <w:t>(°C)</w:t>
            </w:r>
          </w:p>
        </w:tc>
        <w:tc>
          <w:tcPr>
            <w:tcW w:w="990" w:type="dxa"/>
            <w:tcBorders>
              <w:top w:val="double" w:sz="12" w:space="0" w:color="auto"/>
              <w:left w:val="single" w:sz="12" w:space="0" w:color="auto"/>
              <w:right w:val="double" w:sz="12" w:space="0" w:color="auto"/>
            </w:tcBorders>
            <w:vAlign w:val="center"/>
          </w:tcPr>
          <w:p w14:paraId="24C11651" w14:textId="77777777" w:rsidR="008B5EE4" w:rsidRPr="007658B3" w:rsidRDefault="008B5EE4" w:rsidP="004E0F0C">
            <w:pPr>
              <w:pStyle w:val="TableText"/>
              <w:rPr>
                <w:vertAlign w:val="subscript"/>
              </w:rPr>
            </w:pPr>
            <w:r w:rsidRPr="007658B3">
              <w:t>Max</w:t>
            </w:r>
          </w:p>
        </w:tc>
        <w:tc>
          <w:tcPr>
            <w:tcW w:w="1620" w:type="dxa"/>
            <w:tcBorders>
              <w:top w:val="double" w:sz="12" w:space="0" w:color="auto"/>
              <w:left w:val="double" w:sz="12" w:space="0" w:color="auto"/>
              <w:right w:val="single" w:sz="12" w:space="0" w:color="auto"/>
            </w:tcBorders>
            <w:vAlign w:val="center"/>
          </w:tcPr>
          <w:p w14:paraId="1E81D700" w14:textId="77777777" w:rsidR="008B5EE4" w:rsidRPr="007658B3" w:rsidRDefault="008B5EE4" w:rsidP="004E0F0C">
            <w:pPr>
              <w:pStyle w:val="TableText"/>
            </w:pPr>
            <w:r w:rsidRPr="007658B3">
              <w:t>1358</w:t>
            </w:r>
          </w:p>
        </w:tc>
        <w:tc>
          <w:tcPr>
            <w:tcW w:w="1620" w:type="dxa"/>
            <w:tcBorders>
              <w:top w:val="double" w:sz="12" w:space="0" w:color="auto"/>
              <w:right w:val="double" w:sz="12" w:space="0" w:color="auto"/>
            </w:tcBorders>
          </w:tcPr>
          <w:p w14:paraId="7621EFF7" w14:textId="77777777" w:rsidR="008B5EE4" w:rsidRPr="007658B3" w:rsidRDefault="008B5EE4" w:rsidP="004E0F0C">
            <w:pPr>
              <w:pStyle w:val="TableText"/>
            </w:pPr>
            <w:r w:rsidRPr="007658B3">
              <w:t>1023</w:t>
            </w:r>
          </w:p>
        </w:tc>
        <w:tc>
          <w:tcPr>
            <w:tcW w:w="1620" w:type="dxa"/>
            <w:tcBorders>
              <w:top w:val="double" w:sz="12" w:space="0" w:color="auto"/>
              <w:left w:val="double" w:sz="12" w:space="0" w:color="auto"/>
              <w:right w:val="single" w:sz="12" w:space="0" w:color="auto"/>
            </w:tcBorders>
          </w:tcPr>
          <w:p w14:paraId="0EFFD630" w14:textId="77777777" w:rsidR="008B5EE4" w:rsidRPr="007658B3" w:rsidRDefault="008B5EE4" w:rsidP="004E0F0C">
            <w:pPr>
              <w:pStyle w:val="TableText"/>
            </w:pPr>
            <w:r w:rsidRPr="007658B3">
              <w:t>1045</w:t>
            </w:r>
          </w:p>
        </w:tc>
        <w:tc>
          <w:tcPr>
            <w:tcW w:w="1620" w:type="dxa"/>
            <w:tcBorders>
              <w:top w:val="double" w:sz="12" w:space="0" w:color="auto"/>
              <w:right w:val="single" w:sz="12" w:space="0" w:color="auto"/>
            </w:tcBorders>
          </w:tcPr>
          <w:p w14:paraId="07C8A1DE" w14:textId="77777777" w:rsidR="008B5EE4" w:rsidRPr="007658B3" w:rsidRDefault="008B5EE4" w:rsidP="004E0F0C">
            <w:pPr>
              <w:pStyle w:val="TableText"/>
            </w:pPr>
            <w:r w:rsidRPr="007658B3">
              <w:t>604</w:t>
            </w:r>
          </w:p>
        </w:tc>
      </w:tr>
      <w:tr w:rsidR="008B5EE4" w:rsidRPr="0074556C" w14:paraId="40F4186B" w14:textId="77777777" w:rsidTr="004E0F0C">
        <w:tc>
          <w:tcPr>
            <w:tcW w:w="1695" w:type="dxa"/>
            <w:vMerge/>
            <w:tcBorders>
              <w:left w:val="single" w:sz="12" w:space="0" w:color="auto"/>
              <w:right w:val="single" w:sz="12" w:space="0" w:color="auto"/>
            </w:tcBorders>
          </w:tcPr>
          <w:p w14:paraId="295F6E22" w14:textId="77777777" w:rsidR="008B5EE4" w:rsidRPr="007658B3" w:rsidRDefault="008B5EE4" w:rsidP="004E0F0C">
            <w:pPr>
              <w:pStyle w:val="TableText"/>
            </w:pPr>
          </w:p>
        </w:tc>
        <w:tc>
          <w:tcPr>
            <w:tcW w:w="990" w:type="dxa"/>
            <w:tcBorders>
              <w:left w:val="single" w:sz="12" w:space="0" w:color="auto"/>
              <w:right w:val="double" w:sz="12" w:space="0" w:color="auto"/>
            </w:tcBorders>
            <w:vAlign w:val="center"/>
          </w:tcPr>
          <w:p w14:paraId="4D10D755" w14:textId="77777777" w:rsidR="008B5EE4" w:rsidRPr="007658B3" w:rsidRDefault="008B5EE4" w:rsidP="004E0F0C">
            <w:pPr>
              <w:pStyle w:val="TableText"/>
            </w:pPr>
            <w:r w:rsidRPr="007658B3">
              <w:t>Min</w:t>
            </w:r>
          </w:p>
        </w:tc>
        <w:tc>
          <w:tcPr>
            <w:tcW w:w="1620" w:type="dxa"/>
            <w:tcBorders>
              <w:left w:val="double" w:sz="12" w:space="0" w:color="auto"/>
              <w:right w:val="single" w:sz="12" w:space="0" w:color="auto"/>
            </w:tcBorders>
            <w:vAlign w:val="center"/>
          </w:tcPr>
          <w:p w14:paraId="1A21AE93" w14:textId="77777777" w:rsidR="008B5EE4" w:rsidRPr="007658B3" w:rsidRDefault="008B5EE4" w:rsidP="004E0F0C">
            <w:pPr>
              <w:pStyle w:val="TableText"/>
            </w:pPr>
            <w:r w:rsidRPr="007658B3">
              <w:t>324</w:t>
            </w:r>
          </w:p>
        </w:tc>
        <w:tc>
          <w:tcPr>
            <w:tcW w:w="1620" w:type="dxa"/>
            <w:tcBorders>
              <w:right w:val="double" w:sz="12" w:space="0" w:color="auto"/>
            </w:tcBorders>
          </w:tcPr>
          <w:p w14:paraId="1932F6F3" w14:textId="77777777" w:rsidR="008B5EE4" w:rsidRPr="007658B3" w:rsidRDefault="008B5EE4" w:rsidP="004E0F0C">
            <w:pPr>
              <w:pStyle w:val="TableText"/>
            </w:pPr>
            <w:r w:rsidRPr="007658B3">
              <w:t>295</w:t>
            </w:r>
          </w:p>
        </w:tc>
        <w:tc>
          <w:tcPr>
            <w:tcW w:w="1620" w:type="dxa"/>
            <w:tcBorders>
              <w:left w:val="double" w:sz="12" w:space="0" w:color="auto"/>
              <w:right w:val="single" w:sz="12" w:space="0" w:color="auto"/>
            </w:tcBorders>
          </w:tcPr>
          <w:p w14:paraId="53388EEF" w14:textId="77777777" w:rsidR="008B5EE4" w:rsidRPr="007658B3" w:rsidRDefault="008B5EE4" w:rsidP="004E0F0C">
            <w:pPr>
              <w:pStyle w:val="TableText"/>
            </w:pPr>
            <w:r w:rsidRPr="007658B3">
              <w:t>916</w:t>
            </w:r>
          </w:p>
        </w:tc>
        <w:tc>
          <w:tcPr>
            <w:tcW w:w="1620" w:type="dxa"/>
            <w:tcBorders>
              <w:right w:val="single" w:sz="12" w:space="0" w:color="auto"/>
            </w:tcBorders>
          </w:tcPr>
          <w:p w14:paraId="3BD04BAE" w14:textId="77777777" w:rsidR="008B5EE4" w:rsidRPr="007658B3" w:rsidRDefault="008B5EE4" w:rsidP="004E0F0C">
            <w:pPr>
              <w:pStyle w:val="TableText"/>
            </w:pPr>
            <w:r w:rsidRPr="007658B3">
              <w:t>533</w:t>
            </w:r>
          </w:p>
        </w:tc>
      </w:tr>
      <w:tr w:rsidR="008B5EE4" w:rsidRPr="0074556C" w14:paraId="57A5AAFD" w14:textId="77777777" w:rsidTr="004E0F0C">
        <w:tc>
          <w:tcPr>
            <w:tcW w:w="1695" w:type="dxa"/>
            <w:vMerge/>
            <w:tcBorders>
              <w:left w:val="single" w:sz="12" w:space="0" w:color="auto"/>
              <w:right w:val="single" w:sz="12" w:space="0" w:color="auto"/>
            </w:tcBorders>
          </w:tcPr>
          <w:p w14:paraId="6F59A246" w14:textId="77777777" w:rsidR="008B5EE4" w:rsidRPr="007658B3" w:rsidRDefault="008B5EE4" w:rsidP="004E0F0C">
            <w:pPr>
              <w:pStyle w:val="TableText"/>
            </w:pPr>
          </w:p>
        </w:tc>
        <w:tc>
          <w:tcPr>
            <w:tcW w:w="990" w:type="dxa"/>
            <w:tcBorders>
              <w:left w:val="single" w:sz="12" w:space="0" w:color="auto"/>
              <w:right w:val="double" w:sz="12" w:space="0" w:color="auto"/>
            </w:tcBorders>
            <w:vAlign w:val="center"/>
          </w:tcPr>
          <w:p w14:paraId="5CB35CBA" w14:textId="77777777" w:rsidR="008B5EE4" w:rsidRPr="007658B3" w:rsidRDefault="008B5EE4" w:rsidP="004E0F0C">
            <w:pPr>
              <w:pStyle w:val="TableText"/>
            </w:pPr>
            <w:r w:rsidRPr="007658B3">
              <w:t>Range</w:t>
            </w:r>
          </w:p>
        </w:tc>
        <w:tc>
          <w:tcPr>
            <w:tcW w:w="1620" w:type="dxa"/>
            <w:tcBorders>
              <w:left w:val="double" w:sz="12" w:space="0" w:color="auto"/>
              <w:right w:val="single" w:sz="12" w:space="0" w:color="auto"/>
            </w:tcBorders>
            <w:vAlign w:val="center"/>
          </w:tcPr>
          <w:p w14:paraId="67F92ACD" w14:textId="77777777" w:rsidR="008B5EE4" w:rsidRPr="007658B3" w:rsidRDefault="008B5EE4" w:rsidP="004E0F0C">
            <w:pPr>
              <w:pStyle w:val="TableText"/>
            </w:pPr>
            <w:r w:rsidRPr="007658B3">
              <w:t>1034</w:t>
            </w:r>
          </w:p>
        </w:tc>
        <w:tc>
          <w:tcPr>
            <w:tcW w:w="1620" w:type="dxa"/>
            <w:tcBorders>
              <w:right w:val="double" w:sz="12" w:space="0" w:color="auto"/>
            </w:tcBorders>
          </w:tcPr>
          <w:p w14:paraId="5CEBF581" w14:textId="77777777" w:rsidR="008B5EE4" w:rsidRPr="007658B3" w:rsidRDefault="008B5EE4" w:rsidP="004E0F0C">
            <w:pPr>
              <w:pStyle w:val="TableText"/>
            </w:pPr>
            <w:r w:rsidRPr="007658B3">
              <w:t>728</w:t>
            </w:r>
          </w:p>
        </w:tc>
        <w:tc>
          <w:tcPr>
            <w:tcW w:w="1620" w:type="dxa"/>
            <w:tcBorders>
              <w:left w:val="double" w:sz="12" w:space="0" w:color="auto"/>
              <w:right w:val="single" w:sz="12" w:space="0" w:color="auto"/>
            </w:tcBorders>
          </w:tcPr>
          <w:p w14:paraId="63363971" w14:textId="77777777" w:rsidR="008B5EE4" w:rsidRPr="007658B3" w:rsidRDefault="008B5EE4" w:rsidP="004E0F0C">
            <w:pPr>
              <w:pStyle w:val="TableText"/>
            </w:pPr>
            <w:r w:rsidRPr="007658B3">
              <w:t>129</w:t>
            </w:r>
          </w:p>
        </w:tc>
        <w:tc>
          <w:tcPr>
            <w:tcW w:w="1620" w:type="dxa"/>
            <w:tcBorders>
              <w:right w:val="single" w:sz="12" w:space="0" w:color="auto"/>
            </w:tcBorders>
          </w:tcPr>
          <w:p w14:paraId="32468D40" w14:textId="77777777" w:rsidR="008B5EE4" w:rsidRPr="007658B3" w:rsidRDefault="008B5EE4" w:rsidP="004E0F0C">
            <w:pPr>
              <w:pStyle w:val="TableText"/>
            </w:pPr>
            <w:r w:rsidRPr="007658B3">
              <w:t>71</w:t>
            </w:r>
          </w:p>
        </w:tc>
      </w:tr>
      <w:tr w:rsidR="008B5EE4" w:rsidRPr="0074556C" w14:paraId="6940555F" w14:textId="77777777" w:rsidTr="004E0F0C">
        <w:tc>
          <w:tcPr>
            <w:tcW w:w="1695" w:type="dxa"/>
            <w:vMerge/>
            <w:tcBorders>
              <w:left w:val="single" w:sz="12" w:space="0" w:color="auto"/>
              <w:right w:val="single" w:sz="12" w:space="0" w:color="auto"/>
            </w:tcBorders>
          </w:tcPr>
          <w:p w14:paraId="099D847B" w14:textId="77777777" w:rsidR="008B5EE4" w:rsidRPr="007658B3" w:rsidRDefault="008B5EE4" w:rsidP="004E0F0C">
            <w:pPr>
              <w:pStyle w:val="TableText"/>
            </w:pPr>
          </w:p>
        </w:tc>
        <w:tc>
          <w:tcPr>
            <w:tcW w:w="990" w:type="dxa"/>
            <w:tcBorders>
              <w:left w:val="single" w:sz="12" w:space="0" w:color="auto"/>
              <w:right w:val="double" w:sz="12" w:space="0" w:color="auto"/>
            </w:tcBorders>
            <w:vAlign w:val="center"/>
          </w:tcPr>
          <w:p w14:paraId="7AF00A9E" w14:textId="77777777" w:rsidR="008B5EE4" w:rsidRPr="007658B3" w:rsidRDefault="008B5EE4" w:rsidP="004E0F0C">
            <w:pPr>
              <w:pStyle w:val="TableText"/>
              <w:rPr>
                <w:vertAlign w:val="subscript"/>
              </w:rPr>
            </w:pPr>
            <w:r w:rsidRPr="007658B3">
              <w:t>Mean</w:t>
            </w:r>
          </w:p>
        </w:tc>
        <w:tc>
          <w:tcPr>
            <w:tcW w:w="1620" w:type="dxa"/>
            <w:tcBorders>
              <w:left w:val="double" w:sz="12" w:space="0" w:color="auto"/>
              <w:right w:val="single" w:sz="12" w:space="0" w:color="auto"/>
            </w:tcBorders>
            <w:vAlign w:val="center"/>
          </w:tcPr>
          <w:p w14:paraId="65D4487B" w14:textId="77777777" w:rsidR="008B5EE4" w:rsidRPr="007658B3" w:rsidRDefault="008B5EE4" w:rsidP="004E0F0C">
            <w:pPr>
              <w:pStyle w:val="TableText"/>
            </w:pPr>
            <w:r w:rsidRPr="007658B3">
              <w:t>945</w:t>
            </w:r>
          </w:p>
        </w:tc>
        <w:tc>
          <w:tcPr>
            <w:tcW w:w="1620" w:type="dxa"/>
            <w:tcBorders>
              <w:right w:val="double" w:sz="12" w:space="0" w:color="auto"/>
            </w:tcBorders>
          </w:tcPr>
          <w:p w14:paraId="1BED84E8" w14:textId="77777777" w:rsidR="008B5EE4" w:rsidRPr="007658B3" w:rsidRDefault="008B5EE4" w:rsidP="004E0F0C">
            <w:pPr>
              <w:pStyle w:val="TableText"/>
            </w:pPr>
            <w:r w:rsidRPr="007658B3">
              <w:t>658</w:t>
            </w:r>
          </w:p>
        </w:tc>
        <w:tc>
          <w:tcPr>
            <w:tcW w:w="1620" w:type="dxa"/>
            <w:tcBorders>
              <w:left w:val="double" w:sz="12" w:space="0" w:color="auto"/>
              <w:right w:val="single" w:sz="12" w:space="0" w:color="auto"/>
            </w:tcBorders>
          </w:tcPr>
          <w:p w14:paraId="0210732E" w14:textId="77777777" w:rsidR="008B5EE4" w:rsidRPr="007658B3" w:rsidRDefault="008B5EE4" w:rsidP="004E0F0C">
            <w:pPr>
              <w:pStyle w:val="TableText"/>
            </w:pPr>
            <w:r w:rsidRPr="007658B3">
              <w:t>979</w:t>
            </w:r>
          </w:p>
        </w:tc>
        <w:tc>
          <w:tcPr>
            <w:tcW w:w="1620" w:type="dxa"/>
            <w:tcBorders>
              <w:right w:val="single" w:sz="12" w:space="0" w:color="auto"/>
            </w:tcBorders>
          </w:tcPr>
          <w:p w14:paraId="4C1F5658" w14:textId="77777777" w:rsidR="008B5EE4" w:rsidRPr="007658B3" w:rsidRDefault="008B5EE4" w:rsidP="004E0F0C">
            <w:pPr>
              <w:pStyle w:val="TableText"/>
            </w:pPr>
            <w:r w:rsidRPr="007658B3">
              <w:t>569</w:t>
            </w:r>
          </w:p>
        </w:tc>
      </w:tr>
      <w:tr w:rsidR="008B5EE4" w:rsidRPr="0074556C" w14:paraId="0CD6A4E4" w14:textId="77777777" w:rsidTr="004E0F0C">
        <w:tc>
          <w:tcPr>
            <w:tcW w:w="1695" w:type="dxa"/>
            <w:vMerge/>
            <w:tcBorders>
              <w:left w:val="single" w:sz="12" w:space="0" w:color="auto"/>
              <w:right w:val="single" w:sz="12" w:space="0" w:color="auto"/>
            </w:tcBorders>
          </w:tcPr>
          <w:p w14:paraId="64180177" w14:textId="77777777" w:rsidR="008B5EE4" w:rsidRPr="007658B3" w:rsidRDefault="008B5EE4" w:rsidP="004E0F0C">
            <w:pPr>
              <w:pStyle w:val="TableText"/>
            </w:pPr>
          </w:p>
        </w:tc>
        <w:tc>
          <w:tcPr>
            <w:tcW w:w="990" w:type="dxa"/>
            <w:tcBorders>
              <w:left w:val="single" w:sz="12" w:space="0" w:color="auto"/>
              <w:right w:val="double" w:sz="12" w:space="0" w:color="auto"/>
            </w:tcBorders>
            <w:vAlign w:val="center"/>
          </w:tcPr>
          <w:p w14:paraId="07FD17E9" w14:textId="77777777" w:rsidR="008B5EE4" w:rsidRPr="007658B3" w:rsidRDefault="008B5EE4" w:rsidP="004E0F0C">
            <w:pPr>
              <w:pStyle w:val="TableText"/>
              <w:rPr>
                <w:vertAlign w:val="subscript"/>
              </w:rPr>
            </w:pPr>
            <w:r w:rsidRPr="007658B3">
              <w:t>2</w:t>
            </w:r>
            <w:r w:rsidRPr="007658B3">
              <w:sym w:font="Symbol" w:char="F073"/>
            </w:r>
          </w:p>
        </w:tc>
        <w:tc>
          <w:tcPr>
            <w:tcW w:w="1620" w:type="dxa"/>
            <w:tcBorders>
              <w:left w:val="double" w:sz="12" w:space="0" w:color="auto"/>
              <w:right w:val="single" w:sz="12" w:space="0" w:color="auto"/>
            </w:tcBorders>
            <w:vAlign w:val="center"/>
          </w:tcPr>
          <w:p w14:paraId="138B0BC8" w14:textId="77777777" w:rsidR="008B5EE4" w:rsidRPr="007658B3" w:rsidRDefault="008B5EE4" w:rsidP="004E0F0C">
            <w:pPr>
              <w:pStyle w:val="TableText"/>
            </w:pPr>
            <w:r w:rsidRPr="007658B3">
              <w:t>399</w:t>
            </w:r>
          </w:p>
        </w:tc>
        <w:tc>
          <w:tcPr>
            <w:tcW w:w="1620" w:type="dxa"/>
            <w:tcBorders>
              <w:right w:val="double" w:sz="12" w:space="0" w:color="auto"/>
            </w:tcBorders>
          </w:tcPr>
          <w:p w14:paraId="584FABBB" w14:textId="77777777" w:rsidR="008B5EE4" w:rsidRPr="007658B3" w:rsidRDefault="008B5EE4" w:rsidP="004E0F0C">
            <w:pPr>
              <w:pStyle w:val="TableText"/>
            </w:pPr>
            <w:r w:rsidRPr="007658B3">
              <w:t>348</w:t>
            </w:r>
          </w:p>
        </w:tc>
        <w:tc>
          <w:tcPr>
            <w:tcW w:w="1620" w:type="dxa"/>
            <w:tcBorders>
              <w:left w:val="double" w:sz="12" w:space="0" w:color="auto"/>
              <w:right w:val="single" w:sz="12" w:space="0" w:color="auto"/>
            </w:tcBorders>
          </w:tcPr>
          <w:p w14:paraId="037C07FE" w14:textId="77777777" w:rsidR="008B5EE4" w:rsidRPr="007658B3" w:rsidRDefault="008B5EE4" w:rsidP="004E0F0C">
            <w:pPr>
              <w:pStyle w:val="TableText"/>
            </w:pPr>
            <w:r w:rsidRPr="007658B3">
              <w:t>58</w:t>
            </w:r>
          </w:p>
        </w:tc>
        <w:tc>
          <w:tcPr>
            <w:tcW w:w="1620" w:type="dxa"/>
            <w:tcBorders>
              <w:right w:val="single" w:sz="12" w:space="0" w:color="auto"/>
            </w:tcBorders>
          </w:tcPr>
          <w:p w14:paraId="484B53B2" w14:textId="77777777" w:rsidR="008B5EE4" w:rsidRPr="007658B3" w:rsidRDefault="008B5EE4" w:rsidP="004E0F0C">
            <w:pPr>
              <w:pStyle w:val="TableText"/>
            </w:pPr>
            <w:r w:rsidRPr="007658B3">
              <w:t>26</w:t>
            </w:r>
          </w:p>
        </w:tc>
      </w:tr>
      <w:tr w:rsidR="008B5EE4" w:rsidRPr="0074556C" w14:paraId="1C86A9DD" w14:textId="77777777" w:rsidTr="004E0F0C">
        <w:tc>
          <w:tcPr>
            <w:tcW w:w="1695" w:type="dxa"/>
            <w:vMerge w:val="restart"/>
            <w:tcBorders>
              <w:top w:val="double" w:sz="12" w:space="0" w:color="auto"/>
              <w:left w:val="single" w:sz="12" w:space="0" w:color="auto"/>
              <w:right w:val="single" w:sz="12" w:space="0" w:color="auto"/>
            </w:tcBorders>
            <w:vAlign w:val="center"/>
          </w:tcPr>
          <w:p w14:paraId="21806E69" w14:textId="77777777" w:rsidR="008B5EE4" w:rsidRPr="007658B3" w:rsidRDefault="008B5EE4" w:rsidP="004E0F0C">
            <w:pPr>
              <w:pStyle w:val="TableText"/>
            </w:pPr>
            <w:r w:rsidRPr="007658B3">
              <w:t>Fuel</w:t>
            </w:r>
          </w:p>
          <w:p w14:paraId="571872BB" w14:textId="77777777" w:rsidR="008B5EE4" w:rsidRPr="007658B3" w:rsidRDefault="008B5EE4" w:rsidP="004E0F0C">
            <w:pPr>
              <w:pStyle w:val="TableText"/>
            </w:pPr>
            <w:r w:rsidRPr="007658B3">
              <w:t>Temperature Gradient</w:t>
            </w:r>
          </w:p>
          <w:p w14:paraId="5FF65FCD" w14:textId="77777777" w:rsidR="008B5EE4" w:rsidRPr="007658B3" w:rsidRDefault="008B5EE4" w:rsidP="004E0F0C">
            <w:pPr>
              <w:pStyle w:val="TableText"/>
            </w:pPr>
            <w:r w:rsidRPr="007658B3">
              <w:t>(°C)</w:t>
            </w:r>
          </w:p>
        </w:tc>
        <w:tc>
          <w:tcPr>
            <w:tcW w:w="990" w:type="dxa"/>
            <w:tcBorders>
              <w:top w:val="double" w:sz="12" w:space="0" w:color="auto"/>
              <w:left w:val="single" w:sz="12" w:space="0" w:color="auto"/>
              <w:bottom w:val="single" w:sz="4" w:space="0" w:color="auto"/>
              <w:right w:val="double" w:sz="12" w:space="0" w:color="auto"/>
            </w:tcBorders>
            <w:vAlign w:val="center"/>
          </w:tcPr>
          <w:p w14:paraId="09C61C95" w14:textId="77777777" w:rsidR="008B5EE4" w:rsidRPr="007658B3" w:rsidRDefault="008B5EE4" w:rsidP="004E0F0C">
            <w:pPr>
              <w:pStyle w:val="TableText"/>
            </w:pPr>
            <w:r w:rsidRPr="007658B3">
              <w:t>Max</w:t>
            </w:r>
          </w:p>
        </w:tc>
        <w:tc>
          <w:tcPr>
            <w:tcW w:w="1620" w:type="dxa"/>
            <w:tcBorders>
              <w:top w:val="double" w:sz="12" w:space="0" w:color="auto"/>
              <w:left w:val="double" w:sz="12" w:space="0" w:color="auto"/>
              <w:bottom w:val="single" w:sz="4" w:space="0" w:color="auto"/>
              <w:right w:val="single" w:sz="12" w:space="0" w:color="auto"/>
            </w:tcBorders>
            <w:vAlign w:val="center"/>
          </w:tcPr>
          <w:p w14:paraId="10434331" w14:textId="77777777" w:rsidR="008B5EE4" w:rsidRPr="007658B3" w:rsidRDefault="008B5EE4" w:rsidP="004E0F0C">
            <w:pPr>
              <w:pStyle w:val="TableText"/>
            </w:pPr>
            <w:r w:rsidRPr="007658B3">
              <w:t>115</w:t>
            </w:r>
          </w:p>
        </w:tc>
        <w:tc>
          <w:tcPr>
            <w:tcW w:w="1620" w:type="dxa"/>
            <w:tcBorders>
              <w:top w:val="double" w:sz="12" w:space="0" w:color="auto"/>
              <w:bottom w:val="single" w:sz="4" w:space="0" w:color="auto"/>
              <w:right w:val="double" w:sz="12" w:space="0" w:color="auto"/>
            </w:tcBorders>
          </w:tcPr>
          <w:p w14:paraId="7F757814" w14:textId="77777777" w:rsidR="008B5EE4" w:rsidRPr="007658B3" w:rsidRDefault="008B5EE4" w:rsidP="004E0F0C">
            <w:pPr>
              <w:pStyle w:val="TableText"/>
            </w:pPr>
            <w:r w:rsidRPr="007658B3">
              <w:t>34</w:t>
            </w:r>
          </w:p>
        </w:tc>
        <w:tc>
          <w:tcPr>
            <w:tcW w:w="1620" w:type="dxa"/>
            <w:tcBorders>
              <w:top w:val="double" w:sz="12" w:space="0" w:color="auto"/>
              <w:left w:val="double" w:sz="12" w:space="0" w:color="auto"/>
              <w:bottom w:val="single" w:sz="4" w:space="0" w:color="auto"/>
              <w:right w:val="single" w:sz="12" w:space="0" w:color="auto"/>
            </w:tcBorders>
          </w:tcPr>
          <w:p w14:paraId="588C89D4" w14:textId="77777777" w:rsidR="008B5EE4" w:rsidRPr="007658B3" w:rsidRDefault="008B5EE4" w:rsidP="004E0F0C">
            <w:pPr>
              <w:pStyle w:val="TableText"/>
            </w:pPr>
            <w:r w:rsidRPr="007658B3">
              <w:t>115</w:t>
            </w:r>
          </w:p>
        </w:tc>
        <w:tc>
          <w:tcPr>
            <w:tcW w:w="1620" w:type="dxa"/>
            <w:tcBorders>
              <w:top w:val="double" w:sz="12" w:space="0" w:color="auto"/>
              <w:bottom w:val="single" w:sz="4" w:space="0" w:color="auto"/>
              <w:right w:val="single" w:sz="12" w:space="0" w:color="auto"/>
            </w:tcBorders>
          </w:tcPr>
          <w:p w14:paraId="22907FE1" w14:textId="77777777" w:rsidR="008B5EE4" w:rsidRPr="007658B3" w:rsidRDefault="008B5EE4" w:rsidP="004E0F0C">
            <w:pPr>
              <w:pStyle w:val="TableText"/>
            </w:pPr>
            <w:r w:rsidRPr="007658B3">
              <w:t>31</w:t>
            </w:r>
          </w:p>
        </w:tc>
      </w:tr>
      <w:tr w:rsidR="008B5EE4" w:rsidRPr="0074556C" w14:paraId="6036C047" w14:textId="77777777" w:rsidTr="004E0F0C">
        <w:tc>
          <w:tcPr>
            <w:tcW w:w="1695" w:type="dxa"/>
            <w:vMerge/>
            <w:tcBorders>
              <w:left w:val="single" w:sz="12" w:space="0" w:color="auto"/>
              <w:right w:val="single" w:sz="12" w:space="0" w:color="auto"/>
            </w:tcBorders>
            <w:vAlign w:val="center"/>
          </w:tcPr>
          <w:p w14:paraId="752F55EE" w14:textId="77777777" w:rsidR="008B5EE4" w:rsidRPr="007658B3" w:rsidRDefault="008B5EE4" w:rsidP="004E0F0C">
            <w:pPr>
              <w:pStyle w:val="TableText"/>
            </w:pPr>
          </w:p>
        </w:tc>
        <w:tc>
          <w:tcPr>
            <w:tcW w:w="990" w:type="dxa"/>
            <w:tcBorders>
              <w:left w:val="single" w:sz="12" w:space="0" w:color="auto"/>
              <w:bottom w:val="single" w:sz="4" w:space="0" w:color="auto"/>
              <w:right w:val="double" w:sz="12" w:space="0" w:color="auto"/>
            </w:tcBorders>
            <w:vAlign w:val="center"/>
          </w:tcPr>
          <w:p w14:paraId="340072B7" w14:textId="77777777" w:rsidR="008B5EE4" w:rsidRPr="007658B3" w:rsidRDefault="008B5EE4" w:rsidP="004E0F0C">
            <w:pPr>
              <w:pStyle w:val="TableText"/>
            </w:pPr>
            <w:r w:rsidRPr="007658B3">
              <w:t>Min</w:t>
            </w:r>
          </w:p>
        </w:tc>
        <w:tc>
          <w:tcPr>
            <w:tcW w:w="1620" w:type="dxa"/>
            <w:tcBorders>
              <w:left w:val="double" w:sz="12" w:space="0" w:color="auto"/>
              <w:bottom w:val="single" w:sz="4" w:space="0" w:color="auto"/>
              <w:right w:val="single" w:sz="12" w:space="0" w:color="auto"/>
            </w:tcBorders>
            <w:vAlign w:val="center"/>
          </w:tcPr>
          <w:p w14:paraId="103D95A6" w14:textId="77777777" w:rsidR="008B5EE4" w:rsidRPr="007658B3" w:rsidRDefault="008B5EE4" w:rsidP="004E0F0C">
            <w:pPr>
              <w:pStyle w:val="TableText"/>
            </w:pPr>
            <w:r w:rsidRPr="007658B3">
              <w:t>14</w:t>
            </w:r>
          </w:p>
        </w:tc>
        <w:tc>
          <w:tcPr>
            <w:tcW w:w="1620" w:type="dxa"/>
            <w:tcBorders>
              <w:bottom w:val="single" w:sz="4" w:space="0" w:color="auto"/>
              <w:right w:val="double" w:sz="12" w:space="0" w:color="auto"/>
            </w:tcBorders>
          </w:tcPr>
          <w:p w14:paraId="25A2B981" w14:textId="77777777" w:rsidR="008B5EE4" w:rsidRPr="007658B3" w:rsidRDefault="008B5EE4" w:rsidP="004E0F0C">
            <w:pPr>
              <w:pStyle w:val="TableText"/>
            </w:pPr>
            <w:r w:rsidRPr="007658B3">
              <w:t>4</w:t>
            </w:r>
          </w:p>
        </w:tc>
        <w:tc>
          <w:tcPr>
            <w:tcW w:w="1620" w:type="dxa"/>
            <w:tcBorders>
              <w:left w:val="double" w:sz="12" w:space="0" w:color="auto"/>
              <w:bottom w:val="single" w:sz="4" w:space="0" w:color="auto"/>
              <w:right w:val="single" w:sz="12" w:space="0" w:color="auto"/>
            </w:tcBorders>
          </w:tcPr>
          <w:p w14:paraId="6EB3462E" w14:textId="77777777" w:rsidR="008B5EE4" w:rsidRPr="007658B3" w:rsidRDefault="008B5EE4" w:rsidP="004E0F0C">
            <w:pPr>
              <w:pStyle w:val="TableText"/>
            </w:pPr>
            <w:r w:rsidRPr="007658B3">
              <w:t>22</w:t>
            </w:r>
          </w:p>
        </w:tc>
        <w:tc>
          <w:tcPr>
            <w:tcW w:w="1620" w:type="dxa"/>
            <w:tcBorders>
              <w:bottom w:val="single" w:sz="4" w:space="0" w:color="auto"/>
              <w:right w:val="single" w:sz="12" w:space="0" w:color="auto"/>
            </w:tcBorders>
          </w:tcPr>
          <w:p w14:paraId="6E983504" w14:textId="77777777" w:rsidR="008B5EE4" w:rsidRPr="007658B3" w:rsidRDefault="008B5EE4" w:rsidP="004E0F0C">
            <w:pPr>
              <w:pStyle w:val="TableText"/>
            </w:pPr>
            <w:r w:rsidRPr="007658B3">
              <w:t>5</w:t>
            </w:r>
          </w:p>
        </w:tc>
      </w:tr>
      <w:tr w:rsidR="008B5EE4" w:rsidRPr="0074556C" w14:paraId="2D70F08F" w14:textId="77777777" w:rsidTr="004E0F0C">
        <w:tc>
          <w:tcPr>
            <w:tcW w:w="1695" w:type="dxa"/>
            <w:vMerge/>
            <w:tcBorders>
              <w:left w:val="single" w:sz="12" w:space="0" w:color="auto"/>
              <w:right w:val="single" w:sz="12" w:space="0" w:color="auto"/>
            </w:tcBorders>
            <w:vAlign w:val="center"/>
          </w:tcPr>
          <w:p w14:paraId="2F7B5E4D" w14:textId="77777777" w:rsidR="008B5EE4" w:rsidRPr="007658B3" w:rsidRDefault="008B5EE4" w:rsidP="004E0F0C">
            <w:pPr>
              <w:pStyle w:val="TableText"/>
            </w:pPr>
          </w:p>
        </w:tc>
        <w:tc>
          <w:tcPr>
            <w:tcW w:w="990" w:type="dxa"/>
            <w:tcBorders>
              <w:top w:val="single" w:sz="4" w:space="0" w:color="auto"/>
              <w:left w:val="single" w:sz="12" w:space="0" w:color="auto"/>
              <w:bottom w:val="single" w:sz="4" w:space="0" w:color="auto"/>
              <w:right w:val="double" w:sz="12" w:space="0" w:color="auto"/>
            </w:tcBorders>
            <w:vAlign w:val="center"/>
          </w:tcPr>
          <w:p w14:paraId="2ADD8924" w14:textId="77777777" w:rsidR="008B5EE4" w:rsidRPr="007658B3" w:rsidRDefault="008B5EE4" w:rsidP="004E0F0C">
            <w:pPr>
              <w:pStyle w:val="TableText"/>
            </w:pPr>
            <w:r w:rsidRPr="007658B3">
              <w:t>Range</w:t>
            </w:r>
          </w:p>
        </w:tc>
        <w:tc>
          <w:tcPr>
            <w:tcW w:w="1620" w:type="dxa"/>
            <w:tcBorders>
              <w:top w:val="single" w:sz="4" w:space="0" w:color="auto"/>
              <w:left w:val="double" w:sz="12" w:space="0" w:color="auto"/>
              <w:bottom w:val="single" w:sz="4" w:space="0" w:color="auto"/>
              <w:right w:val="single" w:sz="12" w:space="0" w:color="auto"/>
            </w:tcBorders>
            <w:vAlign w:val="center"/>
          </w:tcPr>
          <w:p w14:paraId="0FE2E367" w14:textId="77777777" w:rsidR="008B5EE4" w:rsidRPr="007658B3" w:rsidRDefault="008B5EE4" w:rsidP="004E0F0C">
            <w:pPr>
              <w:pStyle w:val="TableText"/>
            </w:pPr>
            <w:r w:rsidRPr="007658B3">
              <w:t>101</w:t>
            </w:r>
          </w:p>
        </w:tc>
        <w:tc>
          <w:tcPr>
            <w:tcW w:w="1620" w:type="dxa"/>
            <w:tcBorders>
              <w:top w:val="single" w:sz="4" w:space="0" w:color="auto"/>
              <w:bottom w:val="single" w:sz="4" w:space="0" w:color="auto"/>
              <w:right w:val="double" w:sz="12" w:space="0" w:color="auto"/>
            </w:tcBorders>
          </w:tcPr>
          <w:p w14:paraId="0E3A982C" w14:textId="77777777" w:rsidR="008B5EE4" w:rsidRPr="007658B3" w:rsidRDefault="008B5EE4" w:rsidP="004E0F0C">
            <w:pPr>
              <w:pStyle w:val="TableText"/>
            </w:pPr>
            <w:r w:rsidRPr="007658B3">
              <w:t>30</w:t>
            </w:r>
          </w:p>
        </w:tc>
        <w:tc>
          <w:tcPr>
            <w:tcW w:w="1620" w:type="dxa"/>
            <w:tcBorders>
              <w:top w:val="single" w:sz="4" w:space="0" w:color="auto"/>
              <w:left w:val="double" w:sz="12" w:space="0" w:color="auto"/>
              <w:bottom w:val="single" w:sz="4" w:space="0" w:color="auto"/>
              <w:right w:val="single" w:sz="12" w:space="0" w:color="auto"/>
            </w:tcBorders>
          </w:tcPr>
          <w:p w14:paraId="78EC9AD6" w14:textId="77777777" w:rsidR="008B5EE4" w:rsidRPr="007658B3" w:rsidRDefault="008B5EE4" w:rsidP="004E0F0C">
            <w:pPr>
              <w:pStyle w:val="TableText"/>
            </w:pPr>
            <w:r w:rsidRPr="007658B3">
              <w:t>93</w:t>
            </w:r>
          </w:p>
        </w:tc>
        <w:tc>
          <w:tcPr>
            <w:tcW w:w="1620" w:type="dxa"/>
            <w:tcBorders>
              <w:top w:val="single" w:sz="4" w:space="0" w:color="auto"/>
              <w:bottom w:val="single" w:sz="4" w:space="0" w:color="auto"/>
              <w:right w:val="single" w:sz="12" w:space="0" w:color="auto"/>
            </w:tcBorders>
          </w:tcPr>
          <w:p w14:paraId="27FCEF31" w14:textId="77777777" w:rsidR="008B5EE4" w:rsidRPr="007658B3" w:rsidRDefault="008B5EE4" w:rsidP="004E0F0C">
            <w:pPr>
              <w:pStyle w:val="TableText"/>
            </w:pPr>
            <w:r w:rsidRPr="007658B3">
              <w:t>26</w:t>
            </w:r>
          </w:p>
        </w:tc>
      </w:tr>
      <w:tr w:rsidR="008B5EE4" w:rsidRPr="0074556C" w14:paraId="763B238A" w14:textId="77777777" w:rsidTr="004E0F0C">
        <w:tc>
          <w:tcPr>
            <w:tcW w:w="1695" w:type="dxa"/>
            <w:vMerge/>
            <w:tcBorders>
              <w:left w:val="single" w:sz="12" w:space="0" w:color="auto"/>
              <w:right w:val="single" w:sz="12" w:space="0" w:color="auto"/>
            </w:tcBorders>
            <w:vAlign w:val="center"/>
          </w:tcPr>
          <w:p w14:paraId="60C97BE8" w14:textId="77777777" w:rsidR="008B5EE4" w:rsidRPr="007658B3" w:rsidRDefault="008B5EE4" w:rsidP="004E0F0C">
            <w:pPr>
              <w:pStyle w:val="TableText"/>
            </w:pPr>
          </w:p>
        </w:tc>
        <w:tc>
          <w:tcPr>
            <w:tcW w:w="990" w:type="dxa"/>
            <w:tcBorders>
              <w:top w:val="single" w:sz="4" w:space="0" w:color="auto"/>
              <w:left w:val="single" w:sz="12" w:space="0" w:color="auto"/>
              <w:bottom w:val="single" w:sz="4" w:space="0" w:color="auto"/>
              <w:right w:val="double" w:sz="12" w:space="0" w:color="auto"/>
            </w:tcBorders>
            <w:vAlign w:val="center"/>
          </w:tcPr>
          <w:p w14:paraId="2CA36AF1" w14:textId="77777777" w:rsidR="008B5EE4" w:rsidRPr="007658B3" w:rsidRDefault="008B5EE4" w:rsidP="004E0F0C">
            <w:pPr>
              <w:pStyle w:val="TableText"/>
            </w:pPr>
            <w:r w:rsidRPr="007658B3">
              <w:t>Mean</w:t>
            </w:r>
          </w:p>
        </w:tc>
        <w:tc>
          <w:tcPr>
            <w:tcW w:w="1620" w:type="dxa"/>
            <w:tcBorders>
              <w:top w:val="single" w:sz="4" w:space="0" w:color="auto"/>
              <w:left w:val="double" w:sz="12" w:space="0" w:color="auto"/>
              <w:bottom w:val="single" w:sz="4" w:space="0" w:color="auto"/>
              <w:right w:val="single" w:sz="12" w:space="0" w:color="auto"/>
            </w:tcBorders>
            <w:vAlign w:val="center"/>
          </w:tcPr>
          <w:p w14:paraId="144A7C77" w14:textId="77777777" w:rsidR="008B5EE4" w:rsidRPr="007658B3" w:rsidRDefault="008B5EE4" w:rsidP="004E0F0C">
            <w:pPr>
              <w:pStyle w:val="TableText"/>
            </w:pPr>
            <w:r w:rsidRPr="007658B3">
              <w:t>53</w:t>
            </w:r>
          </w:p>
        </w:tc>
        <w:tc>
          <w:tcPr>
            <w:tcW w:w="1620" w:type="dxa"/>
            <w:tcBorders>
              <w:top w:val="single" w:sz="4" w:space="0" w:color="auto"/>
              <w:bottom w:val="single" w:sz="4" w:space="0" w:color="auto"/>
              <w:right w:val="double" w:sz="12" w:space="0" w:color="auto"/>
            </w:tcBorders>
          </w:tcPr>
          <w:p w14:paraId="08959DB4" w14:textId="77777777" w:rsidR="008B5EE4" w:rsidRPr="007658B3" w:rsidRDefault="008B5EE4" w:rsidP="004E0F0C">
            <w:pPr>
              <w:pStyle w:val="TableText"/>
            </w:pPr>
            <w:r w:rsidRPr="007658B3">
              <w:t>14</w:t>
            </w:r>
          </w:p>
        </w:tc>
        <w:tc>
          <w:tcPr>
            <w:tcW w:w="1620" w:type="dxa"/>
            <w:tcBorders>
              <w:top w:val="single" w:sz="4" w:space="0" w:color="auto"/>
              <w:left w:val="double" w:sz="12" w:space="0" w:color="auto"/>
              <w:bottom w:val="single" w:sz="4" w:space="0" w:color="auto"/>
              <w:right w:val="single" w:sz="12" w:space="0" w:color="auto"/>
            </w:tcBorders>
          </w:tcPr>
          <w:p w14:paraId="6ECFA5E7" w14:textId="77777777" w:rsidR="008B5EE4" w:rsidRPr="007658B3" w:rsidRDefault="008B5EE4" w:rsidP="004E0F0C">
            <w:pPr>
              <w:pStyle w:val="TableText"/>
            </w:pPr>
            <w:r w:rsidRPr="007658B3">
              <w:t>54</w:t>
            </w:r>
          </w:p>
        </w:tc>
        <w:tc>
          <w:tcPr>
            <w:tcW w:w="1620" w:type="dxa"/>
            <w:tcBorders>
              <w:top w:val="single" w:sz="4" w:space="0" w:color="auto"/>
              <w:bottom w:val="single" w:sz="4" w:space="0" w:color="auto"/>
              <w:right w:val="single" w:sz="12" w:space="0" w:color="auto"/>
            </w:tcBorders>
          </w:tcPr>
          <w:p w14:paraId="2F1C92DE" w14:textId="77777777" w:rsidR="008B5EE4" w:rsidRPr="007658B3" w:rsidRDefault="008B5EE4" w:rsidP="004E0F0C">
            <w:pPr>
              <w:pStyle w:val="TableText"/>
            </w:pPr>
            <w:r w:rsidRPr="007658B3">
              <w:t>14</w:t>
            </w:r>
          </w:p>
        </w:tc>
      </w:tr>
      <w:tr w:rsidR="008B5EE4" w:rsidRPr="0074556C" w14:paraId="37BE7DBC" w14:textId="77777777" w:rsidTr="004E0F0C">
        <w:tc>
          <w:tcPr>
            <w:tcW w:w="1695" w:type="dxa"/>
            <w:vMerge/>
            <w:tcBorders>
              <w:left w:val="single" w:sz="12" w:space="0" w:color="auto"/>
              <w:bottom w:val="double" w:sz="12" w:space="0" w:color="auto"/>
              <w:right w:val="single" w:sz="12" w:space="0" w:color="auto"/>
            </w:tcBorders>
            <w:vAlign w:val="center"/>
          </w:tcPr>
          <w:p w14:paraId="55CF5D9E" w14:textId="77777777" w:rsidR="008B5EE4" w:rsidRPr="007658B3" w:rsidRDefault="008B5EE4" w:rsidP="004E0F0C">
            <w:pPr>
              <w:pStyle w:val="TableText"/>
            </w:pPr>
          </w:p>
        </w:tc>
        <w:tc>
          <w:tcPr>
            <w:tcW w:w="990" w:type="dxa"/>
            <w:tcBorders>
              <w:top w:val="single" w:sz="4" w:space="0" w:color="auto"/>
              <w:left w:val="single" w:sz="12" w:space="0" w:color="auto"/>
              <w:bottom w:val="double" w:sz="12" w:space="0" w:color="auto"/>
              <w:right w:val="double" w:sz="12" w:space="0" w:color="auto"/>
            </w:tcBorders>
            <w:vAlign w:val="center"/>
          </w:tcPr>
          <w:p w14:paraId="0F47533D" w14:textId="77777777" w:rsidR="008B5EE4" w:rsidRPr="007658B3" w:rsidRDefault="008B5EE4" w:rsidP="004E0F0C">
            <w:pPr>
              <w:pStyle w:val="TableText"/>
            </w:pPr>
            <w:r w:rsidRPr="007658B3">
              <w:t>2</w:t>
            </w:r>
            <w:r w:rsidRPr="007658B3">
              <w:sym w:font="Symbol" w:char="F073"/>
            </w:r>
          </w:p>
        </w:tc>
        <w:tc>
          <w:tcPr>
            <w:tcW w:w="1620" w:type="dxa"/>
            <w:tcBorders>
              <w:top w:val="single" w:sz="4" w:space="0" w:color="auto"/>
              <w:left w:val="double" w:sz="12" w:space="0" w:color="auto"/>
              <w:bottom w:val="double" w:sz="12" w:space="0" w:color="auto"/>
              <w:right w:val="single" w:sz="12" w:space="0" w:color="auto"/>
            </w:tcBorders>
            <w:vAlign w:val="center"/>
          </w:tcPr>
          <w:p w14:paraId="3E5100A9" w14:textId="77777777" w:rsidR="008B5EE4" w:rsidRPr="007658B3" w:rsidRDefault="008B5EE4" w:rsidP="004E0F0C">
            <w:pPr>
              <w:pStyle w:val="TableText"/>
            </w:pPr>
            <w:r w:rsidRPr="007658B3">
              <w:t>35</w:t>
            </w:r>
          </w:p>
        </w:tc>
        <w:tc>
          <w:tcPr>
            <w:tcW w:w="1620" w:type="dxa"/>
            <w:tcBorders>
              <w:top w:val="single" w:sz="4" w:space="0" w:color="auto"/>
              <w:bottom w:val="double" w:sz="12" w:space="0" w:color="auto"/>
              <w:right w:val="double" w:sz="12" w:space="0" w:color="auto"/>
            </w:tcBorders>
          </w:tcPr>
          <w:p w14:paraId="44932165" w14:textId="77777777" w:rsidR="008B5EE4" w:rsidRPr="007658B3" w:rsidRDefault="008B5EE4" w:rsidP="004E0F0C">
            <w:pPr>
              <w:pStyle w:val="TableText"/>
            </w:pPr>
            <w:r w:rsidRPr="007658B3">
              <w:t>10</w:t>
            </w:r>
          </w:p>
        </w:tc>
        <w:tc>
          <w:tcPr>
            <w:tcW w:w="1620" w:type="dxa"/>
            <w:tcBorders>
              <w:top w:val="single" w:sz="4" w:space="0" w:color="auto"/>
              <w:left w:val="double" w:sz="12" w:space="0" w:color="auto"/>
              <w:bottom w:val="double" w:sz="12" w:space="0" w:color="auto"/>
              <w:right w:val="single" w:sz="12" w:space="0" w:color="auto"/>
            </w:tcBorders>
          </w:tcPr>
          <w:p w14:paraId="5B74FCE7" w14:textId="77777777" w:rsidR="008B5EE4" w:rsidRPr="007658B3" w:rsidRDefault="008B5EE4" w:rsidP="004E0F0C">
            <w:pPr>
              <w:pStyle w:val="TableText"/>
            </w:pPr>
            <w:r w:rsidRPr="007658B3">
              <w:t>34</w:t>
            </w:r>
          </w:p>
        </w:tc>
        <w:tc>
          <w:tcPr>
            <w:tcW w:w="1620" w:type="dxa"/>
            <w:tcBorders>
              <w:top w:val="single" w:sz="4" w:space="0" w:color="auto"/>
              <w:bottom w:val="double" w:sz="12" w:space="0" w:color="auto"/>
              <w:right w:val="single" w:sz="12" w:space="0" w:color="auto"/>
            </w:tcBorders>
          </w:tcPr>
          <w:p w14:paraId="32170242" w14:textId="77777777" w:rsidR="008B5EE4" w:rsidRPr="007658B3" w:rsidRDefault="008B5EE4" w:rsidP="004E0F0C">
            <w:pPr>
              <w:pStyle w:val="TableText"/>
            </w:pPr>
            <w:r w:rsidRPr="007658B3">
              <w:t>9</w:t>
            </w:r>
          </w:p>
        </w:tc>
      </w:tr>
    </w:tbl>
    <w:p w14:paraId="21EA7462" w14:textId="77777777" w:rsidR="008B5EE4" w:rsidRPr="0074556C" w:rsidRDefault="008B5EE4" w:rsidP="008B5EE4">
      <w:pPr>
        <w:pStyle w:val="TableText"/>
      </w:pPr>
      <w:r w:rsidRPr="0074556C">
        <w:t>*Used for sensitivity analysis only and excluded from uncertainty analysis</w:t>
      </w:r>
    </w:p>
    <w:p w14:paraId="0F776CD0" w14:textId="23FE657B" w:rsidR="00BA37DA" w:rsidRPr="0074556C" w:rsidRDefault="00BA37DA" w:rsidP="008B5EE4">
      <w:pPr>
        <w:spacing w:line="240" w:lineRule="auto"/>
        <w:rPr>
          <w:rFonts w:cs="Times New Roman"/>
          <w:b/>
          <w:caps/>
          <w:color w:val="000000" w:themeColor="text1"/>
        </w:rPr>
      </w:pPr>
    </w:p>
    <w:p w14:paraId="642DC83B" w14:textId="77777777" w:rsidR="00437698" w:rsidRDefault="00437698">
      <w:pPr>
        <w:spacing w:line="240" w:lineRule="auto"/>
      </w:pPr>
      <w:r>
        <w:br w:type="page"/>
      </w:r>
    </w:p>
    <w:p w14:paraId="4C8528AC" w14:textId="77777777" w:rsidR="00147085" w:rsidRDefault="00147085" w:rsidP="00F22A75">
      <w:r w:rsidRPr="0074556C">
        <w:lastRenderedPageBreak/>
        <w:t xml:space="preserve">analyses, denoted </w:t>
      </w:r>
      <w:r w:rsidRPr="00C31614">
        <w:rPr>
          <w:i/>
          <w:iCs/>
        </w:rPr>
        <w:t>ND</w:t>
      </w:r>
      <w:r w:rsidRPr="0074556C">
        <w:t xml:space="preserve"> for the exclusion of the primary design parameters, should be taken as model uncertainties. The table includes the maximum, minimum, range, mean</w:t>
      </w:r>
      <w:r>
        <w:t>,</w:t>
      </w:r>
      <w:r w:rsidRPr="0074556C">
        <w:t xml:space="preserve"> and 2 standard deviations of each POI for each case.</w:t>
      </w:r>
    </w:p>
    <w:p w14:paraId="2B761B23" w14:textId="77777777" w:rsidR="00147085" w:rsidRPr="0074556C" w:rsidRDefault="00147085" w:rsidP="00F22A75">
      <w:pPr>
        <w:pStyle w:val="Heading3"/>
        <w:spacing w:before="0" w:after="0"/>
      </w:pPr>
      <w:bookmarkStart w:id="186" w:name="_Toc202957485"/>
      <w:r w:rsidRPr="0074556C">
        <w:t>ANSYS</w:t>
      </w:r>
      <w:r w:rsidRPr="0074556C">
        <w:rPr>
          <w:rStyle w:val="CommentReference"/>
          <w:b w:val="0"/>
          <w:bCs w:val="0"/>
          <w:i w:val="0"/>
        </w:rPr>
        <w:t xml:space="preserve"> </w:t>
      </w:r>
      <w:r w:rsidRPr="0074556C">
        <w:t>Model Uncertainty</w:t>
      </w:r>
      <w:bookmarkEnd w:id="186"/>
    </w:p>
    <w:p w14:paraId="6913289C" w14:textId="6CFBE095" w:rsidR="008B5EE4" w:rsidRPr="0074556C" w:rsidRDefault="00147085" w:rsidP="00F22A75">
      <w:r w:rsidRPr="0074556C">
        <w:t xml:space="preserve">The results of the preliminary Sobol sensitivity analysis confirm that the most important parameters in determining the temperature of the fuel and </w:t>
      </w:r>
      <w:r>
        <w:t xml:space="preserve">the </w:t>
      </w:r>
      <w:r w:rsidRPr="0074556C">
        <w:t>thermometry are the gap size between the subcapsule holder and housing</w:t>
      </w:r>
      <w:r>
        <w:t xml:space="preserve"> as well as</w:t>
      </w:r>
      <w:r w:rsidRPr="0074556C">
        <w:t xml:space="preserve"> the fill</w:t>
      </w:r>
      <w:r>
        <w:t xml:space="preserve"> </w:t>
      </w:r>
      <w:r w:rsidRPr="0074556C">
        <w:t xml:space="preserve">gas composition. This study also confirmed that the most important parameter in determining the temperature </w:t>
      </w:r>
      <w:r w:rsidR="008B5EE4" w:rsidRPr="0074556C">
        <w:t xml:space="preserve">gradient across the fuel was the fuel height. While the model is certainly sensitive to these parameters, the gap size </w:t>
      </w:r>
      <w:r w:rsidR="008B5EE4">
        <w:t xml:space="preserve">and </w:t>
      </w:r>
      <w:r w:rsidR="008B5EE4" w:rsidRPr="0074556C">
        <w:t xml:space="preserve">gas composition are all measured </w:t>
      </w:r>
      <w:r w:rsidR="008B5EE4">
        <w:t xml:space="preserve">to within instrument </w:t>
      </w:r>
    </w:p>
    <w:p w14:paraId="1F09C9EE" w14:textId="77777777" w:rsidR="008B5EE4" w:rsidRDefault="008B5EE4" w:rsidP="00F22A75">
      <w:r>
        <w:t xml:space="preserve">tolerance </w:t>
      </w:r>
      <w:r w:rsidRPr="0074556C">
        <w:t xml:space="preserve">during the assembly of the subcapsules. Therefore, they do not contribute </w:t>
      </w:r>
      <w:r>
        <w:t xml:space="preserve">significant </w:t>
      </w:r>
      <w:r w:rsidRPr="0074556C">
        <w:t>uncertainty to the model calculation.</w:t>
      </w:r>
    </w:p>
    <w:p w14:paraId="1B349034" w14:textId="6A5D691D" w:rsidR="00BA37DA" w:rsidRPr="0074556C" w:rsidRDefault="00BA37DA" w:rsidP="00F22A75">
      <w:r w:rsidRPr="0074556C">
        <w:t xml:space="preserve">The uncertainty in RB irradiation models was shown to be conservatively </w:t>
      </w:r>
      <w:r w:rsidRPr="0074556C">
        <w:sym w:font="Symbol" w:char="F0B1"/>
      </w:r>
      <w:r w:rsidRPr="0074556C">
        <w:t>100</w:t>
      </w:r>
      <w:r>
        <w:t> </w:t>
      </w:r>
      <w:r w:rsidRPr="0074556C">
        <w:t xml:space="preserve">°C in the prediction of average fuel temperatures, </w:t>
      </w:r>
      <w:r w:rsidRPr="0074556C">
        <w:sym w:font="Symbol" w:char="F0B1"/>
      </w:r>
      <w:r w:rsidRPr="0074556C">
        <w:t xml:space="preserve"> 60 °C in the prediction of the average thermometry temperatures, and </w:t>
      </w:r>
      <w:r w:rsidRPr="0074556C">
        <w:sym w:font="Symbol" w:char="F0B1"/>
      </w:r>
      <w:r w:rsidRPr="0074556C">
        <w:t xml:space="preserve"> 40 °C in the prediction of fuel temperature gradient. Under VXF irradiation conditions</w:t>
      </w:r>
      <w:r>
        <w:t>,</w:t>
      </w:r>
      <w:r w:rsidRPr="0074556C">
        <w:t xml:space="preserve"> the uncertainties are conservative estimates of </w:t>
      </w:r>
      <w:r w:rsidRPr="0074556C">
        <w:sym w:font="Symbol" w:char="F0B1"/>
      </w:r>
      <w:r w:rsidRPr="0074556C">
        <w:t xml:space="preserve">50 °C, </w:t>
      </w:r>
      <w:r w:rsidRPr="0074556C">
        <w:sym w:font="Symbol" w:char="F0B1"/>
      </w:r>
      <w:r w:rsidRPr="0074556C">
        <w:t xml:space="preserve">30 °C, and </w:t>
      </w:r>
      <w:r w:rsidRPr="0074556C">
        <w:sym w:font="Symbol" w:char="F0B1"/>
      </w:r>
      <w:r w:rsidRPr="0074556C">
        <w:t xml:space="preserve">10 °C, respectively. </w:t>
      </w:r>
      <w:r>
        <w:t>Within this uncertainty analysis, the fuel height</w:t>
      </w:r>
      <w:r w:rsidR="008B5EE4">
        <w:t xml:space="preserve"> </w:t>
      </w:r>
      <w:r>
        <w:t xml:space="preserve">parameter for was incorrectly varied </w:t>
      </w:r>
      <w:r w:rsidRPr="0074556C">
        <w:sym w:font="Symbol" w:char="F0B1"/>
      </w:r>
      <w:r>
        <w:t xml:space="preserve">0.1 mm, which encompasses the as-built design space of the capsules. In reality, the height of the fuel can be measured to within </w:t>
      </w:r>
      <w:r w:rsidRPr="0074556C">
        <w:sym w:font="Symbol" w:char="F0B1"/>
      </w:r>
      <w:r>
        <w:t xml:space="preserve">0.001 mm, drastically reducing the contribution to uncertainty. </w:t>
      </w:r>
      <w:r w:rsidRPr="0074556C">
        <w:t xml:space="preserve">Removing the contribution to </w:t>
      </w:r>
      <w:r w:rsidRPr="0074556C">
        <w:lastRenderedPageBreak/>
        <w:t>uncertainty from the fuel height reduces the modeling uncertainties to ~</w:t>
      </w:r>
      <w:r w:rsidRPr="0074556C">
        <w:sym w:font="Symbol" w:char="F0B1"/>
      </w:r>
      <w:r w:rsidRPr="0074556C">
        <w:t>80 °C, ~</w:t>
      </w:r>
      <w:r w:rsidRPr="0074556C">
        <w:sym w:font="Symbol" w:char="F0B1"/>
      </w:r>
      <w:r w:rsidRPr="0074556C">
        <w:t>56 °C, ~</w:t>
      </w:r>
      <w:r w:rsidRPr="0074556C">
        <w:sym w:font="Symbol" w:char="F0B1"/>
      </w:r>
      <w:r w:rsidRPr="0074556C">
        <w:t>8 °C in RB and ~</w:t>
      </w:r>
      <w:r w:rsidRPr="0074556C">
        <w:sym w:font="Symbol" w:char="F0B1"/>
      </w:r>
      <w:r w:rsidRPr="0074556C">
        <w:t>40 °C, ~</w:t>
      </w:r>
      <w:r w:rsidRPr="0074556C">
        <w:sym w:font="Symbol" w:char="F0B1"/>
      </w:r>
      <w:r w:rsidRPr="0074556C">
        <w:t>24 °C, ~</w:t>
      </w:r>
      <w:r w:rsidRPr="0074556C">
        <w:sym w:font="Symbol" w:char="F0B1"/>
      </w:r>
      <w:r w:rsidRPr="0074556C">
        <w:t xml:space="preserve">2 °C in </w:t>
      </w:r>
      <w:r>
        <w:t xml:space="preserve">the </w:t>
      </w:r>
      <w:r w:rsidRPr="0074556C">
        <w:t>VXF</w:t>
      </w:r>
      <w:r>
        <w:t xml:space="preserve"> position</w:t>
      </w:r>
      <w:r w:rsidRPr="0074556C">
        <w:t>, respectively.</w:t>
      </w:r>
    </w:p>
    <w:p w14:paraId="182BCE6F" w14:textId="0406B022" w:rsidR="00BA37DA" w:rsidRPr="0074556C" w:rsidRDefault="00BA37DA" w:rsidP="00F22A75">
      <w:r w:rsidRPr="0074556C">
        <w:t xml:space="preserve">Upon reviewing the previous MF01 experimental comparison, the results of the experiment </w:t>
      </w:r>
      <w:r>
        <w:t xml:space="preserve">were observed to </w:t>
      </w:r>
      <w:r w:rsidRPr="0074556C">
        <w:t xml:space="preserve">fall slightly outside the estimated model uncertainty. Similarly, the thermometry temperature predictions were about 60 °C higher than </w:t>
      </w:r>
      <w:r>
        <w:t xml:space="preserve">that of </w:t>
      </w:r>
      <w:r w:rsidRPr="0074556C">
        <w:t>the experimental PIE</w:t>
      </w:r>
      <w:r>
        <w:t>,</w:t>
      </w:r>
      <w:r w:rsidRPr="0074556C">
        <w:t xml:space="preserve"> which is </w:t>
      </w:r>
      <w:r>
        <w:t>outside</w:t>
      </w:r>
      <w:r w:rsidRPr="0074556C">
        <w:t xml:space="preserve"> the </w:t>
      </w:r>
      <w:r w:rsidRPr="0074556C">
        <w:sym w:font="Symbol" w:char="F0B1"/>
      </w:r>
      <w:r w:rsidRPr="0074556C">
        <w:t>24 °C calculated uncertainty in the thermometry temperature predictions for</w:t>
      </w:r>
      <w:r>
        <w:t xml:space="preserve"> the</w:t>
      </w:r>
      <w:r w:rsidRPr="0074556C">
        <w:t xml:space="preserve"> VXF</w:t>
      </w:r>
      <w:r>
        <w:t xml:space="preserve"> position</w:t>
      </w:r>
      <w:r w:rsidRPr="0074556C">
        <w:t>. However, this may be a result of additional factors that are outside of the considered uncertainty of this report</w:t>
      </w:r>
      <w:r>
        <w:t>,</w:t>
      </w:r>
      <w:r w:rsidRPr="0074556C">
        <w:t xml:space="preserve"> such as differences in the HFIR loading. The results of the RB01 model-to-model comparison fall within the reported uncertainty in the fuel temperature calculations</w:t>
      </w:r>
      <w:r>
        <w:t>;</w:t>
      </w:r>
      <w:r w:rsidRPr="0074556C">
        <w:t xml:space="preserve"> however</w:t>
      </w:r>
      <w:r>
        <w:t>,</w:t>
      </w:r>
      <w:r w:rsidRPr="0074556C">
        <w:t xml:space="preserve"> the differences can still be primarily associated with the lack of an axial heat transfer boundary condition within the reduced</w:t>
      </w:r>
      <w:r>
        <w:t>-</w:t>
      </w:r>
      <w:r w:rsidRPr="0074556C">
        <w:t xml:space="preserve">order model. </w:t>
      </w:r>
    </w:p>
    <w:p w14:paraId="639B33AA" w14:textId="244C3DEB" w:rsidR="00BA37DA" w:rsidRPr="0074556C" w:rsidRDefault="00FA3EAE" w:rsidP="00F22A75">
      <w:pPr>
        <w:pStyle w:val="Heading3"/>
        <w:spacing w:before="0" w:after="0"/>
      </w:pPr>
      <w:bookmarkStart w:id="187" w:name="_Ref188970213"/>
      <w:bookmarkStart w:id="188" w:name="_Toc202957486"/>
      <w:r>
        <w:t xml:space="preserve">Influence of </w:t>
      </w:r>
      <w:r w:rsidR="00BA37DA" w:rsidRPr="0074556C">
        <w:t>Gap Conductance</w:t>
      </w:r>
      <w:bookmarkEnd w:id="187"/>
      <w:bookmarkEnd w:id="188"/>
    </w:p>
    <w:p w14:paraId="5419FB90" w14:textId="5A3D9F81" w:rsidR="00BA37DA" w:rsidRPr="0074556C" w:rsidRDefault="00BA37DA" w:rsidP="00F22A75">
      <w:r w:rsidRPr="0074556C">
        <w:t xml:space="preserve">The gap conductance is defined within the MiniFuel model using the following equation from McDuffee </w:t>
      </w:r>
      <w:r w:rsidRPr="0074556C">
        <w:fldChar w:fldCharType="begin"/>
      </w:r>
      <w:r w:rsidR="003026BC">
        <w:instrText xml:space="preserve"> ADDIN EN.CITE &lt;EndNote&gt;&lt;Cite&gt;&lt;Author&gt;McDuffee&lt;/Author&gt;&lt;Year&gt;2013&lt;/Year&gt;&lt;RecNum&gt;427&lt;/RecNum&gt;&lt;DisplayText&gt;[153]&lt;/DisplayText&gt;&lt;record&gt;&lt;rec-number&gt;427&lt;/rec-number&gt;&lt;foreign-keys&gt;&lt;key app="EN" db-id="eseee05sfe5vt6efvr0xapvq20vfdsfp5fvf" timestamp="1710045524"&gt;427&lt;/key&gt;&lt;/foreign-keys&gt;&lt;ref-type name="Conference Paper"&gt;47&lt;/ref-type&gt;&lt;contributors&gt;&lt;authors&gt;&lt;author&gt;McDuffee, Joel L.&lt;/author&gt;&lt;/authors&gt;&lt;/contributors&gt;&lt;titles&gt;&lt;title&gt;Heat Transfer Through Small Moveable Gas Gaps in a Multi-Body System Using the ANSYS Finite Element Software&lt;/title&gt;&lt;secondary-title&gt;ASME 2013 Heat Transfer Summer Conference&lt;/secondary-title&gt;&lt;/titles&gt;&lt;number&gt;V001T01A038&lt;/number&gt;&lt;dates&gt;&lt;year&gt;2013&lt;/year&gt;&lt;/dates&gt;&lt;urls&gt;&lt;related-urls&gt;&lt;url&gt;https://doi.org/10.1115/HT2013-17783&lt;/url&gt;&lt;/related-urls&gt;&lt;/urls&gt;&lt;custom1&gt;Volume 1: Heat Transfer in Energy Systems; Thermophysical Properties; Theory and Fundamental Research in Heat Transfer&lt;/custom1&gt;&lt;custom2&gt;ASME 2013 Heat Transfer Summer Conference collocated with the ASME 2013 7th International Conference on Energy Sustainability and the ASME 2013 11th International Conference on Fuel Cell Science, Engineering and Technology&lt;/custom2&gt;&lt;custom3&gt;HT2013&lt;/custom3&gt;&lt;custom4&gt;Heat Transfer Summer Conference&lt;/custom4&gt;&lt;electronic-resource-num&gt;10.1115/HT2013-17783&lt;/electronic-resource-num&gt;&lt;access-date&gt;3/10/2024&lt;/access-date&gt;&lt;/record&gt;&lt;/Cite&gt;&lt;/EndNote&gt;</w:instrText>
      </w:r>
      <w:r w:rsidRPr="0074556C">
        <w:fldChar w:fldCharType="separate"/>
      </w:r>
      <w:r w:rsidR="003026BC">
        <w:rPr>
          <w:noProof/>
        </w:rPr>
        <w:t>[153]</w:t>
      </w:r>
      <w:r w:rsidRPr="0074556C">
        <w:fldChar w:fldCharType="end"/>
      </w:r>
      <w:r w:rsidRPr="0074556C">
        <w:t>:</w:t>
      </w:r>
    </w:p>
    <w:tbl>
      <w:tblPr>
        <w:tblStyle w:val="TableGrid"/>
        <w:tblW w:w="86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0"/>
        <w:gridCol w:w="7451"/>
        <w:gridCol w:w="561"/>
      </w:tblGrid>
      <w:tr w:rsidR="00BA37DA" w:rsidRPr="0074556C" w14:paraId="1294AF7C" w14:textId="77777777" w:rsidTr="00AE2101">
        <w:tc>
          <w:tcPr>
            <w:tcW w:w="590" w:type="dxa"/>
            <w:vAlign w:val="center"/>
          </w:tcPr>
          <w:p w14:paraId="03D4B85B" w14:textId="77777777" w:rsidR="00BA37DA" w:rsidRPr="0074556C" w:rsidRDefault="00BA37DA" w:rsidP="00F22A75">
            <w:pPr>
              <w:pStyle w:val="Equation"/>
              <w:spacing w:before="0" w:after="0" w:line="480" w:lineRule="auto"/>
            </w:pPr>
          </w:p>
        </w:tc>
        <w:tc>
          <w:tcPr>
            <w:tcW w:w="7451" w:type="dxa"/>
            <w:vAlign w:val="center"/>
          </w:tcPr>
          <w:p w14:paraId="12B123E6" w14:textId="77777777" w:rsidR="00BA37DA" w:rsidRPr="0074556C" w:rsidRDefault="00000000" w:rsidP="00F22A75">
            <w:pPr>
              <w:pStyle w:val="Equation"/>
              <w:spacing w:before="0" w:after="0" w:line="480" w:lineRule="auto"/>
            </w:pPr>
            <m:oMathPara>
              <m:oMath>
                <m:sSub>
                  <m:sSubPr>
                    <m:ctrlPr>
                      <w:rPr>
                        <w:rFonts w:ascii="Cambria Math" w:hAnsi="Cambria Math"/>
                      </w:rPr>
                    </m:ctrlPr>
                  </m:sSubPr>
                  <m:e>
                    <m:r>
                      <w:rPr>
                        <w:rFonts w:ascii="Cambria Math" w:hAnsi="Cambria Math"/>
                      </w:rPr>
                      <m:t>h</m:t>
                    </m:r>
                  </m:e>
                  <m:sub>
                    <m:r>
                      <w:rPr>
                        <w:rFonts w:ascii="Cambria Math" w:hAnsi="Cambria Math"/>
                      </w:rPr>
                      <m:t>gap</m:t>
                    </m:r>
                  </m:sub>
                </m:sSub>
                <m:r>
                  <m:rPr>
                    <m:sty m:val="p"/>
                  </m:rPr>
                  <w:rPr>
                    <w:rFonts w:ascii="Cambria Math" w:hAnsi="Cambria Math"/>
                  </w:rPr>
                  <m:t>=</m:t>
                </m:r>
                <m:f>
                  <m:fPr>
                    <m:ctrlPr>
                      <w:rPr>
                        <w:rFonts w:ascii="Cambria Math" w:hAnsi="Cambria Math"/>
                      </w:rPr>
                    </m:ctrlPr>
                  </m:fPr>
                  <m:num>
                    <m:r>
                      <m:rPr>
                        <m:sty m:val="p"/>
                      </m:rPr>
                      <w:rPr>
                        <w:rFonts w:ascii="Cambria Math" w:hAnsi="Cambria Math"/>
                      </w:rPr>
                      <m:t>1</m:t>
                    </m:r>
                  </m:num>
                  <m:den>
                    <m:f>
                      <m:fPr>
                        <m:ctrlPr>
                          <w:rPr>
                            <w:rFonts w:ascii="Cambria Math" w:hAnsi="Cambria Math"/>
                          </w:rPr>
                        </m:ctrlPr>
                      </m:fPr>
                      <m:num>
                        <m:r>
                          <w:rPr>
                            <w:rFonts w:ascii="Cambria Math" w:hAnsi="Cambria Math"/>
                          </w:rPr>
                          <m:t>δ</m:t>
                        </m:r>
                      </m:num>
                      <m:den>
                        <m:sSub>
                          <m:sSubPr>
                            <m:ctrlPr>
                              <w:rPr>
                                <w:rFonts w:ascii="Cambria Math" w:hAnsi="Cambria Math"/>
                              </w:rPr>
                            </m:ctrlPr>
                          </m:sSubPr>
                          <m:e>
                            <m:r>
                              <w:rPr>
                                <w:rFonts w:ascii="Cambria Math" w:hAnsi="Cambria Math"/>
                              </w:rPr>
                              <m:t>k</m:t>
                            </m:r>
                          </m:e>
                          <m:sub>
                            <m:r>
                              <w:rPr>
                                <w:rFonts w:ascii="Cambria Math" w:hAnsi="Cambria Math"/>
                              </w:rPr>
                              <m:t>gas</m:t>
                            </m:r>
                          </m:sub>
                        </m:sSub>
                        <m:r>
                          <m:rPr>
                            <m:sty m:val="p"/>
                          </m:rPr>
                          <w:rPr>
                            <w:rFonts w:ascii="Cambria Math" w:hAnsi="Cambria Math"/>
                          </w:rPr>
                          <m:t>(</m:t>
                        </m:r>
                        <m:sSub>
                          <m:sSubPr>
                            <m:ctrlPr>
                              <w:rPr>
                                <w:rFonts w:ascii="Cambria Math" w:hAnsi="Cambria Math"/>
                              </w:rPr>
                            </m:ctrlPr>
                          </m:sSubPr>
                          <m:e>
                            <m:r>
                              <w:rPr>
                                <w:rFonts w:ascii="Cambria Math" w:hAnsi="Cambria Math"/>
                              </w:rPr>
                              <m:t>T</m:t>
                            </m:r>
                          </m:e>
                          <m:sub>
                            <m:r>
                              <w:rPr>
                                <w:rFonts w:ascii="Cambria Math" w:hAnsi="Cambria Math"/>
                              </w:rPr>
                              <m:t>g</m:t>
                            </m:r>
                            <m:r>
                              <m:rPr>
                                <m:sty m:val="p"/>
                              </m:rPr>
                              <w:rPr>
                                <w:rFonts w:ascii="Cambria Math" w:hAnsi="Cambria Math"/>
                              </w:rPr>
                              <m:t>,</m:t>
                            </m:r>
                            <m:r>
                              <w:rPr>
                                <w:rFonts w:ascii="Cambria Math" w:hAnsi="Cambria Math"/>
                              </w:rPr>
                              <m:t>avg</m:t>
                            </m:r>
                          </m:sub>
                        </m:sSub>
                        <m:r>
                          <m:rPr>
                            <m:sty m:val="p"/>
                          </m:rPr>
                          <w:rPr>
                            <w:rFonts w:ascii="Cambria Math" w:hAnsi="Cambria Math"/>
                          </w:rPr>
                          <m:t>)</m:t>
                        </m:r>
                      </m:den>
                    </m:f>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g</m:t>
                            </m:r>
                          </m:e>
                          <m:sub>
                            <m:r>
                              <w:rPr>
                                <w:rFonts w:ascii="Cambria Math" w:hAnsi="Cambria Math"/>
                              </w:rPr>
                              <m:t>s</m:t>
                            </m:r>
                            <m:r>
                              <m:rPr>
                                <m:sty m:val="p"/>
                              </m:rPr>
                              <w:rPr>
                                <w:rFonts w:ascii="Cambria Math" w:hAnsi="Cambria Math"/>
                              </w:rPr>
                              <m:t>1</m:t>
                            </m:r>
                          </m:sub>
                        </m:sSub>
                      </m:num>
                      <m:den>
                        <m:sSub>
                          <m:sSubPr>
                            <m:ctrlPr>
                              <w:rPr>
                                <w:rFonts w:ascii="Cambria Math" w:hAnsi="Cambria Math"/>
                              </w:rPr>
                            </m:ctrlPr>
                          </m:sSubPr>
                          <m:e>
                            <m:r>
                              <w:rPr>
                                <w:rFonts w:ascii="Cambria Math" w:hAnsi="Cambria Math"/>
                              </w:rPr>
                              <m:t>k</m:t>
                            </m:r>
                          </m:e>
                          <m:sub>
                            <m:r>
                              <w:rPr>
                                <w:rFonts w:ascii="Cambria Math" w:hAnsi="Cambria Math"/>
                              </w:rPr>
                              <m:t>gas</m:t>
                            </m:r>
                          </m:sub>
                        </m:sSub>
                        <m:r>
                          <m:rPr>
                            <m:sty m:val="p"/>
                          </m:rPr>
                          <w:rPr>
                            <w:rFonts w:ascii="Cambria Math" w:hAnsi="Cambria Math"/>
                          </w:rPr>
                          <m:t>(</m:t>
                        </m:r>
                        <m:sSub>
                          <m:sSubPr>
                            <m:ctrlPr>
                              <w:rPr>
                                <w:rFonts w:ascii="Cambria Math" w:hAnsi="Cambria Math"/>
                              </w:rPr>
                            </m:ctrlPr>
                          </m:sSubPr>
                          <m:e>
                            <m:r>
                              <w:rPr>
                                <w:rFonts w:ascii="Cambria Math" w:hAnsi="Cambria Math"/>
                              </w:rPr>
                              <m:t>T</m:t>
                            </m:r>
                          </m:e>
                          <m:sub>
                            <m:r>
                              <w:rPr>
                                <w:rFonts w:ascii="Cambria Math" w:hAnsi="Cambria Math"/>
                              </w:rPr>
                              <m:t>s</m:t>
                            </m:r>
                            <m:r>
                              <m:rPr>
                                <m:sty m:val="p"/>
                              </m:rPr>
                              <w:rPr>
                                <w:rFonts w:ascii="Cambria Math" w:hAnsi="Cambria Math"/>
                              </w:rPr>
                              <m:t>1</m:t>
                            </m:r>
                          </m:sub>
                        </m:sSub>
                        <m:r>
                          <m:rPr>
                            <m:sty m:val="p"/>
                          </m:rPr>
                          <w:rPr>
                            <w:rFonts w:ascii="Cambria Math" w:hAnsi="Cambria Math"/>
                          </w:rPr>
                          <m:t>)</m:t>
                        </m:r>
                      </m:den>
                    </m:f>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g</m:t>
                            </m:r>
                          </m:e>
                          <m:sub>
                            <m:r>
                              <w:rPr>
                                <w:rFonts w:ascii="Cambria Math" w:hAnsi="Cambria Math"/>
                              </w:rPr>
                              <m:t>s</m:t>
                            </m:r>
                            <m:r>
                              <m:rPr>
                                <m:sty m:val="p"/>
                              </m:rPr>
                              <w:rPr>
                                <w:rFonts w:ascii="Cambria Math" w:hAnsi="Cambria Math"/>
                              </w:rPr>
                              <m:t>2</m:t>
                            </m:r>
                          </m:sub>
                        </m:sSub>
                      </m:num>
                      <m:den>
                        <m:sSub>
                          <m:sSubPr>
                            <m:ctrlPr>
                              <w:rPr>
                                <w:rFonts w:ascii="Cambria Math" w:hAnsi="Cambria Math"/>
                              </w:rPr>
                            </m:ctrlPr>
                          </m:sSubPr>
                          <m:e>
                            <m:r>
                              <w:rPr>
                                <w:rFonts w:ascii="Cambria Math" w:hAnsi="Cambria Math"/>
                              </w:rPr>
                              <m:t>k</m:t>
                            </m:r>
                          </m:e>
                          <m:sub>
                            <m:r>
                              <w:rPr>
                                <w:rFonts w:ascii="Cambria Math" w:hAnsi="Cambria Math"/>
                              </w:rPr>
                              <m:t>gas</m:t>
                            </m:r>
                          </m:sub>
                        </m:sSub>
                        <m:r>
                          <m:rPr>
                            <m:sty m:val="p"/>
                          </m:rPr>
                          <w:rPr>
                            <w:rFonts w:ascii="Cambria Math" w:hAnsi="Cambria Math"/>
                          </w:rPr>
                          <m:t>(</m:t>
                        </m:r>
                        <m:sSub>
                          <m:sSubPr>
                            <m:ctrlPr>
                              <w:rPr>
                                <w:rFonts w:ascii="Cambria Math" w:hAnsi="Cambria Math"/>
                              </w:rPr>
                            </m:ctrlPr>
                          </m:sSubPr>
                          <m:e>
                            <m:r>
                              <w:rPr>
                                <w:rFonts w:ascii="Cambria Math" w:hAnsi="Cambria Math"/>
                              </w:rPr>
                              <m:t>T</m:t>
                            </m:r>
                          </m:e>
                          <m:sub>
                            <m:r>
                              <w:rPr>
                                <w:rFonts w:ascii="Cambria Math" w:hAnsi="Cambria Math"/>
                              </w:rPr>
                              <m:t>s</m:t>
                            </m:r>
                            <m:r>
                              <m:rPr>
                                <m:sty m:val="p"/>
                              </m:rPr>
                              <w:rPr>
                                <w:rFonts w:ascii="Cambria Math" w:hAnsi="Cambria Math"/>
                              </w:rPr>
                              <m:t>2</m:t>
                            </m:r>
                          </m:sub>
                        </m:sSub>
                        <m:r>
                          <m:rPr>
                            <m:sty m:val="p"/>
                          </m:rPr>
                          <w:rPr>
                            <w:rFonts w:ascii="Cambria Math" w:hAnsi="Cambria Math"/>
                          </w:rPr>
                          <m:t>)</m:t>
                        </m:r>
                      </m:den>
                    </m:f>
                  </m:den>
                </m:f>
              </m:oMath>
            </m:oMathPara>
          </w:p>
          <w:p w14:paraId="30BAE1CF" w14:textId="77777777" w:rsidR="00BA37DA" w:rsidRPr="0074556C" w:rsidRDefault="00BA37DA" w:rsidP="00F22A75">
            <w:pPr>
              <w:pStyle w:val="Equation"/>
              <w:spacing w:before="0" w:after="0" w:line="480" w:lineRule="auto"/>
            </w:pPr>
          </w:p>
        </w:tc>
        <w:tc>
          <w:tcPr>
            <w:tcW w:w="561" w:type="dxa"/>
            <w:vAlign w:val="center"/>
          </w:tcPr>
          <w:p w14:paraId="0C757EF8" w14:textId="794A44DF" w:rsidR="00BA37DA" w:rsidRPr="0074556C" w:rsidRDefault="00BF7E93" w:rsidP="00F22A75">
            <w:pPr>
              <w:pStyle w:val="Equation"/>
              <w:spacing w:before="0" w:after="0" w:line="480" w:lineRule="auto"/>
            </w:pPr>
            <w:fldSimple w:instr=" SEQ Equation \* ARABIC ">
              <w:r>
                <w:rPr>
                  <w:noProof/>
                </w:rPr>
                <w:t>16</w:t>
              </w:r>
            </w:fldSimple>
          </w:p>
        </w:tc>
      </w:tr>
    </w:tbl>
    <w:p w14:paraId="6D1CF525" w14:textId="77777777" w:rsidR="00BA37DA" w:rsidRPr="0074556C" w:rsidRDefault="00BA37DA" w:rsidP="00F22A75">
      <w:r w:rsidRPr="0074556C">
        <w:t xml:space="preserve">Within this equation, the </w:t>
      </w:r>
      <w:r w:rsidRPr="0026786A">
        <w:rPr>
          <w:i/>
          <w:iCs/>
        </w:rPr>
        <w:t>g</w:t>
      </w:r>
      <w:r w:rsidRPr="0026786A">
        <w:rPr>
          <w:i/>
          <w:iCs/>
          <w:vertAlign w:val="subscript"/>
        </w:rPr>
        <w:t>s1</w:t>
      </w:r>
      <w:r w:rsidRPr="0074556C">
        <w:t xml:space="preserve"> and </w:t>
      </w:r>
      <w:r w:rsidRPr="0026786A">
        <w:rPr>
          <w:i/>
          <w:iCs/>
        </w:rPr>
        <w:t>g</w:t>
      </w:r>
      <w:r w:rsidRPr="0026786A">
        <w:rPr>
          <w:i/>
          <w:iCs/>
          <w:vertAlign w:val="subscript"/>
        </w:rPr>
        <w:t>s2</w:t>
      </w:r>
      <w:r w:rsidRPr="0074556C">
        <w:t xml:space="preserve"> parameters are thermal jump distances and are negligible for the housing gas gap </w:t>
      </w:r>
      <w:r>
        <w:t>because</w:t>
      </w:r>
      <w:r w:rsidRPr="0074556C">
        <w:t xml:space="preserve"> it is larger than </w:t>
      </w:r>
      <w:r>
        <w:t>0</w:t>
      </w:r>
      <w:r w:rsidRPr="0074556C">
        <w:t xml:space="preserve">.1 mm in most cases. The primary dependence for gap conductance from the holder to the housing stems from the </w:t>
      </w:r>
      <w:r w:rsidRPr="0074556C">
        <w:lastRenderedPageBreak/>
        <w:t xml:space="preserve">effective gap size, </w:t>
      </w:r>
      <w:r w:rsidRPr="0074556C">
        <w:sym w:font="Symbol" w:char="F064"/>
      </w:r>
      <w:r w:rsidRPr="0074556C">
        <w:t xml:space="preserve">, dictated by the outer radius of the holder, and effective thermal conductivity of the fill gas, </w:t>
      </w:r>
      <w:r w:rsidRPr="0045414C">
        <w:rPr>
          <w:i/>
          <w:iCs/>
        </w:rPr>
        <w:t>k</w:t>
      </w:r>
      <w:r w:rsidRPr="0045414C">
        <w:rPr>
          <w:i/>
          <w:iCs/>
          <w:vertAlign w:val="subscript"/>
        </w:rPr>
        <w:t>gas</w:t>
      </w:r>
      <w:r w:rsidRPr="0074556C">
        <w:t xml:space="preserve">, which is determined by the gas composition. As demonstrated </w:t>
      </w:r>
      <w:r>
        <w:t>in</w:t>
      </w:r>
      <w:r w:rsidRPr="0074556C">
        <w:t xml:space="preserve"> the Sobol analysis</w:t>
      </w:r>
      <w:r>
        <w:t>,</w:t>
      </w:r>
      <w:r w:rsidRPr="0074556C">
        <w:t xml:space="preserve"> the sample space for the combination of these two parameters enable</w:t>
      </w:r>
      <w:r>
        <w:t>s</w:t>
      </w:r>
      <w:r w:rsidRPr="0074556C">
        <w:t xml:space="preserve"> temperatures to range over several hundreds of degrees.</w:t>
      </w:r>
    </w:p>
    <w:p w14:paraId="0AF58920" w14:textId="0C1F6F47" w:rsidR="00BA37DA" w:rsidRPr="0074556C" w:rsidRDefault="00FA3EAE" w:rsidP="00F22A75">
      <w:pPr>
        <w:pStyle w:val="Heading3"/>
        <w:spacing w:before="0" w:after="0"/>
      </w:pPr>
      <w:bookmarkStart w:id="189" w:name="_Toc202957487"/>
      <w:r>
        <w:t xml:space="preserve">Influence of </w:t>
      </w:r>
      <w:r w:rsidR="00BA37DA" w:rsidRPr="0074556C">
        <w:t>Fuel Height</w:t>
      </w:r>
      <w:bookmarkEnd w:id="189"/>
    </w:p>
    <w:p w14:paraId="089A4DB2" w14:textId="3F099D32" w:rsidR="00BA37DA" w:rsidRPr="0074556C" w:rsidRDefault="00BA37DA" w:rsidP="00F22A75">
      <w:r w:rsidRPr="0074556C">
        <w:t xml:space="preserve">The height of the fuel disk is the most important factor in determining the temperature gradient across the fuel, and </w:t>
      </w:r>
      <w:r>
        <w:t xml:space="preserve">it </w:t>
      </w:r>
      <w:r w:rsidRPr="0074556C">
        <w:t xml:space="preserve">contributes significantly to the average fuel temperature. The fuel volume has a direct impact on the fuel temperature by changing the internal heat generation due to fission. The uncertainty in the temperature gradient can be explained using Fourier’s </w:t>
      </w:r>
      <w:r>
        <w:t>l</w:t>
      </w:r>
      <w:r w:rsidRPr="0074556C">
        <w:t xml:space="preserve">aw </w:t>
      </w:r>
      <w:r w:rsidRPr="0074556C">
        <w:fldChar w:fldCharType="begin"/>
      </w:r>
      <w:r w:rsidR="003026BC">
        <w:instrText xml:space="preserve"> ADDIN EN.CITE &lt;EndNote&gt;&lt;Cite&gt;&lt;Author&gt;Bergman&lt;/Author&gt;&lt;Year&gt;2011&lt;/Year&gt;&lt;RecNum&gt;498&lt;/RecNum&gt;&lt;DisplayText&gt;[175]&lt;/DisplayText&gt;&lt;record&gt;&lt;rec-number&gt;498&lt;/rec-number&gt;&lt;foreign-keys&gt;&lt;key app="EN" db-id="eseee05sfe5vt6efvr0xapvq20vfdsfp5fvf" timestamp="1717622772"&gt;498&lt;/key&gt;&lt;/foreign-keys&gt;&lt;ref-type name="Book"&gt;6&lt;/ref-type&gt;&lt;contributors&gt;&lt;authors&gt;&lt;author&gt;Bergman, Theodore L&lt;/author&gt;&lt;/authors&gt;&lt;/contributors&gt;&lt;titles&gt;&lt;title&gt;Fundamentals of heat and mass transfer&lt;/title&gt;&lt;/titles&gt;&lt;dates&gt;&lt;year&gt;2011&lt;/year&gt;&lt;/dates&gt;&lt;publisher&gt;John Wiley &amp;amp; Sons&lt;/publisher&gt;&lt;isbn&gt;0470501979&lt;/isbn&gt;&lt;urls&gt;&lt;/urls&gt;&lt;/record&gt;&lt;/Cite&gt;&lt;/EndNote&gt;</w:instrText>
      </w:r>
      <w:r w:rsidRPr="0074556C">
        <w:fldChar w:fldCharType="separate"/>
      </w:r>
      <w:r w:rsidR="003026BC">
        <w:rPr>
          <w:noProof/>
        </w:rPr>
        <w:t>[175]</w:t>
      </w:r>
      <w:r w:rsidRPr="0074556C">
        <w:fldChar w:fldCharType="end"/>
      </w:r>
      <w:r w:rsidRPr="0074556C">
        <w:t xml:space="preserve">: </w:t>
      </w:r>
    </w:p>
    <w:tbl>
      <w:tblPr>
        <w:tblStyle w:val="TableGrid"/>
        <w:tblW w:w="86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0"/>
        <w:gridCol w:w="7451"/>
        <w:gridCol w:w="561"/>
      </w:tblGrid>
      <w:tr w:rsidR="00BA37DA" w:rsidRPr="0074556C" w14:paraId="08580D29" w14:textId="77777777" w:rsidTr="00AE2101">
        <w:tc>
          <w:tcPr>
            <w:tcW w:w="590" w:type="dxa"/>
            <w:vAlign w:val="center"/>
          </w:tcPr>
          <w:p w14:paraId="22A35A91" w14:textId="77777777" w:rsidR="00BA37DA" w:rsidRPr="0074556C" w:rsidRDefault="00BA37DA" w:rsidP="00F22A75">
            <w:pPr>
              <w:pStyle w:val="Equation"/>
              <w:spacing w:before="0" w:after="0" w:line="480" w:lineRule="auto"/>
            </w:pPr>
          </w:p>
        </w:tc>
        <w:tc>
          <w:tcPr>
            <w:tcW w:w="7451" w:type="dxa"/>
            <w:vAlign w:val="center"/>
          </w:tcPr>
          <w:p w14:paraId="6FD6294A" w14:textId="77777777" w:rsidR="00BA37DA" w:rsidRPr="0074556C" w:rsidRDefault="00000000" w:rsidP="00F22A75">
            <w:pPr>
              <w:pStyle w:val="Equation"/>
              <w:spacing w:before="0" w:after="0" w:line="480" w:lineRule="auto"/>
            </w:pPr>
            <m:oMathPara>
              <m:oMath>
                <m:sSup>
                  <m:sSupPr>
                    <m:ctrlPr>
                      <w:rPr>
                        <w:rFonts w:ascii="Cambria Math" w:hAnsi="Cambria Math"/>
                      </w:rPr>
                    </m:ctrlPr>
                  </m:sSupPr>
                  <m:e>
                    <m:r>
                      <w:rPr>
                        <w:rFonts w:ascii="Cambria Math" w:hAnsi="Cambria Math"/>
                      </w:rPr>
                      <m:t>q</m:t>
                    </m:r>
                  </m:e>
                  <m:sup>
                    <m:r>
                      <m:rPr>
                        <m:sty m:val="p"/>
                      </m:rPr>
                      <w:rPr>
                        <w:rFonts w:ascii="Cambria Math" w:hAnsi="Cambria Math"/>
                      </w:rPr>
                      <m:t>''</m:t>
                    </m:r>
                  </m:sup>
                </m:sSup>
                <m:r>
                  <m:rPr>
                    <m:sty m:val="p"/>
                  </m:rPr>
                  <w:rPr>
                    <w:rFonts w:ascii="Cambria Math" w:hAnsi="Cambria Math"/>
                  </w:rPr>
                  <m:t>=-</m:t>
                </m:r>
                <m:r>
                  <w:rPr>
                    <w:rFonts w:ascii="Cambria Math" w:hAnsi="Cambria Math"/>
                  </w:rPr>
                  <m:t>k</m:t>
                </m:r>
                <m:r>
                  <m:rPr>
                    <m:sty m:val="p"/>
                  </m:rPr>
                  <w:rPr>
                    <w:rFonts w:ascii="Cambria Math" w:hAnsi="Cambria Math"/>
                  </w:rPr>
                  <m:t>∇</m:t>
                </m:r>
                <m:r>
                  <w:rPr>
                    <w:rFonts w:ascii="Cambria Math" w:hAnsi="Cambria Math"/>
                  </w:rPr>
                  <m:t>T</m:t>
                </m:r>
              </m:oMath>
            </m:oMathPara>
          </w:p>
        </w:tc>
        <w:tc>
          <w:tcPr>
            <w:tcW w:w="561" w:type="dxa"/>
            <w:vAlign w:val="center"/>
          </w:tcPr>
          <w:p w14:paraId="05FAFA11" w14:textId="2B6312E7" w:rsidR="00BA37DA" w:rsidRPr="0074556C" w:rsidRDefault="00BF7E93" w:rsidP="00F22A75">
            <w:pPr>
              <w:pStyle w:val="Equation"/>
              <w:spacing w:before="0" w:after="0" w:line="480" w:lineRule="auto"/>
            </w:pPr>
            <w:fldSimple w:instr=" SEQ Equation \* ARABIC ">
              <w:r>
                <w:rPr>
                  <w:noProof/>
                </w:rPr>
                <w:t>17</w:t>
              </w:r>
            </w:fldSimple>
          </w:p>
        </w:tc>
      </w:tr>
    </w:tbl>
    <w:p w14:paraId="34FD8D1A" w14:textId="77777777" w:rsidR="00BA37DA" w:rsidRPr="0074556C" w:rsidRDefault="00BA37DA" w:rsidP="00F22A75">
      <w:r w:rsidRPr="0074556C">
        <w:t xml:space="preserve">where </w:t>
      </w:r>
      <w:r w:rsidRPr="00F57CCE">
        <w:rPr>
          <w:i/>
          <w:iCs/>
        </w:rPr>
        <w:t>q’’</w:t>
      </w:r>
      <w:r w:rsidRPr="0074556C">
        <w:t xml:space="preserve"> is the heat flux, </w:t>
      </w:r>
      <w:r w:rsidRPr="00F06443">
        <w:rPr>
          <w:i/>
          <w:iCs/>
        </w:rPr>
        <w:t>k</w:t>
      </w:r>
      <w:r w:rsidRPr="0074556C">
        <w:t xml:space="preserve"> is the material thermal conductivity, and </w:t>
      </w:r>
      <w:r w:rsidRPr="00F06443">
        <w:rPr>
          <w:i/>
          <w:iCs/>
        </w:rPr>
        <w:sym w:font="Symbol" w:char="F0D1"/>
      </w:r>
      <w:r w:rsidRPr="00F06443">
        <w:rPr>
          <w:i/>
          <w:iCs/>
        </w:rPr>
        <w:t>T</w:t>
      </w:r>
      <w:r w:rsidRPr="0074556C">
        <w:t xml:space="preserve"> is the temperature gradient across the material. As the height of the fuel increases, the heat </w:t>
      </w:r>
      <w:r>
        <w:t>must</w:t>
      </w:r>
      <w:r w:rsidRPr="0074556C">
        <w:t xml:space="preserve"> travel </w:t>
      </w:r>
      <w:r>
        <w:t>farther</w:t>
      </w:r>
      <w:r w:rsidRPr="0074556C">
        <w:t xml:space="preserve"> across the fuel prior to reaching the lower</w:t>
      </w:r>
      <w:r>
        <w:t>-</w:t>
      </w:r>
      <w:r w:rsidRPr="0074556C">
        <w:t xml:space="preserve">temperature dish. Since the thermal conductivity of the fuel is very low at high temperatures compared to the Mo components, and </w:t>
      </w:r>
      <w:r>
        <w:t xml:space="preserve">because </w:t>
      </w:r>
      <w:r w:rsidRPr="0074556C">
        <w:t xml:space="preserve">the internal heat generation due to fission increases with the volume of the fuel, the temperature gradient across the fuel increases significantly with increased fuel height. Direct variation of the thermal conductivity, which also degrades with burnup, has the same effect. </w:t>
      </w:r>
    </w:p>
    <w:p w14:paraId="7E1AE28D" w14:textId="0B0C2761" w:rsidR="00BA37DA" w:rsidRPr="0074556C" w:rsidRDefault="00FA3EAE" w:rsidP="00F22A75">
      <w:pPr>
        <w:pStyle w:val="Heading3"/>
        <w:spacing w:before="0" w:after="0"/>
      </w:pPr>
      <w:bookmarkStart w:id="190" w:name="_Toc202957488"/>
      <w:r>
        <w:lastRenderedPageBreak/>
        <w:t xml:space="preserve">Influence of </w:t>
      </w:r>
      <w:r w:rsidR="00BA37DA" w:rsidRPr="0074556C">
        <w:t>HGR</w:t>
      </w:r>
      <w:r>
        <w:t xml:space="preserve"> Uncertainty</w:t>
      </w:r>
      <w:bookmarkEnd w:id="190"/>
    </w:p>
    <w:p w14:paraId="68723FB2" w14:textId="23EC3826" w:rsidR="00BA37DA" w:rsidRPr="0074556C" w:rsidRDefault="00BA37DA" w:rsidP="00F22A75">
      <w:r w:rsidRPr="0074556C">
        <w:t>From both Sobol analyses, a non-negligible fraction of uncertai</w:t>
      </w:r>
      <w:r w:rsidRPr="00E26239">
        <w:t xml:space="preserve">nty, ~55%, in both temperature regimes stemmed from component heat generation. </w:t>
      </w:r>
      <w:r w:rsidRPr="00AE2101">
        <w:t xml:space="preserve">Due to the high throughput of the reactor and shuffling of experiments to different irradiation positions within the core, it is impractical to perform the neutronics calculations for one specific loading. </w:t>
      </w:r>
      <w:r w:rsidRPr="00E26239">
        <w:t xml:space="preserve">To account for this, the </w:t>
      </w:r>
      <w:r w:rsidRPr="0074556C">
        <w:t>HFIRCON model used to determine the component heat boundary conditions assumes a nominal core loading for each of the</w:t>
      </w:r>
      <w:r>
        <w:t xml:space="preserve"> surrounding</w:t>
      </w:r>
      <w:r w:rsidRPr="0074556C">
        <w:t xml:space="preserve"> irradiation positions based on anticipated experiment types using historical loading data. Local differences in this loading can alter the flux that reaches the MiniFuel targets and </w:t>
      </w:r>
      <w:r>
        <w:t xml:space="preserve">can thus </w:t>
      </w:r>
      <w:r w:rsidRPr="0074556C">
        <w:t xml:space="preserve">create discrepancies in the heat generated by the Mo or </w:t>
      </w:r>
      <w:r w:rsidRPr="001E341B">
        <w:t>Ti-6Al-4V</w:t>
      </w:r>
      <w:r w:rsidRPr="0074556C">
        <w:t xml:space="preserve">. The uncertainty reported by Chandler et al. </w:t>
      </w:r>
      <w:r w:rsidRPr="0074556C">
        <w:fldChar w:fldCharType="begin"/>
      </w:r>
      <w:r w:rsidR="003026BC">
        <w:instrText xml:space="preserve"> ADDIN EN.CITE &lt;EndNote&gt;&lt;Cite&gt;&lt;Author&gt;Chandler&lt;/Author&gt;&lt;Year&gt;2020&lt;/Year&gt;&lt;RecNum&gt;469&lt;/RecNum&gt;&lt;DisplayText&gt;[131]&lt;/DisplayText&gt;&lt;record&gt;&lt;rec-number&gt;469&lt;/rec-number&gt;&lt;foreign-keys&gt;&lt;key app="EN" db-id="eseee05sfe5vt6efvr0xapvq20vfdsfp5fvf" timestamp="1713901234"&gt;469&lt;/key&gt;&lt;/foreign-keys&gt;&lt;ref-type name="Journal Article"&gt;17&lt;/ref-type&gt;&lt;contributors&gt;&lt;authors&gt;&lt;author&gt;Chandler, David&lt;/author&gt;&lt;author&gt;Betzler, Benjamin R.&lt;/author&gt;&lt;author&gt;Davidson, Eva E.&lt;/author&gt;&lt;author&gt;Ilas, Germina&lt;/author&gt;&lt;/authors&gt;&lt;/contributors&gt;&lt;titles&gt;&lt;title&gt;Modeling and simulation of a High Flux Isotope Reactor representative core model for updated performance and safety basis assessments&lt;/title&gt;&lt;secondary-title&gt;Nuclear Engineering and Design&lt;/secondary-title&gt;&lt;/titles&gt;&lt;periodical&gt;&lt;full-title&gt;Nuclear Engineering and Design&lt;/full-title&gt;&lt;/periodical&gt;&lt;pages&gt;110752&lt;/pages&gt;&lt;volume&gt;366&lt;/volume&gt;&lt;keywords&gt;&lt;keyword&gt;High Flux Isotope Reactor&lt;/keyword&gt;&lt;keyword&gt;Research reactor&lt;/keyword&gt;&lt;keyword&gt;Neutronics&lt;/keyword&gt;&lt;keyword&gt;Reactor physics&lt;/keyword&gt;&lt;keyword&gt;Depletion&lt;/keyword&gt;&lt;keyword&gt;Thermal-hydraulics&lt;/keyword&gt;&lt;/keywords&gt;&lt;dates&gt;&lt;year&gt;2020&lt;/year&gt;&lt;pub-dates&gt;&lt;date&gt;2020/09/01/&lt;/date&gt;&lt;/pub-dates&gt;&lt;/dates&gt;&lt;isbn&gt;0029-5493&lt;/isbn&gt;&lt;urls&gt;&lt;related-urls&gt;&lt;url&gt;https://www.sciencedirect.com/science/article/pii/S0029549320302466&lt;/url&gt;&lt;/related-urls&gt;&lt;/urls&gt;&lt;electronic-resource-num&gt;https://doi.org/10.1016/j.nucengdes.2020.110752&lt;/electronic-resource-num&gt;&lt;/record&gt;&lt;/Cite&gt;&lt;/EndNote&gt;</w:instrText>
      </w:r>
      <w:r w:rsidRPr="0074556C">
        <w:fldChar w:fldCharType="separate"/>
      </w:r>
      <w:r w:rsidR="003026BC">
        <w:rPr>
          <w:noProof/>
        </w:rPr>
        <w:t>[131]</w:t>
      </w:r>
      <w:r w:rsidRPr="0074556C">
        <w:fldChar w:fldCharType="end"/>
      </w:r>
      <w:r w:rsidRPr="0074556C">
        <w:t xml:space="preserve"> is the allowable safety limit of perturbation of the local power density, making the determined uncertainty conservative. While </w:t>
      </w:r>
      <w:r>
        <w:t>a</w:t>
      </w:r>
      <w:r w:rsidRPr="0074556C">
        <w:t xml:space="preserve"> flux tilt of 9% is not allowed in HFIR during normal operation, flux tilts of a few percent can be expected based on </w:t>
      </w:r>
      <w:r>
        <w:t xml:space="preserve">variation in </w:t>
      </w:r>
      <w:r w:rsidRPr="0074556C">
        <w:t>the experimental loading</w:t>
      </w:r>
      <w:r>
        <w:t>,</w:t>
      </w:r>
      <w:r w:rsidRPr="0074556C">
        <w:t xml:space="preserve"> and some statistical uncertainty exists within predicted HGRs due to the use of MCNP </w:t>
      </w:r>
      <w:r w:rsidRPr="0074556C">
        <w:fldChar w:fldCharType="begin"/>
      </w:r>
      <w:r w:rsidR="003026BC">
        <w:instrText xml:space="preserve"> ADDIN EN.CITE &lt;EndNote&gt;&lt;Cite&gt;&lt;Author&gt;Gorton&lt;/Author&gt;&lt;Year&gt;2023&lt;/Year&gt;&lt;RecNum&gt;348&lt;/RecNum&gt;&lt;DisplayText&gt;[141]&lt;/DisplayText&gt;&lt;record&gt;&lt;rec-number&gt;348&lt;/rec-number&gt;&lt;foreign-keys&gt;&lt;key app="EN" db-id="eseee05sfe5vt6efvr0xapvq20vfdsfp5fvf" timestamp="1698083234" guid="1613bf60-2abc-493e-a099-298178d6812a"&gt;348&lt;/key&gt;&lt;/foreign-keys&gt;&lt;ref-type name="Journal Article"&gt;17&lt;/ref-type&gt;&lt;contributors&gt;&lt;authors&gt;&lt;author&gt;Gorton, Jacob P.&lt;/author&gt;&lt;author&gt;Gallagher, Ryan C.&lt;/author&gt;&lt;author&gt;Wallen, Zane G.&lt;/author&gt;&lt;author&gt;Le Coq, Annabelle G.&lt;/author&gt;&lt;author&gt;Helmreich, Grant W.&lt;/author&gt;&lt;author&gt;Petrie, Christian M.&lt;/author&gt;&lt;author&gt;Linton, Kory D.&lt;/author&gt;&lt;author&gt;Latta, Ryan&lt;/author&gt;&lt;author&gt;Gerczak, Tyler J.&lt;/author&gt;&lt;/authors&gt;&lt;/contributors&gt;&lt;titles&gt;&lt;title&gt;Simulation of a TRISO MiniFuel irradiation experiment with data-informed uncertainty quantification&lt;/title&gt;&lt;secondary-title&gt;Nuclear Engineering and Design&lt;/secondary-title&gt;&lt;/titles&gt;&lt;periodical&gt;&lt;full-title&gt;Nuclear Engineering and Design&lt;/full-title&gt;&lt;/periodical&gt;&lt;pages&gt;112177&lt;/pages&gt;&lt;volume&gt;404&lt;/volume&gt;&lt;keywords&gt;&lt;keyword&gt;Sensitivity analysis&lt;/keyword&gt;&lt;keyword&gt;Fuel qualification&lt;/keyword&gt;&lt;keyword&gt;Separate effects&lt;/keyword&gt;&lt;keyword&gt;FHR&lt;/keyword&gt;&lt;keyword&gt;XCT&lt;/keyword&gt;&lt;/keywords&gt;&lt;dates&gt;&lt;year&gt;2023&lt;/year&gt;&lt;pub-dates&gt;&lt;date&gt;2023/04/01/&lt;/date&gt;&lt;/pub-dates&gt;&lt;/dates&gt;&lt;isbn&gt;0029-5493&lt;/isbn&gt;&lt;urls&gt;&lt;related-urls&gt;&lt;url&gt;https://www.sciencedirect.com/science/article/pii/S0029549323000262&lt;/url&gt;&lt;/related-urls&gt;&lt;/urls&gt;&lt;electronic-resource-num&gt;https://doi.org/10.1016/j.nucengdes.2023.112177&lt;/electronic-resource-num&gt;&lt;/record&gt;&lt;/Cite&gt;&lt;/EndNote&gt;</w:instrText>
      </w:r>
      <w:r w:rsidRPr="0074556C">
        <w:fldChar w:fldCharType="separate"/>
      </w:r>
      <w:r w:rsidR="003026BC">
        <w:rPr>
          <w:noProof/>
        </w:rPr>
        <w:t>[141]</w:t>
      </w:r>
      <w:r w:rsidRPr="0074556C">
        <w:fldChar w:fldCharType="end"/>
      </w:r>
      <w:r w:rsidRPr="0074556C">
        <w:t xml:space="preserve">. Quantifying the uncertainty in HGRs could be addressed in future analyses but may be infeasible due to the lack of a fast-running predictive model for HFIR HGRs and </w:t>
      </w:r>
      <w:r>
        <w:t xml:space="preserve">because of </w:t>
      </w:r>
      <w:r w:rsidRPr="0074556C">
        <w:t xml:space="preserve">the wide variety of potential experimental loadings that could affect neutron fluxes.  </w:t>
      </w:r>
    </w:p>
    <w:p w14:paraId="02026EE7" w14:textId="6A576780" w:rsidR="00BA37DA" w:rsidRPr="00AA522B" w:rsidRDefault="00FA3EAE" w:rsidP="00F22A75">
      <w:pPr>
        <w:pStyle w:val="Heading3"/>
        <w:spacing w:before="0" w:after="0"/>
      </w:pPr>
      <w:bookmarkStart w:id="191" w:name="_Toc202957489"/>
      <w:r>
        <w:t xml:space="preserve">Influence of </w:t>
      </w:r>
      <w:r w:rsidR="00BA37DA" w:rsidRPr="00AA522B">
        <w:t>Thermal Contact Conductance</w:t>
      </w:r>
      <w:bookmarkEnd w:id="191"/>
    </w:p>
    <w:p w14:paraId="34DC1628" w14:textId="04CE55EA" w:rsidR="00147085" w:rsidRPr="0074556C" w:rsidRDefault="00BA37DA" w:rsidP="00F22A75">
      <w:r w:rsidRPr="0074556C">
        <w:t xml:space="preserve">The secondary Sobol analysis demonstrates that for conditions of high surface temperature, the TCC between components becomes increasingly important </w:t>
      </w:r>
      <w:r>
        <w:t>in</w:t>
      </w:r>
      <w:r w:rsidRPr="0074556C">
        <w:t xml:space="preserve"> fuel </w:t>
      </w:r>
      <w:r w:rsidRPr="0074556C">
        <w:lastRenderedPageBreak/>
        <w:t xml:space="preserve">temperature predictions. Components in mechanical contact transfer heat through a relatively small portion of the effective surface area, with conduction across microscopic surface contacts and the interstitial gas between them </w:t>
      </w:r>
      <w:r w:rsidRPr="0074556C">
        <w:fldChar w:fldCharType="begin">
          <w:fldData xml:space="preserve">PEVuZE5vdGU+PENpdGU+PEF1dGhvcj5NY0R1ZmZlZTwvQXV0aG9yPjxZZWFyPjIwMTM8L1llYXI+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</w:fldData>
        </w:fldChar>
      </w:r>
      <w:r w:rsidR="003026BC">
        <w:instrText xml:space="preserve"> ADDIN EN.CITE </w:instrText>
      </w:r>
      <w:r w:rsidR="003026BC">
        <w:fldChar w:fldCharType="begin">
          <w:fldData xml:space="preserve">PEVuZE5vdGU+PENpdGU+PEF1dGhvcj5NY0R1ZmZlZTwvQXV0aG9yPjxZZWFyPjIwMTM8L1llYXI+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</w:fldData>
        </w:fldChar>
      </w:r>
      <w:r w:rsidR="003026BC">
        <w:instrText xml:space="preserve"> ADDIN EN.CITE.DATA </w:instrText>
      </w:r>
      <w:r w:rsidR="003026BC">
        <w:fldChar w:fldCharType="end"/>
      </w:r>
      <w:r w:rsidRPr="0074556C">
        <w:fldChar w:fldCharType="separate"/>
      </w:r>
      <w:r w:rsidR="003026BC">
        <w:rPr>
          <w:noProof/>
        </w:rPr>
        <w:t>[153, 176, 177]</w:t>
      </w:r>
      <w:r w:rsidRPr="0074556C">
        <w:fldChar w:fldCharType="end"/>
      </w:r>
      <w:r w:rsidRPr="0074556C">
        <w:t>. A diagram of this phenomen</w:t>
      </w:r>
      <w:r>
        <w:t>on</w:t>
      </w:r>
      <w:r w:rsidRPr="0074556C">
        <w:t xml:space="preserve"> is shown in</w:t>
      </w:r>
      <w:r w:rsidR="008E3986">
        <w:t xml:space="preserve"> </w:t>
      </w:r>
      <w:r w:rsidR="008E3986" w:rsidRPr="005E68D7">
        <w:rPr>
          <w:b/>
          <w:bCs/>
        </w:rPr>
        <w:fldChar w:fldCharType="begin"/>
      </w:r>
      <w:r w:rsidR="008E3986" w:rsidRPr="005E68D7">
        <w:rPr>
          <w:b/>
          <w:bCs/>
        </w:rPr>
        <w:instrText xml:space="preserve"> REF _Ref198045722 \h </w:instrText>
      </w:r>
      <w:r w:rsidR="005E68D7">
        <w:rPr>
          <w:b/>
          <w:bCs/>
        </w:rPr>
        <w:instrText xml:space="preserve"> \* MERGEFORMAT </w:instrText>
      </w:r>
      <w:r w:rsidR="008E3986" w:rsidRPr="005E68D7">
        <w:rPr>
          <w:b/>
          <w:bCs/>
        </w:rPr>
      </w:r>
      <w:r w:rsidR="008E3986" w:rsidRPr="005E68D7">
        <w:rPr>
          <w:b/>
          <w:bCs/>
        </w:rPr>
        <w:fldChar w:fldCharType="separate"/>
      </w:r>
      <w:r w:rsidR="00BF7E93" w:rsidRPr="00BF7E93">
        <w:rPr>
          <w:b/>
          <w:bCs/>
        </w:rPr>
        <w:t xml:space="preserve">Figure </w:t>
      </w:r>
      <w:r w:rsidR="00BF7E93" w:rsidRPr="00BF7E93">
        <w:rPr>
          <w:b/>
          <w:bCs/>
          <w:noProof/>
        </w:rPr>
        <w:t>4.14</w:t>
      </w:r>
      <w:r w:rsidR="008E3986" w:rsidRPr="005E68D7">
        <w:rPr>
          <w:b/>
          <w:bCs/>
        </w:rPr>
        <w:fldChar w:fldCharType="end"/>
      </w:r>
      <w:r w:rsidRPr="0074556C">
        <w:t>. This diagram depicts heat transferred via surface</w:t>
      </w:r>
      <w:r>
        <w:t>–</w:t>
      </w:r>
      <w:r w:rsidRPr="0074556C">
        <w:t xml:space="preserve">surface contacts, </w:t>
      </w:r>
      <w:r w:rsidRPr="00B250F6">
        <w:rPr>
          <w:i/>
          <w:iCs/>
        </w:rPr>
        <w:t>Q</w:t>
      </w:r>
      <w:r w:rsidRPr="00B250F6">
        <w:rPr>
          <w:i/>
          <w:iCs/>
          <w:vertAlign w:val="subscript"/>
        </w:rPr>
        <w:t>s</w:t>
      </w:r>
      <w:r w:rsidRPr="0074556C">
        <w:t xml:space="preserve">, and via interstitial gas, </w:t>
      </w:r>
      <w:r w:rsidRPr="0034080F">
        <w:rPr>
          <w:i/>
          <w:iCs/>
        </w:rPr>
        <w:t>Q</w:t>
      </w:r>
      <w:r w:rsidRPr="0034080F">
        <w:rPr>
          <w:i/>
          <w:iCs/>
          <w:vertAlign w:val="subscript"/>
        </w:rPr>
        <w:t>g</w:t>
      </w:r>
      <w:r w:rsidRPr="0074556C">
        <w:t xml:space="preserve">, and a representative temperature differential across the interstitial gas, </w:t>
      </w:r>
      <w:r w:rsidRPr="0034080F">
        <w:rPr>
          <w:i/>
          <w:iCs/>
        </w:rPr>
        <w:sym w:font="Symbol" w:char="F044"/>
      </w:r>
      <w:r w:rsidRPr="0034080F">
        <w:rPr>
          <w:i/>
          <w:iCs/>
        </w:rPr>
        <w:t>T</w:t>
      </w:r>
      <w:r w:rsidRPr="0034080F">
        <w:rPr>
          <w:i/>
          <w:iCs/>
          <w:vertAlign w:val="subscript"/>
        </w:rPr>
        <w:t>g</w:t>
      </w:r>
      <w:r w:rsidRPr="0074556C">
        <w:t xml:space="preserve">, between the contact surfaces, </w:t>
      </w:r>
      <w:r w:rsidRPr="00CB16E9">
        <w:rPr>
          <w:i/>
          <w:iCs/>
        </w:rPr>
        <w:t>S</w:t>
      </w:r>
      <w:r w:rsidRPr="00CB16E9">
        <w:rPr>
          <w:i/>
          <w:iCs/>
          <w:vertAlign w:val="subscript"/>
        </w:rPr>
        <w:t>1</w:t>
      </w:r>
      <w:r w:rsidRPr="0074556C">
        <w:t xml:space="preserve"> and </w:t>
      </w:r>
      <w:r w:rsidRPr="00CB16E9">
        <w:rPr>
          <w:i/>
          <w:iCs/>
        </w:rPr>
        <w:t>S</w:t>
      </w:r>
      <w:r w:rsidRPr="00CB16E9">
        <w:rPr>
          <w:i/>
          <w:iCs/>
          <w:vertAlign w:val="subscript"/>
        </w:rPr>
        <w:t>2</w:t>
      </w:r>
      <w:r w:rsidRPr="0074556C">
        <w:t xml:space="preserve">. The effective heat transfer between the two surfaces is based on surface characteristics such as roughness and microhardness, thermal properties of the surfaces and interstitial gas, and the contact pressure applied between the two surfaces </w:t>
      </w:r>
      <w:r w:rsidRPr="0074556C">
        <w:fldChar w:fldCharType="begin">
          <w:fldData xml:space="preserve">PEVuZE5vdGU+PENpdGU+PEF1dGhvcj5CYWhyYW1pPC9BdXRob3I+PFllYXI+MjAwNDwvWWVhcj48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</w:fldData>
        </w:fldChar>
      </w:r>
      <w:r w:rsidR="003026BC">
        <w:instrText xml:space="preserve"> ADDIN EN.CITE </w:instrText>
      </w:r>
      <w:r w:rsidR="003026BC">
        <w:fldChar w:fldCharType="begin">
          <w:fldData xml:space="preserve">PEVuZE5vdGU+PENpdGU+PEF1dGhvcj5CYWhyYW1pPC9BdXRob3I+PFllYXI+MjAwNDwvWWVhcj48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</w:fldData>
        </w:fldChar>
      </w:r>
      <w:r w:rsidR="003026BC">
        <w:instrText xml:space="preserve"> ADDIN EN.CITE.DATA </w:instrText>
      </w:r>
      <w:r w:rsidR="003026BC">
        <w:fldChar w:fldCharType="end"/>
      </w:r>
      <w:r w:rsidRPr="0074556C">
        <w:fldChar w:fldCharType="separate"/>
      </w:r>
      <w:r w:rsidR="003026BC">
        <w:rPr>
          <w:noProof/>
        </w:rPr>
        <w:t>[153, 177]</w:t>
      </w:r>
      <w:r w:rsidRPr="0074556C">
        <w:fldChar w:fldCharType="end"/>
      </w:r>
      <w:r w:rsidRPr="0074556C">
        <w:t xml:space="preserve">. As the contact pressure between the surfaces increases, the heat being transferred </w:t>
      </w:r>
      <w:r>
        <w:t>by</w:t>
      </w:r>
      <w:r w:rsidRPr="0074556C">
        <w:t xml:space="preserve"> means of surface</w:t>
      </w:r>
      <w:r w:rsidR="00147085" w:rsidRPr="00147085">
        <w:t xml:space="preserve"> </w:t>
      </w:r>
      <w:r w:rsidR="00147085" w:rsidRPr="0074556C">
        <w:t xml:space="preserve">surface contacts increases relative to heat transfer across the interstitial gas, </w:t>
      </w:r>
      <w:r w:rsidR="00147085">
        <w:t xml:space="preserve">thus </w:t>
      </w:r>
      <w:r w:rsidR="00147085" w:rsidRPr="0074556C">
        <w:t xml:space="preserve">increasing the TCC. </w:t>
      </w:r>
    </w:p>
    <w:p w14:paraId="7A4ACC8D" w14:textId="77777777" w:rsidR="00147085" w:rsidRPr="0074556C" w:rsidRDefault="00147085" w:rsidP="00F22A75">
      <w:r w:rsidRPr="0074556C">
        <w:t>The TCC between the fuel and dish is most important for the calculation of the fuel and thermometry temperature. Varying the TCC between the fuel and dish directly influences the fuel temperature</w:t>
      </w:r>
      <w:r>
        <w:t>,</w:t>
      </w:r>
      <w:r w:rsidRPr="0074556C">
        <w:t xml:space="preserve"> as conduction to the dish is the main heat sink for the fuel. The reason this also influences the thermometry temperature is because it dictates the radiative heat transfer between the fuel and the holder in the axial direction. The hemispherical total emissive power, </w:t>
      </w:r>
      <w:r w:rsidRPr="00411D66">
        <w:rPr>
          <w:i/>
          <w:iCs/>
        </w:rPr>
        <w:t>E</w:t>
      </w:r>
      <w:r w:rsidRPr="0074556C">
        <w:t>, for a gr</w:t>
      </w:r>
      <w:r>
        <w:t>a</w:t>
      </w:r>
      <w:r w:rsidRPr="0074556C">
        <w:t xml:space="preserve">y body is given by the following equation </w:t>
      </w:r>
      <w:r w:rsidRPr="0074556C">
        <w:fldChar w:fldCharType="begin"/>
      </w:r>
      <w:r>
        <w:instrText xml:space="preserve"> ADDIN EN.CITE &lt;EndNote&gt;&lt;Cite&gt;&lt;Author&gt;Steiner&lt;/Author&gt;&lt;Year&gt;2022&lt;/Year&gt;&lt;RecNum&gt;497&lt;/RecNum&gt;&lt;DisplayText&gt;[178]&lt;/DisplayText&gt;&lt;record&gt;&lt;rec-number&gt;497&lt;/rec-number&gt;&lt;foreign-keys&gt;&lt;key app="EN" db-id="eseee05sfe5vt6efvr0xapvq20vfdsfp5fvf" timestamp="1717619415"&gt;497&lt;/key&gt;&lt;/foreign-keys&gt;&lt;ref-type name="Journal Article"&gt;17&lt;/ref-type&gt;&lt;contributors&gt;&lt;authors&gt;&lt;author&gt;Steiner, Tyler R.&lt;/author&gt;&lt;/authors&gt;&lt;/contributors&gt;&lt;titles&gt;&lt;title&gt;High temperature steady-state experiment for computational radiative heat transfer validation using COMSOL and ANSYS&lt;/title&gt;&lt;secondary-title&gt;Results in Engineering&lt;/secondary-title&gt;&lt;/titles&gt;&lt;periodical&gt;&lt;full-title&gt;Results in Engineering&lt;/full-title&gt;&lt;/periodical&gt;&lt;pages&gt;100354&lt;/pages&gt;&lt;volume&gt;13&lt;/volume&gt;&lt;keywords&gt;&lt;keyword&gt;Radiative heat transfer&lt;/keyword&gt;&lt;keyword&gt;ANSYS&lt;/keyword&gt;&lt;keyword&gt;COMSOL&lt;/keyword&gt;&lt;keyword&gt;Hemi-cube&lt;/keyword&gt;&lt;keyword&gt;Ray shooting&lt;/keyword&gt;&lt;keyword&gt;Experimental validation&lt;/keyword&gt;&lt;/keywords&gt;&lt;dates&gt;&lt;year&gt;2022&lt;/year&gt;&lt;pub-dates&gt;&lt;date&gt;2022/03/01/&lt;/date&gt;&lt;/pub-dates&gt;&lt;/dates&gt;&lt;isbn&gt;2590-1230&lt;/isbn&gt;&lt;urls&gt;&lt;related-urls&gt;&lt;url&gt;https://www.sciencedirect.com/science/article/pii/S259012302200024X&lt;/url&gt;&lt;/related-urls&gt;&lt;/urls&gt;&lt;electronic-resource-num&gt;https://doi.org/10.1016/j.rineng.2022.100354&lt;/electronic-resource-num&gt;&lt;/record&gt;&lt;/Cite&gt;&lt;/EndNote&gt;</w:instrText>
      </w:r>
      <w:r w:rsidRPr="0074556C">
        <w:fldChar w:fldCharType="separate"/>
      </w:r>
      <w:r>
        <w:rPr>
          <w:noProof/>
        </w:rPr>
        <w:t>[178]</w:t>
      </w:r>
      <w:r w:rsidRPr="0074556C">
        <w:fldChar w:fldCharType="end"/>
      </w:r>
      <w:r w:rsidRPr="0074556C">
        <w:t>:</w:t>
      </w:r>
    </w:p>
    <w:tbl>
      <w:tblPr>
        <w:tblStyle w:val="TableGrid"/>
        <w:tblW w:w="86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0"/>
        <w:gridCol w:w="7451"/>
        <w:gridCol w:w="561"/>
      </w:tblGrid>
      <w:tr w:rsidR="00147085" w:rsidRPr="0074556C" w14:paraId="0105BFF6" w14:textId="77777777" w:rsidTr="00483812">
        <w:tc>
          <w:tcPr>
            <w:tcW w:w="590" w:type="dxa"/>
            <w:vAlign w:val="center"/>
          </w:tcPr>
          <w:p w14:paraId="22963D21" w14:textId="77777777" w:rsidR="00147085" w:rsidRPr="0074556C" w:rsidRDefault="00147085" w:rsidP="00F22A75">
            <w:pPr>
              <w:pStyle w:val="Equation"/>
              <w:spacing w:before="0" w:after="0" w:line="480" w:lineRule="auto"/>
            </w:pPr>
          </w:p>
        </w:tc>
        <w:tc>
          <w:tcPr>
            <w:tcW w:w="7451" w:type="dxa"/>
            <w:vAlign w:val="center"/>
          </w:tcPr>
          <w:p w14:paraId="78B3D0DC" w14:textId="77777777" w:rsidR="00147085" w:rsidRPr="0074556C" w:rsidRDefault="00147085" w:rsidP="00F22A75">
            <w:pPr>
              <w:pStyle w:val="Equation"/>
              <w:spacing w:before="0" w:after="0" w:line="480" w:lineRule="auto"/>
            </w:pPr>
            <m:oMathPara>
              <m:oMath>
                <m:r>
                  <w:rPr>
                    <w:rFonts w:ascii="Cambria Math" w:hAnsi="Cambria Math"/>
                  </w:rPr>
                  <m:t>E</m:t>
                </m:r>
                <m:r>
                  <m:rPr>
                    <m:sty m:val="p"/>
                  </m:rPr>
                  <w:rPr>
                    <w:rFonts w:ascii="Cambria Math" w:hAnsi="Cambria Math"/>
                  </w:rPr>
                  <m:t>=</m:t>
                </m:r>
                <m:r>
                  <w:rPr>
                    <w:rFonts w:ascii="Cambria Math" w:hAnsi="Cambria Math"/>
                  </w:rPr>
                  <m:t>εσ</m:t>
                </m:r>
                <m:sSup>
                  <m:sSupPr>
                    <m:ctrlPr>
                      <w:rPr>
                        <w:rFonts w:ascii="Cambria Math" w:hAnsi="Cambria Math"/>
                      </w:rPr>
                    </m:ctrlPr>
                  </m:sSupPr>
                  <m:e>
                    <m:r>
                      <w:rPr>
                        <w:rFonts w:ascii="Cambria Math" w:hAnsi="Cambria Math"/>
                      </w:rPr>
                      <m:t>T</m:t>
                    </m:r>
                  </m:e>
                  <m:sup>
                    <m:r>
                      <m:rPr>
                        <m:sty m:val="p"/>
                      </m:rPr>
                      <w:rPr>
                        <w:rFonts w:ascii="Cambria Math" w:hAnsi="Cambria Math"/>
                      </w:rPr>
                      <m:t>4</m:t>
                    </m:r>
                  </m:sup>
                </m:sSup>
              </m:oMath>
            </m:oMathPara>
          </w:p>
        </w:tc>
        <w:tc>
          <w:tcPr>
            <w:tcW w:w="561" w:type="dxa"/>
            <w:vAlign w:val="center"/>
          </w:tcPr>
          <w:p w14:paraId="256078C4" w14:textId="0F0B3FCD" w:rsidR="00147085" w:rsidRPr="0074556C" w:rsidRDefault="00BF7E93" w:rsidP="00F22A75">
            <w:pPr>
              <w:pStyle w:val="Equation"/>
              <w:spacing w:before="0" w:after="0" w:line="480" w:lineRule="auto"/>
            </w:pPr>
            <w:fldSimple w:instr=" SEQ Equation \* ARABIC ">
              <w:r>
                <w:rPr>
                  <w:noProof/>
                </w:rPr>
                <w:t>18</w:t>
              </w:r>
            </w:fldSimple>
          </w:p>
        </w:tc>
      </w:tr>
    </w:tbl>
    <w:p w14:paraId="3A3C18C9" w14:textId="551CAEA2" w:rsidR="008B5EE4" w:rsidRDefault="00147085" w:rsidP="00F22A75">
      <w:r w:rsidRPr="0074556C">
        <w:t xml:space="preserve">where </w:t>
      </w:r>
      <w:r w:rsidRPr="0074556C">
        <w:sym w:font="Symbol" w:char="F065"/>
      </w:r>
      <w:r w:rsidRPr="0074556C">
        <w:t xml:space="preserve"> is the emissivity of the material, </w:t>
      </w:r>
      <w:r w:rsidRPr="0074556C">
        <w:sym w:font="Symbol" w:char="F073"/>
      </w:r>
      <w:r w:rsidRPr="0074556C">
        <w:t xml:space="preserve"> is the </w:t>
      </w:r>
      <w:r w:rsidRPr="00CF5ABA">
        <w:t>Stefan</w:t>
      </w:r>
      <w:r>
        <w:t>–</w:t>
      </w:r>
      <w:r w:rsidRPr="0074556C">
        <w:t xml:space="preserve">Boltzmann constant, and </w:t>
      </w:r>
      <w:r w:rsidRPr="00E5214E">
        <w:rPr>
          <w:i/>
          <w:iCs/>
        </w:rPr>
        <w:t>T</w:t>
      </w:r>
      <w:r w:rsidRPr="0074556C">
        <w:t xml:space="preserve"> is the </w:t>
      </w:r>
      <w:r w:rsidR="008B5EE4">
        <w:br w:type="page"/>
      </w:r>
    </w:p>
    <w:p w14:paraId="0386FE84" w14:textId="77777777" w:rsidR="008C77CD" w:rsidRDefault="008C77CD" w:rsidP="00F762AB">
      <w:pPr>
        <w:sectPr w:rsidR="008C77CD" w:rsidSect="00A44C41">
          <w:pgSz w:w="12240" w:h="15840" w:code="1"/>
          <w:pgMar w:top="1440" w:right="1800" w:bottom="1872" w:left="1800" w:header="720" w:footer="1440" w:gutter="0"/>
          <w:cols w:space="720"/>
          <w:noEndnote/>
          <w:docGrid w:linePitch="360"/>
        </w:sectPr>
      </w:pPr>
    </w:p>
    <w:p w14:paraId="316FB8B9" w14:textId="27FE6524" w:rsidR="00BA37DA" w:rsidRPr="0074556C" w:rsidRDefault="00BA37DA" w:rsidP="00244231">
      <w:pPr>
        <w:jc w:val="center"/>
      </w:pPr>
      <w:r w:rsidRPr="0074556C">
        <w:rPr>
          <w:noProof/>
          <w:sz w:val="16"/>
          <w:szCs w:val="16"/>
        </w:rPr>
        <w:lastRenderedPageBreak/>
        <w:drawing>
          <wp:inline distT="0" distB="0" distL="0" distR="0" wp14:anchorId="26FBFCF3" wp14:editId="5C376DB6">
            <wp:extent cx="7315200" cy="3649134"/>
            <wp:effectExtent l="0" t="0" r="0"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62" cstate="print">
                      <a:extLst>
                        <a:ext uri="{28A0092B-C50C-407E-A947-70E740481C1C}">
                          <a14:useLocalDpi xmlns:a14="http://schemas.microsoft.com/office/drawing/2010/main" val="0"/>
                        </a:ext>
                      </a:extLst>
                    </a:blip>
                    <a:stretch>
                      <a:fillRect/>
                    </a:stretch>
                  </pic:blipFill>
                  <pic:spPr>
                    <a:xfrm>
                      <a:off x="0" y="0"/>
                      <a:ext cx="7315200" cy="3649134"/>
                    </a:xfrm>
                    <a:prstGeom prst="rect">
                      <a:avLst/>
                    </a:prstGeom>
                  </pic:spPr>
                </pic:pic>
              </a:graphicData>
            </a:graphic>
          </wp:inline>
        </w:drawing>
      </w:r>
    </w:p>
    <w:p w14:paraId="260E62F5" w14:textId="11F8E895" w:rsidR="00BA37DA" w:rsidRPr="0074556C" w:rsidRDefault="008E3986" w:rsidP="00874CBB">
      <w:pPr>
        <w:pStyle w:val="Caption"/>
      </w:pPr>
      <w:bookmarkStart w:id="192" w:name="_Ref198045722"/>
      <w:bookmarkStart w:id="193" w:name="_Toc202957577"/>
      <w:r>
        <w:t xml:space="preserve">Figure </w:t>
      </w:r>
      <w:fldSimple w:instr=" STYLEREF 1 \s ">
        <w:r w:rsidR="00BF7E93">
          <w:rPr>
            <w:noProof/>
          </w:rPr>
          <w:t>4</w:t>
        </w:r>
      </w:fldSimple>
      <w:r>
        <w:t>.</w:t>
      </w:r>
      <w:fldSimple w:instr=" SEQ Figure \* ARABIC \s 1 ">
        <w:r w:rsidR="00BF7E93">
          <w:rPr>
            <w:noProof/>
          </w:rPr>
          <w:t>14</w:t>
        </w:r>
      </w:fldSimple>
      <w:bookmarkEnd w:id="192"/>
      <w:r>
        <w:t>.</w:t>
      </w:r>
      <w:r w:rsidRPr="0074556C">
        <w:t xml:space="preserve"> </w:t>
      </w:r>
      <w:r w:rsidR="00BA37DA" w:rsidRPr="0074556C">
        <w:t>Thermal contact conductance between two surfaces in mechanical contact.</w:t>
      </w:r>
      <w:bookmarkEnd w:id="193"/>
      <w:r w:rsidR="00BA37DA" w:rsidRPr="0074556C">
        <w:t xml:space="preserve"> </w:t>
      </w:r>
    </w:p>
    <w:p w14:paraId="6E5FC94B" w14:textId="77777777" w:rsidR="00244231" w:rsidRDefault="00244231">
      <w:r>
        <w:br w:type="page"/>
      </w:r>
    </w:p>
    <w:p w14:paraId="23F8D4AC" w14:textId="77777777" w:rsidR="008C77CD" w:rsidRDefault="008C77CD" w:rsidP="00BA37DA">
      <w:pPr>
        <w:sectPr w:rsidR="008C77CD" w:rsidSect="008110D5">
          <w:pgSz w:w="15840" w:h="12240" w:orient="landscape" w:code="1"/>
          <w:pgMar w:top="1800" w:right="1872" w:bottom="1800" w:left="1440" w:header="720" w:footer="1440" w:gutter="0"/>
          <w:pgNumType w:start="117"/>
          <w:cols w:space="720"/>
          <w:noEndnote/>
          <w:docGrid w:linePitch="360"/>
        </w:sectPr>
      </w:pPr>
    </w:p>
    <w:p w14:paraId="49F2D408" w14:textId="77777777" w:rsidR="00D623B1" w:rsidRDefault="00147085" w:rsidP="00F22A75">
      <w:r w:rsidRPr="0074556C">
        <w:lastRenderedPageBreak/>
        <w:t xml:space="preserve">surface temperature. At higher fuel temperatures, the fuel radiates heat to the holder and indirectly heats the thermometry rod. </w:t>
      </w:r>
    </w:p>
    <w:p w14:paraId="2EC7E015" w14:textId="6CE93713" w:rsidR="00BA37DA" w:rsidRPr="0074556C" w:rsidRDefault="00BA37DA" w:rsidP="00F22A75">
      <w:r w:rsidRPr="0074556C">
        <w:t xml:space="preserve">The TCC between the dish and the holder also indirectly influences the fuel and thermometry temperature. In this case, the TCC directly changes the temperature of the dish </w:t>
      </w:r>
      <w:r>
        <w:t>because</w:t>
      </w:r>
      <w:r w:rsidRPr="0074556C">
        <w:t xml:space="preserve"> the holder acts as a heat sink. The thermal conductivity of the Mo dish is negatively correlated to the temperature throughout the experimental temperature range. As the dish temperature decreases </w:t>
      </w:r>
      <w:r>
        <w:t>as a result of</w:t>
      </w:r>
      <w:r w:rsidRPr="0074556C">
        <w:t xml:space="preserve"> increased heat transfer to the holder, the thermal conductivity increases, allowing more heat to be transferred from the fuel to the dish via SSC. </w:t>
      </w:r>
      <w:r>
        <w:t>As the</w:t>
      </w:r>
      <w:r w:rsidRPr="0074556C">
        <w:t xml:space="preserve"> temperature of the fuel</w:t>
      </w:r>
      <w:r>
        <w:t xml:space="preserve"> changes</w:t>
      </w:r>
      <w:r w:rsidRPr="0074556C">
        <w:t xml:space="preserve">, the temperature of the thermometry changes through the previously mentioned radiative heat transfer mechanism. </w:t>
      </w:r>
    </w:p>
    <w:p w14:paraId="44EC5A5F" w14:textId="07C4BE6F" w:rsidR="00BA37DA" w:rsidRPr="0074556C" w:rsidRDefault="00FA3EAE" w:rsidP="00F22A75">
      <w:pPr>
        <w:pStyle w:val="Heading3"/>
        <w:spacing w:before="0" w:after="0"/>
      </w:pPr>
      <w:bookmarkStart w:id="194" w:name="_Ref188970243"/>
      <w:bookmarkStart w:id="195" w:name="_Toc202957490"/>
      <w:r>
        <w:t xml:space="preserve">Influence of </w:t>
      </w:r>
      <w:r w:rsidR="00BA37DA" w:rsidRPr="0074556C">
        <w:t>ANSYS</w:t>
      </w:r>
      <w:r w:rsidR="00BA37DA" w:rsidRPr="0074556C">
        <w:rPr>
          <w:rStyle w:val="CommentReference"/>
          <w:b w:val="0"/>
          <w:bCs w:val="0"/>
          <w:i w:val="0"/>
        </w:rPr>
        <w:t xml:space="preserve"> </w:t>
      </w:r>
      <w:r w:rsidR="00BA37DA" w:rsidRPr="0074556C">
        <w:t>Model TCC Calculations</w:t>
      </w:r>
      <w:bookmarkEnd w:id="194"/>
      <w:bookmarkEnd w:id="195"/>
    </w:p>
    <w:p w14:paraId="3A53D90F" w14:textId="7F0AFFAE" w:rsidR="00BA37DA" w:rsidRPr="0074556C" w:rsidRDefault="00BA37DA" w:rsidP="00F22A75">
      <w:r w:rsidRPr="0074556C">
        <w:t>The implemented calculation of TCC for components within the ANSYS model is based on several experimental studies of metal</w:t>
      </w:r>
      <w:r>
        <w:t>–</w:t>
      </w:r>
      <w:r w:rsidRPr="0074556C">
        <w:t xml:space="preserve">metal contact by Bahrami et al. </w:t>
      </w:r>
      <w:r w:rsidRPr="0074556C">
        <w:fldChar w:fldCharType="begin"/>
      </w:r>
      <w:r w:rsidR="003026BC">
        <w:instrText xml:space="preserve"> ADDIN EN.CITE &lt;EndNote&gt;&lt;Cite&gt;&lt;Author&gt;Bahrami&lt;/Author&gt;&lt;Year&gt;2004&lt;/Year&gt;&lt;RecNum&gt;466&lt;/RecNum&gt;&lt;DisplayText&gt;[177]&lt;/DisplayText&gt;&lt;record&gt;&lt;rec-number&gt;466&lt;/rec-number&gt;&lt;foreign-keys&gt;&lt;key app="EN" db-id="eseee05sfe5vt6efvr0xapvq20vfdsfp5fvf" timestamp="1713384902"&gt;466&lt;/key&gt;&lt;/foreign-keys&gt;&lt;ref-type name="Conference Proceedings"&gt;10&lt;/ref-type&gt;&lt;contributors&gt;&lt;authors&gt;&lt;author&gt;Bahrami, Majid&lt;/author&gt;&lt;author&gt;Culham, Richard&lt;/author&gt;&lt;author&gt;Yovanovich, Michael&lt;/author&gt;&lt;/authors&gt;&lt;/contributors&gt;&lt;titles&gt;&lt;title&gt;Thermal resistances of gaseous gap for conforming rough contacts&lt;/title&gt;&lt;secondary-title&gt;42nd AIAA Aerospace Sciences Meeting and Exhibit&lt;/secondary-title&gt;&lt;/titles&gt;&lt;pages&gt;821&lt;/pages&gt;&lt;dates&gt;&lt;year&gt;2004&lt;/year&gt;&lt;pub-dates&gt;&lt;date&gt;2004&lt;/date&gt;&lt;/pub-dates&gt;&lt;/dates&gt;&lt;urls&gt;&lt;/urls&gt;&lt;/record&gt;&lt;/Cite&gt;&lt;/EndNote&gt;</w:instrText>
      </w:r>
      <w:r w:rsidRPr="0074556C">
        <w:fldChar w:fldCharType="separate"/>
      </w:r>
      <w:r w:rsidR="003026BC">
        <w:rPr>
          <w:noProof/>
        </w:rPr>
        <w:t>[177]</w:t>
      </w:r>
      <w:r w:rsidRPr="0074556C">
        <w:fldChar w:fldCharType="end"/>
      </w:r>
      <w:r w:rsidRPr="0074556C">
        <w:t xml:space="preserve"> and Yüncü </w:t>
      </w:r>
      <w:r w:rsidRPr="0074556C">
        <w:fldChar w:fldCharType="begin"/>
      </w:r>
      <w:r w:rsidR="007245A9">
        <w:instrText xml:space="preserve"> ADDIN EN.CITE &lt;EndNote&gt;&lt;Cite&gt;&lt;Author&gt;Yüncü&lt;/Author&gt;&lt;Year&gt;2006&lt;/Year&gt;&lt;RecNum&gt;463&lt;/RecNum&gt;&lt;DisplayText&gt;[179]&lt;/DisplayText&gt;&lt;record&gt;&lt;rec-number&gt;463&lt;/rec-number&gt;&lt;foreign-keys&gt;&lt;key app="EN" db-id="eseee05sfe5vt6efvr0xapvq20vfdsfp5fvf" timestamp="1713373610"&gt;463&lt;/key&gt;&lt;/foreign-keys&gt;&lt;ref-type name="Journal Article"&gt;17&lt;/ref-type&gt;&lt;contributors&gt;&lt;authors&gt;&lt;author&gt;Yüncü, H.&lt;/author&gt;&lt;/authors&gt;&lt;/contributors&gt;&lt;titles&gt;&lt;title&gt;Thermal contact conductance of nominaly flat surfaces&lt;/title&gt;&lt;secondary-title&gt;Heat and Mass Transfer&lt;/secondary-title&gt;&lt;/titles&gt;&lt;periodical&gt;&lt;full-title&gt;Heat and Mass Transfer&lt;/full-title&gt;&lt;/periodical&gt;&lt;pages&gt;1-5&lt;/pages&gt;&lt;volume&gt;43&lt;/volume&gt;&lt;number&gt;1&lt;/number&gt;&lt;dates&gt;&lt;year&gt;2006&lt;/year&gt;&lt;pub-dates&gt;&lt;date&gt;2006/11/01&lt;/date&gt;&lt;/pub-dates&gt;&lt;/dates&gt;&lt;isbn&gt;1432-1181&lt;/isbn&gt;&lt;urls&gt;&lt;related-urls&gt;&lt;url&gt;https://doi.org/10.1007/s00231-006-0087-9&lt;/url&gt;&lt;/related-urls&gt;&lt;/urls&gt;&lt;electronic-resource-num&gt;10.1007/s00231-006-0087-9&lt;/electronic-resource-num&gt;&lt;/record&gt;&lt;/Cite&gt;&lt;/EndNote&gt;</w:instrText>
      </w:r>
      <w:r w:rsidRPr="0074556C">
        <w:fldChar w:fldCharType="separate"/>
      </w:r>
      <w:r w:rsidR="007245A9">
        <w:rPr>
          <w:noProof/>
        </w:rPr>
        <w:t>[179]</w:t>
      </w:r>
      <w:r w:rsidRPr="0074556C">
        <w:fldChar w:fldCharType="end"/>
      </w:r>
      <w:r w:rsidRPr="0074556C">
        <w:t>. While the contacts in our model are primarily ceramic</w:t>
      </w:r>
      <w:r>
        <w:t>–</w:t>
      </w:r>
      <w:r w:rsidRPr="0074556C">
        <w:t>metal, the metal</w:t>
      </w:r>
      <w:r>
        <w:t>–</w:t>
      </w:r>
      <w:r w:rsidRPr="0074556C">
        <w:t xml:space="preserve">metal contact models have shown to be sufficient estimations of TCC regardless of surface and microstructural differences </w:t>
      </w:r>
      <w:r w:rsidRPr="0074556C">
        <w:fldChar w:fldCharType="begin"/>
      </w:r>
      <w:r w:rsidR="007245A9">
        <w:instrText xml:space="preserve"> ADDIN EN.CITE &lt;EndNote&gt;&lt;Cite&gt;&lt;Author&gt;Garcia-Poulin&lt;/Author&gt;&lt;Year&gt;2019&lt;/Year&gt;&lt;RecNum&gt;499&lt;/RecNum&gt;&lt;DisplayText&gt;[180]&lt;/DisplayText&gt;&lt;record&gt;&lt;rec-number&gt;499&lt;/rec-number&gt;&lt;foreign-keys&gt;&lt;key app="EN" db-id="eseee05sfe5vt6efvr0xapvq20vfdsfp5fvf" timestamp="1717688004"&gt;499&lt;/key&gt;&lt;/foreign-keys&gt;&lt;ref-type name="Journal Article"&gt;17&lt;/ref-type&gt;&lt;contributors&gt;&lt;authors&gt;&lt;author&gt;Garcia-Poulin, Mikel&lt;/author&gt;&lt;author&gt;Bahrami, Majid&lt;/author&gt;&lt;/authors&gt;&lt;/contributors&gt;&lt;titles&gt;&lt;title&gt;Thermal Contact Resistance at Rough Ceramic–Metallic Joints&lt;/title&gt;&lt;secondary-title&gt;Journal of Thermophysics and Heat Transfer&lt;/secondary-title&gt;&lt;/titles&gt;&lt;periodical&gt;&lt;full-title&gt;Journal of Thermophysics and Heat Transfer&lt;/full-title&gt;&lt;/periodical&gt;&lt;pages&gt;1153-1160&lt;/pages&gt;&lt;volume&gt;33&lt;/volume&gt;&lt;number&gt;4&lt;/number&gt;&lt;dates&gt;&lt;year&gt;2019&lt;/year&gt;&lt;pub-dates&gt;&lt;date&gt;2019/10/01&lt;/date&gt;&lt;/pub-dates&gt;&lt;/dates&gt;&lt;publisher&gt;American Institute of Aeronautics and Astronautics&lt;/publisher&gt;&lt;isbn&gt;0887-8722&lt;/isbn&gt;&lt;urls&gt;&lt;related-urls&gt;&lt;url&gt;https://doi.org/10.2514/1.T5684&lt;/url&gt;&lt;/related-urls&gt;&lt;/urls&gt;&lt;electronic-resource-num&gt;10.2514/1.T5684&lt;/electronic-resource-num&gt;&lt;access-date&gt;2024/06/06&lt;/access-date&gt;&lt;/record&gt;&lt;/Cite&gt;&lt;/EndNote&gt;</w:instrText>
      </w:r>
      <w:r w:rsidRPr="0074556C">
        <w:fldChar w:fldCharType="separate"/>
      </w:r>
      <w:r w:rsidR="007245A9">
        <w:rPr>
          <w:noProof/>
        </w:rPr>
        <w:t>[180]</w:t>
      </w:r>
      <w:r w:rsidRPr="0074556C">
        <w:fldChar w:fldCharType="end"/>
      </w:r>
      <w:r w:rsidRPr="0074556C">
        <w:t xml:space="preserve">. However, the experiments </w:t>
      </w:r>
      <w:r>
        <w:t>reported in</w:t>
      </w:r>
      <w:r w:rsidRPr="0074556C">
        <w:t xml:space="preserve"> the study by Garcia-Poulin et al. </w:t>
      </w:r>
      <w:r w:rsidRPr="0074556C">
        <w:fldChar w:fldCharType="begin"/>
      </w:r>
      <w:r w:rsidR="007245A9">
        <w:instrText xml:space="preserve"> ADDIN EN.CITE &lt;EndNote&gt;&lt;Cite&gt;&lt;Author&gt;Garcia-Poulin&lt;/Author&gt;&lt;Year&gt;2019&lt;/Year&gt;&lt;RecNum&gt;499&lt;/RecNum&gt;&lt;DisplayText&gt;[180]&lt;/DisplayText&gt;&lt;record&gt;&lt;rec-number&gt;499&lt;/rec-number&gt;&lt;foreign-keys&gt;&lt;key app="EN" db-id="eseee05sfe5vt6efvr0xapvq20vfdsfp5fvf" timestamp="1717688004"&gt;499&lt;/key&gt;&lt;/foreign-keys&gt;&lt;ref-type name="Journal Article"&gt;17&lt;/ref-type&gt;&lt;contributors&gt;&lt;authors&gt;&lt;author&gt;Garcia-Poulin, Mikel&lt;/author&gt;&lt;author&gt;Bahrami, Majid&lt;/author&gt;&lt;/authors&gt;&lt;/contributors&gt;&lt;titles&gt;&lt;title&gt;Thermal Contact Resistance at Rough Ceramic–Metallic Joints&lt;/title&gt;&lt;secondary-title&gt;Journal of Thermophysics and Heat Transfer&lt;/secondary-title&gt;&lt;/titles&gt;&lt;periodical&gt;&lt;full-title&gt;Journal of Thermophysics and Heat Transfer&lt;/full-title&gt;&lt;/periodical&gt;&lt;pages&gt;1153-1160&lt;/pages&gt;&lt;volume&gt;33&lt;/volume&gt;&lt;number&gt;4&lt;/number&gt;&lt;dates&gt;&lt;year&gt;2019&lt;/year&gt;&lt;pub-dates&gt;&lt;date&gt;2019/10/01&lt;/date&gt;&lt;/pub-dates&gt;&lt;/dates&gt;&lt;publisher&gt;American Institute of Aeronautics and Astronautics&lt;/publisher&gt;&lt;isbn&gt;0887-8722&lt;/isbn&gt;&lt;urls&gt;&lt;related-urls&gt;&lt;url&gt;https://doi.org/10.2514/1.T5684&lt;/url&gt;&lt;/related-urls&gt;&lt;/urls&gt;&lt;electronic-resource-num&gt;10.2514/1.T5684&lt;/electronic-resource-num&gt;&lt;access-date&gt;2024/06/06&lt;/access-date&gt;&lt;/record&gt;&lt;/Cite&gt;&lt;/EndNote&gt;</w:instrText>
      </w:r>
      <w:r w:rsidRPr="0074556C">
        <w:fldChar w:fldCharType="separate"/>
      </w:r>
      <w:r w:rsidR="007245A9">
        <w:rPr>
          <w:noProof/>
        </w:rPr>
        <w:t>[180]</w:t>
      </w:r>
      <w:r w:rsidRPr="0074556C">
        <w:fldChar w:fldCharType="end"/>
      </w:r>
      <w:r w:rsidRPr="0074556C">
        <w:t xml:space="preserve"> were performed at very low temperatures, ambient</w:t>
      </w:r>
      <w:r>
        <w:t>–</w:t>
      </w:r>
      <w:r w:rsidRPr="0074556C">
        <w:t>100°C, compared to those achievable with the RB MiniFuel capability</w:t>
      </w:r>
      <w:r>
        <w:t>,</w:t>
      </w:r>
      <w:r w:rsidRPr="0074556C">
        <w:t xml:space="preserve"> </w:t>
      </w:r>
      <w:r>
        <w:t>which</w:t>
      </w:r>
      <w:r w:rsidRPr="0074556C">
        <w:t xml:space="preserve"> are &gt;1000 °C. </w:t>
      </w:r>
    </w:p>
    <w:p w14:paraId="49038B28" w14:textId="00F6108E" w:rsidR="00BA37DA" w:rsidRPr="0074556C" w:rsidRDefault="00BA37DA" w:rsidP="00F22A75">
      <w:r w:rsidRPr="0074556C">
        <w:t xml:space="preserve">The gap conductance of the system is determined using the thermal jump distance of each surface. The thermal jump distance, a region of discontinuity in the temperature profile </w:t>
      </w:r>
      <w:r w:rsidRPr="0074556C">
        <w:lastRenderedPageBreak/>
        <w:t xml:space="preserve">within heat transfer regimes of low gas pressures, is a function of temperature with a </w:t>
      </w:r>
      <m:oMath>
        <m:r>
          <w:rPr>
            <w:rFonts w:ascii="Cambria Math" w:hAnsi="Cambria Math"/>
          </w:rPr>
          <m:t>1/</m:t>
        </m:r>
        <m:rad>
          <m:radPr>
            <m:degHide m:val="1"/>
            <m:ctrlPr>
              <w:rPr>
                <w:rFonts w:ascii="Cambria Math" w:hAnsi="Cambria Math"/>
                <w:i/>
              </w:rPr>
            </m:ctrlPr>
          </m:radPr>
          <m:deg/>
          <m:e>
            <m:r>
              <w:rPr>
                <w:rFonts w:ascii="Cambria Math" w:hAnsi="Cambria Math"/>
              </w:rPr>
              <m:t>M</m:t>
            </m:r>
          </m:e>
        </m:rad>
      </m:oMath>
      <w:r w:rsidRPr="0074556C">
        <w:t xml:space="preserve"> dependence, where </w:t>
      </w:r>
      <w:r w:rsidRPr="00C42DDF">
        <w:rPr>
          <w:i/>
          <w:iCs/>
        </w:rPr>
        <w:t>M</w:t>
      </w:r>
      <w:r w:rsidRPr="0074556C">
        <w:t xml:space="preserve"> is the atomic mass </w:t>
      </w:r>
      <w:r w:rsidRPr="0074556C">
        <w:fldChar w:fldCharType="begin"/>
      </w:r>
      <w:r w:rsidR="007245A9">
        <w:instrText xml:space="preserve"> ADDIN EN.CITE &lt;EndNote&gt;&lt;Cite&gt;&lt;Author&gt;Toptan&lt;/Author&gt;&lt;Year&gt;2019&lt;/Year&gt;&lt;RecNum&gt;462&lt;/RecNum&gt;&lt;DisplayText&gt;[181]&lt;/DisplayText&gt;&lt;record&gt;&lt;rec-number&gt;462&lt;/rec-number&gt;&lt;foreign-keys&gt;&lt;key app="EN" db-id="eseee05sfe5vt6efvr0xapvq20vfdsfp5fvf" timestamp="1713369197"&gt;462&lt;/key&gt;&lt;/foreign-keys&gt;&lt;ref-type name="Journal Article"&gt;17&lt;/ref-type&gt;&lt;contributors&gt;&lt;authors&gt;&lt;author&gt;Toptan, Aysenur&lt;/author&gt;&lt;author&gt;Kropaczek, David J.&lt;/author&gt;&lt;author&gt;Avramova, Maria N.&lt;/author&gt;&lt;/authors&gt;&lt;/contributors&gt;&lt;titles&gt;&lt;title&gt;Gap conductance modeling I: Theoretical considerations for single- and multi-component gases in curvilinear coordinates&lt;/title&gt;&lt;secondary-title&gt;Nuclear Engineering and Design&lt;/secondary-title&gt;&lt;/titles&gt;&lt;periodical&gt;&lt;full-title&gt;Nuclear Engineering and Design&lt;/full-title&gt;&lt;/periodical&gt;&lt;pages&gt;110283&lt;/pages&gt;&lt;volume&gt;353&lt;/volume&gt;&lt;keywords&gt;&lt;keyword&gt;Gap conductance&lt;/keyword&gt;&lt;keyword&gt;Temperature jump distance&lt;/keyword&gt;&lt;keyword&gt;Thermal accommodation coefficient&lt;/keyword&gt;&lt;keyword&gt;Static load&lt;/keyword&gt;&lt;keyword&gt;Mixture&lt;/keyword&gt;&lt;/keywords&gt;&lt;dates&gt;&lt;year&gt;2019&lt;/year&gt;&lt;pub-dates&gt;&lt;date&gt;2019/11/01/&lt;/date&gt;&lt;/pub-dates&gt;&lt;/dates&gt;&lt;isbn&gt;0029-5493&lt;/isbn&gt;&lt;urls&gt;&lt;related-urls&gt;&lt;url&gt;https://www.sciencedirect.com/science/article/pii/S0029549319303000&lt;/url&gt;&lt;/related-urls&gt;&lt;/urls&gt;&lt;electronic-resource-num&gt;https://doi.org/10.1016/j.nucengdes.2019.110283&lt;/electronic-resource-num&gt;&lt;/record&gt;&lt;/Cite&gt;&lt;/EndNote&gt;</w:instrText>
      </w:r>
      <w:r w:rsidRPr="0074556C">
        <w:fldChar w:fldCharType="separate"/>
      </w:r>
      <w:r w:rsidR="007245A9">
        <w:rPr>
          <w:noProof/>
        </w:rPr>
        <w:t>[181]</w:t>
      </w:r>
      <w:r w:rsidRPr="0074556C">
        <w:fldChar w:fldCharType="end"/>
      </w:r>
      <w:r w:rsidRPr="0074556C">
        <w:t xml:space="preserve">. Toptan et al. </w:t>
      </w:r>
      <w:r w:rsidRPr="0074556C">
        <w:fldChar w:fldCharType="begin"/>
      </w:r>
      <w:r w:rsidR="007245A9">
        <w:instrText xml:space="preserve"> ADDIN EN.CITE &lt;EndNote&gt;&lt;Cite&gt;&lt;Author&gt;Toptan&lt;/Author&gt;&lt;Year&gt;2019&lt;/Year&gt;&lt;RecNum&gt;462&lt;/RecNum&gt;&lt;DisplayText&gt;[181]&lt;/DisplayText&gt;&lt;record&gt;&lt;rec-number&gt;462&lt;/rec-number&gt;&lt;foreign-keys&gt;&lt;key app="EN" db-id="eseee05sfe5vt6efvr0xapvq20vfdsfp5fvf" timestamp="1713369197"&gt;462&lt;/key&gt;&lt;/foreign-keys&gt;&lt;ref-type name="Journal Article"&gt;17&lt;/ref-type&gt;&lt;contributors&gt;&lt;authors&gt;&lt;author&gt;Toptan, Aysenur&lt;/author&gt;&lt;author&gt;Kropaczek, David J.&lt;/author&gt;&lt;author&gt;Avramova, Maria N.&lt;/author&gt;&lt;/authors&gt;&lt;/contributors&gt;&lt;titles&gt;&lt;title&gt;Gap conductance modeling I: Theoretical considerations for single- and multi-component gases in curvilinear coordinates&lt;/title&gt;&lt;secondary-title&gt;Nuclear Engineering and Design&lt;/secondary-title&gt;&lt;/titles&gt;&lt;periodical&gt;&lt;full-title&gt;Nuclear Engineering and Design&lt;/full-title&gt;&lt;/periodical&gt;&lt;pages&gt;110283&lt;/pages&gt;&lt;volume&gt;353&lt;/volume&gt;&lt;keywords&gt;&lt;keyword&gt;Gap conductance&lt;/keyword&gt;&lt;keyword&gt;Temperature jump distance&lt;/keyword&gt;&lt;keyword&gt;Thermal accommodation coefficient&lt;/keyword&gt;&lt;keyword&gt;Static load&lt;/keyword&gt;&lt;keyword&gt;Mixture&lt;/keyword&gt;&lt;/keywords&gt;&lt;dates&gt;&lt;year&gt;2019&lt;/year&gt;&lt;pub-dates&gt;&lt;date&gt;2019/11/01/&lt;/date&gt;&lt;/pub-dates&gt;&lt;/dates&gt;&lt;isbn&gt;0029-5493&lt;/isbn&gt;&lt;urls&gt;&lt;related-urls&gt;&lt;url&gt;https://www.sciencedirect.com/science/article/pii/S0029549319303000&lt;/url&gt;&lt;/related-urls&gt;&lt;/urls&gt;&lt;electronic-resource-num&gt;https://doi.org/10.1016/j.nucengdes.2019.110283&lt;/electronic-resource-num&gt;&lt;/record&gt;&lt;/Cite&gt;&lt;/EndNote&gt;</w:instrText>
      </w:r>
      <w:r w:rsidRPr="0074556C">
        <w:fldChar w:fldCharType="separate"/>
      </w:r>
      <w:r w:rsidR="007245A9">
        <w:rPr>
          <w:noProof/>
        </w:rPr>
        <w:t>[181]</w:t>
      </w:r>
      <w:r w:rsidRPr="0074556C">
        <w:fldChar w:fldCharType="end"/>
      </w:r>
      <w:r w:rsidRPr="0074556C">
        <w:t xml:space="preserve"> performed an analysis of the thermal jump distance for He, Ar, Kr, and Xe interstitial gasses, all present during </w:t>
      </w:r>
      <w:r>
        <w:t>FGR</w:t>
      </w:r>
      <w:r w:rsidRPr="0074556C">
        <w:t xml:space="preserve"> of high</w:t>
      </w:r>
      <w:r>
        <w:t>-</w:t>
      </w:r>
      <w:r w:rsidRPr="0074556C">
        <w:t xml:space="preserve">burnup MiniFuel experiments, and demonstrated that the temperature jump distance is especially sensitive below pressures of 1 MPa. The gas pressure of the MiniFuel capsules </w:t>
      </w:r>
      <w:r>
        <w:t>begins</w:t>
      </w:r>
      <w:r w:rsidRPr="0074556C">
        <w:t xml:space="preserve"> at atmospheric pressure, 0.1 MPa, and increases to ~0.5 MPa at irradiation temperature within </w:t>
      </w:r>
      <w:r>
        <w:t xml:space="preserve">the </w:t>
      </w:r>
      <w:r w:rsidRPr="0074556C">
        <w:t>RB. The uncertainties in both the change in gas pressure and gas composition under irradiation, not considered in this analysis, can lead to large discrepancies in the model predictions.</w:t>
      </w:r>
    </w:p>
    <w:p w14:paraId="4630E0E1" w14:textId="32A74524" w:rsidR="00BA37DA" w:rsidRPr="0074556C" w:rsidRDefault="00BA37DA" w:rsidP="00F22A75">
      <w:r w:rsidRPr="0074556C">
        <w:t>The TCC models currently implemented within ANSYS do not account for FGR into the interstitial gaps between the surface contacts. The release of fission products into the gas gap is a safety concern for high-burnup UO</w:t>
      </w:r>
      <w:r w:rsidRPr="0074556C">
        <w:rPr>
          <w:vertAlign w:val="subscript"/>
        </w:rPr>
        <w:t>2</w:t>
      </w:r>
      <w:r w:rsidRPr="0074556C">
        <w:t xml:space="preserve"> fuel pellets within LWRs, and </w:t>
      </w:r>
      <w:r>
        <w:t xml:space="preserve">it </w:t>
      </w:r>
      <w:r w:rsidRPr="0074556C">
        <w:t xml:space="preserve">negatively affects TCC at low contact pressures where gap conductance dominates </w:t>
      </w:r>
      <w:r w:rsidRPr="0074556C">
        <w:fldChar w:fldCharType="begin"/>
      </w:r>
      <w:r w:rsidR="007245A9">
        <w:instrText xml:space="preserve"> ADDIN EN.CITE &lt;EndNote&gt;&lt;Cite&gt;&lt;Author&gt;Rest&lt;/Author&gt;&lt;Year&gt;2019&lt;/Year&gt;&lt;RecNum&gt;500&lt;/RecNum&gt;&lt;DisplayText&gt;[182]&lt;/DisplayText&gt;&lt;record&gt;&lt;rec-number&gt;500&lt;/rec-number&gt;&lt;foreign-keys&gt;&lt;key app="EN" db-id="eseee05sfe5vt6efvr0xapvq20vfdsfp5fvf" timestamp="1717689573"&gt;500&lt;/key&gt;&lt;/foreign-keys&gt;&lt;ref-type name="Journal Article"&gt;17&lt;/ref-type&gt;&lt;contributors&gt;&lt;authors&gt;&lt;author&gt;Rest, J.&lt;/author&gt;&lt;author&gt;Cooper, M. W. D.&lt;/author&gt;&lt;author&gt;Spino, J.&lt;/author&gt;&lt;author&gt;Turnbull, J. A.&lt;/author&gt;&lt;author&gt;Van Uffelen, P.&lt;/author&gt;&lt;author&gt;Walker, C. T.&lt;/author&gt;&lt;/authors&gt;&lt;/contributors&gt;&lt;titles&gt;&lt;title&gt;Fission gas release from UO2 nuclear fuel: A review&lt;/title&gt;&lt;secondary-title&gt;Journal of Nuclear Materials&lt;/secondary-title&gt;&lt;/titles&gt;&lt;periodical&gt;&lt;full-title&gt;Journal of Nuclear Materials&lt;/full-title&gt;&lt;/periodical&gt;&lt;pages&gt;310-345&lt;/pages&gt;&lt;volume&gt;513&lt;/volume&gt;&lt;dates&gt;&lt;year&gt;2019&lt;/year&gt;&lt;pub-dates&gt;&lt;date&gt;2019/01/01/&lt;/date&gt;&lt;/pub-dates&gt;&lt;/dates&gt;&lt;isbn&gt;0022-3115&lt;/isbn&gt;&lt;urls&gt;&lt;related-urls&gt;&lt;url&gt;https://www.sciencedirect.com/science/article/pii/S0022311518309449&lt;/url&gt;&lt;/related-urls&gt;&lt;/urls&gt;&lt;electronic-resource-num&gt;https://doi.org/10.1016/j.jnucmat.2018.08.019&lt;/electronic-resource-num&gt;&lt;/record&gt;&lt;/Cite&gt;&lt;/EndNote&gt;</w:instrText>
      </w:r>
      <w:r w:rsidRPr="0074556C">
        <w:fldChar w:fldCharType="separate"/>
      </w:r>
      <w:r w:rsidR="007245A9">
        <w:rPr>
          <w:noProof/>
        </w:rPr>
        <w:t>[182]</w:t>
      </w:r>
      <w:r w:rsidRPr="0074556C">
        <w:fldChar w:fldCharType="end"/>
      </w:r>
      <w:r w:rsidRPr="0074556C">
        <w:t xml:space="preserve">. Ongoing MiniFuel capsule designs within RB are investigating the impacts of </w:t>
      </w:r>
      <w:r>
        <w:t>FGR</w:t>
      </w:r>
      <w:r w:rsidRPr="0074556C">
        <w:t xml:space="preserve"> on fuel temperature predictions using a coupled ANSYS and BISON model </w:t>
      </w:r>
      <w:r w:rsidRPr="0074556C">
        <w:fldChar w:fldCharType="begin"/>
      </w:r>
      <w:r w:rsidR="003026BC">
        <w:instrText xml:space="preserve"> ADDIN EN.CITE &lt;EndNote&gt;&lt;Cite&gt;&lt;Author&gt;Gorton&lt;/Author&gt;&lt;Year&gt;2024&lt;/Year&gt;&lt;RecNum&gt;507&lt;/RecNum&gt;&lt;DisplayText&gt;[133]&lt;/DisplayText&gt;&lt;record&gt;&lt;rec-number&gt;507&lt;/rec-number&gt;&lt;foreign-keys&gt;&lt;key app="EN" db-id="eseee05sfe5vt6efvr0xapvq20vfdsfp5fvf" timestamp="1721161778"&gt;507&lt;/key&gt;&lt;/foreign-keys&gt;&lt;ref-type name="Journal Article"&gt;17&lt;/ref-type&gt;&lt;contributors&gt;&lt;authors&gt;&lt;author&gt;Gorton, Jacob&lt;/author&gt;&lt;author&gt;Le Coq, Annabelle&lt;/author&gt;&lt;author&gt;Wallen, Zane G.&lt;/author&gt;&lt;author&gt;Petrie, Christian M.&lt;/author&gt;&lt;author&gt;White, Joshua T.&lt;/author&gt;&lt;author&gt;Dunwoody, John T.&lt;/author&gt;&lt;author&gt;Mann, Shane&lt;/author&gt;&lt;author&gt;Capps, Nathan A.&lt;/author&gt;&lt;author&gt;Nelson, Andrew T.&lt;/author&gt;&lt;/authors&gt;&lt;/contributors&gt;&lt;titles&gt;&lt;title&gt;Separate effects irradiation testing targeting fission gas release from Cr-doped UO2&lt;/title&gt;&lt;secondary-title&gt;Nuclear Engineering and Design&lt;/secondary-title&gt;&lt;/titles&gt;&lt;periodical&gt;&lt;full-title&gt;Nuclear Engineering and Design&lt;/full-title&gt;&lt;/periodical&gt;&lt;volume&gt;In Review&lt;/volume&gt;&lt;dates&gt;&lt;year&gt;2024&lt;/year&gt;&lt;/dates&gt;&lt;urls&gt;&lt;/urls&gt;&lt;/record&gt;&lt;/Cite&gt;&lt;/EndNote&gt;</w:instrText>
      </w:r>
      <w:r w:rsidRPr="0074556C">
        <w:fldChar w:fldCharType="separate"/>
      </w:r>
      <w:r w:rsidR="003026BC">
        <w:rPr>
          <w:noProof/>
        </w:rPr>
        <w:t>[133]</w:t>
      </w:r>
      <w:r w:rsidRPr="0074556C">
        <w:fldChar w:fldCharType="end"/>
      </w:r>
      <w:r w:rsidRPr="0074556C">
        <w:t>.</w:t>
      </w:r>
    </w:p>
    <w:p w14:paraId="7C4ED075" w14:textId="7DFF7DE1" w:rsidR="00BA37DA" w:rsidRPr="005105CF" w:rsidRDefault="00BA37DA" w:rsidP="00F22A75">
      <w:pPr>
        <w:pStyle w:val="Heading3"/>
        <w:spacing w:before="0" w:after="0"/>
      </w:pPr>
      <w:bookmarkStart w:id="196" w:name="_Toc202957491"/>
      <w:r w:rsidRPr="005105CF">
        <w:t>Conclusions</w:t>
      </w:r>
      <w:r w:rsidR="00D73228">
        <w:t xml:space="preserve"> from Full Subcapsule Analysis</w:t>
      </w:r>
      <w:bookmarkEnd w:id="196"/>
      <w:r w:rsidRPr="005105CF">
        <w:t xml:space="preserve"> </w:t>
      </w:r>
    </w:p>
    <w:p w14:paraId="76A01B7A" w14:textId="77777777" w:rsidR="00BA37DA" w:rsidRPr="0074556C" w:rsidRDefault="00BA37DA" w:rsidP="00F22A75">
      <w:r w:rsidRPr="0074556C">
        <w:t xml:space="preserve">Traditional integral effects tests are limited by both expense and time to inspect only a fraction of the potential burnups and temperatures, impeding the development of fundamental irradiation models and </w:t>
      </w:r>
      <w:r>
        <w:t xml:space="preserve">the </w:t>
      </w:r>
      <w:r w:rsidRPr="0074556C">
        <w:t xml:space="preserve">development of new candidate fuel forms. To address these challenges, ORNL developed the MiniFuel irradiation target to accommodate high-throughput separate effects fuel irradiation tests utilizing HFIR. As </w:t>
      </w:r>
      <w:r w:rsidRPr="0074556C">
        <w:lastRenderedPageBreak/>
        <w:t>the capability continues to advance to accommodate higher temperature experiments and a wider variety of fuel configurations, the need to quantify the uncertainty in thermal model predictions used for experiment design became clear. A two-step sensitivity analysis was performed to determine a set of high</w:t>
      </w:r>
      <w:r>
        <w:t>-</w:t>
      </w:r>
      <w:r w:rsidRPr="0074556C">
        <w:t>impact, high</w:t>
      </w:r>
      <w:r>
        <w:t>-</w:t>
      </w:r>
      <w:r w:rsidRPr="0074556C">
        <w:t>uncertainty parameters that influence the model calculation.</w:t>
      </w:r>
    </w:p>
    <w:p w14:paraId="1D546373" w14:textId="15608872" w:rsidR="008A22EA" w:rsidRDefault="00BA37DA" w:rsidP="00F22A75">
      <w:r w:rsidRPr="0074556C">
        <w:t xml:space="preserve">The first analysis utilized the </w:t>
      </w:r>
      <w:r>
        <w:t>Morris method</w:t>
      </w:r>
      <w:r w:rsidRPr="0074556C">
        <w:t xml:space="preserve">, a computationally efficient method for screening a large number of parameters into groups of high and low importance. The high importance parameters from the Morris analysis underwent a Sobol sensitivity analysis to rank their importance and </w:t>
      </w:r>
      <w:r>
        <w:t xml:space="preserve">to </w:t>
      </w:r>
      <w:r w:rsidRPr="0074556C">
        <w:t>quantify associated uncertainties. The parameters of the highest importance, excluding those primarily used for capsule design, were found to be the component heat generation rates, the fuel height</w:t>
      </w:r>
      <w:r>
        <w:t>,</w:t>
      </w:r>
      <w:r w:rsidRPr="0074556C">
        <w:t xml:space="preserve"> and the TCC between the fuel, dish</w:t>
      </w:r>
      <w:r>
        <w:t>,</w:t>
      </w:r>
      <w:r w:rsidRPr="0074556C">
        <w:t xml:space="preserve"> and holder. As the contribution from the component heat generation rate was deemed fairly conservative and fuel height does not contribute to the model uncertainty</w:t>
      </w:r>
      <w:r>
        <w:t xml:space="preserve"> in reality</w:t>
      </w:r>
      <w:r w:rsidRPr="0074556C">
        <w:t xml:space="preserve">, the main source of uncertainty within the model was determined to be the TCC. The TCC is a representation of the of heat being transferred between imperfect surfaces through </w:t>
      </w:r>
      <w:r>
        <w:t>SSC</w:t>
      </w:r>
      <w:r w:rsidRPr="0074556C">
        <w:t xml:space="preserve"> and gap conductance. The TCC models within ANSYS are highly sensitive to the gas composition</w:t>
      </w:r>
      <w:r>
        <w:t>,</w:t>
      </w:r>
      <w:r w:rsidRPr="0074556C">
        <w:t xml:space="preserve"> and gap conductance has been shown to vary exponentially at low surface contact pressures. Follow</w:t>
      </w:r>
      <w:r>
        <w:t>-</w:t>
      </w:r>
      <w:r w:rsidRPr="0074556C">
        <w:t xml:space="preserve">on uncertainty analyses to better quantify and potentially mitigate the TCC uncertainty are therefore recommended for future work. </w:t>
      </w:r>
    </w:p>
    <w:p w14:paraId="7B8C36B0" w14:textId="096AA601" w:rsidR="00850B75" w:rsidRDefault="00A557CD" w:rsidP="00F22A75">
      <w:pPr>
        <w:pStyle w:val="Heading2"/>
      </w:pPr>
      <w:bookmarkStart w:id="197" w:name="_Toc202957492"/>
      <w:bookmarkStart w:id="198" w:name="_Toc420995910"/>
      <w:bookmarkStart w:id="199" w:name="_Toc422997497"/>
      <w:r>
        <w:lastRenderedPageBreak/>
        <w:t>In Depth TCC Model</w:t>
      </w:r>
      <w:r w:rsidR="00850B75">
        <w:t xml:space="preserve"> Analysis</w:t>
      </w:r>
      <w:bookmarkEnd w:id="197"/>
    </w:p>
    <w:p w14:paraId="7C50AB04" w14:textId="0C3FC1E9" w:rsidR="007548A7" w:rsidRDefault="007548A7" w:rsidP="00F22A75">
      <w:pPr>
        <w:rPr>
          <w:color w:val="000000"/>
        </w:rPr>
      </w:pPr>
      <w:r>
        <w:t xml:space="preserve">Prior work was performed by Meehan et. al. </w:t>
      </w:r>
      <w:r>
        <w:fldChar w:fldCharType="begin"/>
      </w:r>
      <w:r w:rsidR="005C2BB1">
        <w:instrText xml:space="preserve"> ADDIN EN.CITE &lt;EndNote&gt;&lt;Cite&gt;&lt;Author&gt;Meehan&lt;/Author&gt;&lt;Year&gt;2025&lt;/Year&gt;&lt;RecNum&gt;542&lt;/RecNum&gt;&lt;DisplayText&gt;[25]&lt;/DisplayText&gt;&lt;record&gt;&lt;rec-number&gt;542&lt;/rec-number&gt;&lt;foreign-keys&gt;&lt;key app="EN" db-id="eseee05sfe5vt6efvr0xapvq20vfdsfp5fvf" timestamp="1742483734"&gt;542&lt;/key&gt;&lt;/foreign-keys&gt;&lt;ref-type name="Journal Article"&gt;17&lt;/ref-type&gt;&lt;contributors&gt;&lt;authors&gt;&lt;author&gt;Meehan, Nicholas A.&lt;/author&gt;&lt;author&gt;Gorton, Jacob P.&lt;/author&gt;&lt;author&gt;Capps, Nathan A.&lt;/author&gt;&lt;author&gt;Brown, Nicholas R.&lt;/author&gt;&lt;/authors&gt;&lt;/contributors&gt;&lt;titles&gt;&lt;title&gt;Identifying high-impact and high-uncertainty parameters in MiniFuel model predictions&lt;/title&gt;&lt;secondary-title&gt;Journal of Nuclear Materials&lt;/secondary-title&gt;&lt;/titles&gt;&lt;periodical&gt;&lt;full-title&gt;Journal of Nuclear Materials&lt;/full-title&gt;&lt;/periodical&gt;&lt;pages&gt;155745&lt;/pages&gt;&lt;volume&gt;609&lt;/volume&gt;&lt;keywords&gt;&lt;keyword&gt;Fuel, Irradiation&lt;/keyword&gt;&lt;keyword&gt;Separate effects&lt;/keyword&gt;&lt;keyword&gt;Sensitivity analysis&lt;/keyword&gt;&lt;keyword&gt;Morris&lt;/keyword&gt;&lt;keyword&gt;Sobol&lt;/keyword&gt;&lt;/keywords&gt;&lt;dates&gt;&lt;year&gt;2025&lt;/year&gt;&lt;pub-dates&gt;&lt;date&gt;2025/05/01/&lt;/date&gt;&lt;/pub-dates&gt;&lt;/dates&gt;&lt;isbn&gt;0022-3115&lt;/isbn&gt;&lt;urls&gt;&lt;related-urls&gt;&lt;url&gt;https://www.sciencedirect.com/science/article/pii/S0022311525001400&lt;/url&gt;&lt;/related-urls&gt;&lt;/urls&gt;&lt;electronic-resource-num&gt;https://doi.org/10.1016/j.jnucmat.2025.155745&lt;/electronic-resource-num&gt;&lt;/record&gt;&lt;/Cite&gt;&lt;/EndNote&gt;</w:instrText>
      </w:r>
      <w:r>
        <w:fldChar w:fldCharType="separate"/>
      </w:r>
      <w:r w:rsidR="005C2BB1">
        <w:rPr>
          <w:noProof/>
        </w:rPr>
        <w:t>[25]</w:t>
      </w:r>
      <w:r>
        <w:fldChar w:fldCharType="end"/>
      </w:r>
      <w:r>
        <w:t xml:space="preserve"> to identify high-impact, high-uncertainty parameters that contribute the most to variance in MiniFuel temperature predictions and to quantify the total model uncertainty. The model fuel temperature uncertainty associated with each irradiation position was determined to be </w:t>
      </w:r>
      <w:r>
        <w:sym w:font="Symbol" w:char="F0B1"/>
      </w:r>
      <w:r w:rsidRPr="00B4754A">
        <w:t>40</w:t>
      </w:r>
      <w:r w:rsidRPr="00B4754A">
        <w:rPr>
          <w:color w:val="000000"/>
        </w:rPr>
        <w:t xml:space="preserve">°C in VXF and </w:t>
      </w:r>
      <w:r w:rsidRPr="00B4754A">
        <w:sym w:font="Symbol" w:char="F0B1"/>
      </w:r>
      <w:r w:rsidRPr="00B4754A">
        <w:t>80</w:t>
      </w:r>
      <w:r w:rsidRPr="00B4754A">
        <w:rPr>
          <w:color w:val="000000"/>
        </w:rPr>
        <w:t xml:space="preserve">°C in RB. </w:t>
      </w:r>
      <w:r>
        <w:rPr>
          <w:color w:val="000000"/>
        </w:rPr>
        <w:t xml:space="preserve">Key parameters identified to contribute the most toward model uncertainty are the heat generation rate of the molybdenum (Mo) filler material, and the thermal contact conductance (TCC) between the fuel and dish. </w:t>
      </w:r>
    </w:p>
    <w:p w14:paraId="317BE120" w14:textId="3746132A" w:rsidR="007548A7" w:rsidRDefault="007548A7" w:rsidP="00F22A75">
      <w:pPr>
        <w:rPr>
          <w:color w:val="000000"/>
        </w:rPr>
      </w:pPr>
      <w:r>
        <w:rPr>
          <w:color w:val="000000"/>
        </w:rPr>
        <w:t xml:space="preserve">Component HGRs within HFIR irradiation targets are determined through analysis of a representative core loading of HFIR (Cycle 400) using Monte Carlo transport methods </w:t>
      </w:r>
      <w:r>
        <w:rPr>
          <w:color w:val="000000"/>
        </w:rPr>
        <w:fldChar w:fldCharType="begin">
          <w:fldData xml:space="preserve">PEVuZE5vdGU+PENpdGU+PEF1dGhvcj5DaGFuZGxlcjwvQXV0aG9yPjxZZWFyPjIwMjA8L1llYXI+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</w:fldData>
        </w:fldChar>
      </w:r>
      <w:r w:rsidR="007245A9">
        <w:rPr>
          <w:color w:val="000000"/>
        </w:rPr>
        <w:instrText xml:space="preserve"> ADDIN EN.CITE </w:instrText>
      </w:r>
      <w:r w:rsidR="007245A9">
        <w:rPr>
          <w:color w:val="000000"/>
        </w:rPr>
        <w:fldChar w:fldCharType="begin">
          <w:fldData xml:space="preserve">PEVuZE5vdGU+PENpdGU+PEF1dGhvcj5DaGFuZGxlcjwvQXV0aG9yPjxZZWFyPjIwMjA8L1llYXI+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</w:fldData>
        </w:fldChar>
      </w:r>
      <w:r w:rsidR="007245A9">
        <w:rPr>
          <w:color w:val="000000"/>
        </w:rPr>
        <w:instrText xml:space="preserve"> ADDIN EN.CITE.DATA </w:instrText>
      </w:r>
      <w:r w:rsidR="007245A9">
        <w:rPr>
          <w:color w:val="000000"/>
        </w:rPr>
      </w:r>
      <w:r w:rsidR="007245A9">
        <w:rPr>
          <w:color w:val="000000"/>
        </w:rPr>
        <w:fldChar w:fldCharType="end"/>
      </w:r>
      <w:r>
        <w:rPr>
          <w:color w:val="000000"/>
        </w:rPr>
      </w:r>
      <w:r>
        <w:rPr>
          <w:color w:val="000000"/>
        </w:rPr>
        <w:fldChar w:fldCharType="separate"/>
      </w:r>
      <w:r w:rsidR="007245A9">
        <w:rPr>
          <w:noProof/>
          <w:color w:val="000000"/>
        </w:rPr>
        <w:t>[131, 183]</w:t>
      </w:r>
      <w:r>
        <w:rPr>
          <w:color w:val="000000"/>
        </w:rPr>
        <w:fldChar w:fldCharType="end"/>
      </w:r>
      <w:r>
        <w:rPr>
          <w:color w:val="000000"/>
        </w:rPr>
        <w:t>. The cycle 400 model uses a representative experimental loading of the flux trap region of the core and assumed beryllium (Be) dummy plugs in each RB position with a split between Be plugs and Pu</w:t>
      </w:r>
      <w:r>
        <w:rPr>
          <w:color w:val="000000"/>
          <w:vertAlign w:val="superscript"/>
        </w:rPr>
        <w:t>238</w:t>
      </w:r>
      <w:r>
        <w:rPr>
          <w:color w:val="000000"/>
        </w:rPr>
        <w:t xml:space="preserve"> production targets in VXF </w:t>
      </w:r>
      <w:r>
        <w:rPr>
          <w:color w:val="000000"/>
        </w:rPr>
        <w:fldChar w:fldCharType="begin">
          <w:fldData xml:space="preserve">PEVuZE5vdGU+PENpdGU+PEF1dGhvcj5DaGFuZGxlcjwvQXV0aG9yPjxZZWFyPjIwMTY8L1llYXI+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</w:fldData>
        </w:fldChar>
      </w:r>
      <w:r w:rsidR="007245A9">
        <w:rPr>
          <w:color w:val="000000"/>
        </w:rPr>
        <w:instrText xml:space="preserve"> ADDIN EN.CITE </w:instrText>
      </w:r>
      <w:r w:rsidR="007245A9">
        <w:rPr>
          <w:color w:val="000000"/>
        </w:rPr>
        <w:fldChar w:fldCharType="begin">
          <w:fldData xml:space="preserve">PEVuZE5vdGU+PENpdGU+PEF1dGhvcj5DaGFuZGxlcjwvQXV0aG9yPjxZZWFyPjIwMTY8L1llYXI+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</w:fldData>
        </w:fldChar>
      </w:r>
      <w:r w:rsidR="007245A9">
        <w:rPr>
          <w:color w:val="000000"/>
        </w:rPr>
        <w:instrText xml:space="preserve"> ADDIN EN.CITE.DATA </w:instrText>
      </w:r>
      <w:r w:rsidR="007245A9">
        <w:rPr>
          <w:color w:val="000000"/>
        </w:rPr>
      </w:r>
      <w:r w:rsidR="007245A9">
        <w:rPr>
          <w:color w:val="000000"/>
        </w:rPr>
        <w:fldChar w:fldCharType="end"/>
      </w:r>
      <w:r>
        <w:rPr>
          <w:color w:val="000000"/>
        </w:rPr>
      </w:r>
      <w:r>
        <w:rPr>
          <w:color w:val="000000"/>
        </w:rPr>
        <w:fldChar w:fldCharType="separate"/>
      </w:r>
      <w:r w:rsidR="007245A9">
        <w:rPr>
          <w:noProof/>
          <w:color w:val="000000"/>
        </w:rPr>
        <w:t>[183]</w:t>
      </w:r>
      <w:r>
        <w:rPr>
          <w:color w:val="000000"/>
        </w:rPr>
        <w:fldChar w:fldCharType="end"/>
      </w:r>
      <w:r>
        <w:rPr>
          <w:color w:val="000000"/>
        </w:rPr>
        <w:t xml:space="preserve">. For MiniFuel analysis, this model is modified to include the experiments in their desired irradiation position, but does not account for surrounding experimental loading </w:t>
      </w:r>
      <w:r>
        <w:rPr>
          <w:color w:val="000000"/>
        </w:rPr>
        <w:fldChar w:fldCharType="begin"/>
      </w:r>
      <w:r w:rsidR="003026BC">
        <w:rPr>
          <w:color w:val="000000"/>
        </w:rPr>
        <w:instrText xml:space="preserve"> ADDIN EN.CITE &lt;EndNote&gt;&lt;Cite&gt;&lt;Author&gt;Gorton&lt;/Author&gt;&lt;Year&gt;2023&lt;/Year&gt;&lt;RecNum&gt;348&lt;/RecNum&gt;&lt;DisplayText&gt;[141]&lt;/DisplayText&gt;&lt;record&gt;&lt;rec-number&gt;348&lt;/rec-number&gt;&lt;foreign-keys&gt;&lt;key app="EN" db-id="eseee05sfe5vt6efvr0xapvq20vfdsfp5fvf" timestamp="1698083234" guid="1613bf60-2abc-493e-a099-298178d6812a"&gt;348&lt;/key&gt;&lt;/foreign-keys&gt;&lt;ref-type name="Journal Article"&gt;17&lt;/ref-type&gt;&lt;contributors&gt;&lt;authors&gt;&lt;author&gt;Gorton, Jacob P.&lt;/author&gt;&lt;author&gt;Gallagher, Ryan C.&lt;/author&gt;&lt;author&gt;Wallen, Zane G.&lt;/author&gt;&lt;author&gt;Le Coq, Annabelle G.&lt;/author&gt;&lt;author&gt;Helmreich, Grant W.&lt;/author&gt;&lt;author&gt;Petrie, Christian M.&lt;/author&gt;&lt;author&gt;Linton, Kory D.&lt;/author&gt;&lt;author&gt;Latta, Ryan&lt;/author&gt;&lt;author&gt;Gerczak, Tyler J.&lt;/author&gt;&lt;/authors&gt;&lt;/contributors&gt;&lt;titles&gt;&lt;title&gt;Simulation of a TRISO MiniFuel irradiation experiment with data-informed uncertainty quantification&lt;/title&gt;&lt;secondary-title&gt;Nuclear Engineering and Design&lt;/secondary-title&gt;&lt;/titles&gt;&lt;periodical&gt;&lt;full-title&gt;Nuclear Engineering and Design&lt;/full-title&gt;&lt;/periodical&gt;&lt;pages&gt;112177&lt;/pages&gt;&lt;volume&gt;404&lt;/volume&gt;&lt;keywords&gt;&lt;keyword&gt;Sensitivity analysis&lt;/keyword&gt;&lt;keyword&gt;Fuel qualification&lt;/keyword&gt;&lt;keyword&gt;Separate effects&lt;/keyword&gt;&lt;keyword&gt;FHR&lt;/keyword&gt;&lt;keyword&gt;XCT&lt;/keyword&gt;&lt;/keywords&gt;&lt;dates&gt;&lt;year&gt;2023&lt;/year&gt;&lt;pub-dates&gt;&lt;date&gt;2023/04/01/&lt;/date&gt;&lt;/pub-dates&gt;&lt;/dates&gt;&lt;isbn&gt;0029-5493&lt;/isbn&gt;&lt;urls&gt;&lt;related-urls&gt;&lt;url&gt;https://www.sciencedirect.com/science/article/pii/S0029549323000262&lt;/url&gt;&lt;/related-urls&gt;&lt;/urls&gt;&lt;electronic-resource-num&gt;https://doi.org/10.1016/j.nucengdes.2023.112177&lt;/electronic-resource-num&gt;&lt;/record&gt;&lt;/Cite&gt;&lt;/EndNote&gt;</w:instrText>
      </w:r>
      <w:r>
        <w:rPr>
          <w:color w:val="000000"/>
        </w:rPr>
        <w:fldChar w:fldCharType="separate"/>
      </w:r>
      <w:r w:rsidR="003026BC">
        <w:rPr>
          <w:noProof/>
          <w:color w:val="000000"/>
        </w:rPr>
        <w:t>[141]</w:t>
      </w:r>
      <w:r>
        <w:rPr>
          <w:color w:val="000000"/>
        </w:rPr>
        <w:fldChar w:fldCharType="end"/>
      </w:r>
      <w:r>
        <w:rPr>
          <w:color w:val="000000"/>
        </w:rPr>
        <w:t xml:space="preserve">. The sensitivity analysis assumed a conservative estimate of 9% uncertainty in the heat generation of each component based on the maximum allowable local power density perturbation due to surrounding experimental loading </w:t>
      </w:r>
      <w:r>
        <w:rPr>
          <w:color w:val="000000"/>
        </w:rPr>
        <w:fldChar w:fldCharType="begin"/>
      </w:r>
      <w:r w:rsidR="003026BC">
        <w:rPr>
          <w:color w:val="000000"/>
        </w:rPr>
        <w:instrText xml:space="preserve"> ADDIN EN.CITE &lt;EndNote&gt;&lt;Cite&gt;&lt;Author&gt;Chandler&lt;/Author&gt;&lt;Year&gt;2020&lt;/Year&gt;&lt;RecNum&gt;469&lt;/RecNum&gt;&lt;DisplayText&gt;[131]&lt;/DisplayText&gt;&lt;record&gt;&lt;rec-number&gt;469&lt;/rec-number&gt;&lt;foreign-keys&gt;&lt;key app="EN" db-id="eseee05sfe5vt6efvr0xapvq20vfdsfp5fvf" timestamp="1713901234"&gt;469&lt;/key&gt;&lt;/foreign-keys&gt;&lt;ref-type name="Journal Article"&gt;17&lt;/ref-type&gt;&lt;contributors&gt;&lt;authors&gt;&lt;author&gt;Chandler, David&lt;/author&gt;&lt;author&gt;Betzler, Benjamin R.&lt;/author&gt;&lt;author&gt;Davidson, Eva E.&lt;/author&gt;&lt;author&gt;Ilas, Germina&lt;/author&gt;&lt;/authors&gt;&lt;/contributors&gt;&lt;titles&gt;&lt;title&gt;Modeling and simulation of a High Flux Isotope Reactor representative core model for updated performance and safety basis assessments&lt;/title&gt;&lt;secondary-title&gt;Nuclear Engineering and Design&lt;/secondary-title&gt;&lt;/titles&gt;&lt;periodical&gt;&lt;full-title&gt;Nuclear Engineering and Design&lt;/full-title&gt;&lt;/periodical&gt;&lt;pages&gt;110752&lt;/pages&gt;&lt;volume&gt;366&lt;/volume&gt;&lt;keywords&gt;&lt;keyword&gt;High Flux Isotope Reactor&lt;/keyword&gt;&lt;keyword&gt;Research reactor&lt;/keyword&gt;&lt;keyword&gt;Neutronics&lt;/keyword&gt;&lt;keyword&gt;Reactor physics&lt;/keyword&gt;&lt;keyword&gt;Depletion&lt;/keyword&gt;&lt;keyword&gt;Thermal-hydraulics&lt;/keyword&gt;&lt;/keywords&gt;&lt;dates&gt;&lt;year&gt;2020&lt;/year&gt;&lt;pub-dates&gt;&lt;date&gt;2020/09/01/&lt;/date&gt;&lt;/pub-dates&gt;&lt;/dates&gt;&lt;isbn&gt;0029-5493&lt;/isbn&gt;&lt;urls&gt;&lt;related-urls&gt;&lt;url&gt;https://www.sciencedirect.com/science/article/pii/S0029549320302466&lt;/url&gt;&lt;/related-urls&gt;&lt;/urls&gt;&lt;electronic-resource-num&gt;https://doi.org/10.1016/j.nucengdes.2020.110752&lt;/electronic-resource-num&gt;&lt;/record&gt;&lt;/Cite&gt;&lt;/EndNote&gt;</w:instrText>
      </w:r>
      <w:r>
        <w:rPr>
          <w:color w:val="000000"/>
        </w:rPr>
        <w:fldChar w:fldCharType="separate"/>
      </w:r>
      <w:r w:rsidR="003026BC">
        <w:rPr>
          <w:noProof/>
          <w:color w:val="000000"/>
        </w:rPr>
        <w:t>[131]</w:t>
      </w:r>
      <w:r>
        <w:rPr>
          <w:color w:val="000000"/>
        </w:rPr>
        <w:fldChar w:fldCharType="end"/>
      </w:r>
      <w:r>
        <w:rPr>
          <w:color w:val="000000"/>
        </w:rPr>
        <w:t>. Although the HGR uncertainty</w:t>
      </w:r>
      <w:r w:rsidRPr="0076734F">
        <w:rPr>
          <w:color w:val="000000"/>
        </w:rPr>
        <w:t xml:space="preserve"> </w:t>
      </w:r>
      <w:r>
        <w:rPr>
          <w:color w:val="000000"/>
        </w:rPr>
        <w:t xml:space="preserve">within Mo was more impactful than the TCC, reducing the uncertainty in the TCC will help to address the variance in fuel interface temperature. If the TCC can be </w:t>
      </w:r>
      <w:r>
        <w:rPr>
          <w:color w:val="000000"/>
        </w:rPr>
        <w:lastRenderedPageBreak/>
        <w:t xml:space="preserve">increased by informed capsule design changes, the influence of heat flux on the interface temperature gradient will be reduced. </w:t>
      </w:r>
    </w:p>
    <w:p w14:paraId="3C0A708D" w14:textId="6F5620A4" w:rsidR="007548A7" w:rsidRDefault="007548A7" w:rsidP="00F22A75">
      <w:pPr>
        <w:rPr>
          <w:color w:val="000000"/>
        </w:rPr>
      </w:pPr>
      <w:r>
        <w:rPr>
          <w:color w:val="000000"/>
        </w:rPr>
        <w:t xml:space="preserve">At a microscopic level every surface has some form of waviness, roughness, etc. and will only contact under a relatively small fraction of the surface area </w:t>
      </w:r>
      <w:r>
        <w:rPr>
          <w:color w:val="000000"/>
        </w:rPr>
        <w:fldChar w:fldCharType="begin"/>
      </w:r>
      <w:r w:rsidR="007245A9">
        <w:rPr>
          <w:color w:val="000000"/>
        </w:rPr>
        <w:instrText xml:space="preserve"> ADDIN EN.CITE &lt;EndNote&gt;&lt;Cite&gt;&lt;Author&gt;Madhusudana&lt;/Author&gt;&lt;Year&gt;2014&lt;/Year&gt;&lt;RecNum&gt;535&lt;/RecNum&gt;&lt;DisplayText&gt;[184]&lt;/DisplayText&gt;&lt;record&gt;&lt;rec-number&gt;535&lt;/rec-number&gt;&lt;foreign-keys&gt;&lt;key app="EN" db-id="eseee05sfe5vt6efvr0xapvq20vfdsfp5fvf" timestamp="1740768285"&gt;535&lt;/key&gt;&lt;/foreign-keys&gt;&lt;ref-type name="Book"&gt;6&lt;/ref-type&gt;&lt;contributors&gt;&lt;authors&gt;&lt;author&gt;C. V. Madhusudana&lt;/author&gt;&lt;/authors&gt;&lt;/contributors&gt;&lt;titles&gt;&lt;title&gt;Thermal Contact Conductance&lt;/title&gt;&lt;secondary-title&gt;Mechanical Engineering Series&lt;/secondary-title&gt;&lt;/titles&gt;&lt;edition&gt;2&lt;/edition&gt;&lt;dates&gt;&lt;year&gt;2014&lt;/year&gt;&lt;pub-dates&gt;&lt;date&gt;2014&lt;/date&gt;&lt;/pub-dates&gt;&lt;/dates&gt;&lt;pub-location&gt;Springer International Publishing Switzerland&lt;/pub-location&gt;&lt;publisher&gt;Springer Cham&lt;/publisher&gt;&lt;urls&gt;&lt;/urls&gt;&lt;electronic-resource-num&gt;https://doi.org/10.1007/978-3-319-01276-6&lt;/electronic-resource-num&gt;&lt;/record&gt;&lt;/Cite&gt;&lt;/EndNote&gt;</w:instrText>
      </w:r>
      <w:r>
        <w:rPr>
          <w:color w:val="000000"/>
        </w:rPr>
        <w:fldChar w:fldCharType="separate"/>
      </w:r>
      <w:r w:rsidR="007245A9">
        <w:rPr>
          <w:noProof/>
          <w:color w:val="000000"/>
        </w:rPr>
        <w:t>[184]</w:t>
      </w:r>
      <w:r>
        <w:rPr>
          <w:color w:val="000000"/>
        </w:rPr>
        <w:fldChar w:fldCharType="end"/>
      </w:r>
      <w:r>
        <w:rPr>
          <w:color w:val="000000"/>
        </w:rPr>
        <w:t>.</w:t>
      </w:r>
      <w:r w:rsidR="004B60C4">
        <w:rPr>
          <w:color w:val="000000"/>
        </w:rPr>
        <w:t xml:space="preserve"> </w:t>
      </w:r>
      <w:r>
        <w:rPr>
          <w:color w:val="000000"/>
        </w:rPr>
        <w:t xml:space="preserve">TCC accounts for the heat transfer across two real surfaces in contact by accounting for both solid-solid heat transfer and heat transfer across gaps between the solid interfaces </w:t>
      </w:r>
      <w:r>
        <w:rPr>
          <w:color w:val="000000"/>
        </w:rPr>
        <w:fldChar w:fldCharType="begin"/>
      </w:r>
      <w:r w:rsidR="007245A9">
        <w:rPr>
          <w:color w:val="000000"/>
        </w:rPr>
        <w:instrText xml:space="preserve"> ADDIN EN.CITE &lt;EndNote&gt;&lt;Cite&gt;&lt;Author&gt;Madhusudana&lt;/Author&gt;&lt;Year&gt;2014&lt;/Year&gt;&lt;RecNum&gt;535&lt;/RecNum&gt;&lt;DisplayText&gt;[184]&lt;/DisplayText&gt;&lt;record&gt;&lt;rec-number&gt;535&lt;/rec-number&gt;&lt;foreign-keys&gt;&lt;key app="EN" db-id="eseee05sfe5vt6efvr0xapvq20vfdsfp5fvf" timestamp="1740768285"&gt;535&lt;/key&gt;&lt;/foreign-keys&gt;&lt;ref-type name="Book"&gt;6&lt;/ref-type&gt;&lt;contributors&gt;&lt;authors&gt;&lt;author&gt;C. V. Madhusudana&lt;/author&gt;&lt;/authors&gt;&lt;/contributors&gt;&lt;titles&gt;&lt;title&gt;Thermal Contact Conductance&lt;/title&gt;&lt;secondary-title&gt;Mechanical Engineering Series&lt;/secondary-title&gt;&lt;/titles&gt;&lt;edition&gt;2&lt;/edition&gt;&lt;dates&gt;&lt;year&gt;2014&lt;/year&gt;&lt;pub-dates&gt;&lt;date&gt;2014&lt;/date&gt;&lt;/pub-dates&gt;&lt;/dates&gt;&lt;pub-location&gt;Springer International Publishing Switzerland&lt;/pub-location&gt;&lt;publisher&gt;Springer Cham&lt;/publisher&gt;&lt;urls&gt;&lt;/urls&gt;&lt;electronic-resource-num&gt;https://doi.org/10.1007/978-3-319-01276-6&lt;/electronic-resource-num&gt;&lt;/record&gt;&lt;/Cite&gt;&lt;/EndNote&gt;</w:instrText>
      </w:r>
      <w:r>
        <w:rPr>
          <w:color w:val="000000"/>
        </w:rPr>
        <w:fldChar w:fldCharType="separate"/>
      </w:r>
      <w:r w:rsidR="007245A9">
        <w:rPr>
          <w:noProof/>
          <w:color w:val="000000"/>
        </w:rPr>
        <w:t>[184]</w:t>
      </w:r>
      <w:r>
        <w:rPr>
          <w:color w:val="000000"/>
        </w:rPr>
        <w:fldChar w:fldCharType="end"/>
      </w:r>
      <w:r>
        <w:rPr>
          <w:color w:val="000000"/>
        </w:rPr>
        <w:t>. A representative diagram of TCC is shown i</w:t>
      </w:r>
      <w:r w:rsidR="00A837B7">
        <w:rPr>
          <w:color w:val="000000"/>
        </w:rPr>
        <w:t xml:space="preserve">n </w:t>
      </w:r>
      <w:r w:rsidR="00A837B7">
        <w:rPr>
          <w:color w:val="000000"/>
        </w:rPr>
        <w:fldChar w:fldCharType="begin"/>
      </w:r>
      <w:r w:rsidR="00A837B7">
        <w:rPr>
          <w:color w:val="000000"/>
        </w:rPr>
        <w:instrText xml:space="preserve"> REF _Ref198045722 \h </w:instrText>
      </w:r>
      <w:r w:rsidR="00A837B7">
        <w:rPr>
          <w:color w:val="000000"/>
        </w:rPr>
      </w:r>
      <w:r w:rsidR="00A837B7">
        <w:rPr>
          <w:color w:val="000000"/>
        </w:rPr>
        <w:fldChar w:fldCharType="separate"/>
      </w:r>
      <w:r w:rsidR="00BF7E93">
        <w:t xml:space="preserve">Figure </w:t>
      </w:r>
      <w:r w:rsidR="00BF7E93">
        <w:rPr>
          <w:noProof/>
        </w:rPr>
        <w:t>4</w:t>
      </w:r>
      <w:r w:rsidR="00BF7E93">
        <w:t>.</w:t>
      </w:r>
      <w:r w:rsidR="00BF7E93">
        <w:rPr>
          <w:noProof/>
        </w:rPr>
        <w:t>14</w:t>
      </w:r>
      <w:r w:rsidR="00A837B7">
        <w:rPr>
          <w:color w:val="000000"/>
        </w:rPr>
        <w:fldChar w:fldCharType="end"/>
      </w:r>
      <w:r w:rsidR="00A837B7">
        <w:rPr>
          <w:color w:val="000000"/>
        </w:rPr>
        <w:t xml:space="preserve"> </w:t>
      </w:r>
      <w:r>
        <w:rPr>
          <w:color w:val="000000"/>
        </w:rPr>
        <w:fldChar w:fldCharType="begin"/>
      </w:r>
      <w:r w:rsidR="005C2BB1">
        <w:rPr>
          <w:color w:val="000000"/>
        </w:rPr>
        <w:instrText xml:space="preserve"> ADDIN EN.CITE &lt;EndNote&gt;&lt;Cite&gt;&lt;Author&gt;Meehan&lt;/Author&gt;&lt;Year&gt;2025&lt;/Year&gt;&lt;RecNum&gt;542&lt;/RecNum&gt;&lt;DisplayText&gt;[25]&lt;/DisplayText&gt;&lt;record&gt;&lt;rec-number&gt;542&lt;/rec-number&gt;&lt;foreign-keys&gt;&lt;key app="EN" db-id="eseee05sfe5vt6efvr0xapvq20vfdsfp5fvf" timestamp="1742483734"&gt;542&lt;/key&gt;&lt;/foreign-keys&gt;&lt;ref-type name="Journal Article"&gt;17&lt;/ref-type&gt;&lt;contributors&gt;&lt;authors&gt;&lt;author&gt;Meehan, Nicholas A.&lt;/author&gt;&lt;author&gt;Gorton, Jacob P.&lt;/author&gt;&lt;author&gt;Capps, Nathan A.&lt;/author&gt;&lt;author&gt;Brown, Nicholas R.&lt;/author&gt;&lt;/authors&gt;&lt;/contributors&gt;&lt;titles&gt;&lt;title&gt;Identifying high-impact and high-uncertainty parameters in MiniFuel model predictions&lt;/title&gt;&lt;secondary-title&gt;Journal of Nuclear Materials&lt;/secondary-title&gt;&lt;/titles&gt;&lt;periodical&gt;&lt;full-title&gt;Journal of Nuclear Materials&lt;/full-title&gt;&lt;/periodical&gt;&lt;pages&gt;155745&lt;/pages&gt;&lt;volume&gt;609&lt;/volume&gt;&lt;keywords&gt;&lt;keyword&gt;Fuel, Irradiation&lt;/keyword&gt;&lt;keyword&gt;Separate effects&lt;/keyword&gt;&lt;keyword&gt;Sensitivity analysis&lt;/keyword&gt;&lt;keyword&gt;Morris&lt;/keyword&gt;&lt;keyword&gt;Sobol&lt;/keyword&gt;&lt;/keywords&gt;&lt;dates&gt;&lt;year&gt;2025&lt;/year&gt;&lt;pub-dates&gt;&lt;date&gt;2025/05/01/&lt;/date&gt;&lt;/pub-dates&gt;&lt;/dates&gt;&lt;isbn&gt;0022-3115&lt;/isbn&gt;&lt;urls&gt;&lt;related-urls&gt;&lt;url&gt;https://www.sciencedirect.com/science/article/pii/S0022311525001400&lt;/url&gt;&lt;/related-urls&gt;&lt;/urls&gt;&lt;electronic-resource-num&gt;https://doi.org/10.1016/j.jnucmat.2025.155745&lt;/electronic-resource-num&gt;&lt;/record&gt;&lt;/Cite&gt;&lt;/EndNote&gt;</w:instrText>
      </w:r>
      <w:r>
        <w:rPr>
          <w:color w:val="000000"/>
        </w:rPr>
        <w:fldChar w:fldCharType="separate"/>
      </w:r>
      <w:r w:rsidR="005C2BB1">
        <w:rPr>
          <w:noProof/>
          <w:color w:val="000000"/>
        </w:rPr>
        <w:t>[25]</w:t>
      </w:r>
      <w:r>
        <w:rPr>
          <w:color w:val="000000"/>
        </w:rPr>
        <w:fldChar w:fldCharType="end"/>
      </w:r>
      <w:r>
        <w:rPr>
          <w:color w:val="000000"/>
        </w:rPr>
        <w:t xml:space="preserve">. A well-defined correlation for TCC is necessary within the realm of finite-element and reduced-order modeling as model surfaces contain no inherent imperfections. The gap between a set of model surfaces could be infinitesimally small without ever establishing contact, which is non-physical. Models are able to replicate the effects of surface imperfections on heat transfer using TCC correlations </w:t>
      </w:r>
      <w:r>
        <w:rPr>
          <w:color w:val="000000"/>
        </w:rPr>
        <w:fldChar w:fldCharType="begin"/>
      </w:r>
      <w:r w:rsidR="003026BC">
        <w:rPr>
          <w:color w:val="000000"/>
        </w:rPr>
        <w:instrText xml:space="preserve"> ADDIN EN.CITE &lt;EndNote&gt;&lt;Cite&gt;&lt;Author&gt;McDuffee&lt;/Author&gt;&lt;Year&gt;2013&lt;/Year&gt;&lt;RecNum&gt;427&lt;/RecNum&gt;&lt;DisplayText&gt;[153]&lt;/DisplayText&gt;&lt;record&gt;&lt;rec-number&gt;427&lt;/rec-number&gt;&lt;foreign-keys&gt;&lt;key app="EN" db-id="eseee05sfe5vt6efvr0xapvq20vfdsfp5fvf" timestamp="1710045524"&gt;427&lt;/key&gt;&lt;/foreign-keys&gt;&lt;ref-type name="Conference Paper"&gt;47&lt;/ref-type&gt;&lt;contributors&gt;&lt;authors&gt;&lt;author&gt;McDuffee, Joel L.&lt;/author&gt;&lt;/authors&gt;&lt;/contributors&gt;&lt;titles&gt;&lt;title&gt;Heat Transfer Through Small Moveable Gas Gaps in a Multi-Body System Using the ANSYS Finite Element Software&lt;/title&gt;&lt;secondary-title&gt;ASME 2013 Heat Transfer Summer Conference&lt;/secondary-title&gt;&lt;/titles&gt;&lt;number&gt;V001T01A038&lt;/number&gt;&lt;dates&gt;&lt;year&gt;2013&lt;/year&gt;&lt;/dates&gt;&lt;urls&gt;&lt;related-urls&gt;&lt;url&gt;https://doi.org/10.1115/HT2013-17783&lt;/url&gt;&lt;/related-urls&gt;&lt;/urls&gt;&lt;custom1&gt;Volume 1: Heat Transfer in Energy Systems; Thermophysical Properties; Theory and Fundamental Research in Heat Transfer&lt;/custom1&gt;&lt;custom2&gt;ASME 2013 Heat Transfer Summer Conference collocated with the ASME 2013 7th International Conference on Energy Sustainability and the ASME 2013 11th International Conference on Fuel Cell Science, Engineering and Technology&lt;/custom2&gt;&lt;custom3&gt;HT2013&lt;/custom3&gt;&lt;custom4&gt;Heat Transfer Summer Conference&lt;/custom4&gt;&lt;electronic-resource-num&gt;10.1115/HT2013-17783&lt;/electronic-resource-num&gt;&lt;access-date&gt;3/10/2024&lt;/access-date&gt;&lt;/record&gt;&lt;/Cite&gt;&lt;/EndNote&gt;</w:instrText>
      </w:r>
      <w:r>
        <w:rPr>
          <w:color w:val="000000"/>
        </w:rPr>
        <w:fldChar w:fldCharType="separate"/>
      </w:r>
      <w:r w:rsidR="003026BC">
        <w:rPr>
          <w:noProof/>
          <w:color w:val="000000"/>
        </w:rPr>
        <w:t>[153]</w:t>
      </w:r>
      <w:r>
        <w:rPr>
          <w:color w:val="000000"/>
        </w:rPr>
        <w:fldChar w:fldCharType="end"/>
      </w:r>
      <w:r>
        <w:rPr>
          <w:color w:val="000000"/>
        </w:rPr>
        <w:t>. Current correlations for TCC are predominantly empirical based on previous experiments primarily using data below 1000</w:t>
      </w:r>
      <w:r w:rsidRPr="00C31F71">
        <w:rPr>
          <w:vertAlign w:val="superscript"/>
        </w:rPr>
        <w:t>°</w:t>
      </w:r>
      <w:r w:rsidRPr="00C31F71">
        <w:rPr>
          <w:rFonts w:hint="eastAsia"/>
        </w:rPr>
        <w:t>C</w:t>
      </w:r>
      <w:r>
        <w:t xml:space="preserve"> </w:t>
      </w:r>
      <w:r>
        <w:rPr>
          <w:color w:val="000000"/>
        </w:rPr>
        <w:fldChar w:fldCharType="begin"/>
      </w:r>
      <w:r w:rsidR="007245A9">
        <w:rPr>
          <w:color w:val="000000"/>
        </w:rPr>
        <w:instrText xml:space="preserve"> ADDIN EN.CITE &lt;EndNote&gt;&lt;Cite&gt;&lt;Author&gt;Madhusudana&lt;/Author&gt;&lt;Year&gt;2014&lt;/Year&gt;&lt;RecNum&gt;535&lt;/RecNum&gt;&lt;DisplayText&gt;[184]&lt;/DisplayText&gt;&lt;record&gt;&lt;rec-number&gt;535&lt;/rec-number&gt;&lt;foreign-keys&gt;&lt;key app="EN" db-id="eseee05sfe5vt6efvr0xapvq20vfdsfp5fvf" timestamp="1740768285"&gt;535&lt;/key&gt;&lt;/foreign-keys&gt;&lt;ref-type name="Book"&gt;6&lt;/ref-type&gt;&lt;contributors&gt;&lt;authors&gt;&lt;author&gt;C. V. Madhusudana&lt;/author&gt;&lt;/authors&gt;&lt;/contributors&gt;&lt;titles&gt;&lt;title&gt;Thermal Contact Conductance&lt;/title&gt;&lt;secondary-title&gt;Mechanical Engineering Series&lt;/secondary-title&gt;&lt;/titles&gt;&lt;edition&gt;2&lt;/edition&gt;&lt;dates&gt;&lt;year&gt;2014&lt;/year&gt;&lt;pub-dates&gt;&lt;date&gt;2014&lt;/date&gt;&lt;/pub-dates&gt;&lt;/dates&gt;&lt;pub-location&gt;Springer International Publishing Switzerland&lt;/pub-location&gt;&lt;publisher&gt;Springer Cham&lt;/publisher&gt;&lt;urls&gt;&lt;/urls&gt;&lt;electronic-resource-num&gt;https://doi.org/10.1007/978-3-319-01276-6&lt;/electronic-resource-num&gt;&lt;/record&gt;&lt;/Cite&gt;&lt;/EndNote&gt;</w:instrText>
      </w:r>
      <w:r>
        <w:rPr>
          <w:color w:val="000000"/>
        </w:rPr>
        <w:fldChar w:fldCharType="separate"/>
      </w:r>
      <w:r w:rsidR="007245A9">
        <w:rPr>
          <w:noProof/>
          <w:color w:val="000000"/>
        </w:rPr>
        <w:t>[184]</w:t>
      </w:r>
      <w:r>
        <w:rPr>
          <w:color w:val="000000"/>
        </w:rPr>
        <w:fldChar w:fldCharType="end"/>
      </w:r>
      <w:r>
        <w:rPr>
          <w:color w:val="000000"/>
        </w:rPr>
        <w:t>.</w:t>
      </w:r>
    </w:p>
    <w:p w14:paraId="153A5A8D" w14:textId="599DF19F" w:rsidR="007548A7" w:rsidRDefault="007548A7" w:rsidP="00F22A75">
      <w:r>
        <w:t xml:space="preserve">The current work aims to perform a thorough analysis of the TCC model to identify high-impact high-uncertainty parameters which contribute high variance toward fuel temperature predictions. As outlined in the previous work </w:t>
      </w:r>
      <w:r>
        <w:fldChar w:fldCharType="begin"/>
      </w:r>
      <w:r w:rsidR="005C2BB1">
        <w:instrText xml:space="preserve"> ADDIN EN.CITE &lt;EndNote&gt;&lt;Cite&gt;&lt;Author&gt;Meehan&lt;/Author&gt;&lt;Year&gt;2025&lt;/Year&gt;&lt;RecNum&gt;542&lt;/RecNum&gt;&lt;DisplayText&gt;[25]&lt;/DisplayText&gt;&lt;record&gt;&lt;rec-number&gt;542&lt;/rec-number&gt;&lt;foreign-keys&gt;&lt;key app="EN" db-id="eseee05sfe5vt6efvr0xapvq20vfdsfp5fvf" timestamp="1742483734"&gt;542&lt;/key&gt;&lt;/foreign-keys&gt;&lt;ref-type name="Journal Article"&gt;17&lt;/ref-type&gt;&lt;contributors&gt;&lt;authors&gt;&lt;author&gt;Meehan, Nicholas A.&lt;/author&gt;&lt;author&gt;Gorton, Jacob P.&lt;/author&gt;&lt;author&gt;Capps, Nathan A.&lt;/author&gt;&lt;author&gt;Brown, Nicholas R.&lt;/author&gt;&lt;/authors&gt;&lt;/contributors&gt;&lt;titles&gt;&lt;title&gt;Identifying high-impact and high-uncertainty parameters in MiniFuel model predictions&lt;/title&gt;&lt;secondary-title&gt;Journal of Nuclear Materials&lt;/secondary-title&gt;&lt;/titles&gt;&lt;periodical&gt;&lt;full-title&gt;Journal of Nuclear Materials&lt;/full-title&gt;&lt;/periodical&gt;&lt;pages&gt;155745&lt;/pages&gt;&lt;volume&gt;609&lt;/volume&gt;&lt;keywords&gt;&lt;keyword&gt;Fuel, Irradiation&lt;/keyword&gt;&lt;keyword&gt;Separate effects&lt;/keyword&gt;&lt;keyword&gt;Sensitivity analysis&lt;/keyword&gt;&lt;keyword&gt;Morris&lt;/keyword&gt;&lt;keyword&gt;Sobol&lt;/keyword&gt;&lt;/keywords&gt;&lt;dates&gt;&lt;year&gt;2025&lt;/year&gt;&lt;pub-dates&gt;&lt;date&gt;2025/05/01/&lt;/date&gt;&lt;/pub-dates&gt;&lt;/dates&gt;&lt;isbn&gt;0022-3115&lt;/isbn&gt;&lt;urls&gt;&lt;related-urls&gt;&lt;url&gt;https://www.sciencedirect.com/science/article/pii/S0022311525001400&lt;/url&gt;&lt;/related-urls&gt;&lt;/urls&gt;&lt;electronic-resource-num&gt;https://doi.org/10.1016/j.jnucmat.2025.155745&lt;/electronic-resource-num&gt;&lt;/record&gt;&lt;/Cite&gt;&lt;/EndNote&gt;</w:instrText>
      </w:r>
      <w:r>
        <w:fldChar w:fldCharType="separate"/>
      </w:r>
      <w:r w:rsidR="005C2BB1">
        <w:rPr>
          <w:noProof/>
        </w:rPr>
        <w:t>[25]</w:t>
      </w:r>
      <w:r>
        <w:fldChar w:fldCharType="end"/>
      </w:r>
      <w:r>
        <w:t xml:space="preserve">, the RB irradiation position has inherently greater thermal uncertainties compared to VXF. Therefore, a subcapsule with RB boundary conditions </w:t>
      </w:r>
      <w:r>
        <w:fldChar w:fldCharType="begin"/>
      </w:r>
      <w:r w:rsidR="003026BC">
        <w:instrText xml:space="preserve"> ADDIN EN.CITE &lt;EndNote&gt;&lt;Cite&gt;&lt;Author&gt;Gorton&lt;/Author&gt;&lt;Year&gt;2024&lt;/Year&gt;&lt;RecNum&gt;534&lt;/RecNum&gt;&lt;DisplayText&gt;[147]&lt;/DisplayText&gt;&lt;record&gt;&lt;rec-number&gt;534&lt;/rec-number&gt;&lt;foreign-keys&gt;&lt;key app="EN" db-id="eseee05sfe5vt6efvr0xapvq20vfdsfp5fvf" timestamp="1740694142"&gt;534&lt;/key&gt;&lt;/foreign-keys&gt;&lt;ref-type name="Journal Article"&gt;17&lt;/ref-type&gt;&lt;contributors&gt;&lt;authors&gt;&lt;author&gt;Gorton, Jacob P.&lt;/author&gt;&lt;author&gt;Le Coq, Annabelle G.&lt;/author&gt;&lt;author&gt;Wallen, Zane G.&lt;/author&gt;&lt;author&gt;Petrie, Christian M.&lt;/author&gt;&lt;author&gt;White, Joshua T.&lt;/author&gt;&lt;author&gt;Dunwoody, John T.&lt;/author&gt;&lt;author&gt;Mann, Shane&lt;/author&gt;&lt;author&gt;Capps, Nathan A.&lt;/author&gt;&lt;author&gt;Nelson, Andrew T.&lt;/author&gt;&lt;/authors&gt;&lt;/contributors&gt;&lt;titles&gt;&lt;title&gt;Modeling and design of a separate effects irradiation test targeting fission gas release from Cr-doped UO2&lt;/title&gt;&lt;secondary-title&gt;Nuclear Engineering and Design&lt;/secondary-title&gt;&lt;/titles&gt;&lt;periodical&gt;&lt;full-title&gt;Nuclear Engineering and Design&lt;/full-title&gt;&lt;/periodical&gt;&lt;pages&gt;113571&lt;/pages&gt;&lt;volume&gt;429&lt;/volume&gt;&lt;keywords&gt;&lt;keyword&gt;MiniFuel&lt;/keyword&gt;&lt;keyword&gt;Fuel performance&lt;/keyword&gt;&lt;keyword&gt;HFIR&lt;/keyword&gt;&lt;keyword&gt;Nuclear fuel&lt;/keyword&gt;&lt;/keywords&gt;&lt;dates&gt;&lt;year&gt;2024&lt;/year&gt;&lt;pub-dates&gt;&lt;date&gt;2024/12/01/&lt;/date&gt;&lt;/pub-dates&gt;&lt;/dates&gt;&lt;isbn&gt;0029-5493&lt;/isbn&gt;&lt;urls&gt;&lt;related-urls&gt;&lt;url&gt;https://www.sciencedirect.com/science/article/pii/S002954932400671X&lt;/url&gt;&lt;/related-urls&gt;&lt;/urls&gt;&lt;electronic-resource-num&gt;https://doi.org/10.1016/j.nucengdes.2024.113571&lt;/electronic-resource-num&gt;&lt;/record&gt;&lt;/Cite&gt;&lt;/EndNote&gt;</w:instrText>
      </w:r>
      <w:r>
        <w:fldChar w:fldCharType="separate"/>
      </w:r>
      <w:r w:rsidR="003026BC">
        <w:rPr>
          <w:noProof/>
        </w:rPr>
        <w:t>[147]</w:t>
      </w:r>
      <w:r>
        <w:fldChar w:fldCharType="end"/>
      </w:r>
      <w:r>
        <w:t xml:space="preserve"> is the primary focus of this variance reduction. A Sobol sensitivity analysis is performed to identify parameters that contribute to variance in fuel temperature and analysis of the associated Monte Carlo data is performed to further inspect the influence of these high-impact parameters. Conclusions </w:t>
      </w:r>
      <w:r>
        <w:lastRenderedPageBreak/>
        <w:t>from this work are used to form a set of design recommendations for future subcapsule designs to reduce fuel temperature variance.</w:t>
      </w:r>
    </w:p>
    <w:p w14:paraId="66E61841" w14:textId="5460C543" w:rsidR="007548A7" w:rsidRPr="0004286D" w:rsidRDefault="007548A7" w:rsidP="00F22A75">
      <w:pPr>
        <w:rPr>
          <w:rFonts w:cs="Times New Roman"/>
          <w:b/>
          <w:caps/>
          <w:color w:val="000000" w:themeColor="text1"/>
        </w:rPr>
      </w:pPr>
      <w:r>
        <w:t xml:space="preserve">Based on the conclusions of the previous study, the TCC between the fuel and dish is a major contributor to variance of fuel temperature predictions in both the VXF and RB positions within HFIR </w:t>
      </w:r>
      <w:r>
        <w:fldChar w:fldCharType="begin"/>
      </w:r>
      <w:r w:rsidR="005C2BB1">
        <w:instrText xml:space="preserve"> ADDIN EN.CITE &lt;EndNote&gt;&lt;Cite&gt;&lt;Author&gt;Meehan&lt;/Author&gt;&lt;Year&gt;2025&lt;/Year&gt;&lt;RecNum&gt;542&lt;/RecNum&gt;&lt;DisplayText&gt;[25]&lt;/DisplayText&gt;&lt;record&gt;&lt;rec-number&gt;542&lt;/rec-number&gt;&lt;foreign-keys&gt;&lt;key app="EN" db-id="eseee05sfe5vt6efvr0xapvq20vfdsfp5fvf" timestamp="1742483734"&gt;542&lt;/key&gt;&lt;/foreign-keys&gt;&lt;ref-type name="Journal Article"&gt;17&lt;/ref-type&gt;&lt;contributors&gt;&lt;authors&gt;&lt;author&gt;Meehan, Nicholas A.&lt;/author&gt;&lt;author&gt;Gorton, Jacob P.&lt;/author&gt;&lt;author&gt;Capps, Nathan A.&lt;/author&gt;&lt;author&gt;Brown, Nicholas R.&lt;/author&gt;&lt;/authors&gt;&lt;/contributors&gt;&lt;titles&gt;&lt;title&gt;Identifying high-impact and high-uncertainty parameters in MiniFuel model predictions&lt;/title&gt;&lt;secondary-title&gt;Journal of Nuclear Materials&lt;/secondary-title&gt;&lt;/titles&gt;&lt;periodical&gt;&lt;full-title&gt;Journal of Nuclear Materials&lt;/full-title&gt;&lt;/periodical&gt;&lt;pages&gt;155745&lt;/pages&gt;&lt;volume&gt;609&lt;/volume&gt;&lt;keywords&gt;&lt;keyword&gt;Fuel, Irradiation&lt;/keyword&gt;&lt;keyword&gt;Separate effects&lt;/keyword&gt;&lt;keyword&gt;Sensitivity analysis&lt;/keyword&gt;&lt;keyword&gt;Morris&lt;/keyword&gt;&lt;keyword&gt;Sobol&lt;/keyword&gt;&lt;/keywords&gt;&lt;dates&gt;&lt;year&gt;2025&lt;/year&gt;&lt;pub-dates&gt;&lt;date&gt;2025/05/01/&lt;/date&gt;&lt;/pub-dates&gt;&lt;/dates&gt;&lt;isbn&gt;0022-3115&lt;/isbn&gt;&lt;urls&gt;&lt;related-urls&gt;&lt;url&gt;https://www.sciencedirect.com/science/article/pii/S0022311525001400&lt;/url&gt;&lt;/related-urls&gt;&lt;/urls&gt;&lt;electronic-resource-num&gt;https://doi.org/10.1016/j.jnucmat.2025.155745&lt;/electronic-resource-num&gt;&lt;/record&gt;&lt;/Cite&gt;&lt;/EndNote&gt;</w:instrText>
      </w:r>
      <w:r>
        <w:fldChar w:fldCharType="separate"/>
      </w:r>
      <w:r w:rsidR="005C2BB1">
        <w:rPr>
          <w:noProof/>
        </w:rPr>
        <w:t>[25]</w:t>
      </w:r>
      <w:r>
        <w:fldChar w:fldCharType="end"/>
      </w:r>
      <w:r>
        <w:t xml:space="preserve">. Since the RB positions have greater inherent thermal uncertainty, the models developed in this work are representative of the RB design by Gorton et. al. </w:t>
      </w:r>
      <w:r>
        <w:fldChar w:fldCharType="begin"/>
      </w:r>
      <w:r w:rsidR="003026BC">
        <w:instrText xml:space="preserve"> ADDIN EN.CITE &lt;EndNote&gt;&lt;Cite&gt;&lt;Author&gt;Gorton&lt;/Author&gt;&lt;Year&gt;2024&lt;/Year&gt;&lt;RecNum&gt;534&lt;/RecNum&gt;&lt;DisplayText&gt;[147]&lt;/DisplayText&gt;&lt;record&gt;&lt;rec-number&gt;534&lt;/rec-number&gt;&lt;foreign-keys&gt;&lt;key app="EN" db-id="eseee05sfe5vt6efvr0xapvq20vfdsfp5fvf" timestamp="1740694142"&gt;534&lt;/key&gt;&lt;/foreign-keys&gt;&lt;ref-type name="Journal Article"&gt;17&lt;/ref-type&gt;&lt;contributors&gt;&lt;authors&gt;&lt;author&gt;Gorton, Jacob P.&lt;/author&gt;&lt;author&gt;Le Coq, Annabelle G.&lt;/author&gt;&lt;author&gt;Wallen, Zane G.&lt;/author&gt;&lt;author&gt;Petrie, Christian M.&lt;/author&gt;&lt;author&gt;White, Joshua T.&lt;/author&gt;&lt;author&gt;Dunwoody, John T.&lt;/author&gt;&lt;author&gt;Mann, Shane&lt;/author&gt;&lt;author&gt;Capps, Nathan A.&lt;/author&gt;&lt;author&gt;Nelson, Andrew T.&lt;/author&gt;&lt;/authors&gt;&lt;/contributors&gt;&lt;titles&gt;&lt;title&gt;Modeling and design of a separate effects irradiation test targeting fission gas release from Cr-doped UO2&lt;/title&gt;&lt;secondary-title&gt;Nuclear Engineering and Design&lt;/secondary-title&gt;&lt;/titles&gt;&lt;periodical&gt;&lt;full-title&gt;Nuclear Engineering and Design&lt;/full-title&gt;&lt;/periodical&gt;&lt;pages&gt;113571&lt;/pages&gt;&lt;volume&gt;429&lt;/volume&gt;&lt;keywords&gt;&lt;keyword&gt;MiniFuel&lt;/keyword&gt;&lt;keyword&gt;Fuel performance&lt;/keyword&gt;&lt;keyword&gt;HFIR&lt;/keyword&gt;&lt;keyword&gt;Nuclear fuel&lt;/keyword&gt;&lt;/keywords&gt;&lt;dates&gt;&lt;year&gt;2024&lt;/year&gt;&lt;pub-dates&gt;&lt;date&gt;2024/12/01/&lt;/date&gt;&lt;/pub-dates&gt;&lt;/dates&gt;&lt;isbn&gt;0029-5493&lt;/isbn&gt;&lt;urls&gt;&lt;related-urls&gt;&lt;url&gt;https://www.sciencedirect.com/science/article/pii/S002954932400671X&lt;/url&gt;&lt;/related-urls&gt;&lt;/urls&gt;&lt;electronic-resource-num&gt;https://doi.org/10.1016/j.nucengdes.2024.113571&lt;/electronic-resource-num&gt;&lt;/record&gt;&lt;/Cite&gt;&lt;/EndNote&gt;</w:instrText>
      </w:r>
      <w:r>
        <w:fldChar w:fldCharType="separate"/>
      </w:r>
      <w:r w:rsidR="003026BC">
        <w:rPr>
          <w:noProof/>
        </w:rPr>
        <w:t>[147]</w:t>
      </w:r>
      <w:r>
        <w:fldChar w:fldCharType="end"/>
      </w:r>
      <w:r>
        <w:t>. The models include the fuel-dish interface between a UO</w:t>
      </w:r>
      <w:r>
        <w:rPr>
          <w:vertAlign w:val="subscript"/>
        </w:rPr>
        <w:t>2</w:t>
      </w:r>
      <w:r>
        <w:t xml:space="preserve"> fuel disk, and a molybdenum (Mo) dish and assume an initially pure helium (He) fill gas. Each model assumes a constant fuel geometry of 1.4 mm radius and 0.3 mm height based on the nominal disk characteristics from Gorton et. al. </w:t>
      </w:r>
      <w:r>
        <w:fldChar w:fldCharType="begin"/>
      </w:r>
      <w:r w:rsidR="003026BC">
        <w:instrText xml:space="preserve"> ADDIN EN.CITE &lt;EndNote&gt;&lt;Cite&gt;&lt;Author&gt;Gorton&lt;/Author&gt;&lt;Year&gt;2024&lt;/Year&gt;&lt;RecNum&gt;534&lt;/RecNum&gt;&lt;DisplayText&gt;[147]&lt;/DisplayText&gt;&lt;record&gt;&lt;rec-number&gt;534&lt;/rec-number&gt;&lt;foreign-keys&gt;&lt;key app="EN" db-id="eseee05sfe5vt6efvr0xapvq20vfdsfp5fvf" timestamp="1740694142"&gt;534&lt;/key&gt;&lt;/foreign-keys&gt;&lt;ref-type name="Journal Article"&gt;17&lt;/ref-type&gt;&lt;contributors&gt;&lt;authors&gt;&lt;author&gt;Gorton, Jacob P.&lt;/author&gt;&lt;author&gt;Le Coq, Annabelle G.&lt;/author&gt;&lt;author&gt;Wallen, Zane G.&lt;/author&gt;&lt;author&gt;Petrie, Christian M.&lt;/author&gt;&lt;author&gt;White, Joshua T.&lt;/author&gt;&lt;author&gt;Dunwoody, John T.&lt;/author&gt;&lt;author&gt;Mann, Shane&lt;/author&gt;&lt;author&gt;Capps, Nathan A.&lt;/author&gt;&lt;author&gt;Nelson, Andrew T.&lt;/author&gt;&lt;/authors&gt;&lt;/contributors&gt;&lt;titles&gt;&lt;title&gt;Modeling and design of a separate effects irradiation test targeting fission gas release from Cr-doped UO2&lt;/title&gt;&lt;secondary-title&gt;Nuclear Engineering and Design&lt;/secondary-title&gt;&lt;/titles&gt;&lt;periodical&gt;&lt;full-title&gt;Nuclear Engineering and Design&lt;/full-title&gt;&lt;/periodical&gt;&lt;pages&gt;113571&lt;/pages&gt;&lt;volume&gt;429&lt;/volume&gt;&lt;keywords&gt;&lt;keyword&gt;MiniFuel&lt;/keyword&gt;&lt;keyword&gt;Fuel performance&lt;/keyword&gt;&lt;keyword&gt;HFIR&lt;/keyword&gt;&lt;keyword&gt;Nuclear fuel&lt;/keyword&gt;&lt;/keywords&gt;&lt;dates&gt;&lt;year&gt;2024&lt;/year&gt;&lt;pub-dates&gt;&lt;date&gt;2024/12/01/&lt;/date&gt;&lt;/pub-dates&gt;&lt;/dates&gt;&lt;isbn&gt;0029-5493&lt;/isbn&gt;&lt;urls&gt;&lt;related-urls&gt;&lt;url&gt;https://www.sciencedirect.com/science/article/pii/S002954932400671X&lt;/url&gt;&lt;/related-urls&gt;&lt;/urls&gt;&lt;electronic-resource-num&gt;https://doi.org/10.1016/j.nucengdes.2024.113571&lt;/electronic-resource-num&gt;&lt;/record&gt;&lt;/Cite&gt;&lt;/EndNote&gt;</w:instrText>
      </w:r>
      <w:r>
        <w:fldChar w:fldCharType="separate"/>
      </w:r>
      <w:r w:rsidR="003026BC">
        <w:rPr>
          <w:noProof/>
        </w:rPr>
        <w:t>[147]</w:t>
      </w:r>
      <w:r>
        <w:fldChar w:fldCharType="end"/>
      </w:r>
      <w:r>
        <w:t xml:space="preserve">. </w:t>
      </w:r>
    </w:p>
    <w:p w14:paraId="243D5693" w14:textId="7081CCD1" w:rsidR="007548A7" w:rsidRPr="00AA522B" w:rsidRDefault="007548A7" w:rsidP="00F22A75">
      <w:pPr>
        <w:pStyle w:val="Heading3"/>
        <w:spacing w:before="0" w:after="0"/>
      </w:pPr>
      <w:bookmarkStart w:id="200" w:name="_Ref193721351"/>
      <w:bookmarkStart w:id="201" w:name="_Toc202957493"/>
      <w:r>
        <w:t xml:space="preserve">Python </w:t>
      </w:r>
      <w:r w:rsidRPr="00AA522B">
        <w:t>Model Framework</w:t>
      </w:r>
      <w:bookmarkEnd w:id="200"/>
      <w:bookmarkEnd w:id="201"/>
    </w:p>
    <w:p w14:paraId="602EFA86" w14:textId="18E71F0B" w:rsidR="007548A7" w:rsidRDefault="007548A7" w:rsidP="00F22A75">
      <w:r>
        <w:t xml:space="preserve">Current design analysis and calculations for irradiation subcapsules are performed within ANSYS </w:t>
      </w:r>
      <w:r w:rsidRPr="0074556C">
        <w:t>using a validated A</w:t>
      </w:r>
      <w:r>
        <w:t>NSYS</w:t>
      </w:r>
      <w:r w:rsidRPr="0074556C">
        <w:t xml:space="preserve"> Parametric Design Language (APDL) macro library developed by McDuffee </w:t>
      </w:r>
      <w:r w:rsidRPr="0074556C">
        <w:fldChar w:fldCharType="begin"/>
      </w:r>
      <w:r w:rsidR="003026BC">
        <w:instrText xml:space="preserve"> ADDIN EN.CITE &lt;EndNote&gt;&lt;Cite&gt;&lt;Author&gt;McDuffee&lt;/Author&gt;&lt;Year&gt;2013&lt;/Year&gt;&lt;RecNum&gt;427&lt;/RecNum&gt;&lt;DisplayText&gt;[153]&lt;/DisplayText&gt;&lt;record&gt;&lt;rec-number&gt;427&lt;/rec-number&gt;&lt;foreign-keys&gt;&lt;key app="EN" db-id="eseee05sfe5vt6efvr0xapvq20vfdsfp5fvf" timestamp="1710045524"&gt;427&lt;/key&gt;&lt;/foreign-keys&gt;&lt;ref-type name="Conference Paper"&gt;47&lt;/ref-type&gt;&lt;contributors&gt;&lt;authors&gt;&lt;author&gt;McDuffee, Joel L.&lt;/author&gt;&lt;/authors&gt;&lt;/contributors&gt;&lt;titles&gt;&lt;title&gt;Heat Transfer Through Small Moveable Gas Gaps in a Multi-Body System Using the ANSYS Finite Element Software&lt;/title&gt;&lt;secondary-title&gt;ASME 2013 Heat Transfer Summer Conference&lt;/secondary-title&gt;&lt;/titles&gt;&lt;number&gt;V001T01A038&lt;/number&gt;&lt;dates&gt;&lt;year&gt;2013&lt;/year&gt;&lt;/dates&gt;&lt;urls&gt;&lt;related-urls&gt;&lt;url&gt;https://doi.org/10.1115/HT2013-17783&lt;/url&gt;&lt;/related-urls&gt;&lt;/urls&gt;&lt;custom1&gt;Volume 1: Heat Transfer in Energy Systems; Thermophysical Properties; Theory and Fundamental Research in Heat Transfer&lt;/custom1&gt;&lt;custom2&gt;ASME 2013 Heat Transfer Summer Conference collocated with the ASME 2013 7th International Conference on Energy Sustainability and the ASME 2013 11th International Conference on Fuel Cell Science, Engineering and Technology&lt;/custom2&gt;&lt;custom3&gt;HT2013&lt;/custom3&gt;&lt;custom4&gt;Heat Transfer Summer Conference&lt;/custom4&gt;&lt;electronic-resource-num&gt;10.1115/HT2013-17783&lt;/electronic-resource-num&gt;&lt;access-date&gt;3/10/2024&lt;/access-date&gt;&lt;/record&gt;&lt;/Cite&gt;&lt;/EndNote&gt;</w:instrText>
      </w:r>
      <w:r w:rsidRPr="0074556C">
        <w:fldChar w:fldCharType="separate"/>
      </w:r>
      <w:r w:rsidR="003026BC">
        <w:rPr>
          <w:noProof/>
        </w:rPr>
        <w:t>[153]</w:t>
      </w:r>
      <w:r w:rsidRPr="0074556C">
        <w:fldChar w:fldCharType="end"/>
      </w:r>
      <w:r w:rsidRPr="0074556C">
        <w:t>.</w:t>
      </w:r>
      <w:r>
        <w:t xml:space="preserve"> To perform a more computationally efficient inspection of the TCC model, a Python code is developed to replicate the TCC design analysis and calculation methods used for ANSYS. This model utilizes the following set of equations:</w:t>
      </w:r>
    </w:p>
    <w:tbl>
      <w:tblPr>
        <w:tblStyle w:val="TableGrid"/>
        <w:tblW w:w="86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0"/>
        <w:gridCol w:w="7200"/>
        <w:gridCol w:w="720"/>
      </w:tblGrid>
      <w:tr w:rsidR="007548A7" w:rsidRPr="0074556C" w14:paraId="43428782" w14:textId="77777777" w:rsidTr="00CE00E2">
        <w:tc>
          <w:tcPr>
            <w:tcW w:w="720" w:type="dxa"/>
            <w:vAlign w:val="center"/>
          </w:tcPr>
          <w:p w14:paraId="054DDE92" w14:textId="77777777" w:rsidR="007548A7" w:rsidRPr="0074556C" w:rsidRDefault="007548A7" w:rsidP="00F22A75">
            <w:pPr>
              <w:pStyle w:val="Equation"/>
              <w:spacing w:before="0" w:after="0" w:line="480" w:lineRule="auto"/>
            </w:pPr>
          </w:p>
        </w:tc>
        <w:tc>
          <w:tcPr>
            <w:tcW w:w="7200" w:type="dxa"/>
            <w:vAlign w:val="center"/>
          </w:tcPr>
          <w:p w14:paraId="17602C22" w14:textId="77777777" w:rsidR="007548A7" w:rsidRPr="0074556C" w:rsidRDefault="007548A7" w:rsidP="00F22A75">
            <w:pPr>
              <w:pStyle w:val="Equation"/>
              <w:spacing w:before="0" w:after="0" w:line="480" w:lineRule="auto"/>
            </w:pPr>
            <m:oMathPara>
              <m:oMath>
                <m:r>
                  <m:rPr>
                    <m:sty m:val="p"/>
                  </m:rPr>
                  <w:rPr>
                    <w:rFonts w:ascii="Cambria Math" w:hAnsi="Cambria Math"/>
                  </w:rPr>
                  <m:t>Δ</m:t>
                </m:r>
                <m:sSub>
                  <m:sSubPr>
                    <m:ctrlPr>
                      <w:rPr>
                        <w:rFonts w:ascii="Cambria Math" w:hAnsi="Cambria Math"/>
                      </w:rPr>
                    </m:ctrlPr>
                  </m:sSubPr>
                  <m:e>
                    <m:r>
                      <w:rPr>
                        <w:rFonts w:ascii="Cambria Math" w:hAnsi="Cambria Math"/>
                      </w:rPr>
                      <m:t>T</m:t>
                    </m:r>
                  </m:e>
                  <m:sub>
                    <m:r>
                      <w:rPr>
                        <w:rFonts w:ascii="Cambria Math" w:hAnsi="Cambria Math"/>
                      </w:rPr>
                      <m:t>gap</m:t>
                    </m:r>
                  </m:sub>
                </m:sSub>
                <m:r>
                  <m:rPr>
                    <m:sty m:val="p"/>
                  </m:rPr>
                  <w:rPr>
                    <w:rFonts w:ascii="Cambria Math" w:hAnsi="Cambria Math"/>
                  </w:rPr>
                  <m:t>=</m:t>
                </m:r>
                <m:f>
                  <m:fPr>
                    <m:ctrlPr>
                      <w:rPr>
                        <w:rFonts w:ascii="Cambria Math" w:hAnsi="Cambria Math"/>
                      </w:rPr>
                    </m:ctrlPr>
                  </m:fPr>
                  <m:num>
                    <m:r>
                      <w:rPr>
                        <w:rFonts w:ascii="Cambria Math" w:hAnsi="Cambria Math"/>
                      </w:rPr>
                      <m:t>q</m:t>
                    </m:r>
                    <m:r>
                      <m:rPr>
                        <m:sty m:val="p"/>
                      </m:rPr>
                      <w:rPr>
                        <w:rFonts w:ascii="Cambria Math" w:hAnsi="Cambria Math"/>
                      </w:rPr>
                      <m:t>''</m:t>
                    </m:r>
                  </m:num>
                  <m:den>
                    <m:r>
                      <w:rPr>
                        <w:rFonts w:ascii="Cambria Math" w:hAnsi="Cambria Math"/>
                      </w:rPr>
                      <m:t>TCC</m:t>
                    </m:r>
                  </m:den>
                </m:f>
                <m:r>
                  <m:rPr>
                    <m:sty m:val="p"/>
                  </m:rPr>
                  <w:rPr>
                    <w:rFonts w:ascii="Cambria Math" w:hAnsi="Cambria Math"/>
                  </w:rPr>
                  <m:t xml:space="preserve">  </m:t>
                </m:r>
              </m:oMath>
            </m:oMathPara>
          </w:p>
        </w:tc>
        <w:tc>
          <w:tcPr>
            <w:tcW w:w="720" w:type="dxa"/>
            <w:vAlign w:val="center"/>
          </w:tcPr>
          <w:p w14:paraId="5F89C474" w14:textId="421C6ED9" w:rsidR="007548A7" w:rsidRPr="0074556C" w:rsidRDefault="00BF7E93" w:rsidP="00F22A75">
            <w:pPr>
              <w:pStyle w:val="Equation"/>
              <w:spacing w:before="0" w:after="0" w:line="480" w:lineRule="auto"/>
            </w:pPr>
            <w:fldSimple w:instr=" SEQ Equation \* ARABIC ">
              <w:r>
                <w:rPr>
                  <w:noProof/>
                </w:rPr>
                <w:t>19</w:t>
              </w:r>
            </w:fldSimple>
          </w:p>
        </w:tc>
      </w:tr>
    </w:tbl>
    <w:p w14:paraId="6A55593F" w14:textId="77777777" w:rsidR="007548A7" w:rsidRPr="00B87A79" w:rsidRDefault="007548A7" w:rsidP="00F22A75"/>
    <w:tbl>
      <w:tblPr>
        <w:tblStyle w:val="TableGrid"/>
        <w:tblW w:w="86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0"/>
        <w:gridCol w:w="7200"/>
        <w:gridCol w:w="720"/>
      </w:tblGrid>
      <w:tr w:rsidR="007548A7" w:rsidRPr="0074556C" w14:paraId="11220500" w14:textId="77777777" w:rsidTr="00CE00E2">
        <w:tc>
          <w:tcPr>
            <w:tcW w:w="720" w:type="dxa"/>
            <w:vAlign w:val="center"/>
          </w:tcPr>
          <w:p w14:paraId="674DA99D" w14:textId="77777777" w:rsidR="007548A7" w:rsidRPr="0074556C" w:rsidRDefault="007548A7" w:rsidP="00F22A75">
            <w:pPr>
              <w:pStyle w:val="Equation"/>
              <w:spacing w:before="0" w:after="0" w:line="480" w:lineRule="auto"/>
            </w:pPr>
          </w:p>
        </w:tc>
        <w:tc>
          <w:tcPr>
            <w:tcW w:w="7200" w:type="dxa"/>
            <w:vAlign w:val="center"/>
          </w:tcPr>
          <w:p w14:paraId="2970E32C" w14:textId="77777777" w:rsidR="007548A7" w:rsidRPr="0074556C" w:rsidRDefault="007548A7" w:rsidP="00F22A75">
            <w:pPr>
              <w:pStyle w:val="Equation"/>
              <w:spacing w:before="0" w:after="0" w:line="480" w:lineRule="auto"/>
            </w:pPr>
            <m:oMathPara>
              <m:oMath>
                <m:r>
                  <w:rPr>
                    <w:rFonts w:ascii="Cambria Math" w:hAnsi="Cambria Math"/>
                  </w:rPr>
                  <m:t>TCC</m:t>
                </m:r>
                <m:r>
                  <m:rPr>
                    <m:sty m:val="p"/>
                  </m:rPr>
                  <w:rPr>
                    <w:rFonts w:ascii="Cambria Math" w:hAnsi="Cambria Math"/>
                  </w:rPr>
                  <m:t>=</m:t>
                </m:r>
                <m:sSub>
                  <m:sSubPr>
                    <m:ctrlPr>
                      <w:rPr>
                        <w:rFonts w:ascii="Cambria Math" w:hAnsi="Cambria Math"/>
                      </w:rPr>
                    </m:ctrlPr>
                  </m:sSubPr>
                  <m:e>
                    <m:r>
                      <w:rPr>
                        <w:rFonts w:ascii="Cambria Math" w:hAnsi="Cambria Math"/>
                      </w:rPr>
                      <m:t>h</m:t>
                    </m:r>
                  </m:e>
                  <m:sub>
                    <m:r>
                      <w:rPr>
                        <w:rFonts w:ascii="Cambria Math" w:hAnsi="Cambria Math"/>
                      </w:rPr>
                      <m:t>s</m:t>
                    </m:r>
                  </m:sub>
                </m:sSub>
                <m:r>
                  <m:rPr>
                    <m:sty m:val="p"/>
                  </m:rPr>
                  <w:rPr>
                    <w:rFonts w:ascii="Cambria Math" w:hAnsi="Cambria Math"/>
                  </w:rPr>
                  <m:t>+</m:t>
                </m:r>
                <m:sSub>
                  <m:sSubPr>
                    <m:ctrlPr>
                      <w:rPr>
                        <w:rFonts w:ascii="Cambria Math" w:hAnsi="Cambria Math"/>
                      </w:rPr>
                    </m:ctrlPr>
                  </m:sSubPr>
                  <m:e>
                    <m:r>
                      <w:rPr>
                        <w:rFonts w:ascii="Cambria Math" w:hAnsi="Cambria Math"/>
                      </w:rPr>
                      <m:t>h</m:t>
                    </m:r>
                  </m:e>
                  <m:sub>
                    <m:r>
                      <w:rPr>
                        <w:rFonts w:ascii="Cambria Math" w:hAnsi="Cambria Math"/>
                      </w:rPr>
                      <m:t>g</m:t>
                    </m:r>
                  </m:sub>
                </m:sSub>
                <m:r>
                  <m:rPr>
                    <m:sty m:val="p"/>
                  </m:rPr>
                  <w:rPr>
                    <w:rFonts w:ascii="Cambria Math" w:hAnsi="Cambria Math"/>
                  </w:rPr>
                  <m:t xml:space="preserve">  </m:t>
                </m:r>
              </m:oMath>
            </m:oMathPara>
          </w:p>
        </w:tc>
        <w:tc>
          <w:tcPr>
            <w:tcW w:w="720" w:type="dxa"/>
            <w:vAlign w:val="center"/>
          </w:tcPr>
          <w:p w14:paraId="6AC7E17A" w14:textId="7227C8A7" w:rsidR="007548A7" w:rsidRPr="0074556C" w:rsidRDefault="00BF7E93" w:rsidP="00F22A75">
            <w:pPr>
              <w:pStyle w:val="Equation"/>
              <w:spacing w:before="0" w:after="0" w:line="480" w:lineRule="auto"/>
            </w:pPr>
            <w:fldSimple w:instr=" SEQ Equation \* ARABIC ">
              <w:r>
                <w:rPr>
                  <w:noProof/>
                </w:rPr>
                <w:t>20</w:t>
              </w:r>
            </w:fldSimple>
          </w:p>
        </w:tc>
      </w:tr>
    </w:tbl>
    <w:p w14:paraId="61269841" w14:textId="77777777" w:rsidR="007548A7" w:rsidRPr="00B87A79" w:rsidRDefault="007548A7" w:rsidP="00F22A75"/>
    <w:tbl>
      <w:tblPr>
        <w:tblStyle w:val="TableGrid"/>
        <w:tblW w:w="86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0"/>
        <w:gridCol w:w="7200"/>
        <w:gridCol w:w="720"/>
      </w:tblGrid>
      <w:tr w:rsidR="007548A7" w:rsidRPr="0074556C" w14:paraId="0231A5B8" w14:textId="77777777" w:rsidTr="00CE00E2">
        <w:tc>
          <w:tcPr>
            <w:tcW w:w="720" w:type="dxa"/>
            <w:vAlign w:val="center"/>
          </w:tcPr>
          <w:p w14:paraId="20ABEBDA" w14:textId="77777777" w:rsidR="007548A7" w:rsidRPr="0074556C" w:rsidRDefault="007548A7" w:rsidP="00F22A75">
            <w:pPr>
              <w:pStyle w:val="Equation"/>
              <w:spacing w:before="0" w:after="0" w:line="480" w:lineRule="auto"/>
            </w:pPr>
          </w:p>
        </w:tc>
        <w:tc>
          <w:tcPr>
            <w:tcW w:w="7200" w:type="dxa"/>
            <w:vAlign w:val="center"/>
          </w:tcPr>
          <w:p w14:paraId="7E83D5CB" w14:textId="77777777" w:rsidR="007548A7" w:rsidRPr="0074556C" w:rsidRDefault="00000000" w:rsidP="00F22A75">
            <w:pPr>
              <w:pStyle w:val="Equation"/>
              <w:spacing w:before="0" w:after="0" w:line="480" w:lineRule="auto"/>
            </w:pPr>
            <m:oMathPara>
              <m:oMath>
                <m:sSub>
                  <m:sSubPr>
                    <m:ctrlPr>
                      <w:rPr>
                        <w:rFonts w:ascii="Cambria Math" w:hAnsi="Cambria Math"/>
                      </w:rPr>
                    </m:ctrlPr>
                  </m:sSubPr>
                  <m:e>
                    <m:r>
                      <m:rPr>
                        <m:sty m:val="p"/>
                      </m:rPr>
                      <w:rPr>
                        <w:rFonts w:ascii="Cambria Math" w:hAnsi="Cambria Math"/>
                      </w:rPr>
                      <m:t>h</m:t>
                    </m:r>
                  </m:e>
                  <m:sub>
                    <m:r>
                      <m:rPr>
                        <m:sty m:val="p"/>
                      </m:rPr>
                      <w:rPr>
                        <w:rFonts w:ascii="Cambria Math" w:hAnsi="Cambria Math"/>
                      </w:rPr>
                      <m:t>s</m:t>
                    </m:r>
                  </m:sub>
                </m:sSub>
                <m:r>
                  <m:rPr>
                    <m:sty m:val="p"/>
                  </m:rPr>
                  <w:rPr>
                    <w:rFonts w:ascii="Cambria Math" w:hAnsi="Cambria Math"/>
                  </w:rPr>
                  <m:t>=</m:t>
                </m:r>
                <m:sSub>
                  <m:sSubPr>
                    <m:ctrlPr>
                      <w:rPr>
                        <w:rFonts w:ascii="Cambria Math" w:hAnsi="Cambria Math"/>
                      </w:rPr>
                    </m:ctrlPr>
                  </m:sSubPr>
                  <m:e>
                    <m:r>
                      <w:rPr>
                        <w:rFonts w:ascii="Cambria Math" w:hAnsi="Cambria Math"/>
                      </w:rPr>
                      <m:t>C</m:t>
                    </m:r>
                  </m:e>
                  <m:sub>
                    <m:r>
                      <m:rPr>
                        <m:sty m:val="p"/>
                      </m:rPr>
                      <w:rPr>
                        <w:rFonts w:ascii="Cambria Math" w:hAnsi="Cambria Math"/>
                      </w:rPr>
                      <m:t>1</m:t>
                    </m:r>
                  </m:sub>
                </m:sSub>
                <m:f>
                  <m:fPr>
                    <m:ctrlPr>
                      <w:rPr>
                        <w:rFonts w:ascii="Cambria Math" w:hAnsi="Cambria Math"/>
                      </w:rPr>
                    </m:ctrlPr>
                  </m:fPr>
                  <m:num>
                    <m:sSub>
                      <m:sSubPr>
                        <m:ctrlPr>
                          <w:rPr>
                            <w:rFonts w:ascii="Cambria Math" w:hAnsi="Cambria Math"/>
                          </w:rPr>
                        </m:ctrlPr>
                      </m:sSubPr>
                      <m:e>
                        <m:r>
                          <w:rPr>
                            <w:rFonts w:ascii="Cambria Math" w:hAnsi="Cambria Math"/>
                          </w:rPr>
                          <m:t>k</m:t>
                        </m:r>
                      </m:e>
                      <m:sub>
                        <m:r>
                          <w:rPr>
                            <w:rFonts w:ascii="Cambria Math" w:hAnsi="Cambria Math"/>
                          </w:rPr>
                          <m:t>gm</m:t>
                        </m:r>
                      </m:sub>
                    </m:sSub>
                    <m:r>
                      <m:rPr>
                        <m:sty m:val="p"/>
                      </m:rPr>
                      <w:rPr>
                        <w:rFonts w:ascii="Cambria Math" w:hAnsi="Cambria Math"/>
                      </w:rPr>
                      <m:t>*</m:t>
                    </m:r>
                    <m:r>
                      <w:rPr>
                        <w:rFonts w:ascii="Cambria Math" w:hAnsi="Cambria Math"/>
                      </w:rPr>
                      <m:t>tanθ</m:t>
                    </m:r>
                  </m:num>
                  <m:den>
                    <m:r>
                      <w:rPr>
                        <w:rFonts w:ascii="Cambria Math" w:hAnsi="Cambria Math"/>
                      </w:rPr>
                      <m:t>σ</m:t>
                    </m:r>
                  </m:den>
                </m:f>
                <m:sSup>
                  <m:sSupPr>
                    <m:ctrlPr>
                      <w:rPr>
                        <w:rFonts w:ascii="Cambria Math" w:hAnsi="Cambria Math"/>
                      </w:rPr>
                    </m:ctrlPr>
                  </m:sSupPr>
                  <m:e>
                    <m:d>
                      <m:dPr>
                        <m:ctrlPr>
                          <w:rPr>
                            <w:rFonts w:ascii="Cambria Math" w:hAnsi="Cambria Math"/>
                          </w:rPr>
                        </m:ctrlPr>
                      </m:dPr>
                      <m:e>
                        <m:f>
                          <m:fPr>
                            <m:ctrlPr>
                              <w:rPr>
                                <w:rFonts w:ascii="Cambria Math" w:hAnsi="Cambria Math"/>
                              </w:rPr>
                            </m:ctrlPr>
                          </m:fPr>
                          <m:num>
                            <m:sSub>
                              <m:sSubPr>
                                <m:ctrlPr>
                                  <w:rPr>
                                    <w:rFonts w:ascii="Cambria Math" w:hAnsi="Cambria Math"/>
                                  </w:rPr>
                                </m:ctrlPr>
                              </m:sSubPr>
                              <m:e>
                                <m:r>
                                  <w:rPr>
                                    <w:rFonts w:ascii="Cambria Math" w:hAnsi="Cambria Math"/>
                                  </w:rPr>
                                  <m:t>P</m:t>
                                </m:r>
                              </m:e>
                              <m:sub>
                                <m:r>
                                  <w:rPr>
                                    <w:rFonts w:ascii="Cambria Math" w:hAnsi="Cambria Math"/>
                                  </w:rPr>
                                  <m:t>c</m:t>
                                </m:r>
                              </m:sub>
                            </m:sSub>
                          </m:num>
                          <m:den>
                            <m:sSub>
                              <m:sSubPr>
                                <m:ctrlPr>
                                  <w:rPr>
                                    <w:rFonts w:ascii="Cambria Math" w:hAnsi="Cambria Math"/>
                                  </w:rPr>
                                </m:ctrlPr>
                              </m:sSubPr>
                              <m:e>
                                <m:r>
                                  <w:rPr>
                                    <w:rFonts w:ascii="Cambria Math" w:hAnsi="Cambria Math"/>
                                  </w:rPr>
                                  <m:t>H</m:t>
                                </m:r>
                              </m:e>
                              <m:sub>
                                <m:r>
                                  <w:rPr>
                                    <w:rFonts w:ascii="Cambria Math" w:hAnsi="Cambria Math"/>
                                  </w:rPr>
                                  <m:t>eff</m:t>
                                </m:r>
                              </m:sub>
                            </m:sSub>
                          </m:den>
                        </m:f>
                      </m:e>
                    </m:d>
                  </m:e>
                  <m:sup>
                    <m:sSub>
                      <m:sSubPr>
                        <m:ctrlPr>
                          <w:rPr>
                            <w:rFonts w:ascii="Cambria Math" w:hAnsi="Cambria Math"/>
                          </w:rPr>
                        </m:ctrlPr>
                      </m:sSubPr>
                      <m:e>
                        <m:r>
                          <w:rPr>
                            <w:rFonts w:ascii="Cambria Math" w:hAnsi="Cambria Math"/>
                          </w:rPr>
                          <m:t>C</m:t>
                        </m:r>
                      </m:e>
                      <m:sub>
                        <m:r>
                          <m:rPr>
                            <m:sty m:val="p"/>
                          </m:rPr>
                          <w:rPr>
                            <w:rFonts w:ascii="Cambria Math" w:hAnsi="Cambria Math"/>
                          </w:rPr>
                          <m:t>2</m:t>
                        </m:r>
                      </m:sub>
                    </m:sSub>
                  </m:sup>
                </m:sSup>
                <m:r>
                  <m:rPr>
                    <m:sty m:val="p"/>
                  </m:rPr>
                  <w:rPr>
                    <w:rFonts w:ascii="Cambria Math" w:hAnsi="Cambria Math"/>
                  </w:rPr>
                  <m:t xml:space="preserve">  </m:t>
                </m:r>
              </m:oMath>
            </m:oMathPara>
          </w:p>
        </w:tc>
        <w:tc>
          <w:tcPr>
            <w:tcW w:w="720" w:type="dxa"/>
            <w:vAlign w:val="center"/>
          </w:tcPr>
          <w:p w14:paraId="22ADD784" w14:textId="16B41441" w:rsidR="007548A7" w:rsidRPr="0074556C" w:rsidRDefault="00BF7E93" w:rsidP="00F22A75">
            <w:pPr>
              <w:pStyle w:val="Equation"/>
              <w:spacing w:before="0" w:after="0" w:line="480" w:lineRule="auto"/>
            </w:pPr>
            <w:fldSimple w:instr=" SEQ Equation \* ARABIC ">
              <w:bookmarkStart w:id="202" w:name="_Ref195184758"/>
              <w:r>
                <w:rPr>
                  <w:noProof/>
                </w:rPr>
                <w:t>21</w:t>
              </w:r>
              <w:bookmarkEnd w:id="202"/>
            </w:fldSimple>
          </w:p>
        </w:tc>
      </w:tr>
    </w:tbl>
    <w:p w14:paraId="45AF3140" w14:textId="77777777" w:rsidR="007548A7" w:rsidRDefault="007548A7" w:rsidP="00F22A75"/>
    <w:tbl>
      <w:tblPr>
        <w:tblStyle w:val="TableGrid"/>
        <w:tblW w:w="86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0"/>
        <w:gridCol w:w="7200"/>
        <w:gridCol w:w="720"/>
      </w:tblGrid>
      <w:tr w:rsidR="007548A7" w:rsidRPr="0074556C" w14:paraId="6C722E0E" w14:textId="77777777" w:rsidTr="00CE00E2">
        <w:tc>
          <w:tcPr>
            <w:tcW w:w="720" w:type="dxa"/>
            <w:vAlign w:val="center"/>
          </w:tcPr>
          <w:p w14:paraId="6D0140F0" w14:textId="77777777" w:rsidR="007548A7" w:rsidRPr="0074556C" w:rsidRDefault="007548A7" w:rsidP="00F22A75">
            <w:pPr>
              <w:pStyle w:val="Equation"/>
              <w:spacing w:before="0" w:after="0" w:line="480" w:lineRule="auto"/>
            </w:pPr>
          </w:p>
        </w:tc>
        <w:tc>
          <w:tcPr>
            <w:tcW w:w="7200" w:type="dxa"/>
            <w:vAlign w:val="center"/>
          </w:tcPr>
          <w:p w14:paraId="64251C1D" w14:textId="77777777" w:rsidR="007548A7" w:rsidRPr="0074556C" w:rsidRDefault="00000000" w:rsidP="00F22A75">
            <w:pPr>
              <w:pStyle w:val="Equation"/>
              <w:spacing w:before="0" w:after="0" w:line="480" w:lineRule="auto"/>
            </w:pPr>
            <m:oMathPara>
              <m:oMath>
                <m:sSub>
                  <m:sSubPr>
                    <m:ctrlPr>
                      <w:rPr>
                        <w:rFonts w:ascii="Cambria Math" w:hAnsi="Cambria Math"/>
                      </w:rPr>
                    </m:ctrlPr>
                  </m:sSubPr>
                  <m:e>
                    <m:r>
                      <m:rPr>
                        <m:sty m:val="p"/>
                      </m:rPr>
                      <w:rPr>
                        <w:rFonts w:ascii="Cambria Math" w:hAnsi="Cambria Math"/>
                      </w:rPr>
                      <m:t>h</m:t>
                    </m:r>
                  </m:e>
                  <m:sub>
                    <m:r>
                      <w:rPr>
                        <w:rFonts w:ascii="Cambria Math" w:hAnsi="Cambria Math"/>
                      </w:rPr>
                      <m:t>g</m:t>
                    </m:r>
                  </m:sub>
                </m:sSub>
                <m:r>
                  <m:rPr>
                    <m:sty m:val="p"/>
                  </m:rPr>
                  <w:rPr>
                    <w:rFonts w:ascii="Cambria Math" w:hAnsi="Cambria Math"/>
                  </w:rPr>
                  <m:t>=</m:t>
                </m:r>
                <m:f>
                  <m:fPr>
                    <m:ctrlPr>
                      <w:rPr>
                        <w:rFonts w:ascii="Cambria Math" w:hAnsi="Cambria Math"/>
                      </w:rPr>
                    </m:ctrlPr>
                  </m:fPr>
                  <m:num>
                    <m:r>
                      <m:rPr>
                        <m:sty m:val="p"/>
                      </m:rPr>
                      <w:rPr>
                        <w:rFonts w:ascii="Cambria Math" w:hAnsi="Cambria Math"/>
                      </w:rPr>
                      <m:t>1</m:t>
                    </m:r>
                  </m:num>
                  <m:den>
                    <m:f>
                      <m:fPr>
                        <m:ctrlPr>
                          <w:rPr>
                            <w:rFonts w:ascii="Cambria Math" w:hAnsi="Cambria Math"/>
                          </w:rPr>
                        </m:ctrlPr>
                      </m:fPr>
                      <m:num>
                        <m:r>
                          <w:rPr>
                            <w:rFonts w:ascii="Cambria Math" w:hAnsi="Cambria Math"/>
                          </w:rPr>
                          <m:t>δ</m:t>
                        </m:r>
                      </m:num>
                      <m:den>
                        <m:sSub>
                          <m:sSubPr>
                            <m:ctrlPr>
                              <w:rPr>
                                <w:rFonts w:ascii="Cambria Math" w:hAnsi="Cambria Math"/>
                              </w:rPr>
                            </m:ctrlPr>
                          </m:sSubPr>
                          <m:e>
                            <m:r>
                              <w:rPr>
                                <w:rFonts w:ascii="Cambria Math" w:hAnsi="Cambria Math"/>
                              </w:rPr>
                              <m:t>k</m:t>
                            </m:r>
                          </m:e>
                          <m:sub>
                            <m:r>
                              <w:rPr>
                                <w:rFonts w:ascii="Cambria Math" w:hAnsi="Cambria Math"/>
                              </w:rPr>
                              <m:t>gas</m:t>
                            </m:r>
                          </m:sub>
                        </m:sSub>
                        <m:r>
                          <m:rPr>
                            <m:sty m:val="p"/>
                          </m:rPr>
                          <w:rPr>
                            <w:rFonts w:ascii="Cambria Math" w:hAnsi="Cambria Math"/>
                          </w:rPr>
                          <m:t>(</m:t>
                        </m:r>
                        <m:sSub>
                          <m:sSubPr>
                            <m:ctrlPr>
                              <w:rPr>
                                <w:rFonts w:ascii="Cambria Math" w:hAnsi="Cambria Math"/>
                              </w:rPr>
                            </m:ctrlPr>
                          </m:sSubPr>
                          <m:e>
                            <m:r>
                              <w:rPr>
                                <w:rFonts w:ascii="Cambria Math" w:hAnsi="Cambria Math"/>
                              </w:rPr>
                              <m:t>T</m:t>
                            </m:r>
                          </m:e>
                          <m:sub>
                            <m:r>
                              <w:rPr>
                                <w:rFonts w:ascii="Cambria Math" w:hAnsi="Cambria Math"/>
                              </w:rPr>
                              <m:t>g</m:t>
                            </m:r>
                            <m:r>
                              <m:rPr>
                                <m:sty m:val="p"/>
                              </m:rPr>
                              <w:rPr>
                                <w:rFonts w:ascii="Cambria Math" w:hAnsi="Cambria Math"/>
                              </w:rPr>
                              <m:t>,</m:t>
                            </m:r>
                            <m:r>
                              <w:rPr>
                                <w:rFonts w:ascii="Cambria Math" w:hAnsi="Cambria Math"/>
                              </w:rPr>
                              <m:t>avg</m:t>
                            </m:r>
                          </m:sub>
                        </m:sSub>
                        <m:r>
                          <m:rPr>
                            <m:sty m:val="p"/>
                          </m:rPr>
                          <w:rPr>
                            <w:rFonts w:ascii="Cambria Math" w:hAnsi="Cambria Math"/>
                          </w:rPr>
                          <m:t>)</m:t>
                        </m:r>
                      </m:den>
                    </m:f>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g</m:t>
                            </m:r>
                          </m:e>
                          <m:sub>
                            <m:r>
                              <w:rPr>
                                <w:rFonts w:ascii="Cambria Math" w:hAnsi="Cambria Math"/>
                              </w:rPr>
                              <m:t>s</m:t>
                            </m:r>
                            <m:r>
                              <m:rPr>
                                <m:sty m:val="p"/>
                              </m:rPr>
                              <w:rPr>
                                <w:rFonts w:ascii="Cambria Math" w:hAnsi="Cambria Math"/>
                              </w:rPr>
                              <m:t>1</m:t>
                            </m:r>
                          </m:sub>
                        </m:sSub>
                      </m:num>
                      <m:den>
                        <m:sSub>
                          <m:sSubPr>
                            <m:ctrlPr>
                              <w:rPr>
                                <w:rFonts w:ascii="Cambria Math" w:hAnsi="Cambria Math"/>
                              </w:rPr>
                            </m:ctrlPr>
                          </m:sSubPr>
                          <m:e>
                            <m:r>
                              <w:rPr>
                                <w:rFonts w:ascii="Cambria Math" w:hAnsi="Cambria Math"/>
                              </w:rPr>
                              <m:t>k</m:t>
                            </m:r>
                          </m:e>
                          <m:sub>
                            <m:r>
                              <w:rPr>
                                <w:rFonts w:ascii="Cambria Math" w:hAnsi="Cambria Math"/>
                              </w:rPr>
                              <m:t>gas</m:t>
                            </m:r>
                          </m:sub>
                        </m:sSub>
                        <m:r>
                          <m:rPr>
                            <m:sty m:val="p"/>
                          </m:rPr>
                          <w:rPr>
                            <w:rFonts w:ascii="Cambria Math" w:hAnsi="Cambria Math"/>
                          </w:rPr>
                          <m:t>(</m:t>
                        </m:r>
                        <m:sSub>
                          <m:sSubPr>
                            <m:ctrlPr>
                              <w:rPr>
                                <w:rFonts w:ascii="Cambria Math" w:hAnsi="Cambria Math"/>
                              </w:rPr>
                            </m:ctrlPr>
                          </m:sSubPr>
                          <m:e>
                            <m:r>
                              <w:rPr>
                                <w:rFonts w:ascii="Cambria Math" w:hAnsi="Cambria Math"/>
                              </w:rPr>
                              <m:t>T</m:t>
                            </m:r>
                          </m:e>
                          <m:sub>
                            <m:r>
                              <w:rPr>
                                <w:rFonts w:ascii="Cambria Math" w:hAnsi="Cambria Math"/>
                              </w:rPr>
                              <m:t>S</m:t>
                            </m:r>
                            <m:r>
                              <m:rPr>
                                <m:sty m:val="p"/>
                              </m:rPr>
                              <w:rPr>
                                <w:rFonts w:ascii="Cambria Math" w:hAnsi="Cambria Math"/>
                              </w:rPr>
                              <m:t>1</m:t>
                            </m:r>
                          </m:sub>
                        </m:sSub>
                        <m:r>
                          <m:rPr>
                            <m:sty m:val="p"/>
                          </m:rPr>
                          <w:rPr>
                            <w:rFonts w:ascii="Cambria Math" w:hAnsi="Cambria Math"/>
                          </w:rPr>
                          <m:t>)</m:t>
                        </m:r>
                      </m:den>
                    </m:f>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g</m:t>
                            </m:r>
                          </m:e>
                          <m:sub>
                            <m:r>
                              <w:rPr>
                                <w:rFonts w:ascii="Cambria Math" w:hAnsi="Cambria Math"/>
                              </w:rPr>
                              <m:t>s</m:t>
                            </m:r>
                            <m:r>
                              <m:rPr>
                                <m:sty m:val="p"/>
                              </m:rPr>
                              <w:rPr>
                                <w:rFonts w:ascii="Cambria Math" w:hAnsi="Cambria Math"/>
                              </w:rPr>
                              <m:t>2</m:t>
                            </m:r>
                          </m:sub>
                        </m:sSub>
                      </m:num>
                      <m:den>
                        <m:sSub>
                          <m:sSubPr>
                            <m:ctrlPr>
                              <w:rPr>
                                <w:rFonts w:ascii="Cambria Math" w:hAnsi="Cambria Math"/>
                              </w:rPr>
                            </m:ctrlPr>
                          </m:sSubPr>
                          <m:e>
                            <m:r>
                              <w:rPr>
                                <w:rFonts w:ascii="Cambria Math" w:hAnsi="Cambria Math"/>
                              </w:rPr>
                              <m:t>k</m:t>
                            </m:r>
                          </m:e>
                          <m:sub>
                            <m:r>
                              <w:rPr>
                                <w:rFonts w:ascii="Cambria Math" w:hAnsi="Cambria Math"/>
                              </w:rPr>
                              <m:t>gas</m:t>
                            </m:r>
                          </m:sub>
                        </m:sSub>
                        <m:r>
                          <m:rPr>
                            <m:sty m:val="p"/>
                          </m:rPr>
                          <w:rPr>
                            <w:rFonts w:ascii="Cambria Math" w:hAnsi="Cambria Math"/>
                          </w:rPr>
                          <m:t>(</m:t>
                        </m:r>
                        <m:sSub>
                          <m:sSubPr>
                            <m:ctrlPr>
                              <w:rPr>
                                <w:rFonts w:ascii="Cambria Math" w:hAnsi="Cambria Math"/>
                              </w:rPr>
                            </m:ctrlPr>
                          </m:sSubPr>
                          <m:e>
                            <m:r>
                              <w:rPr>
                                <w:rFonts w:ascii="Cambria Math" w:hAnsi="Cambria Math"/>
                              </w:rPr>
                              <m:t>T</m:t>
                            </m:r>
                          </m:e>
                          <m:sub>
                            <m:r>
                              <w:rPr>
                                <w:rFonts w:ascii="Cambria Math" w:hAnsi="Cambria Math"/>
                              </w:rPr>
                              <m:t>S</m:t>
                            </m:r>
                            <m:r>
                              <m:rPr>
                                <m:sty m:val="p"/>
                              </m:rPr>
                              <w:rPr>
                                <w:rFonts w:ascii="Cambria Math" w:hAnsi="Cambria Math"/>
                              </w:rPr>
                              <m:t>2</m:t>
                            </m:r>
                          </m:sub>
                        </m:sSub>
                        <m:r>
                          <m:rPr>
                            <m:sty m:val="p"/>
                          </m:rPr>
                          <w:rPr>
                            <w:rFonts w:ascii="Cambria Math" w:hAnsi="Cambria Math"/>
                          </w:rPr>
                          <m:t>)</m:t>
                        </m:r>
                      </m:den>
                    </m:f>
                  </m:den>
                </m:f>
                <m:r>
                  <m:rPr>
                    <m:sty m:val="p"/>
                  </m:rPr>
                  <w:rPr>
                    <w:rFonts w:ascii="Cambria Math" w:hAnsi="Cambria Math"/>
                  </w:rPr>
                  <m:t xml:space="preserve">  </m:t>
                </m:r>
              </m:oMath>
            </m:oMathPara>
          </w:p>
        </w:tc>
        <w:tc>
          <w:tcPr>
            <w:tcW w:w="720" w:type="dxa"/>
            <w:vAlign w:val="center"/>
          </w:tcPr>
          <w:p w14:paraId="7EB47825" w14:textId="367D7DBA" w:rsidR="007548A7" w:rsidRPr="0074556C" w:rsidRDefault="00BF7E93" w:rsidP="00F22A75">
            <w:pPr>
              <w:pStyle w:val="Equation"/>
              <w:spacing w:before="0" w:after="0" w:line="480" w:lineRule="auto"/>
            </w:pPr>
            <w:fldSimple w:instr=" SEQ Equation \* ARABIC ">
              <w:r>
                <w:rPr>
                  <w:noProof/>
                </w:rPr>
                <w:t>22</w:t>
              </w:r>
            </w:fldSimple>
          </w:p>
        </w:tc>
      </w:tr>
    </w:tbl>
    <w:p w14:paraId="735DD0C9" w14:textId="77777777" w:rsidR="007548A7" w:rsidRDefault="007548A7" w:rsidP="00F22A75">
      <w:pPr>
        <w:jc w:val="center"/>
      </w:pPr>
    </w:p>
    <w:tbl>
      <w:tblPr>
        <w:tblStyle w:val="TableGrid"/>
        <w:tblW w:w="86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0"/>
        <w:gridCol w:w="7200"/>
        <w:gridCol w:w="720"/>
      </w:tblGrid>
      <w:tr w:rsidR="007548A7" w:rsidRPr="0074556C" w14:paraId="02B7BD76" w14:textId="77777777" w:rsidTr="00CE00E2">
        <w:tc>
          <w:tcPr>
            <w:tcW w:w="720" w:type="dxa"/>
            <w:vAlign w:val="center"/>
          </w:tcPr>
          <w:p w14:paraId="711F990A" w14:textId="77777777" w:rsidR="007548A7" w:rsidRPr="0074556C" w:rsidRDefault="007548A7" w:rsidP="00F22A75">
            <w:pPr>
              <w:pStyle w:val="Equation"/>
              <w:spacing w:before="0" w:after="0" w:line="480" w:lineRule="auto"/>
            </w:pPr>
          </w:p>
        </w:tc>
        <w:tc>
          <w:tcPr>
            <w:tcW w:w="7200" w:type="dxa"/>
            <w:vAlign w:val="center"/>
          </w:tcPr>
          <w:p w14:paraId="643F15BB" w14:textId="77777777" w:rsidR="007548A7" w:rsidRPr="0074556C" w:rsidRDefault="007548A7" w:rsidP="00F22A75">
            <w:pPr>
              <w:pStyle w:val="Equation"/>
              <w:spacing w:before="0" w:after="0" w:line="480" w:lineRule="auto"/>
            </w:pPr>
            <m:oMathPara>
              <m:oMath>
                <m:r>
                  <m:rPr>
                    <m:sty m:val="p"/>
                  </m:rPr>
                  <w:rPr>
                    <w:rFonts w:ascii="Cambria Math" w:hAnsi="Cambria Math"/>
                  </w:rPr>
                  <m:t>δ=1.184σ</m:t>
                </m:r>
                <m:sSup>
                  <m:sSupPr>
                    <m:ctrlPr>
                      <w:rPr>
                        <w:rFonts w:ascii="Cambria Math" w:hAnsi="Cambria Math"/>
                      </w:rPr>
                    </m:ctrlPr>
                  </m:sSupPr>
                  <m:e>
                    <m:d>
                      <m:dPr>
                        <m:begChr m:val="["/>
                        <m:endChr m:val="]"/>
                        <m:ctrlPr>
                          <w:rPr>
                            <w:rFonts w:ascii="Cambria Math" w:hAnsi="Cambria Math"/>
                          </w:rPr>
                        </m:ctrlPr>
                      </m:dPr>
                      <m:e>
                        <m:r>
                          <m:rPr>
                            <m:sty m:val="p"/>
                          </m:rPr>
                          <w:rPr>
                            <w:rFonts w:ascii="Cambria Math" w:hAnsi="Cambria Math"/>
                          </w:rPr>
                          <m:t>-</m:t>
                        </m:r>
                        <m:func>
                          <m:funcPr>
                            <m:ctrlPr>
                              <w:rPr>
                                <w:rFonts w:ascii="Cambria Math" w:hAnsi="Cambria Math"/>
                              </w:rPr>
                            </m:ctrlPr>
                          </m:funcPr>
                          <m:fName>
                            <m:r>
                              <m:rPr>
                                <m:sty m:val="p"/>
                              </m:rPr>
                              <w:rPr>
                                <w:rFonts w:ascii="Cambria Math" w:hAnsi="Cambria Math"/>
                              </w:rPr>
                              <m:t>ln</m:t>
                            </m:r>
                          </m:fName>
                          <m:e>
                            <m:d>
                              <m:dPr>
                                <m:ctrlPr>
                                  <w:rPr>
                                    <w:rFonts w:ascii="Cambria Math" w:hAnsi="Cambria Math"/>
                                  </w:rPr>
                                </m:ctrlPr>
                              </m:dPr>
                              <m:e>
                                <m:r>
                                  <m:rPr>
                                    <m:sty m:val="p"/>
                                  </m:rPr>
                                  <w:rPr>
                                    <w:rFonts w:ascii="Cambria Math" w:hAnsi="Cambria Math"/>
                                  </w:rPr>
                                  <m:t>3.132</m:t>
                                </m:r>
                                <m:f>
                                  <m:fPr>
                                    <m:ctrlPr>
                                      <w:rPr>
                                        <w:rFonts w:ascii="Cambria Math" w:hAnsi="Cambria Math"/>
                                        <w:i/>
                                      </w:rPr>
                                    </m:ctrlPr>
                                  </m:fPr>
                                  <m:num>
                                    <m:sSub>
                                      <m:sSubPr>
                                        <m:ctrlPr>
                                          <w:rPr>
                                            <w:rFonts w:ascii="Cambria Math" w:hAnsi="Cambria Math"/>
                                          </w:rPr>
                                        </m:ctrlPr>
                                      </m:sSubPr>
                                      <m:e>
                                        <m:r>
                                          <m:rPr>
                                            <m:sty m:val="p"/>
                                          </m:rPr>
                                          <w:rPr>
                                            <w:rFonts w:ascii="Cambria Math" w:hAnsi="Cambria Math"/>
                                          </w:rPr>
                                          <m:t>P</m:t>
                                        </m:r>
                                      </m:e>
                                      <m:sub>
                                        <m:r>
                                          <m:rPr>
                                            <m:sty m:val="p"/>
                                          </m:rPr>
                                          <w:rPr>
                                            <w:rFonts w:ascii="Cambria Math" w:hAnsi="Cambria Math"/>
                                          </w:rPr>
                                          <m:t>c</m:t>
                                        </m:r>
                                      </m:sub>
                                    </m:sSub>
                                  </m:num>
                                  <m:den>
                                    <m:sSub>
                                      <m:sSubPr>
                                        <m:ctrlPr>
                                          <w:rPr>
                                            <w:rFonts w:ascii="Cambria Math" w:hAnsi="Cambria Math"/>
                                            <w:i/>
                                          </w:rPr>
                                        </m:ctrlPr>
                                      </m:sSubPr>
                                      <m:e>
                                        <m:r>
                                          <w:rPr>
                                            <w:rFonts w:ascii="Cambria Math" w:hAnsi="Cambria Math"/>
                                          </w:rPr>
                                          <m:t>H</m:t>
                                        </m:r>
                                      </m:e>
                                      <m:sub>
                                        <m:r>
                                          <w:rPr>
                                            <w:rFonts w:ascii="Cambria Math" w:hAnsi="Cambria Math"/>
                                          </w:rPr>
                                          <m:t>eff</m:t>
                                        </m:r>
                                      </m:sub>
                                    </m:sSub>
                                  </m:den>
                                </m:f>
                              </m:e>
                            </m:d>
                          </m:e>
                        </m:func>
                      </m:e>
                    </m:d>
                  </m:e>
                  <m:sup>
                    <m:r>
                      <m:rPr>
                        <m:sty m:val="p"/>
                      </m:rPr>
                      <w:rPr>
                        <w:rFonts w:ascii="Cambria Math" w:hAnsi="Cambria Math"/>
                      </w:rPr>
                      <m:t>-0.547</m:t>
                    </m:r>
                  </m:sup>
                </m:sSup>
                <m:r>
                  <m:rPr>
                    <m:sty m:val="p"/>
                  </m:rPr>
                  <w:rPr>
                    <w:rFonts w:ascii="Cambria Math" w:hAnsi="Cambria Math"/>
                  </w:rPr>
                  <m:t xml:space="preserve"> </m:t>
                </m:r>
              </m:oMath>
            </m:oMathPara>
          </w:p>
        </w:tc>
        <w:tc>
          <w:tcPr>
            <w:tcW w:w="720" w:type="dxa"/>
            <w:vAlign w:val="center"/>
          </w:tcPr>
          <w:p w14:paraId="6331A5EF" w14:textId="3E587BC3" w:rsidR="007548A7" w:rsidRPr="0074556C" w:rsidRDefault="00BF7E93" w:rsidP="00F22A75">
            <w:pPr>
              <w:pStyle w:val="Equation"/>
              <w:spacing w:before="0" w:after="0" w:line="480" w:lineRule="auto"/>
            </w:pPr>
            <w:fldSimple w:instr=" SEQ Equation \* ARABIC ">
              <w:r>
                <w:rPr>
                  <w:noProof/>
                </w:rPr>
                <w:t>23</w:t>
              </w:r>
            </w:fldSimple>
          </w:p>
        </w:tc>
      </w:tr>
    </w:tbl>
    <w:p w14:paraId="5DEC001A" w14:textId="77777777" w:rsidR="007548A7" w:rsidRDefault="007548A7" w:rsidP="00F22A75"/>
    <w:tbl>
      <w:tblPr>
        <w:tblStyle w:val="TableGrid"/>
        <w:tblW w:w="86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0"/>
        <w:gridCol w:w="7200"/>
        <w:gridCol w:w="720"/>
      </w:tblGrid>
      <w:tr w:rsidR="007548A7" w:rsidRPr="0074556C" w14:paraId="79CCC49F" w14:textId="77777777" w:rsidTr="00CE00E2">
        <w:tc>
          <w:tcPr>
            <w:tcW w:w="720" w:type="dxa"/>
            <w:vAlign w:val="center"/>
          </w:tcPr>
          <w:p w14:paraId="41CCD40B" w14:textId="77777777" w:rsidR="007548A7" w:rsidRPr="0074556C" w:rsidRDefault="007548A7" w:rsidP="00F22A75">
            <w:pPr>
              <w:pStyle w:val="Equation"/>
              <w:spacing w:before="0" w:after="0" w:line="480" w:lineRule="auto"/>
            </w:pPr>
          </w:p>
        </w:tc>
        <w:tc>
          <w:tcPr>
            <w:tcW w:w="7200" w:type="dxa"/>
            <w:vAlign w:val="center"/>
          </w:tcPr>
          <w:p w14:paraId="69EF785E" w14:textId="77777777" w:rsidR="007548A7" w:rsidRPr="0074556C" w:rsidRDefault="007548A7" w:rsidP="00F22A75">
            <w:pPr>
              <w:pStyle w:val="Equation"/>
              <w:spacing w:before="0" w:after="0" w:line="480" w:lineRule="auto"/>
            </w:pPr>
            <m:oMathPara>
              <m:oMath>
                <m:r>
                  <w:rPr>
                    <w:rFonts w:ascii="Cambria Math" w:hAnsi="Cambria Math"/>
                  </w:rPr>
                  <m:t>g</m:t>
                </m:r>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k</m:t>
                        </m:r>
                      </m:e>
                      <m:sub>
                        <m:r>
                          <w:rPr>
                            <w:rFonts w:ascii="Cambria Math" w:hAnsi="Cambria Math"/>
                          </w:rPr>
                          <m:t>g</m:t>
                        </m:r>
                      </m:sub>
                    </m:sSub>
                  </m:num>
                  <m:den>
                    <m:sSub>
                      <m:sSubPr>
                        <m:ctrlPr>
                          <w:rPr>
                            <w:rFonts w:ascii="Cambria Math" w:hAnsi="Cambria Math"/>
                          </w:rPr>
                        </m:ctrlPr>
                      </m:sSubPr>
                      <m:e>
                        <m:r>
                          <w:rPr>
                            <w:rFonts w:ascii="Cambria Math" w:hAnsi="Cambria Math"/>
                          </w:rPr>
                          <m:t>P</m:t>
                        </m:r>
                      </m:e>
                      <m:sub>
                        <m:r>
                          <w:rPr>
                            <w:rFonts w:ascii="Cambria Math" w:hAnsi="Cambria Math"/>
                          </w:rPr>
                          <m:t>g</m:t>
                        </m:r>
                      </m:sub>
                    </m:sSub>
                  </m:den>
                </m:f>
                <m:d>
                  <m:dPr>
                    <m:ctrlPr>
                      <w:rPr>
                        <w:rFonts w:ascii="Cambria Math" w:hAnsi="Cambria Math"/>
                      </w:rPr>
                    </m:ctrlPr>
                  </m:dPr>
                  <m:e>
                    <m:f>
                      <m:fPr>
                        <m:ctrlPr>
                          <w:rPr>
                            <w:rFonts w:ascii="Cambria Math" w:hAnsi="Cambria Math"/>
                          </w:rPr>
                        </m:ctrlPr>
                      </m:fPr>
                      <m:num>
                        <m:r>
                          <m:rPr>
                            <m:sty m:val="p"/>
                          </m:rPr>
                          <w:rPr>
                            <w:rFonts w:ascii="Cambria Math" w:hAnsi="Cambria Math"/>
                          </w:rPr>
                          <m:t>2-</m:t>
                        </m:r>
                        <m:r>
                          <w:rPr>
                            <w:rFonts w:ascii="Cambria Math" w:hAnsi="Cambria Math"/>
                          </w:rPr>
                          <m:t>α</m:t>
                        </m:r>
                      </m:num>
                      <m:den>
                        <m:r>
                          <w:rPr>
                            <w:rFonts w:ascii="Cambria Math" w:hAnsi="Cambria Math"/>
                          </w:rPr>
                          <m:t>α</m:t>
                        </m:r>
                      </m:den>
                    </m:f>
                  </m:e>
                </m:d>
                <m:d>
                  <m:dPr>
                    <m:ctrlPr>
                      <w:rPr>
                        <w:rFonts w:ascii="Cambria Math" w:hAnsi="Cambria Math"/>
                      </w:rPr>
                    </m:ctrlPr>
                  </m:dPr>
                  <m:e>
                    <m:f>
                      <m:fPr>
                        <m:ctrlPr>
                          <w:rPr>
                            <w:rFonts w:ascii="Cambria Math" w:hAnsi="Cambria Math"/>
                          </w:rPr>
                        </m:ctrlPr>
                      </m:fPr>
                      <m:num>
                        <m:r>
                          <w:rPr>
                            <w:rFonts w:ascii="Cambria Math" w:hAnsi="Cambria Math"/>
                          </w:rPr>
                          <m:t>γ</m:t>
                        </m:r>
                        <m:r>
                          <m:rPr>
                            <m:sty m:val="p"/>
                          </m:rPr>
                          <w:rPr>
                            <w:rFonts w:ascii="Cambria Math" w:hAnsi="Cambria Math"/>
                          </w:rPr>
                          <m:t>-1</m:t>
                        </m:r>
                      </m:num>
                      <m:den>
                        <m:r>
                          <w:rPr>
                            <w:rFonts w:ascii="Cambria Math" w:hAnsi="Cambria Math"/>
                          </w:rPr>
                          <m:t>γ</m:t>
                        </m:r>
                        <m:r>
                          <m:rPr>
                            <m:sty m:val="p"/>
                          </m:rPr>
                          <w:rPr>
                            <w:rFonts w:ascii="Cambria Math" w:hAnsi="Cambria Math"/>
                          </w:rPr>
                          <m:t>+1</m:t>
                        </m:r>
                      </m:den>
                    </m:f>
                  </m:e>
                </m:d>
                <m:rad>
                  <m:radPr>
                    <m:degHide m:val="1"/>
                    <m:ctrlPr>
                      <w:rPr>
                        <w:rFonts w:ascii="Cambria Math" w:hAnsi="Cambria Math"/>
                      </w:rPr>
                    </m:ctrlPr>
                  </m:radPr>
                  <m:deg/>
                  <m:e>
                    <m:f>
                      <m:fPr>
                        <m:ctrlPr>
                          <w:rPr>
                            <w:rFonts w:ascii="Cambria Math" w:hAnsi="Cambria Math"/>
                          </w:rPr>
                        </m:ctrlPr>
                      </m:fPr>
                      <m:num>
                        <m:r>
                          <m:rPr>
                            <m:sty m:val="p"/>
                          </m:rPr>
                          <w:rPr>
                            <w:rFonts w:ascii="Cambria Math" w:hAnsi="Cambria Math"/>
                          </w:rPr>
                          <m:t>2</m:t>
                        </m:r>
                        <m:r>
                          <w:rPr>
                            <w:rFonts w:ascii="Cambria Math" w:hAnsi="Cambria Math"/>
                          </w:rPr>
                          <m:t>π</m:t>
                        </m:r>
                        <m:r>
                          <m:rPr>
                            <m:sty m:val="p"/>
                          </m:rPr>
                          <w:rPr>
                            <w:rFonts w:ascii="Cambria Math" w:hAnsi="Cambria Math"/>
                          </w:rPr>
                          <m:t>∙</m:t>
                        </m:r>
                        <m:r>
                          <w:rPr>
                            <w:rFonts w:ascii="Cambria Math" w:hAnsi="Cambria Math"/>
                          </w:rPr>
                          <m:t>M</m:t>
                        </m:r>
                        <m:sSub>
                          <m:sSubPr>
                            <m:ctrlPr>
                              <w:rPr>
                                <w:rFonts w:ascii="Cambria Math" w:hAnsi="Cambria Math"/>
                              </w:rPr>
                            </m:ctrlPr>
                          </m:sSubPr>
                          <m:e>
                            <m:r>
                              <w:rPr>
                                <w:rFonts w:ascii="Cambria Math" w:hAnsi="Cambria Math"/>
                              </w:rPr>
                              <m:t>W</m:t>
                            </m:r>
                          </m:e>
                          <m:sub>
                            <m:r>
                              <w:rPr>
                                <w:rFonts w:ascii="Cambria Math" w:hAnsi="Cambria Math"/>
                              </w:rPr>
                              <m:t>g</m:t>
                            </m:r>
                          </m:sub>
                        </m:sSub>
                        <m:r>
                          <m:rPr>
                            <m:sty m:val="p"/>
                          </m:rPr>
                          <w:rPr>
                            <w:rFonts w:ascii="Cambria Math" w:hAnsi="Cambria Math"/>
                          </w:rPr>
                          <m:t>∙</m:t>
                        </m:r>
                        <m:sSub>
                          <m:sSubPr>
                            <m:ctrlPr>
                              <w:rPr>
                                <w:rFonts w:ascii="Cambria Math" w:hAnsi="Cambria Math"/>
                              </w:rPr>
                            </m:ctrlPr>
                          </m:sSubPr>
                          <m:e>
                            <m:r>
                              <w:rPr>
                                <w:rFonts w:ascii="Cambria Math" w:hAnsi="Cambria Math"/>
                              </w:rPr>
                              <m:t>T</m:t>
                            </m:r>
                          </m:e>
                          <m:sub>
                            <m:r>
                              <w:rPr>
                                <w:rFonts w:ascii="Cambria Math" w:hAnsi="Cambria Math"/>
                              </w:rPr>
                              <m:t>g</m:t>
                            </m:r>
                          </m:sub>
                        </m:sSub>
                      </m:num>
                      <m:den>
                        <m:sSub>
                          <m:sSubPr>
                            <m:ctrlPr>
                              <w:rPr>
                                <w:rFonts w:ascii="Cambria Math" w:hAnsi="Cambria Math"/>
                              </w:rPr>
                            </m:ctrlPr>
                          </m:sSubPr>
                          <m:e>
                            <m:r>
                              <w:rPr>
                                <w:rFonts w:ascii="Cambria Math" w:hAnsi="Cambria Math"/>
                              </w:rPr>
                              <m:t>R</m:t>
                            </m:r>
                          </m:e>
                          <m:sub>
                            <m:r>
                              <w:rPr>
                                <w:rFonts w:ascii="Cambria Math" w:hAnsi="Cambria Math"/>
                              </w:rPr>
                              <m:t>g</m:t>
                            </m:r>
                          </m:sub>
                        </m:sSub>
                      </m:den>
                    </m:f>
                  </m:e>
                </m:rad>
                <m:r>
                  <m:rPr>
                    <m:sty m:val="p"/>
                  </m:rPr>
                  <w:rPr>
                    <w:rFonts w:ascii="Cambria Math" w:hAnsi="Cambria Math"/>
                  </w:rPr>
                  <m:t xml:space="preserve">  </m:t>
                </m:r>
              </m:oMath>
            </m:oMathPara>
          </w:p>
        </w:tc>
        <w:tc>
          <w:tcPr>
            <w:tcW w:w="720" w:type="dxa"/>
            <w:vAlign w:val="center"/>
          </w:tcPr>
          <w:p w14:paraId="22E9AE34" w14:textId="63D827D5" w:rsidR="007548A7" w:rsidRPr="0074556C" w:rsidRDefault="00BF7E93" w:rsidP="00F22A75">
            <w:pPr>
              <w:pStyle w:val="Equation"/>
              <w:spacing w:before="0" w:after="0" w:line="480" w:lineRule="auto"/>
            </w:pPr>
            <w:fldSimple w:instr=" SEQ Equation \* ARABIC ">
              <w:bookmarkStart w:id="203" w:name="_Ref197339045"/>
              <w:r>
                <w:rPr>
                  <w:noProof/>
                </w:rPr>
                <w:t>24</w:t>
              </w:r>
              <w:bookmarkEnd w:id="203"/>
            </w:fldSimple>
          </w:p>
        </w:tc>
      </w:tr>
    </w:tbl>
    <w:p w14:paraId="3FA00FC2" w14:textId="77777777" w:rsidR="007548A7" w:rsidRDefault="007548A7" w:rsidP="00F22A75"/>
    <w:tbl>
      <w:tblPr>
        <w:tblStyle w:val="TableGrid"/>
        <w:tblW w:w="86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0"/>
        <w:gridCol w:w="7200"/>
        <w:gridCol w:w="720"/>
      </w:tblGrid>
      <w:tr w:rsidR="007548A7" w14:paraId="37F79D97" w14:textId="77777777" w:rsidTr="00CE00E2">
        <w:tc>
          <w:tcPr>
            <w:tcW w:w="720" w:type="dxa"/>
            <w:vAlign w:val="center"/>
          </w:tcPr>
          <w:p w14:paraId="7A895306" w14:textId="77777777" w:rsidR="007548A7" w:rsidRDefault="007548A7" w:rsidP="00F22A75">
            <w:pPr>
              <w:pStyle w:val="Equation"/>
              <w:spacing w:before="0" w:after="0" w:line="480" w:lineRule="auto"/>
            </w:pPr>
          </w:p>
          <w:p w14:paraId="01430D50" w14:textId="77777777" w:rsidR="007548A7" w:rsidRPr="001E43FC" w:rsidRDefault="007548A7" w:rsidP="00F22A75">
            <w:pPr>
              <w:pStyle w:val="Equation"/>
              <w:spacing w:before="0" w:after="0" w:line="480" w:lineRule="auto"/>
            </w:pPr>
          </w:p>
        </w:tc>
        <w:tc>
          <w:tcPr>
            <w:tcW w:w="7200" w:type="dxa"/>
            <w:vAlign w:val="center"/>
          </w:tcPr>
          <w:p w14:paraId="04625A8E" w14:textId="77777777" w:rsidR="007548A7" w:rsidRDefault="007548A7" w:rsidP="00F22A75">
            <w:pPr>
              <w:pStyle w:val="Equation"/>
              <w:spacing w:before="0" w:after="0" w:line="480" w:lineRule="auto"/>
            </w:pPr>
            <m:oMathPara>
              <m:oMath>
                <m:r>
                  <w:rPr>
                    <w:rFonts w:ascii="Cambria Math" w:hAnsi="Cambria Math"/>
                  </w:rPr>
                  <m:t>α</m:t>
                </m:r>
                <m:r>
                  <m:rPr>
                    <m:sty m:val="p"/>
                  </m:rPr>
                  <w:rPr>
                    <w:rFonts w:ascii="Cambria Math" w:hAnsi="Cambria Math"/>
                  </w:rPr>
                  <m:t>=</m:t>
                </m:r>
                <m:r>
                  <w:rPr>
                    <w:rFonts w:ascii="Cambria Math" w:hAnsi="Cambria Math"/>
                  </w:rPr>
                  <m:t>F</m:t>
                </m:r>
                <m:d>
                  <m:dPr>
                    <m:ctrlPr>
                      <w:rPr>
                        <w:rFonts w:ascii="Cambria Math" w:hAnsi="Cambria Math"/>
                      </w:rPr>
                    </m:ctrlPr>
                  </m:dPr>
                  <m:e>
                    <m:r>
                      <w:rPr>
                        <w:rFonts w:ascii="Cambria Math" w:hAnsi="Cambria Math"/>
                      </w:rPr>
                      <m:t>T</m:t>
                    </m:r>
                  </m:e>
                </m:d>
                <m:f>
                  <m:fPr>
                    <m:ctrlPr>
                      <w:rPr>
                        <w:rFonts w:ascii="Cambria Math" w:hAnsi="Cambria Math"/>
                      </w:rPr>
                    </m:ctrlPr>
                  </m:fPr>
                  <m:num>
                    <m:r>
                      <w:rPr>
                        <w:rFonts w:ascii="Cambria Math" w:hAnsi="Cambria Math"/>
                      </w:rPr>
                      <m:t>M</m:t>
                    </m:r>
                    <m:sSub>
                      <m:sSubPr>
                        <m:ctrlPr>
                          <w:rPr>
                            <w:rFonts w:ascii="Cambria Math" w:hAnsi="Cambria Math"/>
                          </w:rPr>
                        </m:ctrlPr>
                      </m:sSubPr>
                      <m:e>
                        <m:r>
                          <w:rPr>
                            <w:rFonts w:ascii="Cambria Math" w:hAnsi="Cambria Math"/>
                          </w:rPr>
                          <m:t>W</m:t>
                        </m:r>
                      </m:e>
                      <m:sub>
                        <m:r>
                          <w:rPr>
                            <w:rFonts w:ascii="Cambria Math" w:hAnsi="Cambria Math"/>
                          </w:rPr>
                          <m:t>g</m:t>
                        </m:r>
                      </m:sub>
                    </m:sSub>
                  </m:num>
                  <m:den>
                    <m:r>
                      <m:rPr>
                        <m:sty m:val="p"/>
                      </m:rPr>
                      <w:rPr>
                        <w:rFonts w:ascii="Cambria Math" w:hAnsi="Cambria Math"/>
                      </w:rPr>
                      <m:t>6.8</m:t>
                    </m:r>
                    <m:f>
                      <m:fPr>
                        <m:ctrlPr>
                          <w:rPr>
                            <w:rFonts w:ascii="Cambria Math" w:hAnsi="Cambria Math"/>
                          </w:rPr>
                        </m:ctrlPr>
                      </m:fPr>
                      <m:num>
                        <m:r>
                          <w:rPr>
                            <w:rFonts w:ascii="Cambria Math" w:hAnsi="Cambria Math"/>
                          </w:rPr>
                          <m:t>g</m:t>
                        </m:r>
                      </m:num>
                      <m:den>
                        <m:r>
                          <w:rPr>
                            <w:rFonts w:ascii="Cambria Math" w:hAnsi="Cambria Math"/>
                          </w:rPr>
                          <m:t>mol</m:t>
                        </m:r>
                      </m:den>
                    </m:f>
                    <m:r>
                      <m:rPr>
                        <m:sty m:val="p"/>
                      </m:rPr>
                      <w:rPr>
                        <w:rFonts w:ascii="Cambria Math" w:hAnsi="Cambria Math"/>
                      </w:rPr>
                      <m:t>+</m:t>
                    </m:r>
                    <m:r>
                      <w:rPr>
                        <w:rFonts w:ascii="Cambria Math" w:hAnsi="Cambria Math"/>
                      </w:rPr>
                      <m:t>M</m:t>
                    </m:r>
                    <m:sSub>
                      <m:sSubPr>
                        <m:ctrlPr>
                          <w:rPr>
                            <w:rFonts w:ascii="Cambria Math" w:hAnsi="Cambria Math"/>
                          </w:rPr>
                        </m:ctrlPr>
                      </m:sSubPr>
                      <m:e>
                        <m:r>
                          <w:rPr>
                            <w:rFonts w:ascii="Cambria Math" w:hAnsi="Cambria Math"/>
                          </w:rPr>
                          <m:t>W</m:t>
                        </m:r>
                      </m:e>
                      <m:sub>
                        <m:r>
                          <w:rPr>
                            <w:rFonts w:ascii="Cambria Math" w:hAnsi="Cambria Math"/>
                          </w:rPr>
                          <m:t>g</m:t>
                        </m:r>
                      </m:sub>
                    </m:sSub>
                  </m:den>
                </m:f>
                <m:r>
                  <m:rPr>
                    <m:sty m:val="p"/>
                  </m:rPr>
                  <w:rPr>
                    <w:rFonts w:ascii="Cambria Math" w:hAnsi="Cambria Math"/>
                  </w:rPr>
                  <m:t>+</m:t>
                </m:r>
                <m:d>
                  <m:dPr>
                    <m:begChr m:val="["/>
                    <m:endChr m:val="]"/>
                    <m:ctrlPr>
                      <w:rPr>
                        <w:rFonts w:ascii="Cambria Math" w:hAnsi="Cambria Math"/>
                      </w:rPr>
                    </m:ctrlPr>
                  </m:dPr>
                  <m:e>
                    <m:r>
                      <m:rPr>
                        <m:sty m:val="p"/>
                      </m:rPr>
                      <w:rPr>
                        <w:rFonts w:ascii="Cambria Math" w:hAnsi="Cambria Math"/>
                      </w:rPr>
                      <m:t>1-</m:t>
                    </m:r>
                    <m:r>
                      <w:rPr>
                        <w:rFonts w:ascii="Cambria Math" w:hAnsi="Cambria Math"/>
                      </w:rPr>
                      <m:t>F</m:t>
                    </m:r>
                    <m:d>
                      <m:dPr>
                        <m:ctrlPr>
                          <w:rPr>
                            <w:rFonts w:ascii="Cambria Math" w:hAnsi="Cambria Math"/>
                          </w:rPr>
                        </m:ctrlPr>
                      </m:dPr>
                      <m:e>
                        <m:r>
                          <w:rPr>
                            <w:rFonts w:ascii="Cambria Math" w:hAnsi="Cambria Math"/>
                          </w:rPr>
                          <m:t>T</m:t>
                        </m:r>
                      </m:e>
                    </m:d>
                  </m:e>
                </m:d>
                <m:f>
                  <m:fPr>
                    <m:ctrlPr>
                      <w:rPr>
                        <w:rFonts w:ascii="Cambria Math" w:hAnsi="Cambria Math"/>
                      </w:rPr>
                    </m:ctrlPr>
                  </m:fPr>
                  <m:num>
                    <m:r>
                      <m:rPr>
                        <m:sty m:val="p"/>
                      </m:rPr>
                      <w:rPr>
                        <w:rFonts w:ascii="Cambria Math" w:hAnsi="Cambria Math"/>
                      </w:rPr>
                      <m:t>2.4</m:t>
                    </m:r>
                    <m:r>
                      <w:rPr>
                        <w:rFonts w:ascii="Cambria Math" w:hAnsi="Cambria Math"/>
                      </w:rPr>
                      <m:t>μ</m:t>
                    </m:r>
                  </m:num>
                  <m:den>
                    <m:d>
                      <m:dPr>
                        <m:ctrlPr>
                          <w:rPr>
                            <w:rFonts w:ascii="Cambria Math" w:hAnsi="Cambria Math"/>
                          </w:rPr>
                        </m:ctrlPr>
                      </m:dPr>
                      <m:e>
                        <m:r>
                          <m:rPr>
                            <m:sty m:val="p"/>
                          </m:rPr>
                          <w:rPr>
                            <w:rFonts w:ascii="Cambria Math" w:hAnsi="Cambria Math"/>
                          </w:rPr>
                          <m:t>1+</m:t>
                        </m:r>
                        <m:sSup>
                          <m:sSupPr>
                            <m:ctrlPr>
                              <w:rPr>
                                <w:rFonts w:ascii="Cambria Math" w:hAnsi="Cambria Math"/>
                              </w:rPr>
                            </m:ctrlPr>
                          </m:sSupPr>
                          <m:e>
                            <m:r>
                              <w:rPr>
                                <w:rFonts w:ascii="Cambria Math" w:hAnsi="Cambria Math"/>
                              </w:rPr>
                              <m:t>μ</m:t>
                            </m:r>
                          </m:e>
                          <m:sup>
                            <m:r>
                              <m:rPr>
                                <m:sty m:val="p"/>
                              </m:rPr>
                              <w:rPr>
                                <w:rFonts w:ascii="Cambria Math" w:hAnsi="Cambria Math"/>
                              </w:rPr>
                              <m:t>2</m:t>
                            </m:r>
                          </m:sup>
                        </m:sSup>
                      </m:e>
                    </m:d>
                  </m:den>
                </m:f>
                <m:r>
                  <m:rPr>
                    <m:sty m:val="p"/>
                  </m:rPr>
                  <w:rPr>
                    <w:rFonts w:ascii="Cambria Math" w:hAnsi="Cambria Math"/>
                  </w:rPr>
                  <m:t xml:space="preserve">  </m:t>
                </m:r>
              </m:oMath>
            </m:oMathPara>
          </w:p>
        </w:tc>
        <w:tc>
          <w:tcPr>
            <w:tcW w:w="720" w:type="dxa"/>
            <w:vAlign w:val="center"/>
          </w:tcPr>
          <w:p w14:paraId="4C38BEAC" w14:textId="4DEDFB09" w:rsidR="007548A7" w:rsidRDefault="00BF7E93" w:rsidP="00F22A75">
            <w:pPr>
              <w:pStyle w:val="Equation"/>
              <w:spacing w:before="0" w:after="0" w:line="480" w:lineRule="auto"/>
            </w:pPr>
            <w:fldSimple w:instr=" SEQ Equation \* ARABIC ">
              <w:bookmarkStart w:id="204" w:name="_Ref197339091"/>
              <w:r>
                <w:rPr>
                  <w:noProof/>
                </w:rPr>
                <w:t>25</w:t>
              </w:r>
              <w:bookmarkEnd w:id="204"/>
            </w:fldSimple>
          </w:p>
        </w:tc>
      </w:tr>
    </w:tbl>
    <w:p w14:paraId="316580EC" w14:textId="77777777" w:rsidR="007548A7" w:rsidRDefault="007548A7" w:rsidP="00F22A75"/>
    <w:tbl>
      <w:tblPr>
        <w:tblStyle w:val="TableGrid"/>
        <w:tblW w:w="86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0"/>
        <w:gridCol w:w="7200"/>
        <w:gridCol w:w="720"/>
      </w:tblGrid>
      <w:tr w:rsidR="007548A7" w:rsidRPr="0074556C" w14:paraId="5632505D" w14:textId="77777777" w:rsidTr="00CE00E2">
        <w:tc>
          <w:tcPr>
            <w:tcW w:w="720" w:type="dxa"/>
            <w:vAlign w:val="center"/>
          </w:tcPr>
          <w:p w14:paraId="1E0FBA20" w14:textId="77777777" w:rsidR="007548A7" w:rsidRPr="0074556C" w:rsidRDefault="007548A7" w:rsidP="00F22A75">
            <w:pPr>
              <w:pStyle w:val="Equation"/>
              <w:spacing w:before="0" w:after="0" w:line="480" w:lineRule="auto"/>
            </w:pPr>
          </w:p>
        </w:tc>
        <w:tc>
          <w:tcPr>
            <w:tcW w:w="7200" w:type="dxa"/>
            <w:vAlign w:val="center"/>
          </w:tcPr>
          <w:p w14:paraId="5C640FAD" w14:textId="77777777" w:rsidR="007548A7" w:rsidRPr="0074556C" w:rsidRDefault="007548A7" w:rsidP="00F22A75">
            <w:pPr>
              <w:pStyle w:val="Equation"/>
              <w:spacing w:before="0" w:after="0" w:line="480" w:lineRule="auto"/>
            </w:pPr>
            <m:oMathPara>
              <m:oMath>
                <m:r>
                  <w:rPr>
                    <w:rFonts w:ascii="Cambria Math" w:hAnsi="Cambria Math"/>
                  </w:rPr>
                  <m:t>F</m:t>
                </m:r>
                <m:r>
                  <m:rPr>
                    <m:sty m:val="p"/>
                  </m:rPr>
                  <w:rPr>
                    <w:rFonts w:ascii="Cambria Math" w:hAnsi="Cambria Math"/>
                  </w:rPr>
                  <m:t>(</m:t>
                </m:r>
                <m:r>
                  <w:rPr>
                    <w:rFonts w:ascii="Cambria Math" w:hAnsi="Cambria Math"/>
                  </w:rPr>
                  <m:t>T</m:t>
                </m:r>
                <m:r>
                  <m:rPr>
                    <m:sty m:val="p"/>
                  </m:rPr>
                  <w:rPr>
                    <w:rFonts w:ascii="Cambria Math" w:hAnsi="Cambria Math"/>
                  </w:rPr>
                  <m:t>)=exp⁡[-0.57∙(</m:t>
                </m:r>
                <m:f>
                  <m:fPr>
                    <m:ctrlPr>
                      <w:rPr>
                        <w:rFonts w:ascii="Cambria Math" w:hAnsi="Cambria Math"/>
                      </w:rPr>
                    </m:ctrlPr>
                  </m:fPr>
                  <m:num>
                    <m:sSub>
                      <m:sSubPr>
                        <m:ctrlPr>
                          <w:rPr>
                            <w:rFonts w:ascii="Cambria Math" w:hAnsi="Cambria Math"/>
                          </w:rPr>
                        </m:ctrlPr>
                      </m:sSubPr>
                      <m:e>
                        <m:r>
                          <w:rPr>
                            <w:rFonts w:ascii="Cambria Math" w:hAnsi="Cambria Math"/>
                          </w:rPr>
                          <m:t>T</m:t>
                        </m:r>
                      </m:e>
                      <m:sub>
                        <m:r>
                          <w:rPr>
                            <w:rFonts w:ascii="Cambria Math" w:hAnsi="Cambria Math"/>
                          </w:rPr>
                          <m:t>s</m:t>
                        </m:r>
                      </m:sub>
                    </m:sSub>
                    <m:r>
                      <m:rPr>
                        <m:sty m:val="p"/>
                      </m:rPr>
                      <w:rPr>
                        <w:rFonts w:ascii="Cambria Math" w:hAnsi="Cambria Math"/>
                      </w:rPr>
                      <m:t>-273</m:t>
                    </m:r>
                    <m:r>
                      <w:rPr>
                        <w:rFonts w:ascii="Cambria Math" w:hAnsi="Cambria Math"/>
                      </w:rPr>
                      <m:t>K</m:t>
                    </m:r>
                  </m:num>
                  <m:den>
                    <m:r>
                      <m:rPr>
                        <m:sty m:val="p"/>
                      </m:rPr>
                      <w:rPr>
                        <w:rFonts w:ascii="Cambria Math" w:hAnsi="Cambria Math"/>
                      </w:rPr>
                      <m:t>273</m:t>
                    </m:r>
                    <m:r>
                      <w:rPr>
                        <w:rFonts w:ascii="Cambria Math" w:hAnsi="Cambria Math"/>
                      </w:rPr>
                      <m:t>K</m:t>
                    </m:r>
                  </m:den>
                </m:f>
                <m:r>
                  <m:rPr>
                    <m:sty m:val="p"/>
                  </m:rPr>
                  <w:rPr>
                    <w:rFonts w:ascii="Cambria Math" w:hAnsi="Cambria Math"/>
                  </w:rPr>
                  <m:t xml:space="preserve">)]  </m:t>
                </m:r>
              </m:oMath>
            </m:oMathPara>
          </w:p>
        </w:tc>
        <w:tc>
          <w:tcPr>
            <w:tcW w:w="720" w:type="dxa"/>
            <w:vAlign w:val="center"/>
          </w:tcPr>
          <w:p w14:paraId="05BA4694" w14:textId="681EF2AE" w:rsidR="007548A7" w:rsidRPr="0074556C" w:rsidRDefault="00BF7E93" w:rsidP="00F22A75">
            <w:pPr>
              <w:pStyle w:val="Equation"/>
              <w:spacing w:before="0" w:after="0" w:line="480" w:lineRule="auto"/>
            </w:pPr>
            <w:fldSimple w:instr=" SEQ Equation \* ARABIC ">
              <w:r>
                <w:rPr>
                  <w:noProof/>
                </w:rPr>
                <w:t>26</w:t>
              </w:r>
            </w:fldSimple>
          </w:p>
        </w:tc>
      </w:tr>
    </w:tbl>
    <w:p w14:paraId="6341ED41" w14:textId="77777777" w:rsidR="007548A7" w:rsidRDefault="007548A7" w:rsidP="00F22A75"/>
    <w:p w14:paraId="7337BEE9" w14:textId="383092A4" w:rsidR="007548A7" w:rsidRDefault="007548A7" w:rsidP="00F22A75">
      <w:r>
        <w:t xml:space="preserve">The full details of this model are explained in McDuffee </w:t>
      </w:r>
      <w:r>
        <w:fldChar w:fldCharType="begin"/>
      </w:r>
      <w:r w:rsidR="003026BC">
        <w:instrText xml:space="preserve"> ADDIN EN.CITE &lt;EndNote&gt;&lt;Cite&gt;&lt;Author&gt;McDuffee&lt;/Author&gt;&lt;Year&gt;2013&lt;/Year&gt;&lt;RecNum&gt;427&lt;/RecNum&gt;&lt;DisplayText&gt;[153]&lt;/DisplayText&gt;&lt;record&gt;&lt;rec-number&gt;427&lt;/rec-number&gt;&lt;foreign-keys&gt;&lt;key app="EN" db-id="eseee05sfe5vt6efvr0xapvq20vfdsfp5fvf" timestamp="1710045524"&gt;427&lt;/key&gt;&lt;/foreign-keys&gt;&lt;ref-type name="Conference Paper"&gt;47&lt;/ref-type&gt;&lt;contributors&gt;&lt;authors&gt;&lt;author&gt;McDuffee, Joel L.&lt;/author&gt;&lt;/authors&gt;&lt;/contributors&gt;&lt;titles&gt;&lt;title&gt;Heat Transfer Through Small Moveable Gas Gaps in a Multi-Body System Using the ANSYS Finite Element Software&lt;/title&gt;&lt;secondary-title&gt;ASME 2013 Heat Transfer Summer Conference&lt;/secondary-title&gt;&lt;/titles&gt;&lt;number&gt;V001T01A038&lt;/number&gt;&lt;dates&gt;&lt;year&gt;2013&lt;/year&gt;&lt;/dates&gt;&lt;urls&gt;&lt;related-urls&gt;&lt;url&gt;https://doi.org/10.1115/HT2013-17783&lt;/url&gt;&lt;/related-urls&gt;&lt;/urls&gt;&lt;custom1&gt;Volume 1: Heat Transfer in Energy Systems; Thermophysical Properties; Theory and Fundamental Research in Heat Transfer&lt;/custom1&gt;&lt;custom2&gt;ASME 2013 Heat Transfer Summer Conference collocated with the ASME 2013 7th International Conference on Energy Sustainability and the ASME 2013 11th International Conference on Fuel Cell Science, Engineering and Technology&lt;/custom2&gt;&lt;custom3&gt;HT2013&lt;/custom3&gt;&lt;custom4&gt;Heat Transfer Summer Conference&lt;/custom4&gt;&lt;electronic-resource-num&gt;10.1115/HT2013-17783&lt;/electronic-resource-num&gt;&lt;access-date&gt;3/10/2024&lt;/access-date&gt;&lt;/record&gt;&lt;/Cite&gt;&lt;/EndNote&gt;</w:instrText>
      </w:r>
      <w:r>
        <w:fldChar w:fldCharType="separate"/>
      </w:r>
      <w:r w:rsidR="003026BC">
        <w:rPr>
          <w:noProof/>
        </w:rPr>
        <w:t>[153]</w:t>
      </w:r>
      <w:r>
        <w:fldChar w:fldCharType="end"/>
      </w:r>
      <w:r>
        <w:t>. A full list of equations and nomenclature can be found in the Appendix. Parameters with subscript g refer to the fill gas and parameters with subscript s refer to the solid surfaces.</w:t>
      </w:r>
    </w:p>
    <w:p w14:paraId="3CA3EADA" w14:textId="77777777" w:rsidR="007548A7" w:rsidRDefault="007548A7" w:rsidP="00F22A75"/>
    <w:p w14:paraId="777590EC" w14:textId="38C6783A" w:rsidR="007548A7" w:rsidRDefault="007548A7" w:rsidP="00F22A75">
      <w:r>
        <w:lastRenderedPageBreak/>
        <w:t>To account for the effects of FGR, a lookup table of burnup and temperature is implemented into the Python TCC model based on BISON simulation data of UO</w:t>
      </w:r>
      <w:r>
        <w:rPr>
          <w:vertAlign w:val="subscript"/>
        </w:rPr>
        <w:t>2</w:t>
      </w:r>
      <w:r>
        <w:t xml:space="preserve"> MiniFuel compacts from Cheniour et. al. </w:t>
      </w:r>
      <w:r>
        <w:fldChar w:fldCharType="begin"/>
      </w:r>
      <w:r w:rsidR="007245A9">
        <w:instrText xml:space="preserve"> ADDIN EN.CITE &lt;EndNote&gt;&lt;Cite&gt;&lt;Author&gt;Cheniour&lt;/Author&gt;&lt;Year&gt;2022&lt;/Year&gt;&lt;RecNum&gt;423&lt;/RecNum&gt;&lt;DisplayText&gt;[185]&lt;/DisplayText&gt;&lt;record&gt;&lt;rec-number&gt;423&lt;/rec-number&gt;&lt;foreign-keys&gt;&lt;key app="EN" db-id="eseee05sfe5vt6efvr0xapvq20vfdsfp5fvf" timestamp="1710037058"&gt;423&lt;/key&gt;&lt;/foreign-keys&gt;&lt;ref-type name="Journal Article"&gt;17&lt;/ref-type&gt;&lt;contributors&gt;&lt;authors&gt;&lt;author&gt;Cheniour, Amani&lt;/author&gt;&lt;author&gt;Pastore, Giovanni&lt;/author&gt;&lt;author&gt;Harp, Jason M.&lt;/author&gt;&lt;author&gt;Petrie, Christian M.&lt;/author&gt;&lt;author&gt;Capps, Nathan A.&lt;/author&gt;&lt;/authors&gt;&lt;/contributors&gt;&lt;titles&gt;&lt;title&gt;Application of BISON to UO2 MiniFuel fission gas release analysis&lt;/title&gt;&lt;secondary-title&gt;Journal of Nuclear Materials&lt;/secondary-title&gt;&lt;/titles&gt;&lt;periodical&gt;&lt;full-title&gt;Journal of Nuclear Materials&lt;/full-title&gt;&lt;/periodical&gt;&lt;pages&gt;153686&lt;/pages&gt;&lt;volume&gt;565&lt;/volume&gt;&lt;keywords&gt;&lt;keyword&gt;Fission gas release&lt;/keyword&gt;&lt;keyword&gt;BISON&lt;/keyword&gt;&lt;keyword&gt;MiniFuel&lt;/keyword&gt;&lt;keyword&gt;UO&lt;/keyword&gt;&lt;/keywords&gt;&lt;dates&gt;&lt;year&gt;2022&lt;/year&gt;&lt;pub-dates&gt;&lt;date&gt;2022/07/01/&lt;/date&gt;&lt;/pub-dates&gt;&lt;/dates&gt;&lt;isbn&gt;0022-3115&lt;/isbn&gt;&lt;urls&gt;&lt;related-urls&gt;&lt;url&gt;https://www.sciencedirect.com/science/article/pii/S0022311522001799&lt;/url&gt;&lt;/related-urls&gt;&lt;/urls&gt;&lt;electronic-resource-num&gt;https://doi.org/10.1016/j.jnucmat.2022.153686&lt;/electronic-resource-num&gt;&lt;/record&gt;&lt;/Cite&gt;&lt;/EndNote&gt;</w:instrText>
      </w:r>
      <w:r>
        <w:fldChar w:fldCharType="separate"/>
      </w:r>
      <w:r w:rsidR="007245A9">
        <w:rPr>
          <w:noProof/>
        </w:rPr>
        <w:t>[185]</w:t>
      </w:r>
      <w:r>
        <w:fldChar w:fldCharType="end"/>
      </w:r>
      <w:r>
        <w:t xml:space="preserve">. The table reports FGR as a function of both temperature and burnup. Within this table, the FGR is defined as the fraction of FGR versus the total fission gas generated. The model assumes the composition of FGR is a 7.5:1 ratio of Xe to Kr as reported by Tonks et. al. </w:t>
      </w:r>
      <w:r>
        <w:fldChar w:fldCharType="begin"/>
      </w:r>
      <w:r w:rsidR="007245A9">
        <w:instrText xml:space="preserve"> ADDIN EN.CITE &lt;EndNote&gt;&lt;Cite&gt;&lt;Author&gt;Tonks&lt;/Author&gt;&lt;Year&gt;2018&lt;/Year&gt;&lt;RecNum&gt;538&lt;/RecNum&gt;&lt;DisplayText&gt;[186]&lt;/DisplayText&gt;&lt;record&gt;&lt;rec-number&gt;538&lt;/rec-number&gt;&lt;foreign-keys&gt;&lt;key app="EN" db-id="eseee05sfe5vt6efvr0xapvq20vfdsfp5fvf" timestamp="1741380996"&gt;538&lt;/key&gt;&lt;/foreign-keys&gt;&lt;ref-type name="Journal Article"&gt;17&lt;/ref-type&gt;&lt;contributors&gt;&lt;authors&gt;&lt;author&gt;Tonks, Michael&lt;/author&gt;&lt;author&gt;Andersson, David&lt;/author&gt;&lt;author&gt;Devanathan, Ram&lt;/author&gt;&lt;author&gt;Dubourg, Roland&lt;/author&gt;&lt;author&gt;El-Azab, Anter&lt;/author&gt;&lt;author&gt;Freyss, Michel&lt;/author&gt;&lt;author&gt;Iglesias, Fernando&lt;/author&gt;&lt;author&gt;Kulacsy, Katalin&lt;/author&gt;&lt;author&gt;Pastore, Giovanni&lt;/author&gt;&lt;author&gt;Phillpot, Simon R.&lt;/author&gt;&lt;author&gt;Welland, Michael&lt;/author&gt;&lt;/authors&gt;&lt;/contributors&gt;&lt;titles&gt;&lt;title&gt;Unit mechanisms of fission gas release: Current understanding and future needs&lt;/title&gt;&lt;secondary-title&gt;Journal of Nuclear Materials&lt;/secondary-title&gt;&lt;/titles&gt;&lt;periodical&gt;&lt;full-title&gt;Journal of Nuclear Materials&lt;/full-title&gt;&lt;/periodical&gt;&lt;pages&gt;300-317&lt;/pages&gt;&lt;volume&gt;504&lt;/volume&gt;&lt;dates&gt;&lt;year&gt;2018&lt;/year&gt;&lt;pub-dates&gt;&lt;date&gt;2018/06/01/&lt;/date&gt;&lt;/pub-dates&gt;&lt;/dates&gt;&lt;isbn&gt;0022-3115&lt;/isbn&gt;&lt;urls&gt;&lt;related-urls&gt;&lt;url&gt;https://www.sciencedirect.com/science/article/pii/S0022311517313405&lt;/url&gt;&lt;/related-urls&gt;&lt;/urls&gt;&lt;electronic-resource-num&gt;https://doi.org/10.1016/j.jnucmat.2018.03.016&lt;/electronic-resource-num&gt;&lt;/record&gt;&lt;/Cite&gt;&lt;/EndNote&gt;</w:instrText>
      </w:r>
      <w:r>
        <w:fldChar w:fldCharType="separate"/>
      </w:r>
      <w:r w:rsidR="007245A9">
        <w:rPr>
          <w:noProof/>
        </w:rPr>
        <w:t>[186]</w:t>
      </w:r>
      <w:r>
        <w:fldChar w:fldCharType="end"/>
      </w:r>
      <w:r>
        <w:t xml:space="preserve">. The total moles of fission gas are calculated based on the fission rate within the fuel and by assuming 25% of all fission products are gaseous (Xe and Kr) as per Cheniour et. al. </w:t>
      </w:r>
      <w:r>
        <w:fldChar w:fldCharType="begin"/>
      </w:r>
      <w:r w:rsidR="007245A9">
        <w:instrText xml:space="preserve"> ADDIN EN.CITE &lt;EndNote&gt;&lt;Cite&gt;&lt;Author&gt;Cheniour&lt;/Author&gt;&lt;Year&gt;2022&lt;/Year&gt;&lt;RecNum&gt;423&lt;/RecNum&gt;&lt;DisplayText&gt;[185]&lt;/DisplayText&gt;&lt;record&gt;&lt;rec-number&gt;423&lt;/rec-number&gt;&lt;foreign-keys&gt;&lt;key app="EN" db-id="eseee05sfe5vt6efvr0xapvq20vfdsfp5fvf" timestamp="1710037058"&gt;423&lt;/key&gt;&lt;/foreign-keys&gt;&lt;ref-type name="Journal Article"&gt;17&lt;/ref-type&gt;&lt;contributors&gt;&lt;authors&gt;&lt;author&gt;Cheniour, Amani&lt;/author&gt;&lt;author&gt;Pastore, Giovanni&lt;/author&gt;&lt;author&gt;Harp, Jason M.&lt;/author&gt;&lt;author&gt;Petrie, Christian M.&lt;/author&gt;&lt;author&gt;Capps, Nathan A.&lt;/author&gt;&lt;/authors&gt;&lt;/contributors&gt;&lt;titles&gt;&lt;title&gt;Application of BISON to UO2 MiniFuel fission gas release analysis&lt;/title&gt;&lt;secondary-title&gt;Journal of Nuclear Materials&lt;/secondary-title&gt;&lt;/titles&gt;&lt;periodical&gt;&lt;full-title&gt;Journal of Nuclear Materials&lt;/full-title&gt;&lt;/periodical&gt;&lt;pages&gt;153686&lt;/pages&gt;&lt;volume&gt;565&lt;/volume&gt;&lt;keywords&gt;&lt;keyword&gt;Fission gas release&lt;/keyword&gt;&lt;keyword&gt;BISON&lt;/keyword&gt;&lt;keyword&gt;MiniFuel&lt;/keyword&gt;&lt;keyword&gt;UO&lt;/keyword&gt;&lt;/keywords&gt;&lt;dates&gt;&lt;year&gt;2022&lt;/year&gt;&lt;pub-dates&gt;&lt;date&gt;2022/07/01/&lt;/date&gt;&lt;/pub-dates&gt;&lt;/dates&gt;&lt;isbn&gt;0022-3115&lt;/isbn&gt;&lt;urls&gt;&lt;related-urls&gt;&lt;url&gt;https://www.sciencedirect.com/science/article/pii/S0022311522001799&lt;/url&gt;&lt;/related-urls&gt;&lt;/urls&gt;&lt;electronic-resource-num&gt;https://doi.org/10.1016/j.jnucmat.2022.153686&lt;/electronic-resource-num&gt;&lt;/record&gt;&lt;/Cite&gt;&lt;/EndNote&gt;</w:instrText>
      </w:r>
      <w:r>
        <w:fldChar w:fldCharType="separate"/>
      </w:r>
      <w:r w:rsidR="007245A9">
        <w:rPr>
          <w:noProof/>
        </w:rPr>
        <w:t>[185]</w:t>
      </w:r>
      <w:r>
        <w:fldChar w:fldCharType="end"/>
      </w:r>
      <w:r>
        <w:t xml:space="preserve">. </w:t>
      </w:r>
      <w:r w:rsidRPr="002602FA">
        <w:t xml:space="preserve">The fission rate is conservatively estimated as the peak fission rate in the capsule throughout each cycle. </w:t>
      </w:r>
    </w:p>
    <w:p w14:paraId="2ED2D1A9" w14:textId="77777777" w:rsidR="007548A7" w:rsidRDefault="007548A7" w:rsidP="00F22A75">
      <w:r>
        <w:t>The model first performs the TCC calculation assuming the fuel and dish are initially at the same temperature and the initial gas composition is pure helium. The code then predicts an updated fuel temperature using the TCC and interfacial heat flux based on the fuel volumetric heat generation. If the difference between the initial fuel interface temperature prediction and calculated fuel interface temperature is greater than 0.01</w:t>
      </w:r>
      <w:r w:rsidRPr="008C04B3">
        <w:rPr>
          <w:rFonts w:ascii="Calibri" w:hAnsi="Calibri" w:cs="Calibri"/>
          <w:color w:val="000000"/>
        </w:rPr>
        <w:t>°C</w:t>
      </w:r>
      <w:r>
        <w:t xml:space="preserve">, the initial fuel interface temperature prediction is replaced with the calculated fuel interface temperature. This calculation process is repeated until the temperature of the fuel meets the convergence criteria. This process is repeated at each timestep, </w:t>
      </w:r>
      <w:r w:rsidRPr="002602FA">
        <w:t>using a timestep of 2 days</w:t>
      </w:r>
      <w:r>
        <w:t>, as the gas composition gradually changes due to FGR at higher burnup. The dish temperature is selected such that under nominal design conditions, not accounting for parameter uncertainties, the fuel interface temperature is 1000</w:t>
      </w:r>
      <w:r w:rsidRPr="000D6649">
        <w:rPr>
          <w:color w:val="000000"/>
        </w:rPr>
        <w:t>°C</w:t>
      </w:r>
      <w:r>
        <w:rPr>
          <w:color w:val="000000"/>
        </w:rPr>
        <w:t xml:space="preserve">. This same methodology will be used throughout the analysis to inspect several fuel interface </w:t>
      </w:r>
      <w:r>
        <w:rPr>
          <w:color w:val="000000"/>
        </w:rPr>
        <w:lastRenderedPageBreak/>
        <w:t>temperatures. Fuel interface temperatures under nominal design conditions will be referred to as target temperatures.</w:t>
      </w:r>
    </w:p>
    <w:p w14:paraId="75BAEC67" w14:textId="5E823185" w:rsidR="007548A7" w:rsidRDefault="007548A7" w:rsidP="00F22A75">
      <w:r>
        <w:t xml:space="preserve">A Sobol sensitivity analysis </w:t>
      </w:r>
      <w:r>
        <w:fldChar w:fldCharType="begin"/>
      </w:r>
      <w:r w:rsidR="007245A9">
        <w:instrText xml:space="preserve"> ADDIN EN.CITE &lt;EndNote&gt;&lt;Cite&gt;&lt;Author&gt;Sobol′&lt;/Author&gt;&lt;Year&gt;2001&lt;/Year&gt;&lt;RecNum&gt;473&lt;/RecNum&gt;&lt;DisplayText&gt;[187]&lt;/DisplayText&gt;&lt;record&gt;&lt;rec-number&gt;473&lt;/rec-number&gt;&lt;foreign-keys&gt;&lt;key app="EN" db-id="eseee05sfe5vt6efvr0xapvq20vfdsfp5fvf" timestamp="1714491209"&gt;473&lt;/key&gt;&lt;/foreign-keys&gt;&lt;ref-type name="Journal Article"&gt;17&lt;/ref-type&gt;&lt;contributors&gt;&lt;authors&gt;&lt;author&gt;Sobol′, I. M.&lt;/author&gt;&lt;/authors&gt;&lt;/contributors&gt;&lt;titles&gt;&lt;title&gt;Global sensitivity indices for nonlinear mathematical models and their Monte Carlo estimates&lt;/title&gt;&lt;secondary-title&gt;Mathematics and Computers in Simulation&lt;/secondary-title&gt;&lt;/titles&gt;&lt;periodical&gt;&lt;full-title&gt;Mathematics and Computers in Simulation&lt;/full-title&gt;&lt;/periodical&gt;&lt;pages&gt;271-280&lt;/pages&gt;&lt;volume&gt;55&lt;/volume&gt;&lt;number&gt;1&lt;/number&gt;&lt;keywords&gt;&lt;keyword&gt;Sensitivity analysis&lt;/keyword&gt;&lt;keyword&gt;Monte Carlo method&lt;/keyword&gt;&lt;keyword&gt;Quasi-Monte Carlo method&lt;/keyword&gt;&lt;keyword&gt;Mathematical modelling&lt;/keyword&gt;&lt;/keywords&gt;&lt;dates&gt;&lt;year&gt;2001&lt;/year&gt;&lt;pub-dates&gt;&lt;date&gt;2001/02/15/&lt;/date&gt;&lt;/pub-dates&gt;&lt;/dates&gt;&lt;isbn&gt;0378-4754&lt;/isbn&gt;&lt;urls&gt;&lt;related-urls&gt;&lt;url&gt;https://www.sciencedirect.com/science/article/pii/S0378475400002706&lt;/url&gt;&lt;/related-urls&gt;&lt;/urls&gt;&lt;electronic-resource-num&gt;https://doi.org/10.1016/S0378-4754(00)00270-6&lt;/electronic-resource-num&gt;&lt;/record&gt;&lt;/Cite&gt;&lt;/EndNote&gt;</w:instrText>
      </w:r>
      <w:r>
        <w:fldChar w:fldCharType="separate"/>
      </w:r>
      <w:r w:rsidR="007245A9">
        <w:rPr>
          <w:noProof/>
        </w:rPr>
        <w:t>[187]</w:t>
      </w:r>
      <w:r>
        <w:fldChar w:fldCharType="end"/>
      </w:r>
      <w:r>
        <w:t xml:space="preserve"> inspecting the variance of the fuel temperature calculation within the Python model is performed by varying the HGRs and TCC model parameters associated with the fuel, dish and fill gas. The total Sobol index of each parameter is calculated using SALib </w:t>
      </w:r>
      <w:r>
        <w:fldChar w:fldCharType="begin"/>
      </w:r>
      <w:r w:rsidR="003026BC">
        <w:instrText xml:space="preserve"> ADDIN EN.CITE &lt;EndNote&gt;&lt;Cite&gt;&lt;Author&gt;Jon Herman&lt;/Author&gt;&lt;Year&gt;2017&lt;/Year&gt;&lt;RecNum&gt;434&lt;/RecNum&gt;&lt;DisplayText&gt;[164]&lt;/DisplayText&gt;&lt;record&gt;&lt;rec-number&gt;434&lt;/rec-number&gt;&lt;foreign-keys&gt;&lt;key app="EN" db-id="eseee05sfe5vt6efvr0xapvq20vfdsfp5fvf" timestamp="1710172001"&gt;434&lt;/key&gt;&lt;/foreign-keys&gt;&lt;ref-type name="Journal Article"&gt;17&lt;/ref-type&gt;&lt;contributors&gt;&lt;authors&gt;&lt;author&gt;Jon Herman,&lt;/author&gt;&lt;author&gt;Will Usher&lt;/author&gt;&lt;/authors&gt;&lt;/contributors&gt;&lt;titles&gt;&lt;title&gt;SALib: An open-source Python library for sensitivity analysis. Journal of Open Source Software&lt;/title&gt;&lt;secondary-title&gt;The Journal of Open Source Software&lt;/secondary-title&gt;&lt;/titles&gt;&lt;periodical&gt;&lt;full-title&gt;The Journal of Open Source Software&lt;/full-title&gt;&lt;/periodical&gt;&lt;volume&gt;2&lt;/volume&gt;&lt;num-vols&gt;9&lt;/num-vols&gt;&lt;dates&gt;&lt;year&gt;2017&lt;/year&gt;&lt;pub-dates&gt;&lt;date&gt;Jan 2017&lt;/date&gt;&lt;/pub-dates&gt;&lt;/dates&gt;&lt;urls&gt;&lt;/urls&gt;&lt;electronic-resource-num&gt;https://doi.org/10.21105/joss.00097&lt;/electronic-resource-num&gt;&lt;/record&gt;&lt;/Cite&gt;&lt;/EndNote&gt;</w:instrText>
      </w:r>
      <w:r>
        <w:fldChar w:fldCharType="separate"/>
      </w:r>
      <w:r w:rsidR="003026BC">
        <w:rPr>
          <w:noProof/>
        </w:rPr>
        <w:t>[164]</w:t>
      </w:r>
      <w:r>
        <w:fldChar w:fldCharType="end"/>
      </w:r>
      <w:r>
        <w:t xml:space="preserve">, a set of open-source Python libraries, using a Monte Carlo sampling scheme. </w:t>
      </w:r>
    </w:p>
    <w:p w14:paraId="1613561C" w14:textId="105FEA6C" w:rsidR="005F5212" w:rsidRDefault="007548A7" w:rsidP="00F22A75">
      <w:r>
        <w:t>The uncertainties of each parameter within this study are listed in</w:t>
      </w:r>
      <w:r w:rsidR="000360CF">
        <w:t xml:space="preserve"> </w:t>
      </w:r>
      <w:r w:rsidR="000360CF" w:rsidRPr="007258A1">
        <w:rPr>
          <w:b/>
          <w:bCs/>
        </w:rPr>
        <w:fldChar w:fldCharType="begin"/>
      </w:r>
      <w:r w:rsidR="000360CF" w:rsidRPr="007258A1">
        <w:rPr>
          <w:b/>
          <w:bCs/>
        </w:rPr>
        <w:instrText xml:space="preserve"> REF _Ref198131881 \h </w:instrText>
      </w:r>
      <w:r w:rsidR="007258A1">
        <w:rPr>
          <w:b/>
          <w:bCs/>
        </w:rPr>
        <w:instrText xml:space="preserve"> \* MERGEFORMAT </w:instrText>
      </w:r>
      <w:r w:rsidR="000360CF" w:rsidRPr="007258A1">
        <w:rPr>
          <w:b/>
          <w:bCs/>
        </w:rPr>
      </w:r>
      <w:r w:rsidR="000360CF" w:rsidRPr="007258A1">
        <w:rPr>
          <w:b/>
          <w:bCs/>
        </w:rPr>
        <w:fldChar w:fldCharType="separate"/>
      </w:r>
      <w:r w:rsidR="00BF7E93" w:rsidRPr="00BF7E93">
        <w:rPr>
          <w:b/>
          <w:bCs/>
        </w:rPr>
        <w:t xml:space="preserve">Table </w:t>
      </w:r>
      <w:r w:rsidR="00BF7E93" w:rsidRPr="00BF7E93">
        <w:rPr>
          <w:b/>
          <w:bCs/>
          <w:noProof/>
        </w:rPr>
        <w:t>4.8</w:t>
      </w:r>
      <w:r w:rsidR="000360CF" w:rsidRPr="007258A1">
        <w:rPr>
          <w:b/>
          <w:bCs/>
        </w:rPr>
        <w:fldChar w:fldCharType="end"/>
      </w:r>
      <w:r w:rsidR="000360CF">
        <w:t xml:space="preserve">. </w:t>
      </w:r>
      <w:r>
        <w:t xml:space="preserve">The uncertainty in volumetric heat generation is based the work of Chandler et. al. </w:t>
      </w:r>
      <w:r>
        <w:fldChar w:fldCharType="begin"/>
      </w:r>
      <w:r w:rsidR="003026BC">
        <w:instrText xml:space="preserve"> ADDIN EN.CITE &lt;EndNote&gt;&lt;Cite&gt;&lt;Author&gt;Chandler&lt;/Author&gt;&lt;Year&gt;2020&lt;/Year&gt;&lt;RecNum&gt;469&lt;/RecNum&gt;&lt;DisplayText&gt;[131]&lt;/DisplayText&gt;&lt;record&gt;&lt;rec-number&gt;469&lt;/rec-number&gt;&lt;foreign-keys&gt;&lt;key app="EN" db-id="eseee05sfe5vt6efvr0xapvq20vfdsfp5fvf" timestamp="1713901234"&gt;469&lt;/key&gt;&lt;/foreign-keys&gt;&lt;ref-type name="Journal Article"&gt;17&lt;/ref-type&gt;&lt;contributors&gt;&lt;authors&gt;&lt;author&gt;Chandler, David&lt;/author&gt;&lt;author&gt;Betzler, Benjamin R.&lt;/author&gt;&lt;author&gt;Davidson, Eva E.&lt;/author&gt;&lt;author&gt;Ilas, Germina&lt;/author&gt;&lt;/authors&gt;&lt;/contributors&gt;&lt;titles&gt;&lt;title&gt;Modeling and simulation of a High Flux Isotope Reactor representative core model for updated performance and safety basis assessments&lt;/title&gt;&lt;secondary-title&gt;Nuclear Engineering and Design&lt;/secondary-title&gt;&lt;/titles&gt;&lt;periodical&gt;&lt;full-title&gt;Nuclear Engineering and Design&lt;/full-title&gt;&lt;/periodical&gt;&lt;pages&gt;110752&lt;/pages&gt;&lt;volume&gt;366&lt;/volume&gt;&lt;keywords&gt;&lt;keyword&gt;High Flux Isotope Reactor&lt;/keyword&gt;&lt;keyword&gt;Research reactor&lt;/keyword&gt;&lt;keyword&gt;Neutronics&lt;/keyword&gt;&lt;keyword&gt;Reactor physics&lt;/keyword&gt;&lt;keyword&gt;Depletion&lt;/keyword&gt;&lt;keyword&gt;Thermal-hydraulics&lt;/keyword&gt;&lt;/keywords&gt;&lt;dates&gt;&lt;year&gt;2020&lt;/year&gt;&lt;pub-dates&gt;&lt;date&gt;2020/09/01/&lt;/date&gt;&lt;/pub-dates&gt;&lt;/dates&gt;&lt;isbn&gt;0029-5493&lt;/isbn&gt;&lt;urls&gt;&lt;related-urls&gt;&lt;url&gt;https://www.sciencedirect.com/science/article/pii/S0029549320302466&lt;/url&gt;&lt;/related-urls&gt;&lt;/urls&gt;&lt;electronic-resource-num&gt;https://doi.org/10.1016/j.nucengdes.2020.110752&lt;/electronic-resource-num&gt;&lt;/record&gt;&lt;/Cite&gt;&lt;/EndNote&gt;</w:instrText>
      </w:r>
      <w:r>
        <w:fldChar w:fldCharType="separate"/>
      </w:r>
      <w:r w:rsidR="003026BC">
        <w:rPr>
          <w:noProof/>
        </w:rPr>
        <w:t>[131]</w:t>
      </w:r>
      <w:r>
        <w:fldChar w:fldCharType="end"/>
      </w:r>
      <w:r>
        <w:t xml:space="preserve"> which reports a maximum allowable flux tilt of 9% for a nominal HFIR loading. The material thermal property uncertainties are based on empirical models reported in the associated references and account for temperature dependent uncertainties where </w:t>
      </w:r>
      <w:r w:rsidR="00D623B1">
        <w:t>applicable. The s</w:t>
      </w:r>
      <w:r w:rsidR="00D623B1" w:rsidRPr="004369B8">
        <w:t xml:space="preserve">urface roughness of each material </w:t>
      </w:r>
      <w:r w:rsidR="00D623B1">
        <w:t>i</w:t>
      </w:r>
      <w:r w:rsidR="00D623B1" w:rsidRPr="004369B8">
        <w:t xml:space="preserve">s varied using a rough estimate ranging from a </w:t>
      </w:r>
      <w:r w:rsidR="00D623B1">
        <w:t>smooth</w:t>
      </w:r>
      <w:r w:rsidR="00D623B1" w:rsidRPr="004369B8">
        <w:t xml:space="preserve"> finish</w:t>
      </w:r>
      <w:r w:rsidR="00D623B1">
        <w:t xml:space="preserve"> (0.8 </w:t>
      </w:r>
      <w:r w:rsidR="00D623B1">
        <w:sym w:font="Symbol" w:char="F06D"/>
      </w:r>
      <w:r w:rsidR="00D623B1">
        <w:t>m)</w:t>
      </w:r>
      <w:r w:rsidR="00D623B1" w:rsidRPr="004369B8">
        <w:t xml:space="preserve"> to rough finish</w:t>
      </w:r>
      <w:r w:rsidR="00D623B1">
        <w:t xml:space="preserve"> (2.0 </w:t>
      </w:r>
      <w:r w:rsidR="00D623B1">
        <w:sym w:font="Symbol" w:char="F06D"/>
      </w:r>
      <w:r w:rsidR="00D623B1">
        <w:t>m)</w:t>
      </w:r>
      <w:r w:rsidR="00D623B1" w:rsidRPr="004369B8">
        <w:t>.</w:t>
      </w:r>
      <w:r w:rsidR="00D623B1">
        <w:t xml:space="preserve"> Microhardness is only considered for the Mo dish as the correlation for solid spot conductance (SSC) uses the microhardness of the softer material. The burnup of the fuel is varied from 0 to 80 GWd/MTU to determine the influence of FGR</w:t>
      </w:r>
      <w:r w:rsidR="00D623B1" w:rsidDel="00F27A40">
        <w:t xml:space="preserve"> </w:t>
      </w:r>
      <w:r w:rsidR="00D623B1">
        <w:t>over a large irradiation envelope. Contact pressure between the fuel and dish in the current capsule design is due to gravity. The contact pressure range considered in this study are determined with H</w:t>
      </w:r>
      <w:r w:rsidR="00D623B1" w:rsidRPr="00C054DD">
        <w:rPr>
          <w:vertAlign w:val="subscript"/>
        </w:rPr>
        <w:t>eff</w:t>
      </w:r>
      <w:r w:rsidR="00D623B1">
        <w:t>/P</w:t>
      </w:r>
      <w:r w:rsidR="00D623B1" w:rsidRPr="00C054DD">
        <w:rPr>
          <w:vertAlign w:val="subscript"/>
        </w:rPr>
        <w:t>c</w:t>
      </w:r>
      <w:r w:rsidR="00D623B1">
        <w:t xml:space="preserve"> values based on experimental studies of metal-metal contact by Bahrami et. al. </w:t>
      </w:r>
      <w:r w:rsidR="00D623B1">
        <w:fldChar w:fldCharType="begin"/>
      </w:r>
      <w:r w:rsidR="00D623B1">
        <w:instrText xml:space="preserve"> ADDIN EN.CITE &lt;EndNote&gt;&lt;Cite&gt;&lt;Author&gt;Bahrami&lt;/Author&gt;&lt;Year&gt;2004&lt;/Year&gt;&lt;RecNum&gt;466&lt;/RecNum&gt;&lt;DisplayText&gt;[177]&lt;/DisplayText&gt;&lt;record&gt;&lt;rec-number&gt;466&lt;/rec-number&gt;&lt;foreign-keys&gt;&lt;key app="EN" db-id="eseee05sfe5vt6efvr0xapvq20vfdsfp5fvf" timestamp="1713384902"&gt;466&lt;/key&gt;&lt;/foreign-keys&gt;&lt;ref-type name="Conference Proceedings"&gt;10&lt;/ref-type&gt;&lt;contributors&gt;&lt;authors&gt;&lt;author&gt;Bahrami, Majid&lt;/author&gt;&lt;author&gt;Culham, Richard&lt;/author&gt;&lt;author&gt;Yovanovich, Michael&lt;/author&gt;&lt;/authors&gt;&lt;/contributors&gt;&lt;titles&gt;&lt;title&gt;Thermal resistances of gaseous gap for conforming rough contacts&lt;/title&gt;&lt;secondary-title&gt;42nd AIAA Aerospace Sciences Meeting and Exhibit&lt;/secondary-title&gt;&lt;/titles&gt;&lt;pages&gt;821&lt;/pages&gt;&lt;dates&gt;&lt;year&gt;2004&lt;/year&gt;&lt;pub-dates&gt;&lt;date&gt;2004&lt;/date&gt;&lt;/pub-dates&gt;&lt;/dates&gt;&lt;urls&gt;&lt;/urls&gt;&lt;/record&gt;&lt;/Cite&gt;&lt;/EndNote&gt;</w:instrText>
      </w:r>
      <w:r w:rsidR="00D623B1">
        <w:fldChar w:fldCharType="separate"/>
      </w:r>
      <w:r w:rsidR="00D623B1">
        <w:rPr>
          <w:noProof/>
        </w:rPr>
        <w:t>[177]</w:t>
      </w:r>
      <w:r w:rsidR="00D623B1">
        <w:fldChar w:fldCharType="end"/>
      </w:r>
      <w:r w:rsidR="00D623B1">
        <w:t xml:space="preserve">, and Yüncü </w:t>
      </w:r>
      <w:r w:rsidR="00D623B1">
        <w:fldChar w:fldCharType="begin"/>
      </w:r>
      <w:r w:rsidR="00D623B1">
        <w:instrText xml:space="preserve"> ADDIN EN.CITE &lt;EndNote&gt;&lt;Cite&gt;&lt;Author&gt;Yüncü&lt;/Author&gt;&lt;Year&gt;2006&lt;/Year&gt;&lt;RecNum&gt;463&lt;/RecNum&gt;&lt;DisplayText&gt;[179]&lt;/DisplayText&gt;&lt;record&gt;&lt;rec-number&gt;463&lt;/rec-number&gt;&lt;foreign-keys&gt;&lt;key app="EN" db-id="eseee05sfe5vt6efvr0xapvq20vfdsfp5fvf" timestamp="1713373610"&gt;463&lt;/key&gt;&lt;/foreign-keys&gt;&lt;ref-type name="Journal Article"&gt;17&lt;/ref-type&gt;&lt;contributors&gt;&lt;authors&gt;&lt;author&gt;Yüncü, H.&lt;/author&gt;&lt;/authors&gt;&lt;/contributors&gt;&lt;titles&gt;&lt;title&gt;Thermal contact conductance of nominaly flat surfaces&lt;/title&gt;&lt;secondary-title&gt;Heat and Mass Transfer&lt;/secondary-title&gt;&lt;/titles&gt;&lt;periodical&gt;&lt;full-title&gt;Heat and Mass Transfer&lt;/full-title&gt;&lt;/periodical&gt;&lt;pages&gt;1-5&lt;/pages&gt;&lt;volume&gt;43&lt;/volume&gt;&lt;number&gt;1&lt;/number&gt;&lt;dates&gt;&lt;year&gt;2006&lt;/year&gt;&lt;pub-dates&gt;&lt;date&gt;2006/11/01&lt;/date&gt;&lt;/pub-dates&gt;&lt;/dates&gt;&lt;isbn&gt;1432-1181&lt;/isbn&gt;&lt;urls&gt;&lt;related-urls&gt;&lt;url&gt;https://doi.org/10.1007/s00231-006-0087-9&lt;/url&gt;&lt;/related-urls&gt;&lt;/urls&gt;&lt;electronic-resource-num&gt;10.1007/s00231-006-0087-9&lt;/electronic-resource-num&gt;&lt;/record&gt;&lt;/Cite&gt;&lt;/EndNote&gt;</w:instrText>
      </w:r>
      <w:r w:rsidR="00D623B1">
        <w:fldChar w:fldCharType="separate"/>
      </w:r>
      <w:r w:rsidR="00D623B1">
        <w:rPr>
          <w:noProof/>
        </w:rPr>
        <w:t>[179]</w:t>
      </w:r>
      <w:r w:rsidR="00D623B1">
        <w:fldChar w:fldCharType="end"/>
      </w:r>
      <w:r w:rsidR="00D623B1">
        <w:t xml:space="preserve"> using the method outlined by McDuffee </w:t>
      </w:r>
      <w:r w:rsidR="00D623B1">
        <w:fldChar w:fldCharType="begin"/>
      </w:r>
      <w:r w:rsidR="00D623B1">
        <w:instrText xml:space="preserve"> ADDIN EN.CITE &lt;EndNote&gt;&lt;Cite&gt;&lt;Author&gt;McDuffee&lt;/Author&gt;&lt;Year&gt;2013&lt;/Year&gt;&lt;RecNum&gt;427&lt;/RecNum&gt;&lt;DisplayText&gt;[153]&lt;/DisplayText&gt;&lt;record&gt;&lt;rec-number&gt;427&lt;/rec-number&gt;&lt;foreign-keys&gt;&lt;key app="EN" db-id="eseee05sfe5vt6efvr0xapvq20vfdsfp5fvf" timestamp="1710045524"&gt;427&lt;/key&gt;&lt;/foreign-keys&gt;&lt;ref-type name="Conference Paper"&gt;47&lt;/ref-type&gt;&lt;contributors&gt;&lt;authors&gt;&lt;author&gt;McDuffee, Joel L.&lt;/author&gt;&lt;/authors&gt;&lt;/contributors&gt;&lt;titles&gt;&lt;title&gt;Heat Transfer Through Small Moveable Gas Gaps in a Multi-Body System Using the ANSYS Finite Element Software&lt;/title&gt;&lt;secondary-title&gt;ASME 2013 Heat Transfer Summer Conference&lt;/secondary-title&gt;&lt;/titles&gt;&lt;number&gt;V001T01A038&lt;/number&gt;&lt;dates&gt;&lt;year&gt;2013&lt;/year&gt;&lt;/dates&gt;&lt;urls&gt;&lt;related-urls&gt;&lt;url&gt;https://doi.org/10.1115/HT2013-17783&lt;/url&gt;&lt;/related-urls&gt;&lt;/urls&gt;&lt;custom1&gt;Volume 1: Heat Transfer in Energy Systems; Thermophysical Properties; Theory and Fundamental Research in Heat Transfer&lt;/custom1&gt;&lt;custom2&gt;ASME 2013 Heat Transfer Summer Conference collocated with the ASME 2013 7th International Conference on Energy Sustainability and the ASME 2013 11th International Conference on Fuel Cell Science, Engineering and Technology&lt;/custom2&gt;&lt;custom3&gt;HT2013&lt;/custom3&gt;&lt;custom4&gt;Heat Transfer Summer Conference&lt;/custom4&gt;&lt;electronic-resource-num&gt;10.1115/HT2013-17783&lt;/electronic-resource-num&gt;&lt;access-date&gt;3/10/2024&lt;/access-date&gt;&lt;/record&gt;&lt;/Cite&gt;&lt;/EndNote&gt;</w:instrText>
      </w:r>
      <w:r w:rsidR="00D623B1">
        <w:fldChar w:fldCharType="separate"/>
      </w:r>
      <w:r w:rsidR="00D623B1">
        <w:rPr>
          <w:noProof/>
        </w:rPr>
        <w:t>[153]</w:t>
      </w:r>
      <w:r w:rsidR="00D623B1">
        <w:fldChar w:fldCharType="end"/>
      </w:r>
      <w:r w:rsidR="00D623B1">
        <w:t>.</w:t>
      </w:r>
      <w:r w:rsidR="005F5212">
        <w:br w:type="page"/>
      </w:r>
      <w:bookmarkStart w:id="205" w:name="_Ref197942448"/>
      <w:bookmarkStart w:id="206" w:name="_Ref193721594"/>
    </w:p>
    <w:p w14:paraId="71A77506" w14:textId="070A2EB6" w:rsidR="007548A7" w:rsidRPr="0074556C" w:rsidRDefault="000360CF" w:rsidP="00874CBB">
      <w:pPr>
        <w:pStyle w:val="Caption"/>
      </w:pPr>
      <w:bookmarkStart w:id="207" w:name="_Ref198131881"/>
      <w:bookmarkStart w:id="208" w:name="_Toc202957529"/>
      <w:bookmarkEnd w:id="205"/>
      <w:r w:rsidRPr="009D2AA9">
        <w:lastRenderedPageBreak/>
        <w:t xml:space="preserve">Table </w:t>
      </w:r>
      <w:fldSimple w:instr=" STYLEREF 1 \s ">
        <w:r w:rsidR="00BF7E93">
          <w:rPr>
            <w:noProof/>
          </w:rPr>
          <w:t>4</w:t>
        </w:r>
      </w:fldSimple>
      <w:r w:rsidRPr="009D2AA9">
        <w:t>.</w:t>
      </w:r>
      <w:fldSimple w:instr=" SEQ Table \* ARABIC \s 1 ">
        <w:r w:rsidR="00BF7E93">
          <w:rPr>
            <w:noProof/>
          </w:rPr>
          <w:t>8</w:t>
        </w:r>
      </w:fldSimple>
      <w:bookmarkEnd w:id="207"/>
      <w:r w:rsidRPr="009D2AA9">
        <w:t xml:space="preserve">. </w:t>
      </w:r>
      <w:r w:rsidR="007548A7">
        <w:t>P</w:t>
      </w:r>
      <w:r w:rsidR="007548A7" w:rsidRPr="0074556C">
        <w:t>arameter uncertainty distributions</w:t>
      </w:r>
      <w:r w:rsidR="007548A7">
        <w:t xml:space="preserve"> for Sobol analysis</w:t>
      </w:r>
      <w:r w:rsidR="007548A7" w:rsidRPr="0074556C">
        <w:t>.</w:t>
      </w:r>
      <w:bookmarkEnd w:id="206"/>
      <w:bookmarkEnd w:id="208"/>
    </w:p>
    <w:tbl>
      <w:tblPr>
        <w:tblW w:w="7640" w:type="dxa"/>
        <w:tblInd w:w="483" w:type="dxa"/>
        <w:tblLayout w:type="fixed"/>
        <w:tblLook w:val="04A0" w:firstRow="1" w:lastRow="0" w:firstColumn="1" w:lastColumn="0" w:noHBand="0" w:noVBand="1"/>
      </w:tblPr>
      <w:tblGrid>
        <w:gridCol w:w="2137"/>
        <w:gridCol w:w="381"/>
        <w:gridCol w:w="954"/>
        <w:gridCol w:w="1980"/>
        <w:gridCol w:w="1260"/>
        <w:gridCol w:w="928"/>
      </w:tblGrid>
      <w:tr w:rsidR="007548A7" w:rsidRPr="0074556C" w14:paraId="4921C16E" w14:textId="77777777" w:rsidTr="00CE00E2">
        <w:trPr>
          <w:trHeight w:val="300"/>
        </w:trPr>
        <w:tc>
          <w:tcPr>
            <w:tcW w:w="21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0416D60" w14:textId="77777777" w:rsidR="007548A7" w:rsidRPr="00E2380E" w:rsidRDefault="007548A7" w:rsidP="0019075F">
            <w:pPr>
              <w:pStyle w:val="TableText"/>
            </w:pPr>
            <w:r w:rsidRPr="00E2380E">
              <w:t>Parameter Name</w:t>
            </w:r>
          </w:p>
        </w:tc>
        <w:tc>
          <w:tcPr>
            <w:tcW w:w="3315" w:type="dxa"/>
            <w:gridSpan w:val="3"/>
            <w:tcBorders>
              <w:top w:val="single" w:sz="4" w:space="0" w:color="auto"/>
              <w:left w:val="single" w:sz="4" w:space="0" w:color="auto"/>
              <w:bottom w:val="single" w:sz="4" w:space="0" w:color="auto"/>
              <w:right w:val="nil"/>
            </w:tcBorders>
            <w:shd w:val="clear" w:color="auto" w:fill="auto"/>
            <w:noWrap/>
            <w:vAlign w:val="center"/>
            <w:hideMark/>
          </w:tcPr>
          <w:p w14:paraId="290DE201" w14:textId="77777777" w:rsidR="007548A7" w:rsidRPr="00E2380E" w:rsidRDefault="007548A7" w:rsidP="0019075F">
            <w:pPr>
              <w:pStyle w:val="TableText"/>
            </w:pPr>
            <w:r w:rsidRPr="00E2380E">
              <w:t>Uncertainty</w:t>
            </w:r>
          </w:p>
        </w:tc>
        <w:tc>
          <w:tcPr>
            <w:tcW w:w="1260" w:type="dxa"/>
            <w:tcBorders>
              <w:top w:val="single" w:sz="4" w:space="0" w:color="auto"/>
              <w:left w:val="nil"/>
              <w:bottom w:val="single" w:sz="4" w:space="0" w:color="auto"/>
              <w:right w:val="single" w:sz="4" w:space="0" w:color="auto"/>
            </w:tcBorders>
            <w:shd w:val="clear" w:color="auto" w:fill="auto"/>
            <w:noWrap/>
            <w:vAlign w:val="center"/>
            <w:hideMark/>
          </w:tcPr>
          <w:p w14:paraId="14A409F2" w14:textId="77777777" w:rsidR="007548A7" w:rsidRPr="00E2380E" w:rsidRDefault="007548A7" w:rsidP="0019075F">
            <w:pPr>
              <w:pStyle w:val="TableText"/>
            </w:pPr>
            <w:r w:rsidRPr="00E2380E">
              <w:t>Unit</w:t>
            </w:r>
          </w:p>
        </w:tc>
        <w:tc>
          <w:tcPr>
            <w:tcW w:w="928" w:type="dxa"/>
            <w:tcBorders>
              <w:top w:val="single" w:sz="4" w:space="0" w:color="auto"/>
              <w:left w:val="nil"/>
              <w:bottom w:val="single" w:sz="4" w:space="0" w:color="auto"/>
              <w:right w:val="single" w:sz="4" w:space="0" w:color="auto"/>
            </w:tcBorders>
            <w:shd w:val="clear" w:color="auto" w:fill="auto"/>
            <w:noWrap/>
            <w:vAlign w:val="center"/>
            <w:hideMark/>
          </w:tcPr>
          <w:p w14:paraId="741E4AA0" w14:textId="77777777" w:rsidR="007548A7" w:rsidRPr="00E2380E" w:rsidRDefault="007548A7" w:rsidP="0019075F">
            <w:pPr>
              <w:pStyle w:val="TableText"/>
            </w:pPr>
            <w:r w:rsidRPr="00E2380E">
              <w:t>Source</w:t>
            </w:r>
          </w:p>
        </w:tc>
      </w:tr>
      <w:tr w:rsidR="007548A7" w:rsidRPr="0074556C" w14:paraId="27B9AD0E" w14:textId="77777777" w:rsidTr="00CE00E2">
        <w:trPr>
          <w:trHeight w:val="320"/>
        </w:trPr>
        <w:tc>
          <w:tcPr>
            <w:tcW w:w="2137" w:type="dxa"/>
            <w:tcBorders>
              <w:top w:val="single" w:sz="4" w:space="0" w:color="auto"/>
              <w:left w:val="single" w:sz="4" w:space="0" w:color="auto"/>
              <w:bottom w:val="single" w:sz="4" w:space="0" w:color="000000" w:themeColor="text1"/>
              <w:right w:val="single" w:sz="4" w:space="0" w:color="auto"/>
            </w:tcBorders>
            <w:shd w:val="clear" w:color="auto" w:fill="auto"/>
            <w:noWrap/>
            <w:vAlign w:val="center"/>
            <w:hideMark/>
          </w:tcPr>
          <w:p w14:paraId="2F06629E" w14:textId="77777777" w:rsidR="007548A7" w:rsidRPr="008C04B3" w:rsidRDefault="007548A7" w:rsidP="0019075F">
            <w:pPr>
              <w:pStyle w:val="TableText"/>
            </w:pPr>
            <w:r w:rsidRPr="008C04B3">
              <w:t>Q</w:t>
            </w:r>
          </w:p>
        </w:tc>
        <w:tc>
          <w:tcPr>
            <w:tcW w:w="381" w:type="dxa"/>
            <w:tcBorders>
              <w:top w:val="single" w:sz="4" w:space="0" w:color="auto"/>
              <w:left w:val="nil"/>
              <w:bottom w:val="single" w:sz="4" w:space="0" w:color="000000" w:themeColor="text1"/>
              <w:right w:val="nil"/>
            </w:tcBorders>
            <w:shd w:val="clear" w:color="auto" w:fill="auto"/>
            <w:noWrap/>
            <w:vAlign w:val="center"/>
            <w:hideMark/>
          </w:tcPr>
          <w:p w14:paraId="23021015" w14:textId="77777777" w:rsidR="007548A7" w:rsidRPr="008C04B3" w:rsidRDefault="007548A7" w:rsidP="0019075F">
            <w:pPr>
              <w:pStyle w:val="TableText"/>
              <w:rPr>
                <w:rFonts w:ascii="Cambria Math" w:hAnsi="Cambria Math"/>
              </w:rPr>
            </w:pPr>
            <w:r w:rsidRPr="008C04B3">
              <w:rPr>
                <w:rFonts w:ascii="Cambria Math" w:hAnsi="Cambria Math"/>
              </w:rPr>
              <w:t>±</w:t>
            </w:r>
          </w:p>
        </w:tc>
        <w:tc>
          <w:tcPr>
            <w:tcW w:w="954" w:type="dxa"/>
            <w:tcBorders>
              <w:top w:val="single" w:sz="4" w:space="0" w:color="auto"/>
              <w:left w:val="nil"/>
              <w:bottom w:val="single" w:sz="4" w:space="0" w:color="000000" w:themeColor="text1"/>
              <w:right w:val="nil"/>
            </w:tcBorders>
          </w:tcPr>
          <w:p w14:paraId="212FB073" w14:textId="77777777" w:rsidR="007548A7" w:rsidRPr="008C04B3" w:rsidRDefault="007548A7" w:rsidP="0019075F">
            <w:pPr>
              <w:pStyle w:val="TableText"/>
            </w:pPr>
            <w:r w:rsidRPr="008C04B3">
              <w:t>9</w:t>
            </w:r>
          </w:p>
        </w:tc>
        <w:tc>
          <w:tcPr>
            <w:tcW w:w="1980" w:type="dxa"/>
            <w:tcBorders>
              <w:top w:val="single" w:sz="4" w:space="0" w:color="auto"/>
              <w:left w:val="nil"/>
              <w:bottom w:val="single" w:sz="4" w:space="0" w:color="000000" w:themeColor="text1"/>
              <w:right w:val="nil"/>
            </w:tcBorders>
            <w:shd w:val="clear" w:color="auto" w:fill="auto"/>
            <w:noWrap/>
            <w:vAlign w:val="center"/>
            <w:hideMark/>
          </w:tcPr>
          <w:p w14:paraId="3D90F5CF" w14:textId="77777777" w:rsidR="007548A7" w:rsidRPr="008C04B3" w:rsidRDefault="007548A7" w:rsidP="0019075F">
            <w:pPr>
              <w:pStyle w:val="TableText"/>
            </w:pPr>
          </w:p>
        </w:tc>
        <w:tc>
          <w:tcPr>
            <w:tcW w:w="1260" w:type="dxa"/>
            <w:tcBorders>
              <w:top w:val="single" w:sz="4" w:space="0" w:color="auto"/>
              <w:left w:val="nil"/>
              <w:bottom w:val="single" w:sz="4" w:space="0" w:color="000000" w:themeColor="text1"/>
              <w:right w:val="single" w:sz="4" w:space="0" w:color="auto"/>
            </w:tcBorders>
            <w:shd w:val="clear" w:color="auto" w:fill="auto"/>
            <w:noWrap/>
            <w:vAlign w:val="center"/>
            <w:hideMark/>
          </w:tcPr>
          <w:p w14:paraId="7D32CB5B" w14:textId="77777777" w:rsidR="007548A7" w:rsidRPr="008C04B3" w:rsidRDefault="007548A7" w:rsidP="0019075F">
            <w:pPr>
              <w:pStyle w:val="TableText"/>
            </w:pPr>
            <w:r w:rsidRPr="008C04B3">
              <w:t>%</w:t>
            </w:r>
          </w:p>
        </w:tc>
        <w:tc>
          <w:tcPr>
            <w:tcW w:w="928" w:type="dxa"/>
            <w:tcBorders>
              <w:top w:val="single" w:sz="4" w:space="0" w:color="auto"/>
              <w:left w:val="nil"/>
              <w:bottom w:val="single" w:sz="4" w:space="0" w:color="000000" w:themeColor="text1"/>
              <w:right w:val="single" w:sz="4" w:space="0" w:color="auto"/>
            </w:tcBorders>
            <w:shd w:val="clear" w:color="auto" w:fill="auto"/>
            <w:noWrap/>
            <w:vAlign w:val="center"/>
            <w:hideMark/>
          </w:tcPr>
          <w:p w14:paraId="20B05500" w14:textId="417A8ABD" w:rsidR="007548A7" w:rsidRPr="0074556C" w:rsidRDefault="007548A7" w:rsidP="0019075F">
            <w:pPr>
              <w:pStyle w:val="TableText"/>
            </w:pPr>
            <w:r w:rsidRPr="0074556C">
              <w:fldChar w:fldCharType="begin"/>
            </w:r>
            <w:r w:rsidR="003026BC">
              <w:instrText xml:space="preserve"> ADDIN EN.CITE &lt;EndNote&gt;&lt;Cite&gt;&lt;Author&gt;Chandler&lt;/Author&gt;&lt;Year&gt;2020&lt;/Year&gt;&lt;RecNum&gt;469&lt;/RecNum&gt;&lt;DisplayText&gt;[131]&lt;/DisplayText&gt;&lt;record&gt;&lt;rec-number&gt;469&lt;/rec-number&gt;&lt;foreign-keys&gt;&lt;key app="EN" db-id="eseee05sfe5vt6efvr0xapvq20vfdsfp5fvf" timestamp="1713901234"&gt;469&lt;/key&gt;&lt;/foreign-keys&gt;&lt;ref-type name="Journal Article"&gt;17&lt;/ref-type&gt;&lt;contributors&gt;&lt;authors&gt;&lt;author&gt;Chandler, David&lt;/author&gt;&lt;author&gt;Betzler, Benjamin R.&lt;/author&gt;&lt;author&gt;Davidson, Eva E.&lt;/author&gt;&lt;author&gt;Ilas, Germina&lt;/author&gt;&lt;/authors&gt;&lt;/contributors&gt;&lt;titles&gt;&lt;title&gt;Modeling and simulation of a High Flux Isotope Reactor representative core model for updated performance and safety basis assessments&lt;/title&gt;&lt;secondary-title&gt;Nuclear Engineering and Design&lt;/secondary-title&gt;&lt;/titles&gt;&lt;periodical&gt;&lt;full-title&gt;Nuclear Engineering and Design&lt;/full-title&gt;&lt;/periodical&gt;&lt;pages&gt;110752&lt;/pages&gt;&lt;volume&gt;366&lt;/volume&gt;&lt;keywords&gt;&lt;keyword&gt;High Flux Isotope Reactor&lt;/keyword&gt;&lt;keyword&gt;Research reactor&lt;/keyword&gt;&lt;keyword&gt;Neutronics&lt;/keyword&gt;&lt;keyword&gt;Reactor physics&lt;/keyword&gt;&lt;keyword&gt;Depletion&lt;/keyword&gt;&lt;keyword&gt;Thermal-hydraulics&lt;/keyword&gt;&lt;/keywords&gt;&lt;dates&gt;&lt;year&gt;2020&lt;/year&gt;&lt;pub-dates&gt;&lt;date&gt;2020/09/01/&lt;/date&gt;&lt;/pub-dates&gt;&lt;/dates&gt;&lt;isbn&gt;0029-5493&lt;/isbn&gt;&lt;urls&gt;&lt;related-urls&gt;&lt;url&gt;https://www.sciencedirect.com/science/article/pii/S0029549320302466&lt;/url&gt;&lt;/related-urls&gt;&lt;/urls&gt;&lt;electronic-resource-num&gt;https://doi.org/10.1016/j.nucengdes.2020.110752&lt;/electronic-resource-num&gt;&lt;/record&gt;&lt;/Cite&gt;&lt;/EndNote&gt;</w:instrText>
            </w:r>
            <w:r w:rsidRPr="0074556C">
              <w:fldChar w:fldCharType="separate"/>
            </w:r>
            <w:r w:rsidR="003026BC">
              <w:rPr>
                <w:noProof/>
              </w:rPr>
              <w:t>[131]</w:t>
            </w:r>
            <w:r w:rsidRPr="0074556C">
              <w:fldChar w:fldCharType="end"/>
            </w:r>
          </w:p>
        </w:tc>
      </w:tr>
      <w:tr w:rsidR="007548A7" w:rsidRPr="0074556C" w14:paraId="4259D9F4" w14:textId="77777777" w:rsidTr="00CE00E2">
        <w:trPr>
          <w:trHeight w:val="300"/>
        </w:trPr>
        <w:tc>
          <w:tcPr>
            <w:tcW w:w="2137" w:type="dxa"/>
            <w:vMerge w:val="restart"/>
            <w:tcBorders>
              <w:top w:val="single" w:sz="4" w:space="0" w:color="000000" w:themeColor="text1"/>
              <w:left w:val="single" w:sz="4" w:space="0" w:color="auto"/>
              <w:right w:val="single" w:sz="4" w:space="0" w:color="auto"/>
            </w:tcBorders>
            <w:shd w:val="clear" w:color="auto" w:fill="auto"/>
            <w:noWrap/>
            <w:vAlign w:val="center"/>
          </w:tcPr>
          <w:p w14:paraId="1930B393" w14:textId="77777777" w:rsidR="007548A7" w:rsidRPr="008C04B3" w:rsidRDefault="007548A7" w:rsidP="0019075F">
            <w:pPr>
              <w:pStyle w:val="TableText"/>
            </w:pPr>
            <w:r w:rsidRPr="008C04B3">
              <w:t>k</w:t>
            </w:r>
            <w:r>
              <w:rPr>
                <w:vertAlign w:val="subscript"/>
              </w:rPr>
              <w:t>UO2</w:t>
            </w:r>
          </w:p>
        </w:tc>
        <w:tc>
          <w:tcPr>
            <w:tcW w:w="381" w:type="dxa"/>
            <w:vMerge w:val="restart"/>
            <w:tcBorders>
              <w:top w:val="single" w:sz="4" w:space="0" w:color="000000" w:themeColor="text1"/>
              <w:left w:val="nil"/>
              <w:right w:val="nil"/>
            </w:tcBorders>
            <w:shd w:val="clear" w:color="auto" w:fill="auto"/>
            <w:noWrap/>
            <w:vAlign w:val="center"/>
          </w:tcPr>
          <w:p w14:paraId="7C65DECC" w14:textId="77777777" w:rsidR="007548A7" w:rsidRPr="008C04B3" w:rsidRDefault="007548A7" w:rsidP="0019075F">
            <w:pPr>
              <w:pStyle w:val="TableText"/>
              <w:rPr>
                <w:rFonts w:ascii="Cambria Math" w:hAnsi="Cambria Math"/>
              </w:rPr>
            </w:pPr>
            <w:r w:rsidRPr="008C04B3">
              <w:rPr>
                <w:rFonts w:ascii="Cambria Math" w:hAnsi="Cambria Math"/>
              </w:rPr>
              <w:t>±</w:t>
            </w:r>
          </w:p>
        </w:tc>
        <w:tc>
          <w:tcPr>
            <w:tcW w:w="954" w:type="dxa"/>
            <w:tcBorders>
              <w:top w:val="single" w:sz="4" w:space="0" w:color="000000" w:themeColor="text1"/>
              <w:left w:val="nil"/>
              <w:right w:val="nil"/>
            </w:tcBorders>
          </w:tcPr>
          <w:p w14:paraId="6B21347D" w14:textId="77777777" w:rsidR="007548A7" w:rsidRPr="008C04B3" w:rsidRDefault="007548A7" w:rsidP="0019075F">
            <w:pPr>
              <w:pStyle w:val="TableText"/>
            </w:pPr>
            <w:r w:rsidRPr="008C04B3">
              <w:t>25</w:t>
            </w:r>
          </w:p>
        </w:tc>
        <w:tc>
          <w:tcPr>
            <w:tcW w:w="1980" w:type="dxa"/>
            <w:tcBorders>
              <w:top w:val="single" w:sz="4" w:space="0" w:color="000000" w:themeColor="text1"/>
              <w:left w:val="nil"/>
              <w:right w:val="nil"/>
            </w:tcBorders>
            <w:shd w:val="clear" w:color="auto" w:fill="auto"/>
            <w:noWrap/>
            <w:vAlign w:val="center"/>
          </w:tcPr>
          <w:p w14:paraId="73E78D54" w14:textId="77777777" w:rsidR="007548A7" w:rsidRPr="008C04B3" w:rsidRDefault="007548A7" w:rsidP="0019075F">
            <w:pPr>
              <w:pStyle w:val="TableText"/>
            </w:pPr>
            <w:r w:rsidRPr="008C04B3">
              <w:t>&lt; 1000°C</w:t>
            </w:r>
          </w:p>
        </w:tc>
        <w:tc>
          <w:tcPr>
            <w:tcW w:w="1260" w:type="dxa"/>
            <w:vMerge w:val="restart"/>
            <w:tcBorders>
              <w:top w:val="single" w:sz="4" w:space="0" w:color="000000" w:themeColor="text1"/>
              <w:left w:val="nil"/>
              <w:right w:val="single" w:sz="4" w:space="0" w:color="auto"/>
            </w:tcBorders>
            <w:shd w:val="clear" w:color="auto" w:fill="auto"/>
            <w:noWrap/>
            <w:vAlign w:val="center"/>
          </w:tcPr>
          <w:p w14:paraId="1525BB57" w14:textId="77777777" w:rsidR="007548A7" w:rsidRPr="008C04B3" w:rsidRDefault="007548A7" w:rsidP="0019075F">
            <w:pPr>
              <w:pStyle w:val="TableText"/>
            </w:pPr>
            <w:r w:rsidRPr="008C04B3">
              <w:t>%</w:t>
            </w:r>
          </w:p>
        </w:tc>
        <w:tc>
          <w:tcPr>
            <w:tcW w:w="928" w:type="dxa"/>
            <w:vMerge w:val="restart"/>
            <w:tcBorders>
              <w:top w:val="single" w:sz="4" w:space="0" w:color="000000" w:themeColor="text1"/>
              <w:left w:val="nil"/>
              <w:right w:val="single" w:sz="4" w:space="0" w:color="auto"/>
            </w:tcBorders>
            <w:shd w:val="clear" w:color="auto" w:fill="auto"/>
            <w:noWrap/>
            <w:vAlign w:val="center"/>
          </w:tcPr>
          <w:p w14:paraId="6390BAC4" w14:textId="7491B5E6" w:rsidR="007548A7" w:rsidRPr="0074556C" w:rsidRDefault="007548A7" w:rsidP="0019075F">
            <w:pPr>
              <w:pStyle w:val="TableText"/>
            </w:pPr>
            <w:r w:rsidRPr="0074556C">
              <w:fldChar w:fldCharType="begin"/>
            </w:r>
            <w:r w:rsidR="003026BC">
              <w:instrText xml:space="preserve"> ADDIN EN.CITE &lt;EndNote&gt;&lt;Cite&gt;&lt;Author&gt;Beyer&lt;/Author&gt;&lt;Year&gt;1998&lt;/Year&gt;&lt;RecNum&gt;460&lt;/RecNum&gt;&lt;DisplayText&gt;[149]&lt;/DisplayText&gt;&lt;record&gt;&lt;rec-number&gt;460&lt;/rec-number&gt;&lt;foreign-keys&gt;&lt;key app="EN" db-id="eseee05sfe5vt6efvr0xapvq20vfdsfp5fvf" timestamp="1712615754"&gt;460&lt;/key&gt;&lt;/foreign-keys&gt;&lt;ref-type name="Conference Proceedings"&gt;10&lt;/ref-type&gt;&lt;contributors&gt;&lt;authors&gt;&lt;author&gt;Beyer, C. E.&lt;/author&gt;&lt;author&gt;Lanning, D. D.&lt;/author&gt;&lt;/authors&gt;&lt;/contributors&gt;&lt;titles&gt;&lt;title&gt;Review of fuel thermal conductivity data and models&lt;/title&gt;&lt;alt-title&gt;[]&lt;/alt-title&gt;&lt;/titles&gt;&lt;keywords&gt;&lt;keyword&gt;&amp;quot;22 NUCLEAR REACTOR TECHNOLOGY&amp;quot;&lt;/keyword&gt;&lt;keyword&gt;&amp;quot;BURNUP&amp;quot;&lt;/keyword&gt;&lt;keyword&gt;&amp;quot;COMPARATIVE EVALUATIONS&amp;quot;&lt;/keyword&gt;&lt;keyword&gt;&amp;quot;FUNCTIONAL MODELS&amp;quot;&lt;/keyword&gt;&lt;keyword&gt;&amp;quot;NUCLEAR FUELS&amp;quot;&lt;/keyword&gt;&lt;keyword&gt;&amp;quot;REACTOR CORES&amp;quot;&lt;/keyword&gt;&lt;keyword&gt;&amp;quot;THERMAL CONDUCTIVITY&amp;quot;&lt;/keyword&gt;&lt;keyword&gt;&amp;quot;THERMAL DEGRADATION&amp;quot;&lt;/keyword&gt;&lt;keyword&gt;&amp;quot;THERMAL DIFFUSION&amp;quot;&lt;/keyword&gt;&lt;keyword&gt;&amp;quot;URANIUM DIOXIDE&amp;quot;&lt;/keyword&gt;&lt;/keywords&gt;&lt;dates&gt;&lt;year&gt;1998&lt;/year&gt;&lt;pub-dates&gt;&lt;date&gt;1999-12-31&lt;/date&gt;&lt;/pub-dates&gt;&lt;/dates&gt;&lt;pub-location&gt;NEA&lt;/pub-location&gt;&lt;publisher&gt;OECD-NEA, Paris (France)&lt;/publisher&gt;&lt;urls&gt;&lt;/urls&gt;&lt;custom3&gt;CONF-9803158-&lt;/custom3&gt;&lt;electronic-resource-num&gt;https://doi.org/&amp;#xD;Conference: Thermal performance of high burn-up LWR fuel, Cadarache (France), 3-6 Mar 1998; Other Information: DN: 12 refs.; PBD: 1998; Related Information: Is Part Of Proceedings of the Seminar on thermal performance of high burn-up LWR fuel; PB: 392 p.&lt;/electronic-resource-num&gt;&lt;language&gt;English&lt;/language&gt;&lt;/record&gt;&lt;/Cite&gt;&lt;/EndNote&gt;</w:instrText>
            </w:r>
            <w:r w:rsidRPr="0074556C">
              <w:fldChar w:fldCharType="separate"/>
            </w:r>
            <w:r w:rsidR="003026BC">
              <w:rPr>
                <w:noProof/>
              </w:rPr>
              <w:t>[149]</w:t>
            </w:r>
            <w:r w:rsidRPr="0074556C">
              <w:fldChar w:fldCharType="end"/>
            </w:r>
          </w:p>
        </w:tc>
      </w:tr>
      <w:tr w:rsidR="007548A7" w:rsidRPr="0074556C" w14:paraId="22A5BD03" w14:textId="77777777" w:rsidTr="00CE00E2">
        <w:trPr>
          <w:trHeight w:val="300"/>
        </w:trPr>
        <w:tc>
          <w:tcPr>
            <w:tcW w:w="2137" w:type="dxa"/>
            <w:vMerge/>
            <w:tcBorders>
              <w:left w:val="single" w:sz="4" w:space="0" w:color="auto"/>
              <w:right w:val="single" w:sz="4" w:space="0" w:color="auto"/>
            </w:tcBorders>
            <w:shd w:val="clear" w:color="auto" w:fill="auto"/>
            <w:noWrap/>
            <w:vAlign w:val="center"/>
          </w:tcPr>
          <w:p w14:paraId="0C0B3CF0" w14:textId="77777777" w:rsidR="007548A7" w:rsidRPr="008C04B3" w:rsidRDefault="007548A7" w:rsidP="0019075F">
            <w:pPr>
              <w:pStyle w:val="TableText"/>
            </w:pPr>
          </w:p>
        </w:tc>
        <w:tc>
          <w:tcPr>
            <w:tcW w:w="381" w:type="dxa"/>
            <w:vMerge/>
            <w:tcBorders>
              <w:left w:val="nil"/>
              <w:right w:val="nil"/>
            </w:tcBorders>
            <w:shd w:val="clear" w:color="auto" w:fill="auto"/>
            <w:noWrap/>
            <w:vAlign w:val="center"/>
          </w:tcPr>
          <w:p w14:paraId="262D67C1" w14:textId="77777777" w:rsidR="007548A7" w:rsidRPr="008C04B3" w:rsidRDefault="007548A7" w:rsidP="0019075F">
            <w:pPr>
              <w:pStyle w:val="TableText"/>
              <w:rPr>
                <w:rFonts w:ascii="Cambria Math" w:hAnsi="Cambria Math"/>
              </w:rPr>
            </w:pPr>
          </w:p>
        </w:tc>
        <w:tc>
          <w:tcPr>
            <w:tcW w:w="954" w:type="dxa"/>
            <w:tcBorders>
              <w:left w:val="nil"/>
              <w:right w:val="nil"/>
            </w:tcBorders>
          </w:tcPr>
          <w:p w14:paraId="36F2232B" w14:textId="77777777" w:rsidR="007548A7" w:rsidRPr="008C04B3" w:rsidRDefault="007548A7" w:rsidP="0019075F">
            <w:pPr>
              <w:pStyle w:val="TableText"/>
            </w:pPr>
            <w:r w:rsidRPr="008C04B3">
              <w:t>10</w:t>
            </w:r>
          </w:p>
        </w:tc>
        <w:tc>
          <w:tcPr>
            <w:tcW w:w="1980" w:type="dxa"/>
            <w:tcBorders>
              <w:left w:val="nil"/>
              <w:right w:val="nil"/>
            </w:tcBorders>
            <w:shd w:val="clear" w:color="auto" w:fill="auto"/>
            <w:noWrap/>
            <w:vAlign w:val="center"/>
          </w:tcPr>
          <w:p w14:paraId="023BEA1D" w14:textId="77777777" w:rsidR="007548A7" w:rsidRPr="008C04B3" w:rsidRDefault="007548A7" w:rsidP="0019075F">
            <w:pPr>
              <w:pStyle w:val="TableText"/>
            </w:pPr>
            <w:r w:rsidRPr="008C04B3">
              <w:t>1000°C - 1300°C</w:t>
            </w:r>
          </w:p>
        </w:tc>
        <w:tc>
          <w:tcPr>
            <w:tcW w:w="1260" w:type="dxa"/>
            <w:vMerge/>
            <w:tcBorders>
              <w:left w:val="nil"/>
              <w:right w:val="single" w:sz="4" w:space="0" w:color="auto"/>
            </w:tcBorders>
            <w:shd w:val="clear" w:color="auto" w:fill="auto"/>
            <w:noWrap/>
            <w:vAlign w:val="center"/>
          </w:tcPr>
          <w:p w14:paraId="4F910492" w14:textId="77777777" w:rsidR="007548A7" w:rsidRPr="008C04B3" w:rsidRDefault="007548A7" w:rsidP="0019075F">
            <w:pPr>
              <w:pStyle w:val="TableText"/>
            </w:pPr>
          </w:p>
        </w:tc>
        <w:tc>
          <w:tcPr>
            <w:tcW w:w="928" w:type="dxa"/>
            <w:vMerge/>
            <w:tcBorders>
              <w:left w:val="nil"/>
              <w:right w:val="single" w:sz="4" w:space="0" w:color="auto"/>
            </w:tcBorders>
            <w:shd w:val="clear" w:color="auto" w:fill="auto"/>
            <w:noWrap/>
            <w:vAlign w:val="center"/>
          </w:tcPr>
          <w:p w14:paraId="09692B10" w14:textId="77777777" w:rsidR="007548A7" w:rsidRPr="0074556C" w:rsidRDefault="007548A7" w:rsidP="0019075F">
            <w:pPr>
              <w:pStyle w:val="TableText"/>
            </w:pPr>
          </w:p>
        </w:tc>
      </w:tr>
      <w:tr w:rsidR="007548A7" w:rsidRPr="0074556C" w14:paraId="508EFFD6" w14:textId="77777777" w:rsidTr="00CE00E2">
        <w:trPr>
          <w:trHeight w:val="300"/>
        </w:trPr>
        <w:tc>
          <w:tcPr>
            <w:tcW w:w="2137" w:type="dxa"/>
            <w:vMerge/>
            <w:tcBorders>
              <w:left w:val="single" w:sz="4" w:space="0" w:color="auto"/>
              <w:bottom w:val="single" w:sz="4" w:space="0" w:color="000000" w:themeColor="text1"/>
              <w:right w:val="single" w:sz="4" w:space="0" w:color="auto"/>
            </w:tcBorders>
            <w:shd w:val="clear" w:color="auto" w:fill="auto"/>
            <w:noWrap/>
            <w:vAlign w:val="center"/>
          </w:tcPr>
          <w:p w14:paraId="4B50D868" w14:textId="77777777" w:rsidR="007548A7" w:rsidRPr="008C04B3" w:rsidRDefault="007548A7" w:rsidP="0019075F">
            <w:pPr>
              <w:pStyle w:val="TableText"/>
            </w:pPr>
          </w:p>
        </w:tc>
        <w:tc>
          <w:tcPr>
            <w:tcW w:w="381" w:type="dxa"/>
            <w:vMerge/>
            <w:tcBorders>
              <w:left w:val="nil"/>
              <w:bottom w:val="single" w:sz="4" w:space="0" w:color="000000" w:themeColor="text1"/>
              <w:right w:val="nil"/>
            </w:tcBorders>
            <w:shd w:val="clear" w:color="auto" w:fill="auto"/>
            <w:noWrap/>
            <w:vAlign w:val="center"/>
          </w:tcPr>
          <w:p w14:paraId="778AF016" w14:textId="77777777" w:rsidR="007548A7" w:rsidRPr="008C04B3" w:rsidRDefault="007548A7" w:rsidP="0019075F">
            <w:pPr>
              <w:pStyle w:val="TableText"/>
              <w:rPr>
                <w:rFonts w:ascii="Cambria Math" w:hAnsi="Cambria Math"/>
              </w:rPr>
            </w:pPr>
          </w:p>
        </w:tc>
        <w:tc>
          <w:tcPr>
            <w:tcW w:w="954" w:type="dxa"/>
            <w:tcBorders>
              <w:left w:val="nil"/>
              <w:bottom w:val="single" w:sz="4" w:space="0" w:color="000000" w:themeColor="text1"/>
              <w:right w:val="nil"/>
            </w:tcBorders>
          </w:tcPr>
          <w:p w14:paraId="282961D2" w14:textId="77777777" w:rsidR="007548A7" w:rsidRPr="008C04B3" w:rsidRDefault="007548A7" w:rsidP="0019075F">
            <w:pPr>
              <w:pStyle w:val="TableText"/>
            </w:pPr>
            <w:r w:rsidRPr="008C04B3">
              <w:t>5</w:t>
            </w:r>
          </w:p>
        </w:tc>
        <w:tc>
          <w:tcPr>
            <w:tcW w:w="1980" w:type="dxa"/>
            <w:tcBorders>
              <w:left w:val="nil"/>
              <w:bottom w:val="single" w:sz="4" w:space="0" w:color="000000" w:themeColor="text1"/>
              <w:right w:val="nil"/>
            </w:tcBorders>
            <w:shd w:val="clear" w:color="auto" w:fill="auto"/>
            <w:noWrap/>
            <w:vAlign w:val="center"/>
          </w:tcPr>
          <w:p w14:paraId="569A896F" w14:textId="77777777" w:rsidR="007548A7" w:rsidRPr="008C04B3" w:rsidRDefault="007548A7" w:rsidP="0019075F">
            <w:pPr>
              <w:pStyle w:val="TableText"/>
            </w:pPr>
            <w:r w:rsidRPr="008C04B3">
              <w:t>&gt; 1300°C</w:t>
            </w:r>
          </w:p>
        </w:tc>
        <w:tc>
          <w:tcPr>
            <w:tcW w:w="1260" w:type="dxa"/>
            <w:vMerge/>
            <w:tcBorders>
              <w:left w:val="nil"/>
              <w:bottom w:val="single" w:sz="4" w:space="0" w:color="000000" w:themeColor="text1"/>
              <w:right w:val="single" w:sz="4" w:space="0" w:color="auto"/>
            </w:tcBorders>
            <w:shd w:val="clear" w:color="auto" w:fill="auto"/>
            <w:noWrap/>
            <w:vAlign w:val="center"/>
          </w:tcPr>
          <w:p w14:paraId="0197407E" w14:textId="77777777" w:rsidR="007548A7" w:rsidRPr="008C04B3" w:rsidRDefault="007548A7" w:rsidP="0019075F">
            <w:pPr>
              <w:pStyle w:val="TableText"/>
            </w:pPr>
          </w:p>
        </w:tc>
        <w:tc>
          <w:tcPr>
            <w:tcW w:w="928" w:type="dxa"/>
            <w:vMerge/>
            <w:tcBorders>
              <w:left w:val="nil"/>
              <w:bottom w:val="single" w:sz="4" w:space="0" w:color="000000" w:themeColor="text1"/>
              <w:right w:val="single" w:sz="4" w:space="0" w:color="auto"/>
            </w:tcBorders>
            <w:shd w:val="clear" w:color="auto" w:fill="auto"/>
            <w:noWrap/>
            <w:vAlign w:val="center"/>
          </w:tcPr>
          <w:p w14:paraId="2291DB19" w14:textId="77777777" w:rsidR="007548A7" w:rsidRPr="0074556C" w:rsidRDefault="007548A7" w:rsidP="0019075F">
            <w:pPr>
              <w:pStyle w:val="TableText"/>
            </w:pPr>
          </w:p>
        </w:tc>
      </w:tr>
      <w:tr w:rsidR="007548A7" w:rsidRPr="0074556C" w14:paraId="78623F10" w14:textId="77777777" w:rsidTr="00CE00E2">
        <w:trPr>
          <w:trHeight w:val="300"/>
        </w:trPr>
        <w:tc>
          <w:tcPr>
            <w:tcW w:w="2137" w:type="dxa"/>
            <w:tcBorders>
              <w:top w:val="single" w:sz="4" w:space="0" w:color="000000" w:themeColor="text1"/>
              <w:left w:val="single" w:sz="4" w:space="0" w:color="auto"/>
              <w:bottom w:val="single" w:sz="4" w:space="0" w:color="000000" w:themeColor="text1"/>
              <w:right w:val="single" w:sz="4" w:space="0" w:color="auto"/>
            </w:tcBorders>
            <w:shd w:val="clear" w:color="auto" w:fill="auto"/>
            <w:noWrap/>
            <w:vAlign w:val="center"/>
          </w:tcPr>
          <w:p w14:paraId="18F98B1A" w14:textId="77777777" w:rsidR="007548A7" w:rsidRPr="008C04B3" w:rsidRDefault="007548A7" w:rsidP="0019075F">
            <w:pPr>
              <w:pStyle w:val="TableText"/>
            </w:pPr>
            <w:r w:rsidRPr="008C04B3">
              <w:t>k</w:t>
            </w:r>
            <w:r w:rsidRPr="008C04B3">
              <w:rPr>
                <w:vertAlign w:val="subscript"/>
              </w:rPr>
              <w:t>Mo</w:t>
            </w:r>
          </w:p>
        </w:tc>
        <w:tc>
          <w:tcPr>
            <w:tcW w:w="381" w:type="dxa"/>
            <w:tcBorders>
              <w:top w:val="single" w:sz="4" w:space="0" w:color="000000" w:themeColor="text1"/>
              <w:left w:val="nil"/>
              <w:bottom w:val="single" w:sz="4" w:space="0" w:color="000000" w:themeColor="text1"/>
              <w:right w:val="nil"/>
            </w:tcBorders>
            <w:shd w:val="clear" w:color="auto" w:fill="auto"/>
            <w:noWrap/>
            <w:vAlign w:val="center"/>
          </w:tcPr>
          <w:p w14:paraId="385A11DA" w14:textId="77777777" w:rsidR="007548A7" w:rsidRPr="008C04B3" w:rsidRDefault="007548A7" w:rsidP="0019075F">
            <w:pPr>
              <w:pStyle w:val="TableText"/>
              <w:rPr>
                <w:rFonts w:ascii="Cambria Math" w:hAnsi="Cambria Math"/>
              </w:rPr>
            </w:pPr>
            <w:r w:rsidRPr="008C04B3">
              <w:rPr>
                <w:rFonts w:ascii="Cambria Math" w:hAnsi="Cambria Math"/>
              </w:rPr>
              <w:t>±</w:t>
            </w:r>
          </w:p>
        </w:tc>
        <w:tc>
          <w:tcPr>
            <w:tcW w:w="954" w:type="dxa"/>
            <w:tcBorders>
              <w:top w:val="single" w:sz="4" w:space="0" w:color="000000" w:themeColor="text1"/>
              <w:left w:val="nil"/>
              <w:bottom w:val="single" w:sz="4" w:space="0" w:color="000000" w:themeColor="text1"/>
              <w:right w:val="nil"/>
            </w:tcBorders>
          </w:tcPr>
          <w:p w14:paraId="726BB4E1" w14:textId="77777777" w:rsidR="007548A7" w:rsidRPr="008C04B3" w:rsidRDefault="007548A7" w:rsidP="0019075F">
            <w:pPr>
              <w:pStyle w:val="TableText"/>
            </w:pPr>
            <w:r w:rsidRPr="008C04B3">
              <w:t>10</w:t>
            </w:r>
          </w:p>
        </w:tc>
        <w:tc>
          <w:tcPr>
            <w:tcW w:w="1980" w:type="dxa"/>
            <w:tcBorders>
              <w:top w:val="single" w:sz="4" w:space="0" w:color="000000" w:themeColor="text1"/>
              <w:left w:val="nil"/>
              <w:bottom w:val="single" w:sz="4" w:space="0" w:color="000000" w:themeColor="text1"/>
              <w:right w:val="nil"/>
            </w:tcBorders>
            <w:shd w:val="clear" w:color="auto" w:fill="auto"/>
            <w:noWrap/>
            <w:vAlign w:val="center"/>
          </w:tcPr>
          <w:p w14:paraId="29071007" w14:textId="77777777" w:rsidR="007548A7" w:rsidRPr="008C04B3" w:rsidRDefault="007548A7" w:rsidP="0019075F">
            <w:pPr>
              <w:pStyle w:val="TableText"/>
            </w:pPr>
          </w:p>
        </w:tc>
        <w:tc>
          <w:tcPr>
            <w:tcW w:w="1260" w:type="dxa"/>
            <w:tcBorders>
              <w:top w:val="single" w:sz="4" w:space="0" w:color="000000" w:themeColor="text1"/>
              <w:left w:val="nil"/>
              <w:bottom w:val="single" w:sz="4" w:space="0" w:color="000000" w:themeColor="text1"/>
              <w:right w:val="single" w:sz="4" w:space="0" w:color="auto"/>
            </w:tcBorders>
            <w:shd w:val="clear" w:color="auto" w:fill="auto"/>
            <w:noWrap/>
            <w:vAlign w:val="center"/>
          </w:tcPr>
          <w:p w14:paraId="0EFEB2CA" w14:textId="77777777" w:rsidR="007548A7" w:rsidRPr="008C04B3" w:rsidRDefault="007548A7" w:rsidP="0019075F">
            <w:pPr>
              <w:pStyle w:val="TableText"/>
            </w:pPr>
            <w:r w:rsidRPr="008C04B3">
              <w:t>%</w:t>
            </w:r>
          </w:p>
        </w:tc>
        <w:tc>
          <w:tcPr>
            <w:tcW w:w="928" w:type="dxa"/>
            <w:tcBorders>
              <w:top w:val="single" w:sz="4" w:space="0" w:color="000000" w:themeColor="text1"/>
              <w:left w:val="nil"/>
              <w:bottom w:val="single" w:sz="4" w:space="0" w:color="000000" w:themeColor="text1"/>
              <w:right w:val="single" w:sz="4" w:space="0" w:color="auto"/>
            </w:tcBorders>
            <w:shd w:val="clear" w:color="auto" w:fill="auto"/>
            <w:noWrap/>
            <w:vAlign w:val="center"/>
          </w:tcPr>
          <w:p w14:paraId="5C1DA57B" w14:textId="1CAE5CA7" w:rsidR="007548A7" w:rsidRPr="0074556C" w:rsidRDefault="007548A7" w:rsidP="0019075F">
            <w:pPr>
              <w:pStyle w:val="TableText"/>
            </w:pPr>
            <w:r w:rsidRPr="0074556C">
              <w:fldChar w:fldCharType="begin"/>
            </w:r>
            <w:r w:rsidR="003026BC">
              <w:instrText xml:space="preserve"> ADDIN EN.CITE &lt;EndNote&gt;&lt;Cite&gt;&lt;Author&gt;Touloukian&lt;/Author&gt;&lt;Year&gt;1971&lt;/Year&gt;&lt;RecNum&gt;447&lt;/RecNum&gt;&lt;DisplayText&gt;[148]&lt;/DisplayText&gt;&lt;record&gt;&lt;rec-number&gt;447&lt;/rec-number&gt;&lt;foreign-keys&gt;&lt;key app="EN" db-id="eseee05sfe5vt6efvr0xapvq20vfdsfp5fvf" timestamp="1712614469"&gt;447&lt;/key&gt;&lt;/foreign-keys&gt;&lt;ref-type name="Report"&gt;27&lt;/ref-type&gt;&lt;contributors&gt;&lt;authors&gt;&lt;author&gt;Touloukian, Y. S.&lt;/author&gt;&lt;author&gt;Powell, R. W.&lt;/author&gt;&lt;author&gt;Ho, C. Y.&lt;/author&gt;&lt;author&gt;Klemens, P. G.&lt;/author&gt;&lt;/authors&gt;&lt;/contributors&gt;&lt;titles&gt;&lt;title&gt;Thermophysical properties of matter - the TPRC data series. Volume 2. Thermal conductivity - nonmetallic solids. (Reannouncement). Data book&lt;/title&gt;&lt;/titles&gt;&lt;keywords&gt;&lt;keyword&gt;36 MATERIALS SCIENCE&lt;/keyword&gt;&lt;keyword&gt;NONMETALS&lt;/keyword&gt;&lt;keyword&gt;THERMODYNAMIC PROPERTIES&lt;/keyword&gt;&lt;keyword&gt;COMPILED DATA&lt;/keyword&gt;&lt;keyword&gt;DATA&lt;/keyword&gt;&lt;keyword&gt;ELEMENTS&lt;/keyword&gt;&lt;keyword&gt;INFORMATION&lt;/keyword&gt;&lt;keyword&gt;NUMERICAL DATA&lt;/keyword&gt;&lt;keyword&gt;PHYSICAL PROPERTIES&lt;/keyword&gt;&lt;keyword&gt;360606* - Other Materials- Physical Properties- (1992-)&lt;/keyword&gt;&lt;/keywords&gt;&lt;dates&gt;&lt;year&gt;1971&lt;/year&gt;&lt;pub-dates&gt;&lt;date&gt;1971-01-01&lt;/date&gt;&lt;/pub-dates&gt;&lt;/dates&gt;&lt;pub-location&gt;United States&lt;/pub-location&gt;&lt;urls&gt;&lt;related-urls&gt;&lt;url&gt;https://www.osti.gov/biblio/5303523&lt;/url&gt;&lt;/related-urls&gt;&lt;/urls&gt;&lt;custom1&gt;Research Org.: Purdue Univ., Lafayette, IN (United States). Thermophysical and Electronic Properties Information Center&lt;/custom1&gt;&lt;custom3&gt;Report Number: AD-A-951936/4/XAB&lt;/custom3&gt;&lt;custom5&gt;Availability: NTIS&lt;/custom5&gt;&lt;electronic-resource-num&gt;Other Information: Reannounced with new availability. See also Volume 3, AD-A951 937&lt;/electronic-resource-num&gt;&lt;language&gt;English&lt;/language&gt;&lt;/record&gt;&lt;/Cite&gt;&lt;/EndNote&gt;</w:instrText>
            </w:r>
            <w:r w:rsidRPr="0074556C">
              <w:fldChar w:fldCharType="separate"/>
            </w:r>
            <w:r w:rsidR="003026BC">
              <w:rPr>
                <w:noProof/>
              </w:rPr>
              <w:t>[148]</w:t>
            </w:r>
            <w:r w:rsidRPr="0074556C">
              <w:fldChar w:fldCharType="end"/>
            </w:r>
          </w:p>
        </w:tc>
      </w:tr>
      <w:tr w:rsidR="007548A7" w:rsidRPr="0074556C" w14:paraId="7BE81313" w14:textId="77777777" w:rsidTr="00CE00E2">
        <w:trPr>
          <w:trHeight w:val="302"/>
        </w:trPr>
        <w:tc>
          <w:tcPr>
            <w:tcW w:w="2137" w:type="dxa"/>
            <w:vMerge w:val="restart"/>
            <w:tcBorders>
              <w:top w:val="single" w:sz="4" w:space="0" w:color="000000" w:themeColor="text1"/>
              <w:left w:val="single" w:sz="4" w:space="0" w:color="auto"/>
              <w:right w:val="single" w:sz="4" w:space="0" w:color="auto"/>
            </w:tcBorders>
            <w:shd w:val="clear" w:color="auto" w:fill="auto"/>
            <w:noWrap/>
            <w:vAlign w:val="center"/>
          </w:tcPr>
          <w:p w14:paraId="6C1A51C7" w14:textId="77777777" w:rsidR="007548A7" w:rsidRPr="008C04B3" w:rsidRDefault="007548A7" w:rsidP="0019075F">
            <w:pPr>
              <w:pStyle w:val="TableText"/>
            </w:pPr>
            <w:r w:rsidRPr="008C04B3">
              <w:t>k</w:t>
            </w:r>
            <w:r w:rsidRPr="008C04B3">
              <w:rPr>
                <w:vertAlign w:val="subscript"/>
              </w:rPr>
              <w:t>He</w:t>
            </w:r>
          </w:p>
        </w:tc>
        <w:tc>
          <w:tcPr>
            <w:tcW w:w="381" w:type="dxa"/>
            <w:vMerge w:val="restart"/>
            <w:tcBorders>
              <w:top w:val="single" w:sz="4" w:space="0" w:color="000000" w:themeColor="text1"/>
              <w:left w:val="nil"/>
              <w:right w:val="nil"/>
            </w:tcBorders>
            <w:shd w:val="clear" w:color="auto" w:fill="auto"/>
            <w:noWrap/>
            <w:vAlign w:val="center"/>
          </w:tcPr>
          <w:p w14:paraId="48C040FE" w14:textId="77777777" w:rsidR="007548A7" w:rsidRPr="008C04B3" w:rsidRDefault="007548A7" w:rsidP="0019075F">
            <w:pPr>
              <w:pStyle w:val="TableText"/>
              <w:rPr>
                <w:rFonts w:ascii="Cambria Math" w:hAnsi="Cambria Math"/>
              </w:rPr>
            </w:pPr>
            <w:r w:rsidRPr="008C04B3">
              <w:rPr>
                <w:rFonts w:ascii="Cambria Math" w:hAnsi="Cambria Math"/>
              </w:rPr>
              <w:t>±</w:t>
            </w:r>
          </w:p>
        </w:tc>
        <w:tc>
          <w:tcPr>
            <w:tcW w:w="954" w:type="dxa"/>
            <w:tcBorders>
              <w:top w:val="single" w:sz="4" w:space="0" w:color="000000" w:themeColor="text1"/>
              <w:left w:val="nil"/>
              <w:right w:val="nil"/>
            </w:tcBorders>
          </w:tcPr>
          <w:p w14:paraId="128A3A4D" w14:textId="77777777" w:rsidR="007548A7" w:rsidRPr="008C04B3" w:rsidRDefault="007548A7" w:rsidP="0019075F">
            <w:pPr>
              <w:pStyle w:val="TableText"/>
            </w:pPr>
            <w:r w:rsidRPr="008C04B3">
              <w:t>2</w:t>
            </w:r>
          </w:p>
        </w:tc>
        <w:tc>
          <w:tcPr>
            <w:tcW w:w="1980" w:type="dxa"/>
            <w:tcBorders>
              <w:top w:val="single" w:sz="4" w:space="0" w:color="000000" w:themeColor="text1"/>
              <w:left w:val="nil"/>
              <w:right w:val="nil"/>
            </w:tcBorders>
            <w:shd w:val="clear" w:color="auto" w:fill="auto"/>
            <w:vAlign w:val="center"/>
          </w:tcPr>
          <w:p w14:paraId="5BEB5045" w14:textId="77777777" w:rsidR="007548A7" w:rsidRPr="008C04B3" w:rsidRDefault="007548A7" w:rsidP="0019075F">
            <w:pPr>
              <w:pStyle w:val="TableText"/>
            </w:pPr>
            <w:r w:rsidRPr="008C04B3">
              <w:t xml:space="preserve"> &lt; 923°C</w:t>
            </w:r>
          </w:p>
        </w:tc>
        <w:tc>
          <w:tcPr>
            <w:tcW w:w="1260" w:type="dxa"/>
            <w:vMerge w:val="restart"/>
            <w:tcBorders>
              <w:top w:val="single" w:sz="4" w:space="0" w:color="000000" w:themeColor="text1"/>
              <w:left w:val="nil"/>
              <w:right w:val="single" w:sz="4" w:space="0" w:color="auto"/>
            </w:tcBorders>
            <w:shd w:val="clear" w:color="auto" w:fill="auto"/>
            <w:noWrap/>
            <w:vAlign w:val="center"/>
          </w:tcPr>
          <w:p w14:paraId="6D735F06" w14:textId="77777777" w:rsidR="007548A7" w:rsidRPr="008C04B3" w:rsidRDefault="007548A7" w:rsidP="0019075F">
            <w:pPr>
              <w:pStyle w:val="TableText"/>
            </w:pPr>
            <w:r w:rsidRPr="008C04B3">
              <w:t>%</w:t>
            </w:r>
          </w:p>
        </w:tc>
        <w:tc>
          <w:tcPr>
            <w:tcW w:w="928" w:type="dxa"/>
            <w:vMerge w:val="restart"/>
            <w:tcBorders>
              <w:top w:val="single" w:sz="4" w:space="0" w:color="000000" w:themeColor="text1"/>
              <w:left w:val="nil"/>
              <w:right w:val="single" w:sz="4" w:space="0" w:color="auto"/>
            </w:tcBorders>
            <w:shd w:val="clear" w:color="auto" w:fill="auto"/>
            <w:noWrap/>
            <w:vAlign w:val="center"/>
          </w:tcPr>
          <w:p w14:paraId="7E1161F6" w14:textId="3B75C125" w:rsidR="007548A7" w:rsidRPr="0074556C" w:rsidRDefault="007548A7" w:rsidP="0019075F">
            <w:pPr>
              <w:pStyle w:val="TableText"/>
            </w:pPr>
            <w:r w:rsidRPr="0074556C">
              <w:fldChar w:fldCharType="begin"/>
            </w:r>
            <w:r w:rsidR="003026BC">
              <w:instrText xml:space="preserve"> ADDIN EN.CITE &lt;EndNote&gt;&lt;Cite&gt;&lt;Author&gt;CINDAS&lt;/Author&gt;&lt;Year&gt;2016&lt;/Year&gt;&lt;RecNum&gt;491&lt;/RecNum&gt;&lt;DisplayText&gt;[156]&lt;/DisplayText&gt;&lt;record&gt;&lt;rec-number&gt;491&lt;/rec-number&gt;&lt;foreign-keys&gt;&lt;key app="EN" db-id="eseee05sfe5vt6efvr0xapvq20vfdsfp5fvf" timestamp="1715880499"&gt;491&lt;/key&gt;&lt;/foreign-keys&gt;&lt;ref-type name="Journal Article"&gt;17&lt;/ref-type&gt;&lt;contributors&gt;&lt;authors&gt;&lt;author&gt;CINDAS&lt;/author&gt;&lt;/authors&gt;&lt;/contributors&gt;&lt;titles&gt;&lt;title&gt;global benchmark for critically evaluated materials properties&amp;#xD;data&lt;/title&gt;&lt;/titles&gt;&lt;dates&gt;&lt;year&gt;2016&lt;/year&gt;&lt;/dates&gt;&lt;urls&gt;&lt;/urls&gt;&lt;electronic-resource-num&gt;http://cindasdata.com&lt;/electronic-resource-num&gt;&lt;/record&gt;&lt;/Cite&gt;&lt;/EndNote&gt;</w:instrText>
            </w:r>
            <w:r w:rsidRPr="0074556C">
              <w:fldChar w:fldCharType="separate"/>
            </w:r>
            <w:r w:rsidR="003026BC">
              <w:rPr>
                <w:noProof/>
              </w:rPr>
              <w:t>[156]</w:t>
            </w:r>
            <w:r w:rsidRPr="0074556C">
              <w:fldChar w:fldCharType="end"/>
            </w:r>
          </w:p>
        </w:tc>
      </w:tr>
      <w:tr w:rsidR="007548A7" w:rsidRPr="0074556C" w14:paraId="2ECF4A06" w14:textId="77777777" w:rsidTr="00CE00E2">
        <w:trPr>
          <w:trHeight w:val="302"/>
        </w:trPr>
        <w:tc>
          <w:tcPr>
            <w:tcW w:w="2137" w:type="dxa"/>
            <w:vMerge/>
            <w:tcBorders>
              <w:left w:val="single" w:sz="4" w:space="0" w:color="auto"/>
              <w:right w:val="single" w:sz="4" w:space="0" w:color="auto"/>
            </w:tcBorders>
            <w:shd w:val="clear" w:color="auto" w:fill="auto"/>
            <w:noWrap/>
            <w:vAlign w:val="center"/>
          </w:tcPr>
          <w:p w14:paraId="1130B1B9" w14:textId="77777777" w:rsidR="007548A7" w:rsidRPr="008C04B3" w:rsidRDefault="007548A7" w:rsidP="0019075F">
            <w:pPr>
              <w:pStyle w:val="TableText"/>
            </w:pPr>
          </w:p>
        </w:tc>
        <w:tc>
          <w:tcPr>
            <w:tcW w:w="381" w:type="dxa"/>
            <w:vMerge/>
            <w:tcBorders>
              <w:left w:val="nil"/>
              <w:right w:val="nil"/>
            </w:tcBorders>
            <w:shd w:val="clear" w:color="auto" w:fill="auto"/>
            <w:noWrap/>
            <w:vAlign w:val="center"/>
          </w:tcPr>
          <w:p w14:paraId="141EB664" w14:textId="77777777" w:rsidR="007548A7" w:rsidRPr="008C04B3" w:rsidRDefault="007548A7" w:rsidP="0019075F">
            <w:pPr>
              <w:pStyle w:val="TableText"/>
              <w:rPr>
                <w:rFonts w:ascii="Cambria Math" w:hAnsi="Cambria Math"/>
              </w:rPr>
            </w:pPr>
          </w:p>
        </w:tc>
        <w:tc>
          <w:tcPr>
            <w:tcW w:w="954" w:type="dxa"/>
            <w:tcBorders>
              <w:left w:val="nil"/>
              <w:right w:val="nil"/>
            </w:tcBorders>
          </w:tcPr>
          <w:p w14:paraId="7947C5EF" w14:textId="77777777" w:rsidR="007548A7" w:rsidRPr="008C04B3" w:rsidRDefault="007548A7" w:rsidP="0019075F">
            <w:pPr>
              <w:pStyle w:val="TableText"/>
            </w:pPr>
            <w:r w:rsidRPr="008C04B3">
              <w:t>5</w:t>
            </w:r>
          </w:p>
        </w:tc>
        <w:tc>
          <w:tcPr>
            <w:tcW w:w="1980" w:type="dxa"/>
            <w:tcBorders>
              <w:left w:val="nil"/>
              <w:right w:val="nil"/>
            </w:tcBorders>
            <w:shd w:val="clear" w:color="auto" w:fill="auto"/>
            <w:vAlign w:val="center"/>
          </w:tcPr>
          <w:p w14:paraId="51815716" w14:textId="77777777" w:rsidR="007548A7" w:rsidRPr="008C04B3" w:rsidRDefault="007548A7" w:rsidP="0019075F">
            <w:pPr>
              <w:pStyle w:val="TableText"/>
            </w:pPr>
            <w:r w:rsidRPr="008C04B3">
              <w:t>923°C-1723°C</w:t>
            </w:r>
          </w:p>
        </w:tc>
        <w:tc>
          <w:tcPr>
            <w:tcW w:w="1260" w:type="dxa"/>
            <w:vMerge/>
            <w:tcBorders>
              <w:left w:val="nil"/>
              <w:right w:val="single" w:sz="4" w:space="0" w:color="auto"/>
            </w:tcBorders>
            <w:shd w:val="clear" w:color="auto" w:fill="auto"/>
            <w:noWrap/>
            <w:vAlign w:val="center"/>
          </w:tcPr>
          <w:p w14:paraId="69F6CB2B" w14:textId="77777777" w:rsidR="007548A7" w:rsidRPr="008C04B3" w:rsidRDefault="007548A7" w:rsidP="0019075F">
            <w:pPr>
              <w:pStyle w:val="TableText"/>
            </w:pPr>
          </w:p>
        </w:tc>
        <w:tc>
          <w:tcPr>
            <w:tcW w:w="928" w:type="dxa"/>
            <w:vMerge/>
            <w:tcBorders>
              <w:left w:val="nil"/>
              <w:right w:val="single" w:sz="4" w:space="0" w:color="auto"/>
            </w:tcBorders>
            <w:shd w:val="clear" w:color="auto" w:fill="auto"/>
            <w:noWrap/>
            <w:vAlign w:val="center"/>
          </w:tcPr>
          <w:p w14:paraId="3BDD2B34" w14:textId="77777777" w:rsidR="007548A7" w:rsidRPr="0074556C" w:rsidRDefault="007548A7" w:rsidP="0019075F">
            <w:pPr>
              <w:pStyle w:val="TableText"/>
            </w:pPr>
          </w:p>
        </w:tc>
      </w:tr>
      <w:tr w:rsidR="007548A7" w:rsidRPr="0074556C" w14:paraId="187C2E4A" w14:textId="77777777" w:rsidTr="00CE00E2">
        <w:trPr>
          <w:trHeight w:val="302"/>
        </w:trPr>
        <w:tc>
          <w:tcPr>
            <w:tcW w:w="2137" w:type="dxa"/>
            <w:vMerge/>
            <w:tcBorders>
              <w:left w:val="single" w:sz="4" w:space="0" w:color="auto"/>
              <w:bottom w:val="single" w:sz="4" w:space="0" w:color="000000" w:themeColor="text1"/>
              <w:right w:val="single" w:sz="4" w:space="0" w:color="auto"/>
            </w:tcBorders>
            <w:shd w:val="clear" w:color="auto" w:fill="auto"/>
            <w:noWrap/>
            <w:vAlign w:val="center"/>
          </w:tcPr>
          <w:p w14:paraId="6157A3BE" w14:textId="77777777" w:rsidR="007548A7" w:rsidRPr="008C04B3" w:rsidRDefault="007548A7" w:rsidP="0019075F">
            <w:pPr>
              <w:pStyle w:val="TableText"/>
            </w:pPr>
          </w:p>
        </w:tc>
        <w:tc>
          <w:tcPr>
            <w:tcW w:w="381" w:type="dxa"/>
            <w:vMerge/>
            <w:tcBorders>
              <w:left w:val="nil"/>
              <w:bottom w:val="single" w:sz="4" w:space="0" w:color="000000" w:themeColor="text1"/>
              <w:right w:val="nil"/>
            </w:tcBorders>
            <w:shd w:val="clear" w:color="auto" w:fill="auto"/>
            <w:noWrap/>
            <w:vAlign w:val="center"/>
          </w:tcPr>
          <w:p w14:paraId="7A318883" w14:textId="77777777" w:rsidR="007548A7" w:rsidRPr="008C04B3" w:rsidRDefault="007548A7" w:rsidP="0019075F">
            <w:pPr>
              <w:pStyle w:val="TableText"/>
              <w:rPr>
                <w:rFonts w:ascii="Cambria Math" w:hAnsi="Cambria Math"/>
              </w:rPr>
            </w:pPr>
          </w:p>
        </w:tc>
        <w:tc>
          <w:tcPr>
            <w:tcW w:w="954" w:type="dxa"/>
            <w:tcBorders>
              <w:left w:val="nil"/>
              <w:bottom w:val="single" w:sz="4" w:space="0" w:color="000000" w:themeColor="text1"/>
              <w:right w:val="nil"/>
            </w:tcBorders>
          </w:tcPr>
          <w:p w14:paraId="594EF749" w14:textId="77777777" w:rsidR="007548A7" w:rsidRPr="008C04B3" w:rsidRDefault="007548A7" w:rsidP="0019075F">
            <w:pPr>
              <w:pStyle w:val="TableText"/>
            </w:pPr>
            <w:r w:rsidRPr="008C04B3">
              <w:t>10</w:t>
            </w:r>
          </w:p>
        </w:tc>
        <w:tc>
          <w:tcPr>
            <w:tcW w:w="1980" w:type="dxa"/>
            <w:tcBorders>
              <w:left w:val="nil"/>
              <w:bottom w:val="single" w:sz="4" w:space="0" w:color="000000" w:themeColor="text1"/>
              <w:right w:val="nil"/>
            </w:tcBorders>
            <w:shd w:val="clear" w:color="auto" w:fill="auto"/>
            <w:vAlign w:val="center"/>
          </w:tcPr>
          <w:p w14:paraId="4571825D" w14:textId="77777777" w:rsidR="007548A7" w:rsidRPr="008C04B3" w:rsidRDefault="007548A7" w:rsidP="0019075F">
            <w:pPr>
              <w:pStyle w:val="TableText"/>
            </w:pPr>
            <w:r w:rsidRPr="008C04B3">
              <w:t>&gt; 1723°C</w:t>
            </w:r>
          </w:p>
        </w:tc>
        <w:tc>
          <w:tcPr>
            <w:tcW w:w="1260" w:type="dxa"/>
            <w:vMerge/>
            <w:tcBorders>
              <w:left w:val="nil"/>
              <w:bottom w:val="single" w:sz="4" w:space="0" w:color="000000" w:themeColor="text1"/>
              <w:right w:val="single" w:sz="4" w:space="0" w:color="auto"/>
            </w:tcBorders>
            <w:shd w:val="clear" w:color="auto" w:fill="auto"/>
            <w:noWrap/>
            <w:vAlign w:val="center"/>
          </w:tcPr>
          <w:p w14:paraId="2EA2F145" w14:textId="77777777" w:rsidR="007548A7" w:rsidRPr="008C04B3" w:rsidRDefault="007548A7" w:rsidP="0019075F">
            <w:pPr>
              <w:pStyle w:val="TableText"/>
            </w:pPr>
          </w:p>
        </w:tc>
        <w:tc>
          <w:tcPr>
            <w:tcW w:w="928" w:type="dxa"/>
            <w:vMerge/>
            <w:tcBorders>
              <w:left w:val="nil"/>
              <w:bottom w:val="single" w:sz="4" w:space="0" w:color="000000" w:themeColor="text1"/>
              <w:right w:val="single" w:sz="4" w:space="0" w:color="auto"/>
            </w:tcBorders>
            <w:shd w:val="clear" w:color="auto" w:fill="auto"/>
            <w:noWrap/>
            <w:vAlign w:val="center"/>
          </w:tcPr>
          <w:p w14:paraId="3C0EA27B" w14:textId="77777777" w:rsidR="007548A7" w:rsidRPr="0074556C" w:rsidRDefault="007548A7" w:rsidP="0019075F">
            <w:pPr>
              <w:pStyle w:val="TableText"/>
            </w:pPr>
          </w:p>
        </w:tc>
      </w:tr>
      <w:tr w:rsidR="007548A7" w:rsidRPr="0074556C" w14:paraId="79A5180F" w14:textId="77777777" w:rsidTr="00CE00E2">
        <w:trPr>
          <w:trHeight w:val="302"/>
        </w:trPr>
        <w:tc>
          <w:tcPr>
            <w:tcW w:w="2137" w:type="dxa"/>
            <w:vMerge w:val="restart"/>
            <w:tcBorders>
              <w:top w:val="single" w:sz="4" w:space="0" w:color="000000" w:themeColor="text1"/>
              <w:left w:val="single" w:sz="4" w:space="0" w:color="auto"/>
              <w:right w:val="single" w:sz="4" w:space="0" w:color="auto"/>
            </w:tcBorders>
            <w:shd w:val="clear" w:color="auto" w:fill="auto"/>
            <w:noWrap/>
            <w:vAlign w:val="center"/>
            <w:hideMark/>
          </w:tcPr>
          <w:p w14:paraId="6F088C0B" w14:textId="77777777" w:rsidR="007548A7" w:rsidRPr="008C04B3" w:rsidRDefault="007548A7" w:rsidP="0019075F">
            <w:pPr>
              <w:pStyle w:val="TableText"/>
            </w:pPr>
            <w:r w:rsidRPr="008C04B3">
              <w:t>k</w:t>
            </w:r>
            <w:r w:rsidRPr="008C04B3">
              <w:rPr>
                <w:vertAlign w:val="subscript"/>
              </w:rPr>
              <w:t>Ar</w:t>
            </w:r>
          </w:p>
        </w:tc>
        <w:tc>
          <w:tcPr>
            <w:tcW w:w="381" w:type="dxa"/>
            <w:vMerge w:val="restart"/>
            <w:tcBorders>
              <w:top w:val="single" w:sz="4" w:space="0" w:color="000000" w:themeColor="text1"/>
              <w:left w:val="nil"/>
              <w:right w:val="nil"/>
            </w:tcBorders>
            <w:shd w:val="clear" w:color="auto" w:fill="auto"/>
            <w:noWrap/>
            <w:vAlign w:val="center"/>
            <w:hideMark/>
          </w:tcPr>
          <w:p w14:paraId="35F186EB" w14:textId="77777777" w:rsidR="007548A7" w:rsidRPr="008C04B3" w:rsidRDefault="007548A7" w:rsidP="0019075F">
            <w:pPr>
              <w:pStyle w:val="TableText"/>
              <w:rPr>
                <w:rFonts w:ascii="Cambria Math" w:hAnsi="Cambria Math"/>
              </w:rPr>
            </w:pPr>
            <w:r w:rsidRPr="008C04B3">
              <w:rPr>
                <w:rFonts w:ascii="Cambria Math" w:hAnsi="Cambria Math"/>
              </w:rPr>
              <w:t>±</w:t>
            </w:r>
          </w:p>
        </w:tc>
        <w:tc>
          <w:tcPr>
            <w:tcW w:w="954" w:type="dxa"/>
            <w:tcBorders>
              <w:top w:val="single" w:sz="4" w:space="0" w:color="000000" w:themeColor="text1"/>
              <w:left w:val="nil"/>
              <w:right w:val="nil"/>
            </w:tcBorders>
          </w:tcPr>
          <w:p w14:paraId="0DD1C834" w14:textId="77777777" w:rsidR="007548A7" w:rsidRPr="008C04B3" w:rsidRDefault="007548A7" w:rsidP="0019075F">
            <w:pPr>
              <w:pStyle w:val="TableText"/>
            </w:pPr>
            <w:r w:rsidRPr="008C04B3">
              <w:t>1</w:t>
            </w:r>
          </w:p>
        </w:tc>
        <w:tc>
          <w:tcPr>
            <w:tcW w:w="1980" w:type="dxa"/>
            <w:tcBorders>
              <w:top w:val="single" w:sz="4" w:space="0" w:color="000000" w:themeColor="text1"/>
              <w:left w:val="nil"/>
              <w:right w:val="nil"/>
            </w:tcBorders>
            <w:shd w:val="clear" w:color="auto" w:fill="auto"/>
            <w:vAlign w:val="center"/>
            <w:hideMark/>
          </w:tcPr>
          <w:p w14:paraId="43FA3CC5" w14:textId="77777777" w:rsidR="007548A7" w:rsidRPr="008C04B3" w:rsidRDefault="007548A7" w:rsidP="0019075F">
            <w:pPr>
              <w:pStyle w:val="TableText"/>
            </w:pPr>
            <w:r w:rsidRPr="008C04B3">
              <w:t>&lt; 723°C</w:t>
            </w:r>
          </w:p>
        </w:tc>
        <w:tc>
          <w:tcPr>
            <w:tcW w:w="1260" w:type="dxa"/>
            <w:vMerge w:val="restart"/>
            <w:tcBorders>
              <w:top w:val="single" w:sz="4" w:space="0" w:color="000000" w:themeColor="text1"/>
              <w:left w:val="nil"/>
              <w:right w:val="single" w:sz="4" w:space="0" w:color="auto"/>
            </w:tcBorders>
            <w:shd w:val="clear" w:color="auto" w:fill="auto"/>
            <w:noWrap/>
            <w:vAlign w:val="center"/>
            <w:hideMark/>
          </w:tcPr>
          <w:p w14:paraId="71FA2F26" w14:textId="77777777" w:rsidR="007548A7" w:rsidRPr="008C04B3" w:rsidRDefault="007548A7" w:rsidP="0019075F">
            <w:pPr>
              <w:pStyle w:val="TableText"/>
            </w:pPr>
            <w:r w:rsidRPr="008C04B3">
              <w:t>%</w:t>
            </w:r>
          </w:p>
        </w:tc>
        <w:tc>
          <w:tcPr>
            <w:tcW w:w="928" w:type="dxa"/>
            <w:vMerge w:val="restart"/>
            <w:tcBorders>
              <w:top w:val="single" w:sz="4" w:space="0" w:color="000000" w:themeColor="text1"/>
              <w:left w:val="nil"/>
              <w:right w:val="single" w:sz="4" w:space="0" w:color="auto"/>
            </w:tcBorders>
            <w:shd w:val="clear" w:color="auto" w:fill="auto"/>
            <w:noWrap/>
            <w:vAlign w:val="center"/>
            <w:hideMark/>
          </w:tcPr>
          <w:p w14:paraId="25EFBFFD" w14:textId="3F944CA3" w:rsidR="007548A7" w:rsidRPr="0074556C" w:rsidRDefault="007548A7" w:rsidP="0019075F">
            <w:pPr>
              <w:pStyle w:val="TableText"/>
            </w:pPr>
            <w:r w:rsidRPr="0074556C">
              <w:fldChar w:fldCharType="begin"/>
            </w:r>
            <w:r w:rsidR="003026BC">
              <w:instrText xml:space="preserve"> ADDIN EN.CITE &lt;EndNote&gt;&lt;Cite&gt;&lt;Author&gt;CINDAS&lt;/Author&gt;&lt;Year&gt;2016&lt;/Year&gt;&lt;RecNum&gt;491&lt;/RecNum&gt;&lt;DisplayText&gt;[156]&lt;/DisplayText&gt;&lt;record&gt;&lt;rec-number&gt;491&lt;/rec-number&gt;&lt;foreign-keys&gt;&lt;key app="EN" db-id="eseee05sfe5vt6efvr0xapvq20vfdsfp5fvf" timestamp="1715880499"&gt;491&lt;/key&gt;&lt;/foreign-keys&gt;&lt;ref-type name="Journal Article"&gt;17&lt;/ref-type&gt;&lt;contributors&gt;&lt;authors&gt;&lt;author&gt;CINDAS&lt;/author&gt;&lt;/authors&gt;&lt;/contributors&gt;&lt;titles&gt;&lt;title&gt;global benchmark for critically evaluated materials properties&amp;#xD;data&lt;/title&gt;&lt;/titles&gt;&lt;dates&gt;&lt;year&gt;2016&lt;/year&gt;&lt;/dates&gt;&lt;urls&gt;&lt;/urls&gt;&lt;electronic-resource-num&gt;http://cindasdata.com&lt;/electronic-resource-num&gt;&lt;/record&gt;&lt;/Cite&gt;&lt;/EndNote&gt;</w:instrText>
            </w:r>
            <w:r w:rsidRPr="0074556C">
              <w:fldChar w:fldCharType="separate"/>
            </w:r>
            <w:r w:rsidR="003026BC">
              <w:rPr>
                <w:noProof/>
              </w:rPr>
              <w:t>[156]</w:t>
            </w:r>
            <w:r w:rsidRPr="0074556C">
              <w:fldChar w:fldCharType="end"/>
            </w:r>
          </w:p>
        </w:tc>
      </w:tr>
      <w:tr w:rsidR="007548A7" w:rsidRPr="0074556C" w14:paraId="2374CA79" w14:textId="77777777" w:rsidTr="00CE00E2">
        <w:trPr>
          <w:trHeight w:val="302"/>
        </w:trPr>
        <w:tc>
          <w:tcPr>
            <w:tcW w:w="2137" w:type="dxa"/>
            <w:vMerge/>
            <w:tcBorders>
              <w:left w:val="single" w:sz="4" w:space="0" w:color="auto"/>
              <w:right w:val="single" w:sz="4" w:space="0" w:color="auto"/>
            </w:tcBorders>
            <w:shd w:val="clear" w:color="auto" w:fill="auto"/>
            <w:noWrap/>
            <w:vAlign w:val="center"/>
          </w:tcPr>
          <w:p w14:paraId="4D98FEC5" w14:textId="77777777" w:rsidR="007548A7" w:rsidRPr="008C04B3" w:rsidRDefault="007548A7" w:rsidP="0019075F">
            <w:pPr>
              <w:pStyle w:val="TableText"/>
            </w:pPr>
          </w:p>
        </w:tc>
        <w:tc>
          <w:tcPr>
            <w:tcW w:w="381" w:type="dxa"/>
            <w:vMerge/>
            <w:tcBorders>
              <w:left w:val="nil"/>
              <w:right w:val="nil"/>
            </w:tcBorders>
            <w:shd w:val="clear" w:color="auto" w:fill="auto"/>
            <w:noWrap/>
            <w:vAlign w:val="center"/>
          </w:tcPr>
          <w:p w14:paraId="0172A735" w14:textId="77777777" w:rsidR="007548A7" w:rsidRPr="008C04B3" w:rsidRDefault="007548A7" w:rsidP="0019075F">
            <w:pPr>
              <w:pStyle w:val="TableText"/>
              <w:rPr>
                <w:rFonts w:ascii="Cambria Math" w:hAnsi="Cambria Math"/>
              </w:rPr>
            </w:pPr>
          </w:p>
        </w:tc>
        <w:tc>
          <w:tcPr>
            <w:tcW w:w="954" w:type="dxa"/>
            <w:tcBorders>
              <w:left w:val="nil"/>
              <w:right w:val="nil"/>
            </w:tcBorders>
          </w:tcPr>
          <w:p w14:paraId="2685555A" w14:textId="77777777" w:rsidR="007548A7" w:rsidRPr="008C04B3" w:rsidRDefault="007548A7" w:rsidP="0019075F">
            <w:pPr>
              <w:pStyle w:val="TableText"/>
            </w:pPr>
            <w:r w:rsidRPr="008C04B3">
              <w:t>5</w:t>
            </w:r>
          </w:p>
        </w:tc>
        <w:tc>
          <w:tcPr>
            <w:tcW w:w="1980" w:type="dxa"/>
            <w:tcBorders>
              <w:left w:val="nil"/>
              <w:right w:val="nil"/>
            </w:tcBorders>
            <w:shd w:val="clear" w:color="auto" w:fill="auto"/>
            <w:vAlign w:val="center"/>
          </w:tcPr>
          <w:p w14:paraId="642820E8" w14:textId="77777777" w:rsidR="007548A7" w:rsidRPr="008C04B3" w:rsidRDefault="007548A7" w:rsidP="0019075F">
            <w:pPr>
              <w:pStyle w:val="TableText"/>
            </w:pPr>
            <w:r w:rsidRPr="008C04B3">
              <w:t>723°C-1723°C</w:t>
            </w:r>
          </w:p>
        </w:tc>
        <w:tc>
          <w:tcPr>
            <w:tcW w:w="1260" w:type="dxa"/>
            <w:vMerge/>
            <w:tcBorders>
              <w:left w:val="nil"/>
              <w:right w:val="single" w:sz="4" w:space="0" w:color="auto"/>
            </w:tcBorders>
            <w:shd w:val="clear" w:color="auto" w:fill="auto"/>
            <w:noWrap/>
            <w:vAlign w:val="center"/>
          </w:tcPr>
          <w:p w14:paraId="728346FF" w14:textId="77777777" w:rsidR="007548A7" w:rsidRPr="008C04B3" w:rsidRDefault="007548A7" w:rsidP="0019075F">
            <w:pPr>
              <w:pStyle w:val="TableText"/>
            </w:pPr>
          </w:p>
        </w:tc>
        <w:tc>
          <w:tcPr>
            <w:tcW w:w="928" w:type="dxa"/>
            <w:vMerge/>
            <w:tcBorders>
              <w:left w:val="nil"/>
              <w:right w:val="single" w:sz="4" w:space="0" w:color="auto"/>
            </w:tcBorders>
            <w:shd w:val="clear" w:color="auto" w:fill="auto"/>
            <w:noWrap/>
            <w:vAlign w:val="center"/>
          </w:tcPr>
          <w:p w14:paraId="31479D92" w14:textId="77777777" w:rsidR="007548A7" w:rsidRPr="0074556C" w:rsidRDefault="007548A7" w:rsidP="0019075F">
            <w:pPr>
              <w:pStyle w:val="TableText"/>
            </w:pPr>
          </w:p>
        </w:tc>
      </w:tr>
      <w:tr w:rsidR="007548A7" w:rsidRPr="0074556C" w14:paraId="11DA1F19" w14:textId="77777777" w:rsidTr="00CE00E2">
        <w:trPr>
          <w:trHeight w:val="302"/>
        </w:trPr>
        <w:tc>
          <w:tcPr>
            <w:tcW w:w="2137" w:type="dxa"/>
            <w:vMerge/>
            <w:tcBorders>
              <w:left w:val="single" w:sz="4" w:space="0" w:color="auto"/>
              <w:bottom w:val="single" w:sz="4" w:space="0" w:color="000000" w:themeColor="text1"/>
              <w:right w:val="single" w:sz="4" w:space="0" w:color="auto"/>
            </w:tcBorders>
            <w:shd w:val="clear" w:color="auto" w:fill="auto"/>
            <w:noWrap/>
            <w:vAlign w:val="center"/>
          </w:tcPr>
          <w:p w14:paraId="52885507" w14:textId="77777777" w:rsidR="007548A7" w:rsidRPr="008C04B3" w:rsidRDefault="007548A7" w:rsidP="0019075F">
            <w:pPr>
              <w:pStyle w:val="TableText"/>
            </w:pPr>
          </w:p>
        </w:tc>
        <w:tc>
          <w:tcPr>
            <w:tcW w:w="381" w:type="dxa"/>
            <w:vMerge/>
            <w:tcBorders>
              <w:left w:val="nil"/>
              <w:bottom w:val="single" w:sz="4" w:space="0" w:color="000000" w:themeColor="text1"/>
              <w:right w:val="nil"/>
            </w:tcBorders>
            <w:shd w:val="clear" w:color="auto" w:fill="auto"/>
            <w:noWrap/>
            <w:vAlign w:val="center"/>
          </w:tcPr>
          <w:p w14:paraId="5332DBE9" w14:textId="77777777" w:rsidR="007548A7" w:rsidRPr="008C04B3" w:rsidRDefault="007548A7" w:rsidP="0019075F">
            <w:pPr>
              <w:pStyle w:val="TableText"/>
              <w:rPr>
                <w:rFonts w:ascii="Cambria Math" w:hAnsi="Cambria Math"/>
              </w:rPr>
            </w:pPr>
          </w:p>
        </w:tc>
        <w:tc>
          <w:tcPr>
            <w:tcW w:w="954" w:type="dxa"/>
            <w:tcBorders>
              <w:left w:val="nil"/>
              <w:bottom w:val="single" w:sz="4" w:space="0" w:color="000000" w:themeColor="text1"/>
              <w:right w:val="nil"/>
            </w:tcBorders>
          </w:tcPr>
          <w:p w14:paraId="612B68D6" w14:textId="77777777" w:rsidR="007548A7" w:rsidRPr="008C04B3" w:rsidRDefault="007548A7" w:rsidP="0019075F">
            <w:pPr>
              <w:pStyle w:val="TableText"/>
            </w:pPr>
            <w:r w:rsidRPr="008C04B3">
              <w:t>10</w:t>
            </w:r>
          </w:p>
        </w:tc>
        <w:tc>
          <w:tcPr>
            <w:tcW w:w="1980" w:type="dxa"/>
            <w:tcBorders>
              <w:left w:val="nil"/>
              <w:bottom w:val="single" w:sz="4" w:space="0" w:color="000000" w:themeColor="text1"/>
              <w:right w:val="nil"/>
            </w:tcBorders>
            <w:shd w:val="clear" w:color="auto" w:fill="auto"/>
            <w:vAlign w:val="center"/>
          </w:tcPr>
          <w:p w14:paraId="5961C8DC" w14:textId="77777777" w:rsidR="007548A7" w:rsidRPr="008C04B3" w:rsidRDefault="007548A7" w:rsidP="0019075F">
            <w:pPr>
              <w:pStyle w:val="TableText"/>
            </w:pPr>
            <w:r w:rsidRPr="008C04B3">
              <w:t>&gt; 1723°C</w:t>
            </w:r>
          </w:p>
        </w:tc>
        <w:tc>
          <w:tcPr>
            <w:tcW w:w="1260" w:type="dxa"/>
            <w:vMerge/>
            <w:tcBorders>
              <w:left w:val="nil"/>
              <w:bottom w:val="single" w:sz="4" w:space="0" w:color="000000" w:themeColor="text1"/>
              <w:right w:val="single" w:sz="4" w:space="0" w:color="auto"/>
            </w:tcBorders>
            <w:shd w:val="clear" w:color="auto" w:fill="auto"/>
            <w:noWrap/>
            <w:vAlign w:val="center"/>
          </w:tcPr>
          <w:p w14:paraId="17638813" w14:textId="77777777" w:rsidR="007548A7" w:rsidRPr="008C04B3" w:rsidRDefault="007548A7" w:rsidP="0019075F">
            <w:pPr>
              <w:pStyle w:val="TableText"/>
            </w:pPr>
          </w:p>
        </w:tc>
        <w:tc>
          <w:tcPr>
            <w:tcW w:w="928" w:type="dxa"/>
            <w:vMerge/>
            <w:tcBorders>
              <w:left w:val="nil"/>
              <w:bottom w:val="single" w:sz="4" w:space="0" w:color="000000" w:themeColor="text1"/>
              <w:right w:val="single" w:sz="4" w:space="0" w:color="auto"/>
            </w:tcBorders>
            <w:shd w:val="clear" w:color="auto" w:fill="auto"/>
            <w:noWrap/>
            <w:vAlign w:val="center"/>
          </w:tcPr>
          <w:p w14:paraId="606806CF" w14:textId="77777777" w:rsidR="007548A7" w:rsidRPr="0074556C" w:rsidRDefault="007548A7" w:rsidP="0019075F">
            <w:pPr>
              <w:pStyle w:val="TableText"/>
            </w:pPr>
          </w:p>
        </w:tc>
      </w:tr>
      <w:tr w:rsidR="007548A7" w:rsidRPr="0074556C" w14:paraId="70DCCE6E" w14:textId="77777777" w:rsidTr="00CE00E2">
        <w:trPr>
          <w:trHeight w:val="302"/>
        </w:trPr>
        <w:tc>
          <w:tcPr>
            <w:tcW w:w="2137" w:type="dxa"/>
            <w:tcBorders>
              <w:top w:val="single" w:sz="4" w:space="0" w:color="000000" w:themeColor="text1"/>
              <w:left w:val="single" w:sz="4" w:space="0" w:color="auto"/>
              <w:bottom w:val="single" w:sz="4" w:space="0" w:color="000000" w:themeColor="text1"/>
              <w:right w:val="single" w:sz="4" w:space="0" w:color="auto"/>
            </w:tcBorders>
            <w:shd w:val="clear" w:color="auto" w:fill="auto"/>
            <w:noWrap/>
            <w:vAlign w:val="center"/>
          </w:tcPr>
          <w:p w14:paraId="77E7CB22" w14:textId="77777777" w:rsidR="007548A7" w:rsidRPr="008C04B3" w:rsidRDefault="007548A7" w:rsidP="0019075F">
            <w:pPr>
              <w:pStyle w:val="TableText"/>
            </w:pPr>
            <w:r>
              <w:t>k</w:t>
            </w:r>
            <w:r>
              <w:rPr>
                <w:vertAlign w:val="subscript"/>
              </w:rPr>
              <w:t>Xe</w:t>
            </w:r>
          </w:p>
        </w:tc>
        <w:tc>
          <w:tcPr>
            <w:tcW w:w="381" w:type="dxa"/>
            <w:tcBorders>
              <w:top w:val="single" w:sz="4" w:space="0" w:color="000000" w:themeColor="text1"/>
              <w:left w:val="nil"/>
              <w:bottom w:val="single" w:sz="4" w:space="0" w:color="000000" w:themeColor="text1"/>
              <w:right w:val="nil"/>
            </w:tcBorders>
            <w:shd w:val="clear" w:color="auto" w:fill="auto"/>
            <w:noWrap/>
            <w:vAlign w:val="center"/>
          </w:tcPr>
          <w:p w14:paraId="1268DB61" w14:textId="77777777" w:rsidR="007548A7" w:rsidRPr="008C04B3" w:rsidRDefault="007548A7" w:rsidP="0019075F">
            <w:pPr>
              <w:pStyle w:val="TableText"/>
              <w:rPr>
                <w:rFonts w:ascii="Cambria Math" w:hAnsi="Cambria Math"/>
              </w:rPr>
            </w:pPr>
            <w:r w:rsidRPr="008C04B3">
              <w:rPr>
                <w:rFonts w:ascii="Cambria Math" w:hAnsi="Cambria Math"/>
              </w:rPr>
              <w:t>±</w:t>
            </w:r>
          </w:p>
        </w:tc>
        <w:tc>
          <w:tcPr>
            <w:tcW w:w="954" w:type="dxa"/>
            <w:tcBorders>
              <w:top w:val="single" w:sz="4" w:space="0" w:color="000000" w:themeColor="text1"/>
              <w:left w:val="nil"/>
              <w:bottom w:val="single" w:sz="4" w:space="0" w:color="000000" w:themeColor="text1"/>
              <w:right w:val="nil"/>
            </w:tcBorders>
          </w:tcPr>
          <w:p w14:paraId="5BB4CDD0" w14:textId="77777777" w:rsidR="007548A7" w:rsidRPr="008C04B3" w:rsidRDefault="007548A7" w:rsidP="0019075F">
            <w:pPr>
              <w:pStyle w:val="TableText"/>
            </w:pPr>
            <w:r w:rsidRPr="008C04B3">
              <w:t>13</w:t>
            </w:r>
          </w:p>
        </w:tc>
        <w:tc>
          <w:tcPr>
            <w:tcW w:w="1980" w:type="dxa"/>
            <w:tcBorders>
              <w:top w:val="single" w:sz="4" w:space="0" w:color="000000" w:themeColor="text1"/>
              <w:left w:val="nil"/>
              <w:bottom w:val="single" w:sz="4" w:space="0" w:color="000000" w:themeColor="text1"/>
              <w:right w:val="nil"/>
            </w:tcBorders>
            <w:shd w:val="clear" w:color="auto" w:fill="auto"/>
            <w:vAlign w:val="center"/>
          </w:tcPr>
          <w:p w14:paraId="42487988" w14:textId="77777777" w:rsidR="007548A7" w:rsidRPr="008C04B3" w:rsidRDefault="007548A7" w:rsidP="0019075F">
            <w:pPr>
              <w:pStyle w:val="TableText"/>
            </w:pPr>
          </w:p>
        </w:tc>
        <w:tc>
          <w:tcPr>
            <w:tcW w:w="1260" w:type="dxa"/>
            <w:tcBorders>
              <w:top w:val="single" w:sz="4" w:space="0" w:color="000000" w:themeColor="text1"/>
              <w:left w:val="nil"/>
              <w:bottom w:val="single" w:sz="4" w:space="0" w:color="000000" w:themeColor="text1"/>
              <w:right w:val="single" w:sz="4" w:space="0" w:color="auto"/>
            </w:tcBorders>
            <w:shd w:val="clear" w:color="auto" w:fill="auto"/>
            <w:noWrap/>
            <w:vAlign w:val="center"/>
          </w:tcPr>
          <w:p w14:paraId="716B2F7E" w14:textId="77777777" w:rsidR="007548A7" w:rsidRPr="008C04B3" w:rsidRDefault="007548A7" w:rsidP="0019075F">
            <w:pPr>
              <w:pStyle w:val="TableText"/>
            </w:pPr>
            <w:r w:rsidRPr="008C04B3">
              <w:t>%</w:t>
            </w:r>
          </w:p>
        </w:tc>
        <w:tc>
          <w:tcPr>
            <w:tcW w:w="928" w:type="dxa"/>
            <w:tcBorders>
              <w:top w:val="single" w:sz="4" w:space="0" w:color="000000" w:themeColor="text1"/>
              <w:left w:val="nil"/>
              <w:bottom w:val="single" w:sz="4" w:space="0" w:color="000000" w:themeColor="text1"/>
              <w:right w:val="single" w:sz="4" w:space="0" w:color="auto"/>
            </w:tcBorders>
            <w:shd w:val="clear" w:color="auto" w:fill="auto"/>
            <w:noWrap/>
            <w:vAlign w:val="center"/>
          </w:tcPr>
          <w:p w14:paraId="3809F3DA" w14:textId="4CFBDC8E" w:rsidR="007548A7" w:rsidRPr="0074556C" w:rsidRDefault="007548A7" w:rsidP="0019075F">
            <w:pPr>
              <w:pStyle w:val="TableText"/>
            </w:pPr>
            <w:r w:rsidRPr="0074556C">
              <w:fldChar w:fldCharType="begin">
                <w:fldData xml:space="preserve">PEVuZE5vdGU+PENpdGU+PEF1dGhvcj5TR0xDYXJib248L0F1dGhvcj48WWVhcj4yMDIyPC9ZZWFy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=
</w:fldData>
              </w:fldChar>
            </w:r>
            <w:r w:rsidR="003026BC">
              <w:instrText xml:space="preserve"> ADDIN EN.CITE </w:instrText>
            </w:r>
            <w:r w:rsidR="003026BC">
              <w:fldChar w:fldCharType="begin">
                <w:fldData xml:space="preserve">PEVuZE5vdGU+PENpdGU+PEF1dGhvcj5TR0xDYXJib248L0F1dGhvcj48WWVhcj4yMDIyPC9ZZWFy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=
</w:fldData>
              </w:fldChar>
            </w:r>
            <w:r w:rsidR="003026BC">
              <w:instrText xml:space="preserve"> ADDIN EN.CITE.DATA </w:instrText>
            </w:r>
            <w:r w:rsidR="003026BC">
              <w:fldChar w:fldCharType="end"/>
            </w:r>
            <w:r w:rsidRPr="0074556C">
              <w:fldChar w:fldCharType="separate"/>
            </w:r>
            <w:r w:rsidR="003026BC">
              <w:rPr>
                <w:noProof/>
              </w:rPr>
              <w:t>[154, 155]</w:t>
            </w:r>
            <w:r w:rsidRPr="0074556C">
              <w:fldChar w:fldCharType="end"/>
            </w:r>
          </w:p>
        </w:tc>
      </w:tr>
      <w:tr w:rsidR="007548A7" w:rsidRPr="0074556C" w14:paraId="2745D480" w14:textId="77777777" w:rsidTr="00CE00E2">
        <w:trPr>
          <w:trHeight w:val="302"/>
        </w:trPr>
        <w:tc>
          <w:tcPr>
            <w:tcW w:w="2137" w:type="dxa"/>
            <w:vMerge w:val="restart"/>
            <w:tcBorders>
              <w:top w:val="single" w:sz="4" w:space="0" w:color="000000" w:themeColor="text1"/>
              <w:left w:val="single" w:sz="4" w:space="0" w:color="auto"/>
              <w:right w:val="single" w:sz="4" w:space="0" w:color="auto"/>
            </w:tcBorders>
            <w:shd w:val="clear" w:color="auto" w:fill="auto"/>
            <w:noWrap/>
            <w:vAlign w:val="center"/>
          </w:tcPr>
          <w:p w14:paraId="61E842CD" w14:textId="77777777" w:rsidR="007548A7" w:rsidRPr="00BF4E26" w:rsidRDefault="007548A7" w:rsidP="0019075F">
            <w:pPr>
              <w:pStyle w:val="TableText"/>
              <w:rPr>
                <w:vertAlign w:val="subscript"/>
              </w:rPr>
            </w:pPr>
            <w:r>
              <w:t>E</w:t>
            </w:r>
            <w:r>
              <w:rPr>
                <w:vertAlign w:val="subscript"/>
              </w:rPr>
              <w:t>UO2</w:t>
            </w:r>
          </w:p>
        </w:tc>
        <w:tc>
          <w:tcPr>
            <w:tcW w:w="381" w:type="dxa"/>
            <w:vMerge w:val="restart"/>
            <w:tcBorders>
              <w:top w:val="single" w:sz="4" w:space="0" w:color="000000" w:themeColor="text1"/>
              <w:left w:val="nil"/>
              <w:right w:val="nil"/>
            </w:tcBorders>
            <w:shd w:val="clear" w:color="auto" w:fill="auto"/>
            <w:noWrap/>
            <w:vAlign w:val="center"/>
          </w:tcPr>
          <w:p w14:paraId="2657A198" w14:textId="77777777" w:rsidR="007548A7" w:rsidRPr="008C04B3" w:rsidRDefault="007548A7" w:rsidP="0019075F">
            <w:pPr>
              <w:pStyle w:val="TableText"/>
              <w:rPr>
                <w:rFonts w:ascii="Cambria Math" w:hAnsi="Cambria Math"/>
              </w:rPr>
            </w:pPr>
            <w:r w:rsidRPr="008C04B3">
              <w:rPr>
                <w:rFonts w:ascii="Cambria Math" w:hAnsi="Cambria Math"/>
              </w:rPr>
              <w:t>±</w:t>
            </w:r>
          </w:p>
        </w:tc>
        <w:tc>
          <w:tcPr>
            <w:tcW w:w="954" w:type="dxa"/>
            <w:tcBorders>
              <w:top w:val="single" w:sz="4" w:space="0" w:color="000000" w:themeColor="text1"/>
              <w:left w:val="nil"/>
              <w:right w:val="nil"/>
            </w:tcBorders>
          </w:tcPr>
          <w:p w14:paraId="0ADF0602" w14:textId="77777777" w:rsidR="007548A7" w:rsidRDefault="007548A7" w:rsidP="0019075F">
            <w:pPr>
              <w:pStyle w:val="TableText"/>
            </w:pPr>
            <w:r>
              <w:t>6</w:t>
            </w:r>
            <w:r>
              <w:sym w:font="Symbol" w:char="F0B4"/>
            </w:r>
            <w:r>
              <w:t>10</w:t>
            </w:r>
            <w:r>
              <w:rPr>
                <w:vertAlign w:val="superscript"/>
              </w:rPr>
              <w:t>9</w:t>
            </w:r>
            <w:r>
              <w:t xml:space="preserve">  </w:t>
            </w:r>
          </w:p>
        </w:tc>
        <w:tc>
          <w:tcPr>
            <w:tcW w:w="1980" w:type="dxa"/>
            <w:tcBorders>
              <w:top w:val="single" w:sz="4" w:space="0" w:color="000000" w:themeColor="text1"/>
              <w:left w:val="nil"/>
              <w:right w:val="nil"/>
            </w:tcBorders>
            <w:shd w:val="clear" w:color="auto" w:fill="auto"/>
            <w:vAlign w:val="center"/>
          </w:tcPr>
          <w:p w14:paraId="28F640A3" w14:textId="77777777" w:rsidR="007548A7" w:rsidRPr="002B11A1" w:rsidRDefault="007548A7" w:rsidP="0019075F">
            <w:pPr>
              <w:pStyle w:val="TableText"/>
            </w:pPr>
            <w:r>
              <w:t>177</w:t>
            </w:r>
            <w:r w:rsidRPr="008C04B3">
              <w:t>°C</w:t>
            </w:r>
            <w:r>
              <w:t xml:space="preserve"> - 1327</w:t>
            </w:r>
            <w:r w:rsidRPr="008C04B3">
              <w:t>°C</w:t>
            </w:r>
          </w:p>
        </w:tc>
        <w:tc>
          <w:tcPr>
            <w:tcW w:w="1260" w:type="dxa"/>
            <w:tcBorders>
              <w:top w:val="single" w:sz="4" w:space="0" w:color="000000" w:themeColor="text1"/>
              <w:left w:val="nil"/>
              <w:right w:val="single" w:sz="4" w:space="0" w:color="auto"/>
            </w:tcBorders>
            <w:shd w:val="clear" w:color="auto" w:fill="auto"/>
            <w:noWrap/>
            <w:vAlign w:val="center"/>
          </w:tcPr>
          <w:p w14:paraId="0A1A72C0" w14:textId="77777777" w:rsidR="007548A7" w:rsidRPr="002B11A1" w:rsidRDefault="007548A7" w:rsidP="0019075F">
            <w:pPr>
              <w:pStyle w:val="TableText"/>
              <w:rPr>
                <w:vertAlign w:val="superscript"/>
              </w:rPr>
            </w:pPr>
          </w:p>
        </w:tc>
        <w:tc>
          <w:tcPr>
            <w:tcW w:w="928" w:type="dxa"/>
            <w:tcBorders>
              <w:top w:val="single" w:sz="4" w:space="0" w:color="000000" w:themeColor="text1"/>
              <w:left w:val="nil"/>
              <w:right w:val="single" w:sz="4" w:space="0" w:color="auto"/>
            </w:tcBorders>
            <w:shd w:val="clear" w:color="auto" w:fill="auto"/>
            <w:noWrap/>
            <w:vAlign w:val="center"/>
          </w:tcPr>
          <w:p w14:paraId="33B0F8CE" w14:textId="77777777" w:rsidR="007548A7" w:rsidRPr="0074556C" w:rsidRDefault="007548A7" w:rsidP="0019075F">
            <w:pPr>
              <w:pStyle w:val="TableText"/>
            </w:pPr>
          </w:p>
        </w:tc>
      </w:tr>
      <w:tr w:rsidR="007548A7" w:rsidRPr="0074556C" w14:paraId="1DAF21AE" w14:textId="77777777" w:rsidTr="00CE00E2">
        <w:trPr>
          <w:trHeight w:val="302"/>
        </w:trPr>
        <w:tc>
          <w:tcPr>
            <w:tcW w:w="2137" w:type="dxa"/>
            <w:vMerge/>
            <w:tcBorders>
              <w:left w:val="single" w:sz="4" w:space="0" w:color="auto"/>
              <w:bottom w:val="single" w:sz="4" w:space="0" w:color="000000" w:themeColor="text1"/>
              <w:right w:val="single" w:sz="4" w:space="0" w:color="auto"/>
            </w:tcBorders>
            <w:shd w:val="clear" w:color="auto" w:fill="auto"/>
            <w:noWrap/>
            <w:vAlign w:val="center"/>
          </w:tcPr>
          <w:p w14:paraId="3CF5E7ED" w14:textId="77777777" w:rsidR="007548A7" w:rsidRDefault="007548A7" w:rsidP="0019075F">
            <w:pPr>
              <w:pStyle w:val="TableText"/>
            </w:pPr>
          </w:p>
        </w:tc>
        <w:tc>
          <w:tcPr>
            <w:tcW w:w="381" w:type="dxa"/>
            <w:vMerge/>
            <w:tcBorders>
              <w:left w:val="nil"/>
              <w:bottom w:val="single" w:sz="4" w:space="0" w:color="000000" w:themeColor="text1"/>
              <w:right w:val="nil"/>
            </w:tcBorders>
            <w:shd w:val="clear" w:color="auto" w:fill="auto"/>
            <w:noWrap/>
            <w:vAlign w:val="center"/>
          </w:tcPr>
          <w:p w14:paraId="40CF3621" w14:textId="77777777" w:rsidR="007548A7" w:rsidRPr="008C04B3" w:rsidRDefault="007548A7" w:rsidP="0019075F">
            <w:pPr>
              <w:pStyle w:val="TableText"/>
              <w:rPr>
                <w:rFonts w:ascii="Cambria Math" w:hAnsi="Cambria Math"/>
              </w:rPr>
            </w:pPr>
          </w:p>
        </w:tc>
        <w:tc>
          <w:tcPr>
            <w:tcW w:w="954" w:type="dxa"/>
            <w:tcBorders>
              <w:left w:val="nil"/>
              <w:bottom w:val="single" w:sz="4" w:space="0" w:color="000000" w:themeColor="text1"/>
              <w:right w:val="nil"/>
            </w:tcBorders>
          </w:tcPr>
          <w:p w14:paraId="685C7151" w14:textId="77777777" w:rsidR="007548A7" w:rsidRDefault="007548A7" w:rsidP="0019075F">
            <w:pPr>
              <w:pStyle w:val="TableText"/>
            </w:pPr>
            <w:r>
              <w:t>F(T)*</w:t>
            </w:r>
          </w:p>
        </w:tc>
        <w:tc>
          <w:tcPr>
            <w:tcW w:w="1980" w:type="dxa"/>
            <w:tcBorders>
              <w:left w:val="nil"/>
              <w:bottom w:val="single" w:sz="4" w:space="0" w:color="000000" w:themeColor="text1"/>
              <w:right w:val="nil"/>
            </w:tcBorders>
            <w:shd w:val="clear" w:color="auto" w:fill="auto"/>
            <w:vAlign w:val="center"/>
          </w:tcPr>
          <w:p w14:paraId="3D742EC1" w14:textId="77777777" w:rsidR="007548A7" w:rsidRDefault="007548A7" w:rsidP="0019075F">
            <w:pPr>
              <w:pStyle w:val="TableText"/>
            </w:pPr>
            <w:r>
              <w:t>1327</w:t>
            </w:r>
            <w:r w:rsidRPr="008C04B3">
              <w:t>°C</w:t>
            </w:r>
            <w:r>
              <w:t xml:space="preserve"> - 2840</w:t>
            </w:r>
            <w:r w:rsidRPr="008C04B3">
              <w:t>°C</w:t>
            </w:r>
          </w:p>
        </w:tc>
        <w:tc>
          <w:tcPr>
            <w:tcW w:w="1260" w:type="dxa"/>
            <w:tcBorders>
              <w:left w:val="nil"/>
              <w:bottom w:val="single" w:sz="4" w:space="0" w:color="000000" w:themeColor="text1"/>
              <w:right w:val="single" w:sz="4" w:space="0" w:color="auto"/>
            </w:tcBorders>
            <w:shd w:val="clear" w:color="auto" w:fill="auto"/>
            <w:noWrap/>
            <w:vAlign w:val="center"/>
          </w:tcPr>
          <w:p w14:paraId="2D328565" w14:textId="77777777" w:rsidR="007548A7" w:rsidRPr="002B11A1" w:rsidRDefault="007548A7" w:rsidP="0019075F">
            <w:pPr>
              <w:pStyle w:val="TableText"/>
            </w:pPr>
            <w:r w:rsidRPr="002B11A1">
              <w:t>N/m</w:t>
            </w:r>
            <w:r w:rsidRPr="002B11A1">
              <w:rPr>
                <w:vertAlign w:val="superscript"/>
              </w:rPr>
              <w:t>2</w:t>
            </w:r>
          </w:p>
        </w:tc>
        <w:tc>
          <w:tcPr>
            <w:tcW w:w="928" w:type="dxa"/>
            <w:tcBorders>
              <w:left w:val="nil"/>
              <w:bottom w:val="single" w:sz="4" w:space="0" w:color="000000" w:themeColor="text1"/>
              <w:right w:val="single" w:sz="4" w:space="0" w:color="auto"/>
            </w:tcBorders>
            <w:shd w:val="clear" w:color="auto" w:fill="auto"/>
            <w:noWrap/>
            <w:vAlign w:val="center"/>
          </w:tcPr>
          <w:p w14:paraId="06344105" w14:textId="1528F7FA" w:rsidR="007548A7" w:rsidRPr="0074556C" w:rsidRDefault="007548A7" w:rsidP="0019075F">
            <w:pPr>
              <w:pStyle w:val="TableText"/>
            </w:pPr>
            <w:r>
              <w:fldChar w:fldCharType="begin">
                <w:fldData xml:space="preserve">PEVuZE5vdGU+PENpdGU+PEF1dGhvcj5IYWdybWFuPC9BdXRob3I+PFllYXI+MTk5NTwvWWVhcj48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</w:fldData>
              </w:fldChar>
            </w:r>
            <w:r w:rsidR="003026BC">
              <w:instrText xml:space="preserve"> ADDIN EN.CITE </w:instrText>
            </w:r>
            <w:r w:rsidR="003026BC">
              <w:fldChar w:fldCharType="begin">
                <w:fldData xml:space="preserve">PEVuZE5vdGU+PENpdGU+PEF1dGhvcj5IYWdybWFuPC9BdXRob3I+PFllYXI+MTk5NTwvWWVhcj48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</w:fldData>
              </w:fldChar>
            </w:r>
            <w:r w:rsidR="003026BC">
              <w:instrText xml:space="preserve"> ADDIN EN.CITE.DATA </w:instrText>
            </w:r>
            <w:r w:rsidR="003026BC">
              <w:fldChar w:fldCharType="end"/>
            </w:r>
            <w:r>
              <w:fldChar w:fldCharType="separate"/>
            </w:r>
            <w:r w:rsidR="003026BC">
              <w:rPr>
                <w:noProof/>
              </w:rPr>
              <w:t>[160]</w:t>
            </w:r>
            <w:r>
              <w:fldChar w:fldCharType="end"/>
            </w:r>
          </w:p>
        </w:tc>
      </w:tr>
      <w:tr w:rsidR="007548A7" w:rsidRPr="0074556C" w14:paraId="7E085EB7" w14:textId="77777777" w:rsidTr="00CE00E2">
        <w:trPr>
          <w:trHeight w:val="302"/>
        </w:trPr>
        <w:tc>
          <w:tcPr>
            <w:tcW w:w="2137" w:type="dxa"/>
            <w:tcBorders>
              <w:top w:val="single" w:sz="4" w:space="0" w:color="000000" w:themeColor="text1"/>
              <w:left w:val="single" w:sz="4" w:space="0" w:color="auto"/>
              <w:bottom w:val="single" w:sz="4" w:space="0" w:color="000000" w:themeColor="text1"/>
              <w:right w:val="single" w:sz="4" w:space="0" w:color="auto"/>
            </w:tcBorders>
            <w:shd w:val="clear" w:color="auto" w:fill="auto"/>
            <w:noWrap/>
            <w:vAlign w:val="center"/>
          </w:tcPr>
          <w:p w14:paraId="62ABC0EA" w14:textId="77777777" w:rsidR="007548A7" w:rsidRPr="008C04B3" w:rsidRDefault="007548A7" w:rsidP="0019075F">
            <w:pPr>
              <w:pStyle w:val="TableText"/>
            </w:pPr>
            <w:r>
              <w:t>E</w:t>
            </w:r>
            <w:r>
              <w:rPr>
                <w:vertAlign w:val="subscript"/>
              </w:rPr>
              <w:t>Mo</w:t>
            </w:r>
          </w:p>
        </w:tc>
        <w:tc>
          <w:tcPr>
            <w:tcW w:w="381" w:type="dxa"/>
            <w:tcBorders>
              <w:top w:val="single" w:sz="4" w:space="0" w:color="000000" w:themeColor="text1"/>
              <w:left w:val="nil"/>
              <w:bottom w:val="single" w:sz="4" w:space="0" w:color="000000" w:themeColor="text1"/>
              <w:right w:val="nil"/>
            </w:tcBorders>
            <w:shd w:val="clear" w:color="auto" w:fill="auto"/>
            <w:noWrap/>
            <w:vAlign w:val="center"/>
          </w:tcPr>
          <w:p w14:paraId="7214AD64" w14:textId="77777777" w:rsidR="007548A7" w:rsidRPr="008C04B3" w:rsidRDefault="007548A7" w:rsidP="0019075F">
            <w:pPr>
              <w:pStyle w:val="TableText"/>
              <w:rPr>
                <w:rFonts w:ascii="Cambria Math" w:hAnsi="Cambria Math"/>
              </w:rPr>
            </w:pPr>
            <w:r w:rsidRPr="008C04B3">
              <w:rPr>
                <w:rFonts w:ascii="Cambria Math" w:hAnsi="Cambria Math"/>
              </w:rPr>
              <w:t>±</w:t>
            </w:r>
          </w:p>
        </w:tc>
        <w:tc>
          <w:tcPr>
            <w:tcW w:w="954" w:type="dxa"/>
            <w:tcBorders>
              <w:top w:val="single" w:sz="4" w:space="0" w:color="000000" w:themeColor="text1"/>
              <w:left w:val="nil"/>
              <w:bottom w:val="single" w:sz="4" w:space="0" w:color="000000" w:themeColor="text1"/>
              <w:right w:val="nil"/>
            </w:tcBorders>
          </w:tcPr>
          <w:p w14:paraId="1E4CD41C" w14:textId="77777777" w:rsidR="007548A7" w:rsidRPr="008C04B3" w:rsidRDefault="007548A7" w:rsidP="0019075F">
            <w:pPr>
              <w:pStyle w:val="TableText"/>
            </w:pPr>
            <w:r w:rsidRPr="008C04B3">
              <w:t>6</w:t>
            </w:r>
            <w:r>
              <w:t>3</w:t>
            </w:r>
            <w:r>
              <w:sym w:font="Symbol" w:char="F0B4"/>
            </w:r>
            <w:r>
              <w:t>10</w:t>
            </w:r>
            <w:r>
              <w:rPr>
                <w:vertAlign w:val="superscript"/>
              </w:rPr>
              <w:t>9</w:t>
            </w:r>
          </w:p>
        </w:tc>
        <w:tc>
          <w:tcPr>
            <w:tcW w:w="1980" w:type="dxa"/>
            <w:tcBorders>
              <w:top w:val="single" w:sz="4" w:space="0" w:color="000000" w:themeColor="text1"/>
              <w:left w:val="nil"/>
              <w:bottom w:val="single" w:sz="4" w:space="0" w:color="000000" w:themeColor="text1"/>
              <w:right w:val="nil"/>
            </w:tcBorders>
            <w:shd w:val="clear" w:color="auto" w:fill="auto"/>
            <w:vAlign w:val="center"/>
          </w:tcPr>
          <w:p w14:paraId="0471F68A" w14:textId="77777777" w:rsidR="007548A7" w:rsidRPr="008C04B3" w:rsidRDefault="007548A7" w:rsidP="0019075F">
            <w:pPr>
              <w:pStyle w:val="TableText"/>
            </w:pPr>
          </w:p>
        </w:tc>
        <w:tc>
          <w:tcPr>
            <w:tcW w:w="1260" w:type="dxa"/>
            <w:tcBorders>
              <w:top w:val="single" w:sz="4" w:space="0" w:color="000000" w:themeColor="text1"/>
              <w:left w:val="nil"/>
              <w:bottom w:val="single" w:sz="4" w:space="0" w:color="000000" w:themeColor="text1"/>
              <w:right w:val="single" w:sz="4" w:space="0" w:color="auto"/>
            </w:tcBorders>
            <w:shd w:val="clear" w:color="auto" w:fill="auto"/>
            <w:noWrap/>
            <w:vAlign w:val="center"/>
          </w:tcPr>
          <w:p w14:paraId="230BC0BC" w14:textId="77777777" w:rsidR="007548A7" w:rsidRPr="008C04B3" w:rsidRDefault="007548A7" w:rsidP="0019075F">
            <w:pPr>
              <w:pStyle w:val="TableText"/>
            </w:pPr>
            <w:r>
              <w:t>N/m</w:t>
            </w:r>
            <w:r>
              <w:rPr>
                <w:vertAlign w:val="superscript"/>
              </w:rPr>
              <w:t>2</w:t>
            </w:r>
          </w:p>
        </w:tc>
        <w:tc>
          <w:tcPr>
            <w:tcW w:w="928" w:type="dxa"/>
            <w:tcBorders>
              <w:top w:val="single" w:sz="4" w:space="0" w:color="000000" w:themeColor="text1"/>
              <w:left w:val="nil"/>
              <w:bottom w:val="single" w:sz="4" w:space="0" w:color="000000" w:themeColor="text1"/>
              <w:right w:val="single" w:sz="4" w:space="0" w:color="auto"/>
            </w:tcBorders>
            <w:shd w:val="clear" w:color="auto" w:fill="auto"/>
            <w:noWrap/>
            <w:vAlign w:val="center"/>
          </w:tcPr>
          <w:p w14:paraId="14EDB368" w14:textId="223B1A50" w:rsidR="007548A7" w:rsidRPr="0074556C" w:rsidRDefault="007548A7" w:rsidP="0019075F">
            <w:pPr>
              <w:pStyle w:val="TableText"/>
            </w:pPr>
            <w:r>
              <w:fldChar w:fldCharType="begin"/>
            </w:r>
            <w:r w:rsidR="007245A9">
              <w:instrText xml:space="preserve"> ADDIN EN.CITE &lt;EndNote&gt;&lt;Cite&gt;&lt;Author&gt;Farraro&lt;/Author&gt;&lt;Year&gt;1977&lt;/Year&gt;&lt;RecNum&gt;549&lt;/RecNum&gt;&lt;DisplayText&gt;[188]&lt;/DisplayText&gt;&lt;record&gt;&lt;rec-number&gt;549&lt;/rec-number&gt;&lt;foreign-keys&gt;&lt;key app="EN" db-id="eseee05sfe5vt6efvr0xapvq20vfdsfp5fvf" timestamp="1744302256"&gt;549&lt;/key&gt;&lt;/foreign-keys&gt;&lt;ref-type name="Journal Article"&gt;17&lt;/ref-type&gt;&lt;contributors&gt;&lt;authors&gt;&lt;author&gt;Farraro, R.&lt;/author&gt;&lt;author&gt;McLellan, Rex B.&lt;/author&gt;&lt;/authors&gt;&lt;/contributors&gt;&lt;titles&gt;&lt;title&gt;Temperature dependence of the Young’s modulus and shear modulus of pure nickel, platinum, and molybdenum&lt;/title&gt;&lt;secondary-title&gt;Metallurgical Transactions A&lt;/secondary-title&gt;&lt;/titles&gt;&lt;periodical&gt;&lt;full-title&gt;Metallurgical Transactions A&lt;/full-title&gt;&lt;/periodical&gt;&lt;pages&gt;1563-1565&lt;/pages&gt;&lt;volume&gt;8&lt;/volume&gt;&lt;number&gt;10&lt;/number&gt;&lt;dates&gt;&lt;year&gt;1977&lt;/year&gt;&lt;pub-dates&gt;&lt;date&gt;1977/10/01&lt;/date&gt;&lt;/pub-dates&gt;&lt;/dates&gt;&lt;isbn&gt;2379-0180&lt;/isbn&gt;&lt;urls&gt;&lt;related-urls&gt;&lt;url&gt;https://doi.org/10.1007/BF02644859&lt;/url&gt;&lt;/related-urls&gt;&lt;/urls&gt;&lt;electronic-resource-num&gt;10.1007/BF02644859&lt;/electronic-resource-num&gt;&lt;/record&gt;&lt;/Cite&gt;&lt;/EndNote&gt;</w:instrText>
            </w:r>
            <w:r>
              <w:fldChar w:fldCharType="separate"/>
            </w:r>
            <w:r w:rsidR="007245A9">
              <w:rPr>
                <w:noProof/>
              </w:rPr>
              <w:t>[188]</w:t>
            </w:r>
            <w:r>
              <w:fldChar w:fldCharType="end"/>
            </w:r>
          </w:p>
        </w:tc>
      </w:tr>
      <w:tr w:rsidR="007548A7" w:rsidRPr="0074556C" w14:paraId="0D3F7B41" w14:textId="77777777" w:rsidTr="00CE00E2">
        <w:trPr>
          <w:trHeight w:val="286"/>
        </w:trPr>
        <w:tc>
          <w:tcPr>
            <w:tcW w:w="2137" w:type="dxa"/>
            <w:tcBorders>
              <w:top w:val="single" w:sz="4" w:space="0" w:color="000000" w:themeColor="text1"/>
              <w:left w:val="single" w:sz="4" w:space="0" w:color="auto"/>
              <w:bottom w:val="nil"/>
              <w:right w:val="single" w:sz="4" w:space="0" w:color="auto"/>
            </w:tcBorders>
            <w:shd w:val="clear" w:color="auto" w:fill="auto"/>
            <w:noWrap/>
            <w:vAlign w:val="center"/>
          </w:tcPr>
          <w:p w14:paraId="22268CB1" w14:textId="77777777" w:rsidR="007548A7" w:rsidRPr="00C71401" w:rsidRDefault="007548A7" w:rsidP="0019075F">
            <w:pPr>
              <w:pStyle w:val="TableText"/>
              <w:rPr>
                <w:vertAlign w:val="subscript"/>
              </w:rPr>
            </w:pPr>
            <w:r>
              <w:t>H</w:t>
            </w:r>
            <w:r>
              <w:rPr>
                <w:vertAlign w:val="subscript"/>
              </w:rPr>
              <w:t>Mo</w:t>
            </w:r>
          </w:p>
        </w:tc>
        <w:tc>
          <w:tcPr>
            <w:tcW w:w="3315" w:type="dxa"/>
            <w:gridSpan w:val="3"/>
            <w:tcBorders>
              <w:top w:val="single" w:sz="4" w:space="0" w:color="000000" w:themeColor="text1"/>
              <w:left w:val="nil"/>
              <w:bottom w:val="nil"/>
              <w:right w:val="nil"/>
            </w:tcBorders>
          </w:tcPr>
          <w:p w14:paraId="3BF01FAB" w14:textId="77777777" w:rsidR="007548A7" w:rsidRPr="008C04B3" w:rsidRDefault="007548A7" w:rsidP="0019075F">
            <w:pPr>
              <w:pStyle w:val="TableText"/>
            </w:pPr>
            <w:r>
              <w:t>[1.8,2.6]</w:t>
            </w:r>
          </w:p>
        </w:tc>
        <w:tc>
          <w:tcPr>
            <w:tcW w:w="1260" w:type="dxa"/>
            <w:tcBorders>
              <w:top w:val="single" w:sz="4" w:space="0" w:color="000000" w:themeColor="text1"/>
              <w:left w:val="nil"/>
              <w:bottom w:val="nil"/>
              <w:right w:val="single" w:sz="4" w:space="0" w:color="auto"/>
            </w:tcBorders>
            <w:shd w:val="clear" w:color="auto" w:fill="auto"/>
            <w:noWrap/>
            <w:vAlign w:val="center"/>
          </w:tcPr>
          <w:p w14:paraId="05FBB3E6" w14:textId="77777777" w:rsidR="007548A7" w:rsidRPr="008C04B3" w:rsidRDefault="007548A7" w:rsidP="0019075F">
            <w:pPr>
              <w:pStyle w:val="TableText"/>
            </w:pPr>
            <w:r>
              <w:t>GPa</w:t>
            </w:r>
          </w:p>
        </w:tc>
        <w:tc>
          <w:tcPr>
            <w:tcW w:w="928" w:type="dxa"/>
            <w:tcBorders>
              <w:top w:val="single" w:sz="4" w:space="0" w:color="000000" w:themeColor="text1"/>
              <w:left w:val="nil"/>
              <w:bottom w:val="nil"/>
              <w:right w:val="single" w:sz="4" w:space="0" w:color="auto"/>
            </w:tcBorders>
            <w:shd w:val="clear" w:color="auto" w:fill="auto"/>
            <w:noWrap/>
            <w:vAlign w:val="center"/>
          </w:tcPr>
          <w:p w14:paraId="24312AB1" w14:textId="36BC1DA8" w:rsidR="007548A7" w:rsidRPr="0074556C" w:rsidRDefault="007548A7" w:rsidP="0019075F">
            <w:pPr>
              <w:pStyle w:val="TableText"/>
            </w:pPr>
            <w:r>
              <w:fldChar w:fldCharType="begin"/>
            </w:r>
            <w:r w:rsidR="007245A9">
              <w:instrText xml:space="preserve"> ADDIN EN.CITE &lt;EndNote&gt;&lt;Cite&gt;&lt;Author&gt;Bhowmik&lt;/Author&gt;&lt;Year&gt;2024&lt;/Year&gt;&lt;RecNum&gt;509&lt;/RecNum&gt;&lt;DisplayText&gt;[189]&lt;/DisplayText&gt;&lt;record&gt;&lt;rec-number&gt;509&lt;/rec-number&gt;&lt;foreign-keys&gt;&lt;key app="EN" db-id="eseee05sfe5vt6efvr0xapvq20vfdsfp5fvf" timestamp="1722454793"&gt;509&lt;/key&gt;&lt;/foreign-keys&gt;&lt;ref-type name="Journal Article"&gt;17&lt;/ref-type&gt;&lt;contributors&gt;&lt;authors&gt;&lt;author&gt;Bhowmik, Manik&lt;/author&gt;&lt;author&gt;Dadhich, Ramanand&lt;/author&gt;&lt;author&gt;Singh, Indrasen&lt;/author&gt;&lt;/authors&gt;&lt;/contributors&gt;&lt;titles&gt;&lt;title&gt;The effect of annealing on micro-hardness of molybdenum single crystals&lt;/title&gt;&lt;secondary-title&gt;Physica Scripta&lt;/secondary-title&gt;&lt;/titles&gt;&lt;periodical&gt;&lt;full-title&gt;Physica Scripta&lt;/full-title&gt;&lt;/periodical&gt;&lt;pages&gt;075981&lt;/pages&gt;&lt;volume&gt;99&lt;/volume&gt;&lt;number&gt;7&lt;/number&gt;&lt;dates&gt;&lt;year&gt;2024&lt;/year&gt;&lt;pub-dates&gt;&lt;date&gt;2024/06/24&lt;/date&gt;&lt;/pub-dates&gt;&lt;/dates&gt;&lt;publisher&gt;IOP Publishing&lt;/publisher&gt;&lt;isbn&gt;1402-4896&amp;#xD;0031-8949&lt;/isbn&gt;&lt;urls&gt;&lt;related-urls&gt;&lt;url&gt;https://dx.doi.org/10.1088/1402-4896/ad5796&lt;/url&gt;&lt;/related-urls&gt;&lt;/urls&gt;&lt;electronic-resource-num&gt;10.1088/1402-4896/ad5796&lt;/electronic-resource-num&gt;&lt;/record&gt;&lt;/Cite&gt;&lt;/EndNote&gt;</w:instrText>
            </w:r>
            <w:r>
              <w:fldChar w:fldCharType="separate"/>
            </w:r>
            <w:r w:rsidR="007245A9">
              <w:rPr>
                <w:noProof/>
              </w:rPr>
              <w:t>[189]</w:t>
            </w:r>
            <w:r>
              <w:fldChar w:fldCharType="end"/>
            </w:r>
            <w:r>
              <w:t>**</w:t>
            </w:r>
          </w:p>
        </w:tc>
      </w:tr>
      <w:tr w:rsidR="007548A7" w:rsidRPr="0074556C" w14:paraId="6D7DDBE3" w14:textId="77777777" w:rsidTr="00CE00E2">
        <w:trPr>
          <w:trHeight w:val="300"/>
        </w:trPr>
        <w:tc>
          <w:tcPr>
            <w:tcW w:w="2137" w:type="dxa"/>
            <w:tcBorders>
              <w:top w:val="nil"/>
              <w:left w:val="single" w:sz="4" w:space="0" w:color="auto"/>
              <w:bottom w:val="nil"/>
              <w:right w:val="single" w:sz="4" w:space="0" w:color="auto"/>
            </w:tcBorders>
            <w:shd w:val="clear" w:color="auto" w:fill="auto"/>
            <w:noWrap/>
            <w:vAlign w:val="center"/>
          </w:tcPr>
          <w:p w14:paraId="576833DE" w14:textId="77777777" w:rsidR="007548A7" w:rsidRDefault="007548A7" w:rsidP="0019075F">
            <w:pPr>
              <w:pStyle w:val="TableText"/>
            </w:pPr>
            <w:r w:rsidRPr="008C04B3">
              <w:t>BU</w:t>
            </w:r>
            <w:r w:rsidRPr="008C04B3">
              <w:rPr>
                <w:vertAlign w:val="subscript"/>
              </w:rPr>
              <w:t>Fuel</w:t>
            </w:r>
          </w:p>
        </w:tc>
        <w:tc>
          <w:tcPr>
            <w:tcW w:w="3315" w:type="dxa"/>
            <w:gridSpan w:val="3"/>
            <w:tcBorders>
              <w:top w:val="nil"/>
              <w:left w:val="nil"/>
              <w:bottom w:val="nil"/>
              <w:right w:val="nil"/>
            </w:tcBorders>
          </w:tcPr>
          <w:p w14:paraId="539AC1E2" w14:textId="77777777" w:rsidR="007548A7" w:rsidRPr="008C04B3" w:rsidRDefault="007548A7" w:rsidP="0019075F">
            <w:pPr>
              <w:pStyle w:val="TableText"/>
            </w:pPr>
            <w:r>
              <w:t>[</w:t>
            </w:r>
            <w:r w:rsidRPr="008C04B3">
              <w:t>0</w:t>
            </w:r>
            <w:r>
              <w:t>.0,8</w:t>
            </w:r>
            <w:r w:rsidRPr="008C04B3">
              <w:t>0</w:t>
            </w:r>
            <w:r>
              <w:t>.0]</w:t>
            </w:r>
          </w:p>
        </w:tc>
        <w:tc>
          <w:tcPr>
            <w:tcW w:w="1260" w:type="dxa"/>
            <w:tcBorders>
              <w:top w:val="nil"/>
              <w:left w:val="nil"/>
              <w:bottom w:val="nil"/>
              <w:right w:val="single" w:sz="4" w:space="0" w:color="auto"/>
            </w:tcBorders>
            <w:shd w:val="clear" w:color="auto" w:fill="auto"/>
            <w:noWrap/>
            <w:vAlign w:val="center"/>
          </w:tcPr>
          <w:p w14:paraId="730CED11" w14:textId="77777777" w:rsidR="007548A7" w:rsidRPr="008C04B3" w:rsidRDefault="007548A7" w:rsidP="0019075F">
            <w:pPr>
              <w:pStyle w:val="TableText"/>
            </w:pPr>
            <w:r w:rsidRPr="008C04B3">
              <w:t>GWd/MtU</w:t>
            </w:r>
          </w:p>
        </w:tc>
        <w:tc>
          <w:tcPr>
            <w:tcW w:w="928" w:type="dxa"/>
            <w:tcBorders>
              <w:top w:val="nil"/>
              <w:left w:val="nil"/>
              <w:bottom w:val="nil"/>
              <w:right w:val="single" w:sz="4" w:space="0" w:color="auto"/>
            </w:tcBorders>
            <w:shd w:val="clear" w:color="auto" w:fill="auto"/>
            <w:noWrap/>
            <w:vAlign w:val="center"/>
          </w:tcPr>
          <w:p w14:paraId="51EF8994" w14:textId="14A329B0" w:rsidR="007548A7" w:rsidRPr="0074556C" w:rsidRDefault="007548A7" w:rsidP="0019075F">
            <w:pPr>
              <w:pStyle w:val="TableText"/>
            </w:pPr>
            <w:r w:rsidRPr="0074556C">
              <w:fldChar w:fldCharType="begin"/>
            </w:r>
            <w:r w:rsidR="003026BC">
              <w:instrText xml:space="preserve"> ADDIN EN.CITE &lt;EndNote&gt;&lt;Cite&gt;&lt;Author&gt;Lanning&lt;/Author&gt;&lt;Year&gt;1997&lt;/Year&gt;&lt;RecNum&gt;494&lt;/RecNum&gt;&lt;DisplayText&gt;[163]&lt;/DisplayText&gt;&lt;record&gt;&lt;rec-number&gt;494&lt;/rec-number&gt;&lt;foreign-keys&gt;&lt;key app="EN" db-id="eseee05sfe5vt6efvr0xapvq20vfdsfp5fvf" timestamp="1715882027"&gt;494&lt;/key&gt;&lt;/foreign-keys&gt;&lt;ref-type name="Book"&gt;6&lt;/ref-type&gt;&lt;contributors&gt;&lt;authors&gt;&lt;author&gt;Lanning, DD&lt;/author&gt;&lt;author&gt;Beyer, CE&lt;/author&gt;&lt;author&gt;Geelhood, KJ&lt;/author&gt;&lt;/authors&gt;&lt;/contributors&gt;&lt;titles&gt;&lt;title&gt;Frapcon-3 updates, including mixed-oxide fuel properties&lt;/title&gt;&lt;secondary-title&gt;NUREG/CR-6534&lt;/secondary-title&gt;&lt;/titles&gt;&lt;periodical&gt;&lt;full-title&gt;NUREG/CR-6534&lt;/full-title&gt;&lt;/periodical&gt;&lt;volume&gt;NUREG/CR-6534, Vol. 4&lt;/volume&gt;&lt;dates&gt;&lt;year&gt;1997&lt;/year&gt;&lt;/dates&gt;&lt;publisher&gt;U.S. Nuclear Regulatory Commission&lt;/publisher&gt;&lt;urls&gt;&lt;/urls&gt;&lt;electronic-resource-num&gt;https://www.nrc.gov/docs/ML0514/ML051440720.pdf&lt;/electronic-resource-num&gt;&lt;/record&gt;&lt;/Cite&gt;&lt;/EndNote&gt;</w:instrText>
            </w:r>
            <w:r w:rsidRPr="0074556C">
              <w:fldChar w:fldCharType="separate"/>
            </w:r>
            <w:r w:rsidR="003026BC">
              <w:rPr>
                <w:noProof/>
              </w:rPr>
              <w:t>[163]</w:t>
            </w:r>
            <w:r w:rsidRPr="0074556C">
              <w:fldChar w:fldCharType="end"/>
            </w:r>
          </w:p>
        </w:tc>
      </w:tr>
      <w:tr w:rsidR="007548A7" w:rsidRPr="0074556C" w14:paraId="418425D2" w14:textId="77777777" w:rsidTr="00CE00E2">
        <w:trPr>
          <w:trHeight w:val="300"/>
        </w:trPr>
        <w:tc>
          <w:tcPr>
            <w:tcW w:w="2137" w:type="dxa"/>
            <w:tcBorders>
              <w:top w:val="nil"/>
              <w:left w:val="single" w:sz="4" w:space="0" w:color="auto"/>
              <w:bottom w:val="nil"/>
              <w:right w:val="single" w:sz="4" w:space="0" w:color="auto"/>
            </w:tcBorders>
            <w:shd w:val="clear" w:color="auto" w:fill="auto"/>
            <w:noWrap/>
            <w:vAlign w:val="center"/>
          </w:tcPr>
          <w:p w14:paraId="10698D9A" w14:textId="77777777" w:rsidR="007548A7" w:rsidRPr="008C04B3" w:rsidRDefault="007548A7" w:rsidP="0019075F">
            <w:pPr>
              <w:pStyle w:val="TableText"/>
            </w:pPr>
            <w:r>
              <w:sym w:font="Symbol" w:char="F073"/>
            </w:r>
            <w:r>
              <w:rPr>
                <w:vertAlign w:val="subscript"/>
              </w:rPr>
              <w:t>UO2</w:t>
            </w:r>
          </w:p>
        </w:tc>
        <w:tc>
          <w:tcPr>
            <w:tcW w:w="3315" w:type="dxa"/>
            <w:gridSpan w:val="3"/>
            <w:tcBorders>
              <w:top w:val="nil"/>
              <w:left w:val="nil"/>
              <w:bottom w:val="nil"/>
              <w:right w:val="nil"/>
            </w:tcBorders>
          </w:tcPr>
          <w:p w14:paraId="3C6A036B" w14:textId="77777777" w:rsidR="007548A7" w:rsidRPr="008C04B3" w:rsidRDefault="007548A7" w:rsidP="0019075F">
            <w:pPr>
              <w:pStyle w:val="TableText"/>
            </w:pPr>
            <w:r w:rsidRPr="008C04B3">
              <w:t>[0</w:t>
            </w:r>
            <w:r>
              <w:t>.5</w:t>
            </w:r>
            <w:r w:rsidRPr="008C04B3">
              <w:t>,</w:t>
            </w:r>
            <w:r>
              <w:t>2.0</w:t>
            </w:r>
            <w:r w:rsidRPr="008C04B3">
              <w:t>]</w:t>
            </w:r>
          </w:p>
        </w:tc>
        <w:tc>
          <w:tcPr>
            <w:tcW w:w="1260" w:type="dxa"/>
            <w:tcBorders>
              <w:top w:val="nil"/>
              <w:left w:val="nil"/>
              <w:bottom w:val="nil"/>
              <w:right w:val="single" w:sz="4" w:space="0" w:color="auto"/>
            </w:tcBorders>
            <w:shd w:val="clear" w:color="auto" w:fill="auto"/>
            <w:noWrap/>
            <w:vAlign w:val="center"/>
          </w:tcPr>
          <w:p w14:paraId="4A11FBBC" w14:textId="77777777" w:rsidR="007548A7" w:rsidRPr="008C04B3" w:rsidRDefault="007548A7" w:rsidP="0019075F">
            <w:pPr>
              <w:pStyle w:val="TableText"/>
            </w:pPr>
            <w:r>
              <w:sym w:font="Symbol" w:char="F06D"/>
            </w:r>
            <w:r>
              <w:t>m</w:t>
            </w:r>
          </w:p>
        </w:tc>
        <w:tc>
          <w:tcPr>
            <w:tcW w:w="928" w:type="dxa"/>
            <w:tcBorders>
              <w:top w:val="nil"/>
              <w:left w:val="nil"/>
              <w:bottom w:val="nil"/>
              <w:right w:val="single" w:sz="4" w:space="0" w:color="auto"/>
            </w:tcBorders>
            <w:shd w:val="clear" w:color="auto" w:fill="auto"/>
            <w:noWrap/>
            <w:vAlign w:val="center"/>
          </w:tcPr>
          <w:p w14:paraId="2EF3294C" w14:textId="77777777" w:rsidR="007548A7" w:rsidRPr="0074556C" w:rsidRDefault="007548A7" w:rsidP="0019075F">
            <w:pPr>
              <w:pStyle w:val="TableText"/>
            </w:pPr>
          </w:p>
        </w:tc>
      </w:tr>
      <w:tr w:rsidR="007548A7" w:rsidRPr="0074556C" w14:paraId="65201042" w14:textId="77777777" w:rsidTr="00CE00E2">
        <w:trPr>
          <w:trHeight w:val="300"/>
        </w:trPr>
        <w:tc>
          <w:tcPr>
            <w:tcW w:w="2137" w:type="dxa"/>
            <w:tcBorders>
              <w:top w:val="nil"/>
              <w:left w:val="single" w:sz="4" w:space="0" w:color="auto"/>
              <w:bottom w:val="nil"/>
              <w:right w:val="single" w:sz="4" w:space="0" w:color="auto"/>
            </w:tcBorders>
            <w:shd w:val="clear" w:color="auto" w:fill="auto"/>
            <w:noWrap/>
            <w:vAlign w:val="center"/>
            <w:hideMark/>
          </w:tcPr>
          <w:p w14:paraId="05ABC1A2" w14:textId="77777777" w:rsidR="007548A7" w:rsidRPr="008C04B3" w:rsidRDefault="007548A7" w:rsidP="0019075F">
            <w:pPr>
              <w:pStyle w:val="TableText"/>
            </w:pPr>
            <w:r>
              <w:sym w:font="Symbol" w:char="F073"/>
            </w:r>
            <w:r>
              <w:rPr>
                <w:vertAlign w:val="subscript"/>
              </w:rPr>
              <w:t>Mo</w:t>
            </w:r>
          </w:p>
        </w:tc>
        <w:tc>
          <w:tcPr>
            <w:tcW w:w="3315" w:type="dxa"/>
            <w:gridSpan w:val="3"/>
            <w:tcBorders>
              <w:top w:val="nil"/>
              <w:left w:val="nil"/>
              <w:right w:val="nil"/>
            </w:tcBorders>
          </w:tcPr>
          <w:p w14:paraId="29301D40" w14:textId="77777777" w:rsidR="007548A7" w:rsidRPr="008C04B3" w:rsidRDefault="007548A7" w:rsidP="0019075F">
            <w:pPr>
              <w:pStyle w:val="TableText"/>
            </w:pPr>
            <w:r w:rsidRPr="008C04B3">
              <w:t>[0</w:t>
            </w:r>
            <w:r>
              <w:t>.8</w:t>
            </w:r>
            <w:r w:rsidRPr="008C04B3">
              <w:t>,</w:t>
            </w:r>
            <w:r>
              <w:t>2.0</w:t>
            </w:r>
            <w:r w:rsidRPr="008C04B3">
              <w:t>]</w:t>
            </w:r>
          </w:p>
        </w:tc>
        <w:tc>
          <w:tcPr>
            <w:tcW w:w="1260" w:type="dxa"/>
            <w:tcBorders>
              <w:top w:val="nil"/>
              <w:left w:val="nil"/>
              <w:bottom w:val="nil"/>
              <w:right w:val="single" w:sz="4" w:space="0" w:color="auto"/>
            </w:tcBorders>
            <w:shd w:val="clear" w:color="auto" w:fill="auto"/>
            <w:noWrap/>
            <w:vAlign w:val="center"/>
            <w:hideMark/>
          </w:tcPr>
          <w:p w14:paraId="35DED8F9" w14:textId="77777777" w:rsidR="007548A7" w:rsidRPr="008C04B3" w:rsidRDefault="007548A7" w:rsidP="0019075F">
            <w:pPr>
              <w:pStyle w:val="TableText"/>
            </w:pPr>
            <w:r>
              <w:sym w:font="Symbol" w:char="F06D"/>
            </w:r>
            <w:r>
              <w:t>m</w:t>
            </w:r>
          </w:p>
        </w:tc>
        <w:tc>
          <w:tcPr>
            <w:tcW w:w="928" w:type="dxa"/>
            <w:tcBorders>
              <w:top w:val="nil"/>
              <w:left w:val="nil"/>
              <w:bottom w:val="nil"/>
              <w:right w:val="single" w:sz="4" w:space="0" w:color="auto"/>
            </w:tcBorders>
            <w:shd w:val="clear" w:color="auto" w:fill="auto"/>
            <w:noWrap/>
            <w:vAlign w:val="center"/>
            <w:hideMark/>
          </w:tcPr>
          <w:p w14:paraId="41368F31" w14:textId="77777777" w:rsidR="007548A7" w:rsidRPr="0074556C" w:rsidRDefault="007548A7" w:rsidP="0019075F">
            <w:pPr>
              <w:pStyle w:val="TableText"/>
            </w:pPr>
          </w:p>
        </w:tc>
      </w:tr>
      <w:tr w:rsidR="007548A7" w:rsidRPr="0074556C" w14:paraId="35D73A48" w14:textId="77777777" w:rsidTr="00CE00E2">
        <w:trPr>
          <w:trHeight w:val="300"/>
        </w:trPr>
        <w:tc>
          <w:tcPr>
            <w:tcW w:w="2137" w:type="dxa"/>
            <w:tcBorders>
              <w:top w:val="nil"/>
              <w:left w:val="single" w:sz="4" w:space="0" w:color="auto"/>
              <w:bottom w:val="nil"/>
              <w:right w:val="single" w:sz="4" w:space="0" w:color="auto"/>
            </w:tcBorders>
            <w:shd w:val="clear" w:color="auto" w:fill="auto"/>
            <w:noWrap/>
            <w:vAlign w:val="center"/>
            <w:hideMark/>
          </w:tcPr>
          <w:p w14:paraId="1A1C9C6E" w14:textId="77777777" w:rsidR="007548A7" w:rsidRPr="008C04B3" w:rsidRDefault="007548A7" w:rsidP="0019075F">
            <w:pPr>
              <w:pStyle w:val="TableText"/>
            </w:pPr>
            <w:r>
              <w:t>Pc</w:t>
            </w:r>
          </w:p>
        </w:tc>
        <w:tc>
          <w:tcPr>
            <w:tcW w:w="3315" w:type="dxa"/>
            <w:gridSpan w:val="3"/>
            <w:tcBorders>
              <w:top w:val="nil"/>
              <w:left w:val="nil"/>
              <w:bottom w:val="nil"/>
              <w:right w:val="nil"/>
            </w:tcBorders>
          </w:tcPr>
          <w:p w14:paraId="56A9E361" w14:textId="77777777" w:rsidR="007548A7" w:rsidRPr="00C120BD" w:rsidRDefault="007548A7" w:rsidP="0019075F">
            <w:pPr>
              <w:pStyle w:val="TableText"/>
            </w:pPr>
            <w:r>
              <w:t>[</w:t>
            </w:r>
            <w:r w:rsidRPr="00C120BD">
              <w:t>9</w:t>
            </w:r>
            <w:r>
              <w:t>.2</w:t>
            </w:r>
            <w:r>
              <w:sym w:font="Symbol" w:char="F0B4"/>
            </w:r>
            <w:r>
              <w:t>10</w:t>
            </w:r>
            <w:r>
              <w:rPr>
                <w:vertAlign w:val="superscript"/>
              </w:rPr>
              <w:t>4</w:t>
            </w:r>
            <w:r>
              <w:t xml:space="preserve">, </w:t>
            </w:r>
            <w:r w:rsidRPr="00C120BD">
              <w:t>5</w:t>
            </w:r>
            <w:r>
              <w:t>.8</w:t>
            </w:r>
            <w:r>
              <w:sym w:font="Symbol" w:char="F0B4"/>
            </w:r>
            <w:r>
              <w:t>10</w:t>
            </w:r>
            <w:r>
              <w:rPr>
                <w:vertAlign w:val="superscript"/>
              </w:rPr>
              <w:t>7</w:t>
            </w:r>
            <w:r>
              <w:t>]</w:t>
            </w:r>
          </w:p>
        </w:tc>
        <w:tc>
          <w:tcPr>
            <w:tcW w:w="1260" w:type="dxa"/>
            <w:tcBorders>
              <w:top w:val="nil"/>
              <w:left w:val="nil"/>
              <w:bottom w:val="nil"/>
              <w:right w:val="single" w:sz="4" w:space="0" w:color="auto"/>
            </w:tcBorders>
            <w:shd w:val="clear" w:color="auto" w:fill="auto"/>
            <w:noWrap/>
            <w:vAlign w:val="center"/>
            <w:hideMark/>
          </w:tcPr>
          <w:p w14:paraId="4E84DBA6" w14:textId="77777777" w:rsidR="007548A7" w:rsidRPr="008C04B3" w:rsidRDefault="007548A7" w:rsidP="0019075F">
            <w:pPr>
              <w:pStyle w:val="TableText"/>
            </w:pPr>
            <w:r>
              <w:t>Pa</w:t>
            </w:r>
          </w:p>
        </w:tc>
        <w:tc>
          <w:tcPr>
            <w:tcW w:w="928" w:type="dxa"/>
            <w:tcBorders>
              <w:top w:val="nil"/>
              <w:left w:val="nil"/>
              <w:bottom w:val="nil"/>
              <w:right w:val="single" w:sz="4" w:space="0" w:color="auto"/>
            </w:tcBorders>
            <w:shd w:val="clear" w:color="auto" w:fill="auto"/>
            <w:noWrap/>
            <w:vAlign w:val="center"/>
            <w:hideMark/>
          </w:tcPr>
          <w:p w14:paraId="59EB6038" w14:textId="6154DE36" w:rsidR="007548A7" w:rsidRPr="0074556C" w:rsidRDefault="007548A7" w:rsidP="0019075F">
            <w:pPr>
              <w:pStyle w:val="TableText"/>
            </w:pPr>
            <w:r>
              <w:fldChar w:fldCharType="begin"/>
            </w:r>
            <w:r w:rsidR="007245A9">
              <w:instrText xml:space="preserve"> ADDIN EN.CITE &lt;EndNote&gt;&lt;Cite&gt;&lt;Author&gt;Bahrami&lt;/Author&gt;&lt;Year&gt;2004&lt;/Year&gt;&lt;RecNum&gt;466&lt;/RecNum&gt;&lt;DisplayText&gt;[177, 179]&lt;/DisplayText&gt;&lt;record&gt;&lt;rec-number&gt;466&lt;/rec-number&gt;&lt;foreign-keys&gt;&lt;key app="EN" db-id="eseee05sfe5vt6efvr0xapvq20vfdsfp5fvf" timestamp="1713384902"&gt;466&lt;/key&gt;&lt;/foreign-keys&gt;&lt;ref-type name="Conference Proceedings"&gt;10&lt;/ref-type&gt;&lt;contributors&gt;&lt;authors&gt;&lt;author&gt;Bahrami, Majid&lt;/author&gt;&lt;author&gt;Culham, Richard&lt;/author&gt;&lt;author&gt;Yovanovich, Michael&lt;/author&gt;&lt;/authors&gt;&lt;/contributors&gt;&lt;titles&gt;&lt;title&gt;Thermal resistances of gaseous gap for conforming rough contacts&lt;/title&gt;&lt;secondary-title&gt;42nd AIAA Aerospace Sciences Meeting and Exhibit&lt;/secondary-title&gt;&lt;/titles&gt;&lt;pages&gt;821&lt;/pages&gt;&lt;dates&gt;&lt;year&gt;2004&lt;/year&gt;&lt;pub-dates&gt;&lt;date&gt;2004&lt;/date&gt;&lt;/pub-dates&gt;&lt;/dates&gt;&lt;urls&gt;&lt;/urls&gt;&lt;/record&gt;&lt;/Cite&gt;&lt;Cite&gt;&lt;Author&gt;Yüncü&lt;/Author&gt;&lt;Year&gt;2006&lt;/Year&gt;&lt;RecNum&gt;463&lt;/RecNum&gt;&lt;record&gt;&lt;rec-number&gt;463&lt;/rec-number&gt;&lt;foreign-keys&gt;&lt;key app="EN" db-id="eseee05sfe5vt6efvr0xapvq20vfdsfp5fvf" timestamp="1713373610"&gt;463&lt;/key&gt;&lt;/foreign-keys&gt;&lt;ref-type name="Journal Article"&gt;17&lt;/ref-type&gt;&lt;contributors&gt;&lt;authors&gt;&lt;author&gt;Yüncü, H.&lt;/author&gt;&lt;/authors&gt;&lt;/contributors&gt;&lt;titles&gt;&lt;title&gt;Thermal contact conductance of nominaly flat surfaces&lt;/title&gt;&lt;secondary-title&gt;Heat and Mass Transfer&lt;/secondary-title&gt;&lt;/titles&gt;&lt;periodical&gt;&lt;full-title&gt;Heat and Mass Transfer&lt;/full-title&gt;&lt;/periodical&gt;&lt;pages&gt;1-5&lt;/pages&gt;&lt;volume&gt;43&lt;/volume&gt;&lt;number&gt;1&lt;/number&gt;&lt;dates&gt;&lt;year&gt;2006&lt;/year&gt;&lt;pub-dates&gt;&lt;date&gt;2006/11/01&lt;/date&gt;&lt;/pub-dates&gt;&lt;/dates&gt;&lt;isbn&gt;1432-1181&lt;/isbn&gt;&lt;urls&gt;&lt;related-urls&gt;&lt;url&gt;https://doi.org/10.1007/s00231-006-0087-9&lt;/url&gt;&lt;/related-urls&gt;&lt;/urls&gt;&lt;electronic-resource-num&gt;10.1007/s00231-006-0087-9&lt;/electronic-resource-num&gt;&lt;/record&gt;&lt;/Cite&gt;&lt;/EndNote&gt;</w:instrText>
            </w:r>
            <w:r>
              <w:fldChar w:fldCharType="separate"/>
            </w:r>
            <w:r w:rsidR="007245A9">
              <w:rPr>
                <w:noProof/>
              </w:rPr>
              <w:t>[177, 179]</w:t>
            </w:r>
            <w:r>
              <w:fldChar w:fldCharType="end"/>
            </w:r>
          </w:p>
        </w:tc>
      </w:tr>
      <w:tr w:rsidR="007548A7" w:rsidRPr="0074556C" w14:paraId="306B6C6F" w14:textId="77777777" w:rsidTr="00CE00E2">
        <w:trPr>
          <w:trHeight w:val="300"/>
        </w:trPr>
        <w:tc>
          <w:tcPr>
            <w:tcW w:w="2137" w:type="dxa"/>
            <w:tcBorders>
              <w:top w:val="nil"/>
              <w:left w:val="single" w:sz="4" w:space="0" w:color="auto"/>
              <w:bottom w:val="single" w:sz="8" w:space="0" w:color="auto"/>
              <w:right w:val="single" w:sz="4" w:space="0" w:color="auto"/>
            </w:tcBorders>
            <w:shd w:val="clear" w:color="auto" w:fill="auto"/>
            <w:noWrap/>
            <w:vAlign w:val="center"/>
          </w:tcPr>
          <w:p w14:paraId="1CE3B240" w14:textId="77777777" w:rsidR="007548A7" w:rsidRDefault="007548A7" w:rsidP="0019075F">
            <w:pPr>
              <w:pStyle w:val="TableText"/>
            </w:pPr>
            <w:r>
              <w:t>C2</w:t>
            </w:r>
          </w:p>
        </w:tc>
        <w:tc>
          <w:tcPr>
            <w:tcW w:w="3315" w:type="dxa"/>
            <w:gridSpan w:val="3"/>
            <w:tcBorders>
              <w:top w:val="nil"/>
              <w:left w:val="nil"/>
              <w:bottom w:val="single" w:sz="4" w:space="0" w:color="auto"/>
              <w:right w:val="nil"/>
            </w:tcBorders>
          </w:tcPr>
          <w:p w14:paraId="663A0FC6" w14:textId="77777777" w:rsidR="007548A7" w:rsidRPr="008C04B3" w:rsidRDefault="007548A7" w:rsidP="0019075F">
            <w:pPr>
              <w:pStyle w:val="TableText"/>
            </w:pPr>
            <w:r>
              <w:t>[0.6,0.94]</w:t>
            </w:r>
          </w:p>
        </w:tc>
        <w:tc>
          <w:tcPr>
            <w:tcW w:w="1260" w:type="dxa"/>
            <w:tcBorders>
              <w:top w:val="nil"/>
              <w:left w:val="nil"/>
              <w:bottom w:val="single" w:sz="8" w:space="0" w:color="auto"/>
              <w:right w:val="single" w:sz="4" w:space="0" w:color="auto"/>
            </w:tcBorders>
            <w:shd w:val="clear" w:color="auto" w:fill="auto"/>
            <w:noWrap/>
            <w:vAlign w:val="center"/>
          </w:tcPr>
          <w:p w14:paraId="5C7C068E" w14:textId="77777777" w:rsidR="007548A7" w:rsidRPr="008C04B3" w:rsidRDefault="007548A7" w:rsidP="0019075F">
            <w:pPr>
              <w:pStyle w:val="TableText"/>
            </w:pPr>
          </w:p>
        </w:tc>
        <w:tc>
          <w:tcPr>
            <w:tcW w:w="928" w:type="dxa"/>
            <w:tcBorders>
              <w:top w:val="nil"/>
              <w:left w:val="nil"/>
              <w:bottom w:val="single" w:sz="8" w:space="0" w:color="auto"/>
              <w:right w:val="single" w:sz="4" w:space="0" w:color="auto"/>
            </w:tcBorders>
            <w:shd w:val="clear" w:color="auto" w:fill="auto"/>
            <w:noWrap/>
            <w:vAlign w:val="center"/>
          </w:tcPr>
          <w:p w14:paraId="1D145772" w14:textId="16D7E734" w:rsidR="007548A7" w:rsidRDefault="007548A7" w:rsidP="0019075F">
            <w:pPr>
              <w:pStyle w:val="TableText"/>
            </w:pPr>
            <w:r>
              <w:fldChar w:fldCharType="begin"/>
            </w:r>
            <w:r w:rsidR="007245A9">
              <w:instrText xml:space="preserve"> ADDIN EN.CITE &lt;EndNote&gt;&lt;Cite&gt;&lt;Author&gt;Madhusudana&lt;/Author&gt;&lt;Year&gt;2014&lt;/Year&gt;&lt;RecNum&gt;535&lt;/RecNum&gt;&lt;DisplayText&gt;[184]&lt;/DisplayText&gt;&lt;record&gt;&lt;rec-number&gt;535&lt;/rec-number&gt;&lt;foreign-keys&gt;&lt;key app="EN" db-id="eseee05sfe5vt6efvr0xapvq20vfdsfp5fvf" timestamp="1740768285"&gt;535&lt;/key&gt;&lt;/foreign-keys&gt;&lt;ref-type name="Book"&gt;6&lt;/ref-type&gt;&lt;contributors&gt;&lt;authors&gt;&lt;author&gt;C. V. Madhusudana&lt;/author&gt;&lt;/authors&gt;&lt;/contributors&gt;&lt;titles&gt;&lt;title&gt;Thermal Contact Conductance&lt;/title&gt;&lt;secondary-title&gt;Mechanical Engineering Series&lt;/secondary-title&gt;&lt;/titles&gt;&lt;edition&gt;2&lt;/edition&gt;&lt;dates&gt;&lt;year&gt;2014&lt;/year&gt;&lt;pub-dates&gt;&lt;date&gt;2014&lt;/date&gt;&lt;/pub-dates&gt;&lt;/dates&gt;&lt;pub-location&gt;Springer International Publishing Switzerland&lt;/pub-location&gt;&lt;publisher&gt;Springer Cham&lt;/publisher&gt;&lt;urls&gt;&lt;/urls&gt;&lt;electronic-resource-num&gt;https://doi.org/10.1007/978-3-319-01276-6&lt;/electronic-resource-num&gt;&lt;/record&gt;&lt;/Cite&gt;&lt;/EndNote&gt;</w:instrText>
            </w:r>
            <w:r>
              <w:fldChar w:fldCharType="separate"/>
            </w:r>
            <w:r w:rsidR="007245A9">
              <w:rPr>
                <w:noProof/>
              </w:rPr>
              <w:t>[184]</w:t>
            </w:r>
            <w:r>
              <w:fldChar w:fldCharType="end"/>
            </w:r>
          </w:p>
        </w:tc>
      </w:tr>
    </w:tbl>
    <w:p w14:paraId="242BA4C2" w14:textId="77777777" w:rsidR="007548A7" w:rsidRDefault="007548A7" w:rsidP="0019075F">
      <w:pPr>
        <w:pStyle w:val="TableText"/>
      </w:pPr>
      <w:r>
        <w:t>*F(T) = 6</w:t>
      </w:r>
      <w:r>
        <w:sym w:font="Symbol" w:char="F0B4"/>
      </w:r>
      <w:r>
        <w:t>10</w:t>
      </w:r>
      <w:r>
        <w:rPr>
          <w:vertAlign w:val="superscript"/>
        </w:rPr>
        <w:t>9</w:t>
      </w:r>
      <w:r>
        <w:t xml:space="preserve"> + ES(T-1600)/6052.6</w:t>
      </w:r>
    </w:p>
    <w:p w14:paraId="58507F21" w14:textId="276B2505" w:rsidR="005F5212" w:rsidRDefault="007548A7" w:rsidP="0019075F">
      <w:pPr>
        <w:pStyle w:val="TableText"/>
      </w:pPr>
      <w:r>
        <w:t>** Upper limit of considered range based on internal measurement data</w:t>
      </w:r>
    </w:p>
    <w:p w14:paraId="78329B38" w14:textId="547805B6" w:rsidR="005F5212" w:rsidRDefault="005F5212">
      <w:r>
        <w:br w:type="page"/>
      </w:r>
    </w:p>
    <w:p w14:paraId="1523A600" w14:textId="5FF0A39F" w:rsidR="0019075F" w:rsidRDefault="0019075F" w:rsidP="00F22A75">
      <w:pPr>
        <w:pStyle w:val="Heading3"/>
        <w:spacing w:before="0" w:after="0"/>
      </w:pPr>
      <w:bookmarkStart w:id="209" w:name="_Toc202957494"/>
      <w:r>
        <w:lastRenderedPageBreak/>
        <w:t xml:space="preserve">Python-BISON </w:t>
      </w:r>
      <w:r w:rsidRPr="00AA522B">
        <w:t>Model Framework</w:t>
      </w:r>
      <w:bookmarkEnd w:id="209"/>
    </w:p>
    <w:p w14:paraId="13A40380" w14:textId="30A58F12" w:rsidR="0019075F" w:rsidRDefault="0019075F" w:rsidP="00F22A75">
      <w:r>
        <w:t xml:space="preserve">FGR and irradiation temperature have been shown to have a positive feedback loop between them </w:t>
      </w:r>
      <w:r>
        <w:fldChar w:fldCharType="begin"/>
      </w:r>
      <w:r w:rsidR="007245A9">
        <w:instrText xml:space="preserve"> ADDIN EN.CITE &lt;EndNote&gt;&lt;Cite&gt;&lt;Author&gt;Tonks&lt;/Author&gt;&lt;Year&gt;2018&lt;/Year&gt;&lt;RecNum&gt;538&lt;/RecNum&gt;&lt;DisplayText&gt;[186]&lt;/DisplayText&gt;&lt;record&gt;&lt;rec-number&gt;538&lt;/rec-number&gt;&lt;foreign-keys&gt;&lt;key app="EN" db-id="eseee05sfe5vt6efvr0xapvq20vfdsfp5fvf" timestamp="1741380996"&gt;538&lt;/key&gt;&lt;/foreign-keys&gt;&lt;ref-type name="Journal Article"&gt;17&lt;/ref-type&gt;&lt;contributors&gt;&lt;authors&gt;&lt;author&gt;Tonks, Michael&lt;/author&gt;&lt;author&gt;Andersson, David&lt;/author&gt;&lt;author&gt;Devanathan, Ram&lt;/author&gt;&lt;author&gt;Dubourg, Roland&lt;/author&gt;&lt;author&gt;El-Azab, Anter&lt;/author&gt;&lt;author&gt;Freyss, Michel&lt;/author&gt;&lt;author&gt;Iglesias, Fernando&lt;/author&gt;&lt;author&gt;Kulacsy, Katalin&lt;/author&gt;&lt;author&gt;Pastore, Giovanni&lt;/author&gt;&lt;author&gt;Phillpot, Simon R.&lt;/author&gt;&lt;author&gt;Welland, Michael&lt;/author&gt;&lt;/authors&gt;&lt;/contributors&gt;&lt;titles&gt;&lt;title&gt;Unit mechanisms of fission gas release: Current understanding and future needs&lt;/title&gt;&lt;secondary-title&gt;Journal of Nuclear Materials&lt;/secondary-title&gt;&lt;/titles&gt;&lt;periodical&gt;&lt;full-title&gt;Journal of Nuclear Materials&lt;/full-title&gt;&lt;/periodical&gt;&lt;pages&gt;300-317&lt;/pages&gt;&lt;volume&gt;504&lt;/volume&gt;&lt;dates&gt;&lt;year&gt;2018&lt;/year&gt;&lt;pub-dates&gt;&lt;date&gt;2018/06/01/&lt;/date&gt;&lt;/pub-dates&gt;&lt;/dates&gt;&lt;isbn&gt;0022-3115&lt;/isbn&gt;&lt;urls&gt;&lt;related-urls&gt;&lt;url&gt;https://www.sciencedirect.com/science/article/pii/S0022311517313405&lt;/url&gt;&lt;/related-urls&gt;&lt;/urls&gt;&lt;electronic-resource-num&gt;https://doi.org/10.1016/j.jnucmat.2018.03.016&lt;/electronic-resource-num&gt;&lt;/record&gt;&lt;/Cite&gt;&lt;/EndNote&gt;</w:instrText>
      </w:r>
      <w:r>
        <w:fldChar w:fldCharType="separate"/>
      </w:r>
      <w:r w:rsidR="007245A9">
        <w:rPr>
          <w:noProof/>
        </w:rPr>
        <w:t>[186]</w:t>
      </w:r>
      <w:r>
        <w:fldChar w:fldCharType="end"/>
      </w:r>
      <w:r>
        <w:t xml:space="preserve">. Fission gas degrades the heat transfer at the interface, raising fuel temperature and as fuel temperature increases, diffusion and subsequent release of fission gas increases. To account for this potential feedback effect, the FGR lookup table is replaced by utilizing the BISON finite element fuel performance code developed by Idaho National Laboratory </w:t>
      </w:r>
      <w:r>
        <w:fldChar w:fldCharType="begin"/>
      </w:r>
      <w:r w:rsidR="007245A9">
        <w:instrText xml:space="preserve"> ADDIN EN.CITE &lt;EndNote&gt;&lt;Cite&gt;&lt;Author&gt;Williamson&lt;/Author&gt;&lt;Year&gt;2012&lt;/Year&gt;&lt;RecNum&gt;254&lt;/RecNum&gt;&lt;DisplayText&gt;[190]&lt;/DisplayText&gt;&lt;record&gt;&lt;rec-number&gt;254&lt;/rec-number&gt;&lt;foreign-keys&gt;&lt;key app="EN" db-id="eseee05sfe5vt6efvr0xapvq20vfdsfp5fvf" timestamp="1671689540" guid="456bda69-1c7a-4582-b24d-f94b37cca1dd"&gt;254&lt;/key&gt;&lt;/foreign-keys&gt;&lt;ref-type name="Journal Article"&gt;17&lt;/ref-type&gt;&lt;contributors&gt;&lt;authors&gt;&lt;author&gt;Williamson, R. L.&lt;/author&gt;&lt;author&gt;Hales, J. D.&lt;/author&gt;&lt;author&gt;Novascone, S. R.&lt;/author&gt;&lt;author&gt;Tonks, M. R.&lt;/author&gt;&lt;author&gt;Gaston, D. R.&lt;/author&gt;&lt;author&gt;Permann, C. J.&lt;/author&gt;&lt;author&gt;Andrs, D.&lt;/author&gt;&lt;author&gt;Martineau, R. C.&lt;/author&gt;&lt;/authors&gt;&lt;/contributors&gt;&lt;titles&gt;&lt;title&gt;Multidimensional multiphysics simulation of nuclear fuel behavior&lt;/title&gt;&lt;secondary-title&gt;Journal of Nuclear Materials&lt;/secondary-title&gt;&lt;/titles&gt;&lt;periodical&gt;&lt;full-title&gt;Journal of Nuclear Materials&lt;/full-title&gt;&lt;/periodical&gt;&lt;pages&gt;149-163&lt;/pages&gt;&lt;volume&gt;423&lt;/volume&gt;&lt;number&gt;1&lt;/number&gt;&lt;dates&gt;&lt;year&gt;2012&lt;/year&gt;&lt;pub-dates&gt;&lt;date&gt;2012/04/01/&lt;/date&gt;&lt;/pub-dates&gt;&lt;/dates&gt;&lt;isbn&gt;0022-3115&lt;/isbn&gt;&lt;urls&gt;&lt;related-urls&gt;&lt;url&gt;https://www.sciencedirect.com/science/article/pii/S0022311512000165&lt;/url&gt;&lt;/related-urls&gt;&lt;/urls&gt;&lt;electronic-resource-num&gt;https://doi.org/10.1016/j.jnucmat.2012.01.012&lt;/electronic-resource-num&gt;&lt;/record&gt;&lt;/Cite&gt;&lt;/EndNote&gt;</w:instrText>
      </w:r>
      <w:r>
        <w:fldChar w:fldCharType="separate"/>
      </w:r>
      <w:r w:rsidR="007245A9">
        <w:rPr>
          <w:noProof/>
        </w:rPr>
        <w:t>[190]</w:t>
      </w:r>
      <w:r>
        <w:fldChar w:fldCharType="end"/>
      </w:r>
      <w:r>
        <w:t xml:space="preserve">. </w:t>
      </w:r>
    </w:p>
    <w:p w14:paraId="3149F2A7" w14:textId="43D4E08C" w:rsidR="00D623B1" w:rsidRDefault="0019075F" w:rsidP="00F22A75">
      <w:r>
        <w:t xml:space="preserve">The BISON models developed for this work are based on those of Cheniour et. al. </w:t>
      </w:r>
      <w:r>
        <w:fldChar w:fldCharType="begin"/>
      </w:r>
      <w:r w:rsidR="007245A9">
        <w:instrText xml:space="preserve"> ADDIN EN.CITE &lt;EndNote&gt;&lt;Cite&gt;&lt;Author&gt;Cheniour&lt;/Author&gt;&lt;Year&gt;2022&lt;/Year&gt;&lt;RecNum&gt;423&lt;/RecNum&gt;&lt;DisplayText&gt;[185]&lt;/DisplayText&gt;&lt;record&gt;&lt;rec-number&gt;423&lt;/rec-number&gt;&lt;foreign-keys&gt;&lt;key app="EN" db-id="eseee05sfe5vt6efvr0xapvq20vfdsfp5fvf" timestamp="1710037058"&gt;423&lt;/key&gt;&lt;/foreign-keys&gt;&lt;ref-type name="Journal Article"&gt;17&lt;/ref-type&gt;&lt;contributors&gt;&lt;authors&gt;&lt;author&gt;Cheniour, Amani&lt;/author&gt;&lt;author&gt;Pastore, Giovanni&lt;/author&gt;&lt;author&gt;Harp, Jason M.&lt;/author&gt;&lt;author&gt;Petrie, Christian M.&lt;/author&gt;&lt;author&gt;Capps, Nathan A.&lt;/author&gt;&lt;/authors&gt;&lt;/contributors&gt;&lt;titles&gt;&lt;title&gt;Application of BISON to UO2 MiniFuel fission gas release analysis&lt;/title&gt;&lt;secondary-title&gt;Journal of Nuclear Materials&lt;/secondary-title&gt;&lt;/titles&gt;&lt;periodical&gt;&lt;full-title&gt;Journal of Nuclear Materials&lt;/full-title&gt;&lt;/periodical&gt;&lt;pages&gt;153686&lt;/pages&gt;&lt;volume&gt;565&lt;/volume&gt;&lt;keywords&gt;&lt;keyword&gt;Fission gas release&lt;/keyword&gt;&lt;keyword&gt;BISON&lt;/keyword&gt;&lt;keyword&gt;MiniFuel&lt;/keyword&gt;&lt;keyword&gt;UO&lt;/keyword&gt;&lt;/keywords&gt;&lt;dates&gt;&lt;year&gt;2022&lt;/year&gt;&lt;pub-dates&gt;&lt;date&gt;2022/07/01/&lt;/date&gt;&lt;/pub-dates&gt;&lt;/dates&gt;&lt;isbn&gt;0022-3115&lt;/isbn&gt;&lt;urls&gt;&lt;related-urls&gt;&lt;url&gt;https://www.sciencedirect.com/science/article/pii/S0022311522001799&lt;/url&gt;&lt;/related-urls&gt;&lt;/urls&gt;&lt;electronic-resource-num&gt;https://doi.org/10.1016/j.jnucmat.2022.153686&lt;/electronic-resource-num&gt;&lt;/record&gt;&lt;/Cite&gt;&lt;/EndNote&gt;</w:instrText>
      </w:r>
      <w:r>
        <w:fldChar w:fldCharType="separate"/>
      </w:r>
      <w:r w:rsidR="007245A9">
        <w:rPr>
          <w:noProof/>
        </w:rPr>
        <w:t>[185]</w:t>
      </w:r>
      <w:r>
        <w:fldChar w:fldCharType="end"/>
      </w:r>
      <w:r>
        <w:t xml:space="preserve">. To reduce the computational demand of the model for the use in a sensitivity analysis, a 2D r-z model of the fuel and dish is developed. The 2D r-z BISON model is a simplified representation of the subcapsule that includes the fuel disk and a container of Mo that acts as a plenum for FGR. A diagram of the model is shown in </w:t>
      </w:r>
      <w:r w:rsidRPr="005E68D7">
        <w:rPr>
          <w:b/>
          <w:bCs/>
        </w:rPr>
        <w:fldChar w:fldCharType="begin"/>
      </w:r>
      <w:r w:rsidRPr="005E68D7">
        <w:rPr>
          <w:b/>
          <w:bCs/>
        </w:rPr>
        <w:instrText xml:space="preserve"> REF _Ref197941284 \h </w:instrText>
      </w:r>
      <w:r>
        <w:rPr>
          <w:b/>
          <w:bCs/>
        </w:rPr>
        <w:instrText xml:space="preserve"> \* MERGEFORMAT </w:instrText>
      </w:r>
      <w:r w:rsidRPr="005E68D7">
        <w:rPr>
          <w:b/>
          <w:bCs/>
        </w:rPr>
      </w:r>
      <w:r w:rsidRPr="005E68D7">
        <w:rPr>
          <w:b/>
          <w:bCs/>
        </w:rPr>
        <w:fldChar w:fldCharType="separate"/>
      </w:r>
      <w:r w:rsidR="00BF7E93" w:rsidRPr="00BF7E93">
        <w:rPr>
          <w:b/>
          <w:bCs/>
        </w:rPr>
        <w:t xml:space="preserve">Figure </w:t>
      </w:r>
      <w:r w:rsidR="00BF7E93" w:rsidRPr="00BF7E93">
        <w:rPr>
          <w:b/>
          <w:bCs/>
          <w:noProof/>
        </w:rPr>
        <w:t>4.15</w:t>
      </w:r>
      <w:r w:rsidRPr="005E68D7">
        <w:rPr>
          <w:b/>
          <w:bCs/>
        </w:rPr>
        <w:fldChar w:fldCharType="end"/>
      </w:r>
      <w:r>
        <w:t xml:space="preserve">. The BISON </w:t>
      </w:r>
      <w:r w:rsidR="00D623B1">
        <w:t>model is responsible for calculating the fuel temperature gradient and associated FGR. The Mo container volume is representative of the free gas volume within a MiniFuel subcapsule and the container and surrounding gas do not thermally interact with the fuel. The heat transfer calculation at the fuel-dish interface is performed by coupling the BISON model to the Python TCC model.</w:t>
      </w:r>
    </w:p>
    <w:p w14:paraId="02A090BB" w14:textId="095072FA" w:rsidR="005F5212" w:rsidRDefault="00D623B1" w:rsidP="00F22A75">
      <w:r>
        <w:t xml:space="preserve">The framework is a loose coupling that updates after each timestep of 2 days. The Python model calculates the fuel interface temperature using the method from Section </w:t>
      </w:r>
      <w:r>
        <w:fldChar w:fldCharType="begin"/>
      </w:r>
      <w:r>
        <w:instrText xml:space="preserve"> REF _Ref193721351 \r \h </w:instrText>
      </w:r>
      <w:r>
        <w:fldChar w:fldCharType="separate"/>
      </w:r>
      <w:r w:rsidR="00BF7E93">
        <w:t>0</w:t>
      </w:r>
      <w:r>
        <w:fldChar w:fldCharType="end"/>
      </w:r>
      <w:r>
        <w:t xml:space="preserve">. and the heat sink is held at a constant temperature. The fuel interface temperature is then passed into the BISON model and applied as a boundary condition on the bottom surface of the </w:t>
      </w:r>
      <w:r w:rsidR="0019075F">
        <w:br w:type="page"/>
      </w:r>
    </w:p>
    <w:p w14:paraId="078A8934" w14:textId="61155A08" w:rsidR="007548A7" w:rsidRDefault="007548A7" w:rsidP="007548A7">
      <w:pPr>
        <w:jc w:val="center"/>
      </w:pPr>
      <w:r>
        <w:rPr>
          <w:noProof/>
        </w:rPr>
        <w:lastRenderedPageBreak/>
        <w:drawing>
          <wp:inline distT="0" distB="0" distL="0" distR="0" wp14:anchorId="60F7EF6B" wp14:editId="22A8B629">
            <wp:extent cx="4420235" cy="5145932"/>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rotWithShape="1">
                    <a:blip r:embed="rId63">
                      <a:extLst>
                        <a:ext uri="{28A0092B-C50C-407E-A947-70E740481C1C}">
                          <a14:useLocalDpi xmlns:a14="http://schemas.microsoft.com/office/drawing/2010/main" val="0"/>
                        </a:ext>
                      </a:extLst>
                    </a:blip>
                    <a:srcRect l="1942" t="1945" b="4461"/>
                    <a:stretch/>
                  </pic:blipFill>
                  <pic:spPr bwMode="auto">
                    <a:xfrm>
                      <a:off x="0" y="0"/>
                      <a:ext cx="4420946" cy="5146760"/>
                    </a:xfrm>
                    <a:prstGeom prst="rect">
                      <a:avLst/>
                    </a:prstGeom>
                    <a:ln>
                      <a:noFill/>
                    </a:ln>
                    <a:extLst>
                      <a:ext uri="{53640926-AAD7-44D8-BBD7-CCE9431645EC}">
                        <a14:shadowObscured xmlns:a14="http://schemas.microsoft.com/office/drawing/2010/main"/>
                      </a:ext>
                    </a:extLst>
                  </pic:spPr>
                </pic:pic>
              </a:graphicData>
            </a:graphic>
          </wp:inline>
        </w:drawing>
      </w:r>
    </w:p>
    <w:p w14:paraId="68BE520D" w14:textId="30B54996" w:rsidR="007548A7" w:rsidRPr="00D3135C" w:rsidRDefault="0077684A" w:rsidP="00874CBB">
      <w:pPr>
        <w:pStyle w:val="Caption"/>
      </w:pPr>
      <w:bookmarkStart w:id="210" w:name="_Ref197941284"/>
      <w:bookmarkStart w:id="211" w:name="_Toc202957578"/>
      <w:r w:rsidRPr="00D3135C">
        <w:t xml:space="preserve">Figure </w:t>
      </w:r>
      <w:fldSimple w:instr=" STYLEREF 1 \s ">
        <w:r w:rsidR="00BF7E93">
          <w:rPr>
            <w:noProof/>
          </w:rPr>
          <w:t>4</w:t>
        </w:r>
      </w:fldSimple>
      <w:r w:rsidRPr="00D3135C">
        <w:t>.</w:t>
      </w:r>
      <w:fldSimple w:instr=" SEQ Figure \* ARABIC \s 1 ">
        <w:r w:rsidR="00BF7E93">
          <w:rPr>
            <w:noProof/>
          </w:rPr>
          <w:t>15</w:t>
        </w:r>
      </w:fldSimple>
      <w:bookmarkEnd w:id="210"/>
      <w:r w:rsidRPr="00D3135C">
        <w:t>.</w:t>
      </w:r>
      <w:r w:rsidR="007548A7" w:rsidRPr="00D3135C">
        <w:t xml:space="preserve"> R-Z BISON model with boundary conditions for code coupling.</w:t>
      </w:r>
      <w:bookmarkEnd w:id="211"/>
    </w:p>
    <w:p w14:paraId="685EA578" w14:textId="77777777" w:rsidR="007548A7" w:rsidRDefault="007548A7" w:rsidP="007548A7"/>
    <w:p w14:paraId="13C85D01" w14:textId="77777777" w:rsidR="005F5212" w:rsidRDefault="005F5212" w:rsidP="007548A7">
      <w:r>
        <w:br w:type="page"/>
      </w:r>
    </w:p>
    <w:p w14:paraId="293448CA" w14:textId="77777777" w:rsidR="00D623B1" w:rsidRDefault="00D623B1" w:rsidP="00F22A75">
      <w:r>
        <w:lastRenderedPageBreak/>
        <w:t>fuel. BISON then performs a steady state irradiation of the fuel over one time step. The calculated burnup, FGR, and gas pressure are then passed back to the Python model to update the TCC and fuel interface temperature.</w:t>
      </w:r>
    </w:p>
    <w:p w14:paraId="2EA904C4" w14:textId="1F7A12E9" w:rsidR="007548A7" w:rsidRDefault="007548A7" w:rsidP="00F22A75">
      <w:r>
        <w:t xml:space="preserve">The BISON model utilizes the Turnbull model for Xe diffusion </w:t>
      </w:r>
      <w:r>
        <w:fldChar w:fldCharType="begin">
          <w:fldData xml:space="preserve">PEVuZE5vdGU+PENpdGU+PEF1dGhvcj5UdXJuYnVsbDwvQXV0aG9yPjxZZWFyPjE5ODk8L1llYXI+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</w:fldData>
        </w:fldChar>
      </w:r>
      <w:r w:rsidR="007245A9">
        <w:instrText xml:space="preserve"> ADDIN EN.CITE </w:instrText>
      </w:r>
      <w:r w:rsidR="007245A9">
        <w:fldChar w:fldCharType="begin">
          <w:fldData xml:space="preserve">PEVuZE5vdGU+PENpdGU+PEF1dGhvcj5UdXJuYnVsbDwvQXV0aG9yPjxZZWFyPjE5ODk8L1llYXI+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</w:fldData>
        </w:fldChar>
      </w:r>
      <w:r w:rsidR="007245A9">
        <w:instrText xml:space="preserve"> ADDIN EN.CITE.DATA </w:instrText>
      </w:r>
      <w:r w:rsidR="007245A9">
        <w:fldChar w:fldCharType="end"/>
      </w:r>
      <w:r>
        <w:fldChar w:fldCharType="separate"/>
      </w:r>
      <w:r w:rsidR="007245A9">
        <w:rPr>
          <w:noProof/>
        </w:rPr>
        <w:t>[191, 192]</w:t>
      </w:r>
      <w:r>
        <w:fldChar w:fldCharType="end"/>
      </w:r>
      <w:r>
        <w:t>, which incorporates 3 distinct regions of FGR as described by the following set of equations:</w:t>
      </w:r>
    </w:p>
    <w:p w14:paraId="252894C4" w14:textId="77777777" w:rsidR="007548A7" w:rsidRDefault="007548A7" w:rsidP="00F22A75"/>
    <w:tbl>
      <w:tblPr>
        <w:tblStyle w:val="TableGrid"/>
        <w:tblW w:w="86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0"/>
        <w:gridCol w:w="7200"/>
        <w:gridCol w:w="720"/>
      </w:tblGrid>
      <w:tr w:rsidR="007548A7" w:rsidRPr="0074556C" w14:paraId="1F786E20" w14:textId="77777777" w:rsidTr="00CE00E2">
        <w:tc>
          <w:tcPr>
            <w:tcW w:w="720" w:type="dxa"/>
            <w:vAlign w:val="center"/>
          </w:tcPr>
          <w:p w14:paraId="20DFFA92" w14:textId="77777777" w:rsidR="007548A7" w:rsidRPr="0074556C" w:rsidRDefault="007548A7" w:rsidP="00F22A75">
            <w:pPr>
              <w:pStyle w:val="Equation"/>
              <w:spacing w:before="0" w:after="0" w:line="480" w:lineRule="auto"/>
            </w:pPr>
          </w:p>
        </w:tc>
        <w:tc>
          <w:tcPr>
            <w:tcW w:w="7200" w:type="dxa"/>
            <w:vAlign w:val="center"/>
          </w:tcPr>
          <w:p w14:paraId="4B9C84EF" w14:textId="77777777" w:rsidR="007548A7" w:rsidRPr="0074556C" w:rsidRDefault="007548A7" w:rsidP="00F22A75">
            <w:pPr>
              <w:pStyle w:val="Equation"/>
              <w:spacing w:before="0" w:after="0" w:line="480" w:lineRule="auto"/>
            </w:pPr>
            <m:oMathPara>
              <m:oMath>
                <m:r>
                  <w:rPr>
                    <w:rFonts w:ascii="Cambria Math" w:hAnsi="Cambria Math"/>
                  </w:rPr>
                  <m:t>D</m:t>
                </m:r>
                <m:r>
                  <m:rPr>
                    <m:sty m:val="p"/>
                  </m:rPr>
                  <w:rPr>
                    <w:rFonts w:ascii="Cambria Math" w:hAnsi="Cambria Math"/>
                  </w:rPr>
                  <m:t>=</m:t>
                </m:r>
                <m:sSub>
                  <m:sSubPr>
                    <m:ctrlPr>
                      <w:rPr>
                        <w:rFonts w:ascii="Cambria Math" w:hAnsi="Cambria Math"/>
                      </w:rPr>
                    </m:ctrlPr>
                  </m:sSubPr>
                  <m:e>
                    <m:r>
                      <w:rPr>
                        <w:rFonts w:ascii="Cambria Math" w:hAnsi="Cambria Math"/>
                      </w:rPr>
                      <m:t>D</m:t>
                    </m:r>
                  </m:e>
                  <m:sub>
                    <m:r>
                      <m:rPr>
                        <m:sty m:val="p"/>
                      </m:rPr>
                      <w:rPr>
                        <w:rFonts w:ascii="Cambria Math" w:hAnsi="Cambria Math"/>
                      </w:rPr>
                      <m:t>1</m:t>
                    </m:r>
                  </m:sub>
                </m:sSub>
                <m:r>
                  <m:rPr>
                    <m:sty m:val="p"/>
                  </m:rPr>
                  <w:rPr>
                    <w:rFonts w:ascii="Cambria Math" w:hAnsi="Cambria Math"/>
                  </w:rPr>
                  <m:t>+</m:t>
                </m:r>
                <m:sSub>
                  <m:sSubPr>
                    <m:ctrlPr>
                      <w:rPr>
                        <w:rFonts w:ascii="Cambria Math" w:hAnsi="Cambria Math"/>
                      </w:rPr>
                    </m:ctrlPr>
                  </m:sSubPr>
                  <m:e>
                    <m:r>
                      <m:rPr>
                        <m:sty m:val="p"/>
                      </m:rPr>
                      <w:rPr>
                        <w:rFonts w:ascii="Cambria Math" w:hAnsi="Cambria Math"/>
                      </w:rPr>
                      <m:t>4</m:t>
                    </m:r>
                    <m:r>
                      <w:rPr>
                        <w:rFonts w:ascii="Cambria Math" w:hAnsi="Cambria Math"/>
                      </w:rPr>
                      <m:t>D</m:t>
                    </m:r>
                  </m:e>
                  <m:sub>
                    <m:r>
                      <m:rPr>
                        <m:sty m:val="p"/>
                      </m:rPr>
                      <w:rPr>
                        <w:rFonts w:ascii="Cambria Math" w:hAnsi="Cambria Math"/>
                      </w:rPr>
                      <m:t>2</m:t>
                    </m:r>
                  </m:sub>
                </m:sSub>
                <m:r>
                  <m:rPr>
                    <m:sty m:val="p"/>
                  </m:rPr>
                  <w:rPr>
                    <w:rFonts w:ascii="Cambria Math" w:hAnsi="Cambria Math"/>
                  </w:rPr>
                  <m:t>+</m:t>
                </m:r>
                <m:sSub>
                  <m:sSubPr>
                    <m:ctrlPr>
                      <w:rPr>
                        <w:rFonts w:ascii="Cambria Math" w:hAnsi="Cambria Math"/>
                      </w:rPr>
                    </m:ctrlPr>
                  </m:sSubPr>
                  <m:e>
                    <m:r>
                      <m:rPr>
                        <m:sty m:val="p"/>
                      </m:rPr>
                      <w:rPr>
                        <w:rFonts w:ascii="Cambria Math" w:hAnsi="Cambria Math"/>
                      </w:rPr>
                      <m:t>4</m:t>
                    </m:r>
                    <m:r>
                      <w:rPr>
                        <w:rFonts w:ascii="Cambria Math" w:hAnsi="Cambria Math"/>
                      </w:rPr>
                      <m:t>D</m:t>
                    </m:r>
                  </m:e>
                  <m:sub>
                    <m:r>
                      <m:rPr>
                        <m:sty m:val="p"/>
                      </m:rPr>
                      <w:rPr>
                        <w:rFonts w:ascii="Cambria Math" w:hAnsi="Cambria Math"/>
                      </w:rPr>
                      <m:t>3</m:t>
                    </m:r>
                  </m:sub>
                </m:sSub>
                <m:r>
                  <m:rPr>
                    <m:sty m:val="p"/>
                  </m:rPr>
                  <w:rPr>
                    <w:rFonts w:ascii="Cambria Math" w:hAnsi="Cambria Math"/>
                  </w:rPr>
                  <m:t xml:space="preserve"> </m:t>
                </m:r>
              </m:oMath>
            </m:oMathPara>
          </w:p>
        </w:tc>
        <w:tc>
          <w:tcPr>
            <w:tcW w:w="720" w:type="dxa"/>
            <w:vAlign w:val="center"/>
          </w:tcPr>
          <w:p w14:paraId="4EA4B31E" w14:textId="51711B00" w:rsidR="007548A7" w:rsidRPr="0074556C" w:rsidRDefault="00BF7E93" w:rsidP="00F22A75">
            <w:pPr>
              <w:pStyle w:val="Equation"/>
              <w:spacing w:before="0" w:after="0" w:line="480" w:lineRule="auto"/>
            </w:pPr>
            <w:fldSimple w:instr=" SEQ Equation \* ARABIC ">
              <w:r>
                <w:rPr>
                  <w:noProof/>
                </w:rPr>
                <w:t>27</w:t>
              </w:r>
            </w:fldSimple>
          </w:p>
        </w:tc>
      </w:tr>
    </w:tbl>
    <w:p w14:paraId="6A258E80" w14:textId="77777777" w:rsidR="007548A7" w:rsidRPr="00524F24" w:rsidRDefault="007548A7" w:rsidP="00F22A75"/>
    <w:tbl>
      <w:tblPr>
        <w:tblStyle w:val="TableGrid"/>
        <w:tblW w:w="86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0"/>
        <w:gridCol w:w="7200"/>
        <w:gridCol w:w="720"/>
      </w:tblGrid>
      <w:tr w:rsidR="007548A7" w:rsidRPr="0074556C" w14:paraId="42439104" w14:textId="77777777" w:rsidTr="00CE00E2">
        <w:tc>
          <w:tcPr>
            <w:tcW w:w="720" w:type="dxa"/>
            <w:vAlign w:val="center"/>
          </w:tcPr>
          <w:p w14:paraId="3DD8AC47" w14:textId="77777777" w:rsidR="007548A7" w:rsidRPr="0074556C" w:rsidRDefault="007548A7" w:rsidP="00F22A75">
            <w:pPr>
              <w:pStyle w:val="Equation"/>
              <w:spacing w:before="0" w:after="0" w:line="480" w:lineRule="auto"/>
            </w:pPr>
          </w:p>
        </w:tc>
        <w:tc>
          <w:tcPr>
            <w:tcW w:w="7200" w:type="dxa"/>
            <w:vAlign w:val="center"/>
          </w:tcPr>
          <w:p w14:paraId="3C55E939" w14:textId="77777777" w:rsidR="007548A7" w:rsidRPr="0074556C" w:rsidRDefault="00000000" w:rsidP="00F22A75">
            <w:pPr>
              <w:pStyle w:val="Equation"/>
              <w:spacing w:before="0" w:after="0" w:line="480" w:lineRule="auto"/>
            </w:pPr>
            <m:oMathPara>
              <m:oMath>
                <m:sSub>
                  <m:sSubPr>
                    <m:ctrlPr>
                      <w:rPr>
                        <w:rFonts w:ascii="Cambria Math" w:hAnsi="Cambria Math"/>
                      </w:rPr>
                    </m:ctrlPr>
                  </m:sSubPr>
                  <m:e>
                    <m:r>
                      <w:rPr>
                        <w:rFonts w:ascii="Cambria Math" w:hAnsi="Cambria Math"/>
                      </w:rPr>
                      <m:t>D</m:t>
                    </m:r>
                  </m:e>
                  <m:sub>
                    <m:r>
                      <m:rPr>
                        <m:sty m:val="p"/>
                      </m:rPr>
                      <w:rPr>
                        <w:rFonts w:ascii="Cambria Math" w:hAnsi="Cambria Math"/>
                      </w:rPr>
                      <m:t>1</m:t>
                    </m:r>
                  </m:sub>
                </m:sSub>
                <m:r>
                  <m:rPr>
                    <m:sty m:val="p"/>
                  </m:rPr>
                  <w:rPr>
                    <w:rFonts w:ascii="Cambria Math" w:hAnsi="Cambria Math"/>
                  </w:rPr>
                  <m:t>=7.6*</m:t>
                </m:r>
                <m:sSup>
                  <m:sSupPr>
                    <m:ctrlPr>
                      <w:rPr>
                        <w:rFonts w:ascii="Cambria Math" w:hAnsi="Cambria Math"/>
                      </w:rPr>
                    </m:ctrlPr>
                  </m:sSupPr>
                  <m:e>
                    <m:r>
                      <m:rPr>
                        <m:sty m:val="p"/>
                      </m:rPr>
                      <w:rPr>
                        <w:rFonts w:ascii="Cambria Math" w:hAnsi="Cambria Math"/>
                      </w:rPr>
                      <m:t>10</m:t>
                    </m:r>
                  </m:e>
                  <m:sup>
                    <m:r>
                      <m:rPr>
                        <m:sty m:val="p"/>
                      </m:rPr>
                      <w:rPr>
                        <w:rFonts w:ascii="Cambria Math" w:hAnsi="Cambria Math"/>
                      </w:rPr>
                      <m:t>-10</m:t>
                    </m:r>
                  </m:sup>
                </m:sSup>
                <m:func>
                  <m:funcPr>
                    <m:ctrlPr>
                      <w:rPr>
                        <w:rFonts w:ascii="Cambria Math" w:hAnsi="Cambria Math"/>
                      </w:rPr>
                    </m:ctrlPr>
                  </m:funcPr>
                  <m:fName>
                    <m:r>
                      <m:rPr>
                        <m:sty m:val="p"/>
                      </m:rPr>
                      <w:rPr>
                        <w:rFonts w:ascii="Cambria Math" w:hAnsi="Cambria Math"/>
                      </w:rPr>
                      <m:t>exp</m:t>
                    </m:r>
                  </m:fName>
                  <m:e>
                    <m:d>
                      <m:dPr>
                        <m:ctrlPr>
                          <w:rPr>
                            <w:rFonts w:ascii="Cambria Math" w:hAnsi="Cambria Math"/>
                          </w:rPr>
                        </m:ctrlPr>
                      </m:dPr>
                      <m:e>
                        <m:r>
                          <m:rPr>
                            <m:sty m:val="p"/>
                          </m:rPr>
                          <w:rPr>
                            <w:rFonts w:ascii="Cambria Math" w:hAnsi="Cambria Math"/>
                          </w:rPr>
                          <m:t>-</m:t>
                        </m:r>
                        <m:f>
                          <m:fPr>
                            <m:ctrlPr>
                              <w:rPr>
                                <w:rFonts w:ascii="Cambria Math" w:hAnsi="Cambria Math"/>
                              </w:rPr>
                            </m:ctrlPr>
                          </m:fPr>
                          <m:num>
                            <m:r>
                              <m:rPr>
                                <m:sty m:val="p"/>
                              </m:rPr>
                              <w:rPr>
                                <w:rFonts w:ascii="Cambria Math" w:hAnsi="Cambria Math"/>
                              </w:rPr>
                              <m:t>4.8599*</m:t>
                            </m:r>
                            <m:sSup>
                              <m:sSupPr>
                                <m:ctrlPr>
                                  <w:rPr>
                                    <w:rFonts w:ascii="Cambria Math" w:hAnsi="Cambria Math"/>
                                  </w:rPr>
                                </m:ctrlPr>
                              </m:sSupPr>
                              <m:e>
                                <m:r>
                                  <m:rPr>
                                    <m:sty m:val="p"/>
                                  </m:rPr>
                                  <w:rPr>
                                    <w:rFonts w:ascii="Cambria Math" w:hAnsi="Cambria Math"/>
                                  </w:rPr>
                                  <m:t>10</m:t>
                                </m:r>
                              </m:e>
                              <m:sup>
                                <m:r>
                                  <m:rPr>
                                    <m:sty m:val="p"/>
                                  </m:rPr>
                                  <w:rPr>
                                    <w:rFonts w:ascii="Cambria Math" w:hAnsi="Cambria Math"/>
                                  </w:rPr>
                                  <m:t>-19</m:t>
                                </m:r>
                              </m:sup>
                            </m:sSup>
                          </m:num>
                          <m:den>
                            <m:sSub>
                              <m:sSubPr>
                                <m:ctrlPr>
                                  <w:rPr>
                                    <w:rFonts w:ascii="Cambria Math" w:hAnsi="Cambria Math"/>
                                  </w:rPr>
                                </m:ctrlPr>
                              </m:sSubPr>
                              <m:e>
                                <m:r>
                                  <w:rPr>
                                    <w:rFonts w:ascii="Cambria Math" w:hAnsi="Cambria Math"/>
                                  </w:rPr>
                                  <m:t>k</m:t>
                                </m:r>
                              </m:e>
                              <m:sub>
                                <m:r>
                                  <w:rPr>
                                    <w:rFonts w:ascii="Cambria Math" w:hAnsi="Cambria Math"/>
                                  </w:rPr>
                                  <m:t>B</m:t>
                                </m:r>
                              </m:sub>
                            </m:sSub>
                            <m:r>
                              <w:rPr>
                                <w:rFonts w:ascii="Cambria Math" w:hAnsi="Cambria Math"/>
                              </w:rPr>
                              <m:t>T</m:t>
                            </m:r>
                          </m:den>
                        </m:f>
                      </m:e>
                    </m:d>
                  </m:e>
                </m:func>
                <m:r>
                  <m:rPr>
                    <m:sty m:val="p"/>
                  </m:rPr>
                  <w:rPr>
                    <w:rFonts w:ascii="Cambria Math" w:hAnsi="Cambria Math"/>
                  </w:rPr>
                  <m:t xml:space="preserve"> </m:t>
                </m:r>
              </m:oMath>
            </m:oMathPara>
          </w:p>
        </w:tc>
        <w:tc>
          <w:tcPr>
            <w:tcW w:w="720" w:type="dxa"/>
            <w:vAlign w:val="center"/>
          </w:tcPr>
          <w:p w14:paraId="46E109D8" w14:textId="740C8805" w:rsidR="007548A7" w:rsidRPr="0074556C" w:rsidRDefault="00BF7E93" w:rsidP="00F22A75">
            <w:pPr>
              <w:pStyle w:val="Equation"/>
              <w:spacing w:before="0" w:after="0" w:line="480" w:lineRule="auto"/>
            </w:pPr>
            <w:fldSimple w:instr=" SEQ Equation \* ARABIC ">
              <w:r>
                <w:rPr>
                  <w:noProof/>
                </w:rPr>
                <w:t>28</w:t>
              </w:r>
            </w:fldSimple>
          </w:p>
        </w:tc>
      </w:tr>
    </w:tbl>
    <w:p w14:paraId="351F0F5C" w14:textId="77777777" w:rsidR="007548A7" w:rsidRDefault="007548A7" w:rsidP="00F22A75"/>
    <w:tbl>
      <w:tblPr>
        <w:tblStyle w:val="TableGrid"/>
        <w:tblW w:w="86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0"/>
        <w:gridCol w:w="7200"/>
        <w:gridCol w:w="720"/>
      </w:tblGrid>
      <w:tr w:rsidR="007548A7" w:rsidRPr="0074556C" w14:paraId="619DB789" w14:textId="77777777" w:rsidTr="00CE00E2">
        <w:tc>
          <w:tcPr>
            <w:tcW w:w="720" w:type="dxa"/>
            <w:vAlign w:val="center"/>
          </w:tcPr>
          <w:p w14:paraId="039D0C26" w14:textId="77777777" w:rsidR="007548A7" w:rsidRPr="0074556C" w:rsidRDefault="007548A7" w:rsidP="00F22A75">
            <w:pPr>
              <w:pStyle w:val="Equation"/>
              <w:spacing w:before="0" w:after="0" w:line="480" w:lineRule="auto"/>
            </w:pPr>
          </w:p>
        </w:tc>
        <w:tc>
          <w:tcPr>
            <w:tcW w:w="7200" w:type="dxa"/>
            <w:vAlign w:val="center"/>
          </w:tcPr>
          <w:p w14:paraId="3AE7CB79" w14:textId="77777777" w:rsidR="007548A7" w:rsidRPr="0074556C" w:rsidRDefault="00000000" w:rsidP="00F22A75">
            <w:pPr>
              <w:pStyle w:val="Equation"/>
              <w:spacing w:before="0" w:after="0" w:line="480" w:lineRule="auto"/>
            </w:pPr>
            <m:oMathPara>
              <m:oMath>
                <m:sSub>
                  <m:sSubPr>
                    <m:ctrlPr>
                      <w:rPr>
                        <w:rFonts w:ascii="Cambria Math" w:hAnsi="Cambria Math"/>
                      </w:rPr>
                    </m:ctrlPr>
                  </m:sSubPr>
                  <m:e>
                    <m:r>
                      <w:rPr>
                        <w:rFonts w:ascii="Cambria Math" w:hAnsi="Cambria Math"/>
                      </w:rPr>
                      <m:t>D</m:t>
                    </m:r>
                  </m:e>
                  <m:sub>
                    <m:r>
                      <m:rPr>
                        <m:sty m:val="p"/>
                      </m:rPr>
                      <w:rPr>
                        <w:rFonts w:ascii="Cambria Math" w:hAnsi="Cambria Math"/>
                      </w:rPr>
                      <m:t>2</m:t>
                    </m:r>
                  </m:sub>
                </m:sSub>
                <m:r>
                  <m:rPr>
                    <m:sty m:val="p"/>
                  </m:rPr>
                  <w:rPr>
                    <w:rFonts w:ascii="Cambria Math" w:hAnsi="Cambria Math"/>
                  </w:rPr>
                  <m:t>=1.41*</m:t>
                </m:r>
                <m:sSup>
                  <m:sSupPr>
                    <m:ctrlPr>
                      <w:rPr>
                        <w:rFonts w:ascii="Cambria Math" w:hAnsi="Cambria Math"/>
                      </w:rPr>
                    </m:ctrlPr>
                  </m:sSupPr>
                  <m:e>
                    <m:r>
                      <m:rPr>
                        <m:sty m:val="p"/>
                      </m:rPr>
                      <w:rPr>
                        <w:rFonts w:ascii="Cambria Math" w:hAnsi="Cambria Math"/>
                      </w:rPr>
                      <m:t>10</m:t>
                    </m:r>
                  </m:e>
                  <m:sup>
                    <m:r>
                      <m:rPr>
                        <m:sty m:val="p"/>
                      </m:rPr>
                      <w:rPr>
                        <w:rFonts w:ascii="Cambria Math" w:hAnsi="Cambria Math"/>
                      </w:rPr>
                      <m:t>-25</m:t>
                    </m:r>
                  </m:sup>
                </m:sSup>
                <m:rad>
                  <m:radPr>
                    <m:degHide m:val="1"/>
                    <m:ctrlPr>
                      <w:rPr>
                        <w:rFonts w:ascii="Cambria Math" w:hAnsi="Cambria Math"/>
                      </w:rPr>
                    </m:ctrlPr>
                  </m:radPr>
                  <m:deg/>
                  <m:e>
                    <m:r>
                      <w:rPr>
                        <w:rFonts w:ascii="Cambria Math" w:hAnsi="Cambria Math"/>
                      </w:rPr>
                      <m:t>F</m:t>
                    </m:r>
                  </m:e>
                </m:rad>
                <m:func>
                  <m:funcPr>
                    <m:ctrlPr>
                      <w:rPr>
                        <w:rFonts w:ascii="Cambria Math" w:hAnsi="Cambria Math"/>
                      </w:rPr>
                    </m:ctrlPr>
                  </m:funcPr>
                  <m:fName>
                    <m:r>
                      <m:rPr>
                        <m:sty m:val="p"/>
                      </m:rPr>
                      <w:rPr>
                        <w:rFonts w:ascii="Cambria Math" w:hAnsi="Cambria Math"/>
                      </w:rPr>
                      <m:t>exp</m:t>
                    </m:r>
                  </m:fName>
                  <m:e>
                    <m:d>
                      <m:dPr>
                        <m:ctrlPr>
                          <w:rPr>
                            <w:rFonts w:ascii="Cambria Math" w:hAnsi="Cambria Math"/>
                          </w:rPr>
                        </m:ctrlPr>
                      </m:dPr>
                      <m:e>
                        <m:r>
                          <m:rPr>
                            <m:sty m:val="p"/>
                          </m:rPr>
                          <w:rPr>
                            <w:rFonts w:ascii="Cambria Math" w:hAnsi="Cambria Math"/>
                          </w:rPr>
                          <m:t>-</m:t>
                        </m:r>
                        <m:f>
                          <m:fPr>
                            <m:ctrlPr>
                              <w:rPr>
                                <w:rFonts w:ascii="Cambria Math" w:hAnsi="Cambria Math"/>
                              </w:rPr>
                            </m:ctrlPr>
                          </m:fPr>
                          <m:num>
                            <m:r>
                              <m:rPr>
                                <m:sty m:val="p"/>
                              </m:rPr>
                              <w:rPr>
                                <w:rFonts w:ascii="Cambria Math" w:hAnsi="Cambria Math"/>
                              </w:rPr>
                              <m:t>1.9053*</m:t>
                            </m:r>
                            <m:sSup>
                              <m:sSupPr>
                                <m:ctrlPr>
                                  <w:rPr>
                                    <w:rFonts w:ascii="Cambria Math" w:hAnsi="Cambria Math"/>
                                  </w:rPr>
                                </m:ctrlPr>
                              </m:sSupPr>
                              <m:e>
                                <m:r>
                                  <m:rPr>
                                    <m:sty m:val="p"/>
                                  </m:rPr>
                                  <w:rPr>
                                    <w:rFonts w:ascii="Cambria Math" w:hAnsi="Cambria Math"/>
                                  </w:rPr>
                                  <m:t>10</m:t>
                                </m:r>
                              </m:e>
                              <m:sup>
                                <m:r>
                                  <m:rPr>
                                    <m:sty m:val="p"/>
                                  </m:rPr>
                                  <w:rPr>
                                    <w:rFonts w:ascii="Cambria Math" w:hAnsi="Cambria Math"/>
                                  </w:rPr>
                                  <m:t>-19</m:t>
                                </m:r>
                              </m:sup>
                            </m:sSup>
                          </m:num>
                          <m:den>
                            <m:sSub>
                              <m:sSubPr>
                                <m:ctrlPr>
                                  <w:rPr>
                                    <w:rFonts w:ascii="Cambria Math" w:hAnsi="Cambria Math"/>
                                  </w:rPr>
                                </m:ctrlPr>
                              </m:sSubPr>
                              <m:e>
                                <m:r>
                                  <w:rPr>
                                    <w:rFonts w:ascii="Cambria Math" w:hAnsi="Cambria Math"/>
                                  </w:rPr>
                                  <m:t>k</m:t>
                                </m:r>
                              </m:e>
                              <m:sub>
                                <m:r>
                                  <w:rPr>
                                    <w:rFonts w:ascii="Cambria Math" w:hAnsi="Cambria Math"/>
                                  </w:rPr>
                                  <m:t>B</m:t>
                                </m:r>
                              </m:sub>
                            </m:sSub>
                            <m:r>
                              <w:rPr>
                                <w:rFonts w:ascii="Cambria Math" w:hAnsi="Cambria Math"/>
                              </w:rPr>
                              <m:t>T</m:t>
                            </m:r>
                          </m:den>
                        </m:f>
                      </m:e>
                    </m:d>
                  </m:e>
                </m:func>
                <m:r>
                  <m:rPr>
                    <m:sty m:val="p"/>
                  </m:rPr>
                  <w:rPr>
                    <w:rFonts w:ascii="Cambria Math" w:hAnsi="Cambria Math"/>
                  </w:rPr>
                  <m:t xml:space="preserve"> </m:t>
                </m:r>
              </m:oMath>
            </m:oMathPara>
          </w:p>
        </w:tc>
        <w:tc>
          <w:tcPr>
            <w:tcW w:w="720" w:type="dxa"/>
            <w:vAlign w:val="center"/>
          </w:tcPr>
          <w:p w14:paraId="6975A73D" w14:textId="5EEEC9F7" w:rsidR="007548A7" w:rsidRPr="0074556C" w:rsidRDefault="00BF7E93" w:rsidP="00F22A75">
            <w:pPr>
              <w:pStyle w:val="Equation"/>
              <w:spacing w:before="0" w:after="0" w:line="480" w:lineRule="auto"/>
            </w:pPr>
            <w:fldSimple w:instr=" SEQ Equation \* ARABIC ">
              <w:r>
                <w:rPr>
                  <w:noProof/>
                </w:rPr>
                <w:t>29</w:t>
              </w:r>
            </w:fldSimple>
          </w:p>
        </w:tc>
      </w:tr>
    </w:tbl>
    <w:p w14:paraId="7A96DD94" w14:textId="77777777" w:rsidR="007548A7" w:rsidRDefault="007548A7" w:rsidP="00F22A75"/>
    <w:tbl>
      <w:tblPr>
        <w:tblStyle w:val="TableGrid"/>
        <w:tblW w:w="86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0"/>
        <w:gridCol w:w="7200"/>
        <w:gridCol w:w="720"/>
      </w:tblGrid>
      <w:tr w:rsidR="007548A7" w:rsidRPr="0074556C" w14:paraId="2E3287BF" w14:textId="77777777" w:rsidTr="00CE00E2">
        <w:tc>
          <w:tcPr>
            <w:tcW w:w="720" w:type="dxa"/>
            <w:vAlign w:val="center"/>
          </w:tcPr>
          <w:p w14:paraId="08BF7CAB" w14:textId="77777777" w:rsidR="007548A7" w:rsidRPr="0074556C" w:rsidRDefault="007548A7" w:rsidP="00F22A75">
            <w:pPr>
              <w:pStyle w:val="Equation"/>
              <w:spacing w:before="0" w:after="0" w:line="480" w:lineRule="auto"/>
            </w:pPr>
          </w:p>
        </w:tc>
        <w:tc>
          <w:tcPr>
            <w:tcW w:w="7200" w:type="dxa"/>
            <w:vAlign w:val="center"/>
          </w:tcPr>
          <w:p w14:paraId="351E5003" w14:textId="77777777" w:rsidR="007548A7" w:rsidRPr="0074556C" w:rsidRDefault="00000000" w:rsidP="00F22A75">
            <w:pPr>
              <w:pStyle w:val="Equation"/>
              <w:spacing w:before="0" w:after="0" w:line="480" w:lineRule="auto"/>
            </w:pPr>
            <m:oMathPara>
              <m:oMath>
                <m:sSub>
                  <m:sSubPr>
                    <m:ctrlPr>
                      <w:rPr>
                        <w:rFonts w:ascii="Cambria Math" w:hAnsi="Cambria Math"/>
                      </w:rPr>
                    </m:ctrlPr>
                  </m:sSubPr>
                  <m:e>
                    <m:r>
                      <w:rPr>
                        <w:rFonts w:ascii="Cambria Math" w:hAnsi="Cambria Math"/>
                      </w:rPr>
                      <m:t>D</m:t>
                    </m:r>
                  </m:e>
                  <m:sub>
                    <m:r>
                      <m:rPr>
                        <m:sty m:val="p"/>
                      </m:rPr>
                      <w:rPr>
                        <w:rFonts w:ascii="Cambria Math" w:hAnsi="Cambria Math"/>
                      </w:rPr>
                      <m:t>3</m:t>
                    </m:r>
                  </m:sub>
                </m:sSub>
                <m:r>
                  <m:rPr>
                    <m:sty m:val="p"/>
                  </m:rPr>
                  <w:rPr>
                    <w:rFonts w:ascii="Cambria Math" w:hAnsi="Cambria Math"/>
                  </w:rPr>
                  <m:t>=2*</m:t>
                </m:r>
                <m:sSup>
                  <m:sSupPr>
                    <m:ctrlPr>
                      <w:rPr>
                        <w:rFonts w:ascii="Cambria Math" w:hAnsi="Cambria Math"/>
                      </w:rPr>
                    </m:ctrlPr>
                  </m:sSupPr>
                  <m:e>
                    <m:r>
                      <m:rPr>
                        <m:sty m:val="p"/>
                      </m:rPr>
                      <w:rPr>
                        <w:rFonts w:ascii="Cambria Math" w:hAnsi="Cambria Math"/>
                      </w:rPr>
                      <m:t>10</m:t>
                    </m:r>
                  </m:e>
                  <m:sup>
                    <m:r>
                      <m:rPr>
                        <m:sty m:val="p"/>
                      </m:rPr>
                      <w:rPr>
                        <w:rFonts w:ascii="Cambria Math" w:hAnsi="Cambria Math"/>
                      </w:rPr>
                      <m:t>-40</m:t>
                    </m:r>
                  </m:sup>
                </m:sSup>
                <m:r>
                  <w:rPr>
                    <w:rFonts w:ascii="Cambria Math" w:hAnsi="Cambria Math"/>
                  </w:rPr>
                  <m:t>F</m:t>
                </m:r>
                <m:r>
                  <m:rPr>
                    <m:sty m:val="p"/>
                  </m:rPr>
                  <w:rPr>
                    <w:rFonts w:ascii="Cambria Math" w:hAnsi="Cambria Math"/>
                  </w:rPr>
                  <m:t xml:space="preserve"> </m:t>
                </m:r>
              </m:oMath>
            </m:oMathPara>
          </w:p>
        </w:tc>
        <w:tc>
          <w:tcPr>
            <w:tcW w:w="720" w:type="dxa"/>
            <w:vAlign w:val="center"/>
          </w:tcPr>
          <w:p w14:paraId="66F05D27" w14:textId="2E498A5A" w:rsidR="007548A7" w:rsidRPr="0074556C" w:rsidRDefault="00BF7E93" w:rsidP="00F22A75">
            <w:pPr>
              <w:pStyle w:val="Equation"/>
              <w:spacing w:before="0" w:after="0" w:line="480" w:lineRule="auto"/>
            </w:pPr>
            <w:fldSimple w:instr=" SEQ Equation \* ARABIC ">
              <w:r>
                <w:rPr>
                  <w:noProof/>
                </w:rPr>
                <w:t>30</w:t>
              </w:r>
            </w:fldSimple>
          </w:p>
        </w:tc>
      </w:tr>
    </w:tbl>
    <w:p w14:paraId="638E7769" w14:textId="359A89DD" w:rsidR="007548A7" w:rsidRDefault="007548A7" w:rsidP="00F22A75">
      <w:r>
        <w:t>where k</w:t>
      </w:r>
      <w:r>
        <w:rPr>
          <w:vertAlign w:val="subscript"/>
        </w:rPr>
        <w:t>B</w:t>
      </w:r>
      <w:r>
        <w:t xml:space="preserve"> is the Stefan-Boltzmann Constant (eV</w:t>
      </w:r>
      <w:r>
        <w:sym w:font="Symbol" w:char="F0B7"/>
      </w:r>
      <w:r>
        <w:t>K</w:t>
      </w:r>
      <w:r>
        <w:rPr>
          <w:vertAlign w:val="superscript"/>
        </w:rPr>
        <w:t>-1</w:t>
      </w:r>
      <w:r>
        <w:t>), T is fuel temperature (K) and F is the fission rate in the fuel (m</w:t>
      </w:r>
      <w:r>
        <w:rPr>
          <w:vertAlign w:val="superscript"/>
        </w:rPr>
        <w:t>-3</w:t>
      </w:r>
      <w:r>
        <w:sym w:font="Symbol" w:char="F0B7"/>
      </w:r>
      <w:r>
        <w:t>s</w:t>
      </w:r>
      <w:r>
        <w:rPr>
          <w:vertAlign w:val="superscript"/>
        </w:rPr>
        <w:t>-1</w:t>
      </w:r>
      <w:r>
        <w:t>). This model is used since it considers athermal FGR through knockout and recoil mechanisms which are most relevant under the lower range of temperature conditions of these experiments (&lt;1000</w:t>
      </w:r>
      <w:r w:rsidRPr="008C04B3">
        <w:rPr>
          <w:rFonts w:ascii="Calibri" w:hAnsi="Calibri" w:cs="Calibri"/>
          <w:color w:val="000000"/>
        </w:rPr>
        <w:t>°</w:t>
      </w:r>
      <w:r>
        <w:t xml:space="preserve">C) </w:t>
      </w:r>
      <w:r>
        <w:fldChar w:fldCharType="begin"/>
      </w:r>
      <w:r w:rsidR="007245A9">
        <w:instrText xml:space="preserve"> ADDIN EN.CITE &lt;EndNote&gt;&lt;Cite&gt;&lt;Author&gt;Tonks&lt;/Author&gt;&lt;Year&gt;2018&lt;/Year&gt;&lt;RecNum&gt;538&lt;/RecNum&gt;&lt;DisplayText&gt;[186]&lt;/DisplayText&gt;&lt;record&gt;&lt;rec-number&gt;538&lt;/rec-number&gt;&lt;foreign-keys&gt;&lt;key app="EN" db-id="eseee05sfe5vt6efvr0xapvq20vfdsfp5fvf" timestamp="1741380996"&gt;538&lt;/key&gt;&lt;/foreign-keys&gt;&lt;ref-type name="Journal Article"&gt;17&lt;/ref-type&gt;&lt;contributors&gt;&lt;authors&gt;&lt;author&gt;Tonks, Michael&lt;/author&gt;&lt;author&gt;Andersson, David&lt;/author&gt;&lt;author&gt;Devanathan, Ram&lt;/author&gt;&lt;author&gt;Dubourg, Roland&lt;/author&gt;&lt;author&gt;El-Azab, Anter&lt;/author&gt;&lt;author&gt;Freyss, Michel&lt;/author&gt;&lt;author&gt;Iglesias, Fernando&lt;/author&gt;&lt;author&gt;Kulacsy, Katalin&lt;/author&gt;&lt;author&gt;Pastore, Giovanni&lt;/author&gt;&lt;author&gt;Phillpot, Simon R.&lt;/author&gt;&lt;author&gt;Welland, Michael&lt;/author&gt;&lt;/authors&gt;&lt;/contributors&gt;&lt;titles&gt;&lt;title&gt;Unit mechanisms of fission gas release: Current understanding and future needs&lt;/title&gt;&lt;secondary-title&gt;Journal of Nuclear Materials&lt;/secondary-title&gt;&lt;/titles&gt;&lt;periodical&gt;&lt;full-title&gt;Journal of Nuclear Materials&lt;/full-title&gt;&lt;/periodical&gt;&lt;pages&gt;300-317&lt;/pages&gt;&lt;volume&gt;504&lt;/volume&gt;&lt;dates&gt;&lt;year&gt;2018&lt;/year&gt;&lt;pub-dates&gt;&lt;date&gt;2018/06/01/&lt;/date&gt;&lt;/pub-dates&gt;&lt;/dates&gt;&lt;isbn&gt;0022-3115&lt;/isbn&gt;&lt;urls&gt;&lt;related-urls&gt;&lt;url&gt;https://www.sciencedirect.com/science/article/pii/S0022311517313405&lt;/url&gt;&lt;/related-urls&gt;&lt;/urls&gt;&lt;electronic-resource-num&gt;https://doi.org/10.1016/j.jnucmat.2018.03.016&lt;/electronic-resource-num&gt;&lt;/record&gt;&lt;/Cite&gt;&lt;/EndNote&gt;</w:instrText>
      </w:r>
      <w:r>
        <w:fldChar w:fldCharType="separate"/>
      </w:r>
      <w:r w:rsidR="007245A9">
        <w:rPr>
          <w:noProof/>
        </w:rPr>
        <w:t>[186]</w:t>
      </w:r>
      <w:r>
        <w:fldChar w:fldCharType="end"/>
      </w:r>
      <w:r>
        <w:t xml:space="preserve">. Solid mechanics such as swelling are disabled both to reduce computational demand and since they are assumed negligible toward heat transfer. </w:t>
      </w:r>
    </w:p>
    <w:p w14:paraId="5896751C" w14:textId="7BE8BFCC" w:rsidR="007548A7" w:rsidRPr="003C0A67" w:rsidRDefault="007548A7" w:rsidP="00F22A75">
      <w:pPr>
        <w:rPr>
          <w:rFonts w:cs="Times New Roman"/>
          <w:b/>
          <w:caps/>
          <w:color w:val="000000" w:themeColor="text1"/>
        </w:rPr>
      </w:pPr>
      <w:r>
        <w:lastRenderedPageBreak/>
        <w:t xml:space="preserve">The sensitivity analysis is re-run using the coupled BISON/Python model to investigate the influence of fission gas and several parameters were included in the analysis related to the FGR model. From the previous study, initial capsule fill gas pressure was identified as a parameter that can contribute high variance toward fuel temperature predictions </w:t>
      </w:r>
      <w:r>
        <w:fldChar w:fldCharType="begin"/>
      </w:r>
      <w:r w:rsidR="005C2BB1">
        <w:instrText xml:space="preserve"> ADDIN EN.CITE &lt;EndNote&gt;&lt;Cite&gt;&lt;Author&gt;Meehan&lt;/Author&gt;&lt;Year&gt;2025&lt;/Year&gt;&lt;RecNum&gt;542&lt;/RecNum&gt;&lt;DisplayText&gt;[25]&lt;/DisplayText&gt;&lt;record&gt;&lt;rec-number&gt;542&lt;/rec-number&gt;&lt;foreign-keys&gt;&lt;key app="EN" db-id="eseee05sfe5vt6efvr0xapvq20vfdsfp5fvf" timestamp="1742483734"&gt;542&lt;/key&gt;&lt;/foreign-keys&gt;&lt;ref-type name="Journal Article"&gt;17&lt;/ref-type&gt;&lt;contributors&gt;&lt;authors&gt;&lt;author&gt;Meehan, Nicholas A.&lt;/author&gt;&lt;author&gt;Gorton, Jacob P.&lt;/author&gt;&lt;author&gt;Capps, Nathan A.&lt;/author&gt;&lt;author&gt;Brown, Nicholas R.&lt;/author&gt;&lt;/authors&gt;&lt;/contributors&gt;&lt;titles&gt;&lt;title&gt;Identifying high-impact and high-uncertainty parameters in MiniFuel model predictions&lt;/title&gt;&lt;secondary-title&gt;Journal of Nuclear Materials&lt;/secondary-title&gt;&lt;/titles&gt;&lt;periodical&gt;&lt;full-title&gt;Journal of Nuclear Materials&lt;/full-title&gt;&lt;/periodical&gt;&lt;pages&gt;155745&lt;/pages&gt;&lt;volume&gt;609&lt;/volume&gt;&lt;keywords&gt;&lt;keyword&gt;Fuel, Irradiation&lt;/keyword&gt;&lt;keyword&gt;Separate effects&lt;/keyword&gt;&lt;keyword&gt;Sensitivity analysis&lt;/keyword&gt;&lt;keyword&gt;Morris&lt;/keyword&gt;&lt;keyword&gt;Sobol&lt;/keyword&gt;&lt;/keywords&gt;&lt;dates&gt;&lt;year&gt;2025&lt;/year&gt;&lt;pub-dates&gt;&lt;date&gt;2025/05/01/&lt;/date&gt;&lt;/pub-dates&gt;&lt;/dates&gt;&lt;isbn&gt;0022-3115&lt;/isbn&gt;&lt;urls&gt;&lt;related-urls&gt;&lt;url&gt;https://www.sciencedirect.com/science/article/pii/S0022311525001400&lt;/url&gt;&lt;/related-urls&gt;&lt;/urls&gt;&lt;electronic-resource-num&gt;https://doi.org/10.1016/j.jnucmat.2025.155745&lt;/electronic-resource-num&gt;&lt;/record&gt;&lt;/Cite&gt;&lt;/EndNote&gt;</w:instrText>
      </w:r>
      <w:r>
        <w:fldChar w:fldCharType="separate"/>
      </w:r>
      <w:r w:rsidR="005C2BB1">
        <w:rPr>
          <w:noProof/>
        </w:rPr>
        <w:t>[25]</w:t>
      </w:r>
      <w:r>
        <w:fldChar w:fldCharType="end"/>
      </w:r>
      <w:r>
        <w:t xml:space="preserve">. Based on the work of Toptan et. al. </w:t>
      </w:r>
      <w:r>
        <w:fldChar w:fldCharType="begin"/>
      </w:r>
      <w:r w:rsidR="007245A9">
        <w:instrText xml:space="preserve"> ADDIN EN.CITE &lt;EndNote&gt;&lt;Cite&gt;&lt;Author&gt;Toptan&lt;/Author&gt;&lt;Year&gt;2019&lt;/Year&gt;&lt;RecNum&gt;462&lt;/RecNum&gt;&lt;DisplayText&gt;[181]&lt;/DisplayText&gt;&lt;record&gt;&lt;rec-number&gt;462&lt;/rec-number&gt;&lt;foreign-keys&gt;&lt;key app="EN" db-id="eseee05sfe5vt6efvr0xapvq20vfdsfp5fvf" timestamp="1713369197"&gt;462&lt;/key&gt;&lt;/foreign-keys&gt;&lt;ref-type name="Journal Article"&gt;17&lt;/ref-type&gt;&lt;contributors&gt;&lt;authors&gt;&lt;author&gt;Toptan, Aysenur&lt;/author&gt;&lt;author&gt;Kropaczek, David J.&lt;/author&gt;&lt;author&gt;Avramova, Maria N.&lt;/author&gt;&lt;/authors&gt;&lt;/contributors&gt;&lt;titles&gt;&lt;title&gt;Gap conductance modeling I: Theoretical considerations for single- and multi-component gases in curvilinear coordinates&lt;/title&gt;&lt;secondary-title&gt;Nuclear Engineering and Design&lt;/secondary-title&gt;&lt;/titles&gt;&lt;periodical&gt;&lt;full-title&gt;Nuclear Engineering and Design&lt;/full-title&gt;&lt;/periodical&gt;&lt;pages&gt;110283&lt;/pages&gt;&lt;volume&gt;353&lt;/volume&gt;&lt;keywords&gt;&lt;keyword&gt;Gap conductance&lt;/keyword&gt;&lt;keyword&gt;Temperature jump distance&lt;/keyword&gt;&lt;keyword&gt;Thermal accommodation coefficient&lt;/keyword&gt;&lt;keyword&gt;Static load&lt;/keyword&gt;&lt;keyword&gt;Mixture&lt;/keyword&gt;&lt;/keywords&gt;&lt;dates&gt;&lt;year&gt;2019&lt;/year&gt;&lt;pub-dates&gt;&lt;date&gt;2019/11/01/&lt;/date&gt;&lt;/pub-dates&gt;&lt;/dates&gt;&lt;isbn&gt;0029-5493&lt;/isbn&gt;&lt;urls&gt;&lt;related-urls&gt;&lt;url&gt;https://www.sciencedirect.com/science/article/pii/S0029549319303000&lt;/url&gt;&lt;/related-urls&gt;&lt;/urls&gt;&lt;electronic-resource-num&gt;https://doi.org/10.1016/j.nucengdes.2019.110283&lt;/electronic-resource-num&gt;&lt;/record&gt;&lt;/Cite&gt;&lt;/EndNote&gt;</w:instrText>
      </w:r>
      <w:r>
        <w:fldChar w:fldCharType="separate"/>
      </w:r>
      <w:r w:rsidR="007245A9">
        <w:rPr>
          <w:noProof/>
        </w:rPr>
        <w:t>[181]</w:t>
      </w:r>
      <w:r>
        <w:fldChar w:fldCharType="end"/>
      </w:r>
      <w:r>
        <w:t xml:space="preserve">, the ranges of 0 to 2 MPa are the most sensitive for thermal jump distances of inert gasses and are considered in the sensitivity analysis of the coupled model. An initial grain radius of 10.9 </w:t>
      </w:r>
      <w:r>
        <w:sym w:font="Symbol" w:char="F06D"/>
      </w:r>
      <w:r>
        <w:t xml:space="preserve">m </w:t>
      </w:r>
      <w:r>
        <w:sym w:font="Symbol" w:char="F0B1"/>
      </w:r>
      <w:r>
        <w:t xml:space="preserve"> 1.3 </w:t>
      </w:r>
      <w:r>
        <w:sym w:font="Symbol" w:char="F06D"/>
      </w:r>
      <w:r>
        <w:t>m is considered based on previously fabricated UO</w:t>
      </w:r>
      <w:r>
        <w:rPr>
          <w:vertAlign w:val="subscript"/>
        </w:rPr>
        <w:t>2</w:t>
      </w:r>
      <w:r>
        <w:t xml:space="preserve"> MiniFuel disks </w:t>
      </w:r>
      <w:r>
        <w:fldChar w:fldCharType="begin"/>
      </w:r>
      <w:r w:rsidR="003026BC">
        <w:instrText xml:space="preserve"> ADDIN EN.CITE &lt;EndNote&gt;&lt;Cite&gt;&lt;Author&gt;Gorton&lt;/Author&gt;&lt;Year&gt;2024&lt;/Year&gt;&lt;RecNum&gt;534&lt;/RecNum&gt;&lt;DisplayText&gt;[147]&lt;/DisplayText&gt;&lt;record&gt;&lt;rec-number&gt;534&lt;/rec-number&gt;&lt;foreign-keys&gt;&lt;key app="EN" db-id="eseee05sfe5vt6efvr0xapvq20vfdsfp5fvf" timestamp="1740694142"&gt;534&lt;/key&gt;&lt;/foreign-keys&gt;&lt;ref-type name="Journal Article"&gt;17&lt;/ref-type&gt;&lt;contributors&gt;&lt;authors&gt;&lt;author&gt;Gorton, Jacob P.&lt;/author&gt;&lt;author&gt;Le Coq, Annabelle G.&lt;/author&gt;&lt;author&gt;Wallen, Zane G.&lt;/author&gt;&lt;author&gt;Petrie, Christian M.&lt;/author&gt;&lt;author&gt;White, Joshua T.&lt;/author&gt;&lt;author&gt;Dunwoody, John T.&lt;/author&gt;&lt;author&gt;Mann, Shane&lt;/author&gt;&lt;author&gt;Capps, Nathan A.&lt;/author&gt;&lt;author&gt;Nelson, Andrew T.&lt;/author&gt;&lt;/authors&gt;&lt;/contributors&gt;&lt;titles&gt;&lt;title&gt;Modeling and design of a separate effects irradiation test targeting fission gas release from Cr-doped UO2&lt;/title&gt;&lt;secondary-title&gt;Nuclear Engineering and Design&lt;/secondary-title&gt;&lt;/titles&gt;&lt;periodical&gt;&lt;full-title&gt;Nuclear Engineering and Design&lt;/full-title&gt;&lt;/periodical&gt;&lt;pages&gt;113571&lt;/pages&gt;&lt;volume&gt;429&lt;/volume&gt;&lt;keywords&gt;&lt;keyword&gt;MiniFuel&lt;/keyword&gt;&lt;keyword&gt;Fuel performance&lt;/keyword&gt;&lt;keyword&gt;HFIR&lt;/keyword&gt;&lt;keyword&gt;Nuclear fuel&lt;/keyword&gt;&lt;/keywords&gt;&lt;dates&gt;&lt;year&gt;2024&lt;/year&gt;&lt;pub-dates&gt;&lt;date&gt;2024/12/01/&lt;/date&gt;&lt;/pub-dates&gt;&lt;/dates&gt;&lt;isbn&gt;0029-5493&lt;/isbn&gt;&lt;urls&gt;&lt;related-urls&gt;&lt;url&gt;https://www.sciencedirect.com/science/article/pii/S002954932400671X&lt;/url&gt;&lt;/related-urls&gt;&lt;/urls&gt;&lt;electronic-resource-num&gt;https://doi.org/10.1016/j.nucengdes.2024.113571&lt;/electronic-resource-num&gt;&lt;/record&gt;&lt;/Cite&gt;&lt;/EndNote&gt;</w:instrText>
      </w:r>
      <w:r>
        <w:fldChar w:fldCharType="separate"/>
      </w:r>
      <w:r w:rsidR="003026BC">
        <w:rPr>
          <w:noProof/>
        </w:rPr>
        <w:t>[147]</w:t>
      </w:r>
      <w:r>
        <w:fldChar w:fldCharType="end"/>
      </w:r>
      <w:r>
        <w:t xml:space="preserve"> to inspect influence on FGR.</w:t>
      </w:r>
    </w:p>
    <w:p w14:paraId="65B77BB1" w14:textId="12B6C4A2" w:rsidR="007548A7" w:rsidRDefault="007548A7" w:rsidP="00F22A75">
      <w:pPr>
        <w:pStyle w:val="Heading3"/>
        <w:spacing w:before="0" w:after="0"/>
      </w:pPr>
      <w:bookmarkStart w:id="212" w:name="_Toc202957495"/>
      <w:r>
        <w:t>Standalone Python Model</w:t>
      </w:r>
      <w:r w:rsidR="0004286D">
        <w:t xml:space="preserve"> Results</w:t>
      </w:r>
      <w:bookmarkEnd w:id="212"/>
    </w:p>
    <w:p w14:paraId="4B11197B" w14:textId="114A3375" w:rsidR="007548A7" w:rsidRDefault="007548A7" w:rsidP="00F22A75">
      <w:r>
        <w:t>The results of the sensitivity analysis inspecting uncertainty of parameters in the TCC model for a 1000</w:t>
      </w:r>
      <w:r w:rsidRPr="008C04B3">
        <w:rPr>
          <w:rFonts w:ascii="Calibri" w:hAnsi="Calibri" w:cs="Calibri"/>
          <w:color w:val="000000"/>
        </w:rPr>
        <w:t>°</w:t>
      </w:r>
      <w:r>
        <w:t xml:space="preserve">C target temperature RB subcapsule using the standalone Python are shown in </w:t>
      </w:r>
      <w:r w:rsidR="00054636" w:rsidRPr="005E68D7">
        <w:rPr>
          <w:b/>
          <w:bCs/>
        </w:rPr>
        <w:fldChar w:fldCharType="begin"/>
      </w:r>
      <w:r w:rsidR="00054636" w:rsidRPr="005E68D7">
        <w:rPr>
          <w:b/>
          <w:bCs/>
        </w:rPr>
        <w:instrText xml:space="preserve"> REF _Ref197941316 \h </w:instrText>
      </w:r>
      <w:r w:rsidR="005E68D7">
        <w:rPr>
          <w:b/>
          <w:bCs/>
        </w:rPr>
        <w:instrText xml:space="preserve"> \* MERGEFORMAT </w:instrText>
      </w:r>
      <w:r w:rsidR="00054636" w:rsidRPr="005E68D7">
        <w:rPr>
          <w:b/>
          <w:bCs/>
        </w:rPr>
      </w:r>
      <w:r w:rsidR="00054636" w:rsidRPr="005E68D7">
        <w:rPr>
          <w:b/>
          <w:bCs/>
        </w:rPr>
        <w:fldChar w:fldCharType="separate"/>
      </w:r>
      <w:r w:rsidR="00BF7E93" w:rsidRPr="00BF7E93">
        <w:rPr>
          <w:b/>
          <w:bCs/>
        </w:rPr>
        <w:t xml:space="preserve">Figure </w:t>
      </w:r>
      <w:r w:rsidR="00BF7E93" w:rsidRPr="00BF7E93">
        <w:rPr>
          <w:b/>
          <w:bCs/>
          <w:noProof/>
        </w:rPr>
        <w:t>4.16</w:t>
      </w:r>
      <w:r w:rsidR="00054636" w:rsidRPr="005E68D7">
        <w:rPr>
          <w:b/>
          <w:bCs/>
        </w:rPr>
        <w:fldChar w:fldCharType="end"/>
      </w:r>
      <w:r>
        <w:t xml:space="preserve">. In each Sobol analysis, the variance contribution on the TCC, fuel interface temperature and FGR are determined. For the optimization of the capsule design, the primary optimization parameter, and parameter of highest importance is the fuel interface temperature. </w:t>
      </w:r>
    </w:p>
    <w:p w14:paraId="513F3D35" w14:textId="1253DA73" w:rsidR="0019075F" w:rsidRDefault="0019075F" w:rsidP="00F22A75">
      <w:r>
        <w:t>The primary contributors to the variance under these conditions are the contact pressure between the fuel and the dish, SSC coefficient C</w:t>
      </w:r>
      <w:r w:rsidRPr="00C054DD">
        <w:rPr>
          <w:vertAlign w:val="subscript"/>
        </w:rPr>
        <w:t>2</w:t>
      </w:r>
      <w:r>
        <w:t xml:space="preserve">, and surface roughness, which together </w:t>
      </w:r>
      <w:r w:rsidR="008110D5">
        <w:t xml:space="preserve">dictate the SSC as seen in Equation </w:t>
      </w:r>
      <w:r w:rsidR="008110D5">
        <w:fldChar w:fldCharType="begin"/>
      </w:r>
      <w:r w:rsidR="008110D5">
        <w:instrText xml:space="preserve"> REF _Ref195184758 \h </w:instrText>
      </w:r>
      <w:r w:rsidR="008110D5">
        <w:fldChar w:fldCharType="separate"/>
      </w:r>
      <w:r w:rsidR="00BF7E93">
        <w:rPr>
          <w:noProof/>
        </w:rPr>
        <w:t>21</w:t>
      </w:r>
      <w:r w:rsidR="008110D5">
        <w:fldChar w:fldCharType="end"/>
      </w:r>
      <w:r w:rsidR="008110D5">
        <w:t>. The other main contributor is the burnup of the fuel which, through the lookup table, accounts for the FGR and dictates the gas gap conductance across the interface. Although contact pressure and SSC are shown to be the</w:t>
      </w:r>
      <w:r w:rsidR="008110D5" w:rsidRPr="008110D5">
        <w:t xml:space="preserve"> </w:t>
      </w:r>
      <w:r w:rsidR="008110D5">
        <w:t>most impactful, this portion of the analysis did not consider how the error would</w:t>
      </w:r>
      <w:r w:rsidR="00CA3673">
        <w:t xml:space="preserve"> </w:t>
      </w:r>
      <w:r>
        <w:br w:type="page"/>
      </w:r>
    </w:p>
    <w:p w14:paraId="1325E34A" w14:textId="7716AA93" w:rsidR="007548A7" w:rsidRDefault="007548A7" w:rsidP="007548A7">
      <w:pPr>
        <w:jc w:val="center"/>
      </w:pPr>
      <w:r>
        <w:rPr>
          <w:noProof/>
        </w:rPr>
        <w:lastRenderedPageBreak/>
        <w:drawing>
          <wp:inline distT="0" distB="0" distL="0" distR="0" wp14:anchorId="3D611803" wp14:editId="50E3121E">
            <wp:extent cx="4741543" cy="3241222"/>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rotWithShape="1">
                    <a:blip r:embed="rId64" cstate="print">
                      <a:extLst>
                        <a:ext uri="{28A0092B-C50C-407E-A947-70E740481C1C}">
                          <a14:useLocalDpi xmlns:a14="http://schemas.microsoft.com/office/drawing/2010/main" val="0"/>
                        </a:ext>
                      </a:extLst>
                    </a:blip>
                    <a:srcRect l="4019" t="11508" r="9524" b="9691"/>
                    <a:stretch/>
                  </pic:blipFill>
                  <pic:spPr bwMode="auto">
                    <a:xfrm>
                      <a:off x="0" y="0"/>
                      <a:ext cx="4743423" cy="3242507"/>
                    </a:xfrm>
                    <a:prstGeom prst="rect">
                      <a:avLst/>
                    </a:prstGeom>
                    <a:ln>
                      <a:noFill/>
                    </a:ln>
                    <a:extLst>
                      <a:ext uri="{53640926-AAD7-44D8-BBD7-CCE9431645EC}">
                        <a14:shadowObscured xmlns:a14="http://schemas.microsoft.com/office/drawing/2010/main"/>
                      </a:ext>
                    </a:extLst>
                  </pic:spPr>
                </pic:pic>
              </a:graphicData>
            </a:graphic>
          </wp:inline>
        </w:drawing>
      </w:r>
    </w:p>
    <w:p w14:paraId="2C30C4B7" w14:textId="191F1068" w:rsidR="005F5212" w:rsidRPr="009B6D75" w:rsidRDefault="00054636" w:rsidP="00874CBB">
      <w:pPr>
        <w:pStyle w:val="Caption"/>
      </w:pPr>
      <w:bookmarkStart w:id="213" w:name="_Ref197941316"/>
      <w:bookmarkStart w:id="214" w:name="_Toc202957579"/>
      <w:r w:rsidRPr="009B6D75">
        <w:t xml:space="preserve">Figure </w:t>
      </w:r>
      <w:fldSimple w:instr=" STYLEREF 1 \s ">
        <w:r w:rsidR="00BF7E93">
          <w:rPr>
            <w:noProof/>
          </w:rPr>
          <w:t>4</w:t>
        </w:r>
      </w:fldSimple>
      <w:r w:rsidRPr="009B6D75">
        <w:t>.</w:t>
      </w:r>
      <w:fldSimple w:instr=" SEQ Figure \* ARABIC \s 1 ">
        <w:r w:rsidR="00BF7E93">
          <w:rPr>
            <w:noProof/>
          </w:rPr>
          <w:t>16</w:t>
        </w:r>
      </w:fldSimple>
      <w:bookmarkEnd w:id="213"/>
      <w:r w:rsidR="007548A7" w:rsidRPr="009B6D75">
        <w:t xml:space="preserve">. Total Sobol </w:t>
      </w:r>
      <w:r w:rsidR="00653247" w:rsidRPr="009B6D75">
        <w:t>indices</w:t>
      </w:r>
      <w:r w:rsidR="007548A7" w:rsidRPr="009B6D75">
        <w:t xml:space="preserve"> Sobol sensitivity parameters of UO</w:t>
      </w:r>
      <w:r w:rsidR="007548A7" w:rsidRPr="009B6D75">
        <w:rPr>
          <w:vertAlign w:val="subscript"/>
        </w:rPr>
        <w:t>2</w:t>
      </w:r>
      <w:r w:rsidR="007548A7" w:rsidRPr="009B6D75">
        <w:t xml:space="preserve"> MiniFuel TCC parameters at 1000</w:t>
      </w:r>
      <w:r w:rsidR="007548A7" w:rsidRPr="009B6D75">
        <w:rPr>
          <w:color w:val="000000"/>
        </w:rPr>
        <w:t>°</w:t>
      </w:r>
      <w:r w:rsidR="007548A7" w:rsidRPr="009B6D75">
        <w:t>C target temperature using a standalone Python model.</w:t>
      </w:r>
      <w:bookmarkEnd w:id="214"/>
    </w:p>
    <w:p w14:paraId="029D4EE9" w14:textId="67E8EC7A" w:rsidR="005F5212" w:rsidRDefault="005F5212"/>
    <w:p w14:paraId="360A025F" w14:textId="4C830CA5" w:rsidR="005F5212" w:rsidRDefault="005F5212">
      <w:r>
        <w:br w:type="page"/>
      </w:r>
    </w:p>
    <w:p w14:paraId="17D9B0FE" w14:textId="77777777" w:rsidR="00D623B1" w:rsidRDefault="00D623B1" w:rsidP="00F22A75">
      <w:bookmarkStart w:id="215" w:name="_Ref193718354"/>
      <w:r>
        <w:lastRenderedPageBreak/>
        <w:t>propagate into the FGR models.</w:t>
      </w:r>
    </w:p>
    <w:p w14:paraId="1567ACC9" w14:textId="77777777" w:rsidR="00D623B1" w:rsidRDefault="00D623B1" w:rsidP="00F22A75">
      <w:pPr>
        <w:pStyle w:val="Heading3"/>
        <w:spacing w:before="0" w:after="0"/>
      </w:pPr>
      <w:bookmarkStart w:id="216" w:name="_Toc202957496"/>
      <w:r>
        <w:t>Coupled Python/BISON Model Results</w:t>
      </w:r>
      <w:bookmarkEnd w:id="216"/>
    </w:p>
    <w:p w14:paraId="329759F4" w14:textId="455C4A73" w:rsidR="00D623B1" w:rsidRDefault="00D623B1" w:rsidP="00F22A75">
      <w:r>
        <w:t>To consider the uncertainty propagation from the TCC model into the FGR model, the Sobol analysis is performed using the coupled Python-BISION code framework. This coupling accounts for the interaction between temperature and fission gas diffusion increasing FGR.</w:t>
      </w:r>
      <w:r w:rsidRPr="000B7D63">
        <w:t xml:space="preserve"> </w:t>
      </w:r>
      <w:r>
        <w:t>The coupled analysis is performed using designs that would reach 3 different target temperatures, 800</w:t>
      </w:r>
      <w:r w:rsidRPr="008C04B3">
        <w:rPr>
          <w:rFonts w:ascii="Calibri" w:hAnsi="Calibri" w:cs="Calibri"/>
          <w:color w:val="000000"/>
        </w:rPr>
        <w:t>°</w:t>
      </w:r>
      <w:r>
        <w:t>C, 1000</w:t>
      </w:r>
      <w:r w:rsidRPr="008C04B3">
        <w:rPr>
          <w:rFonts w:ascii="Calibri" w:hAnsi="Calibri" w:cs="Calibri"/>
          <w:color w:val="000000"/>
        </w:rPr>
        <w:t>°</w:t>
      </w:r>
      <w:r>
        <w:t>C, and 1200</w:t>
      </w:r>
      <w:r w:rsidRPr="008C04B3">
        <w:rPr>
          <w:rFonts w:ascii="Calibri" w:hAnsi="Calibri" w:cs="Calibri"/>
          <w:color w:val="000000"/>
        </w:rPr>
        <w:t>°</w:t>
      </w:r>
      <w:r>
        <w:t>C. Each simulation is run until a burnup of 80 GWd/MTU is reached. As diffusion of fission gas is low at low fuel temperatures, a fuel interface temperature of 800</w:t>
      </w:r>
      <w:r w:rsidRPr="008C04B3">
        <w:rPr>
          <w:rFonts w:ascii="Calibri" w:hAnsi="Calibri" w:cs="Calibri"/>
          <w:color w:val="000000"/>
        </w:rPr>
        <w:t>°</w:t>
      </w:r>
      <w:r>
        <w:t xml:space="preserve">C ensures that FGR occurs within 80 GWd/MTU based on the work by Cheniour et. al. </w:t>
      </w:r>
      <w:r>
        <w:fldChar w:fldCharType="begin"/>
      </w:r>
      <w:r>
        <w:instrText xml:space="preserve"> ADDIN EN.CITE &lt;EndNote&gt;&lt;Cite&gt;&lt;Author&gt;Cheniour&lt;/Author&gt;&lt;Year&gt;2022&lt;/Year&gt;&lt;RecNum&gt;423&lt;/RecNum&gt;&lt;DisplayText&gt;[185]&lt;/DisplayText&gt;&lt;record&gt;&lt;rec-number&gt;423&lt;/rec-number&gt;&lt;foreign-keys&gt;&lt;key app="EN" db-id="eseee05sfe5vt6efvr0xapvq20vfdsfp5fvf" timestamp="1710037058"&gt;423&lt;/key&gt;&lt;/foreign-keys&gt;&lt;ref-type name="Journal Article"&gt;17&lt;/ref-type&gt;&lt;contributors&gt;&lt;authors&gt;&lt;author&gt;Cheniour, Amani&lt;/author&gt;&lt;author&gt;Pastore, Giovanni&lt;/author&gt;&lt;author&gt;Harp, Jason M.&lt;/author&gt;&lt;author&gt;Petrie, Christian M.&lt;/author&gt;&lt;author&gt;Capps, Nathan A.&lt;/author&gt;&lt;/authors&gt;&lt;/contributors&gt;&lt;titles&gt;&lt;title&gt;Application of BISON to UO2 MiniFuel fission gas release analysis&lt;/title&gt;&lt;secondary-title&gt;Journal of Nuclear Materials&lt;/secondary-title&gt;&lt;/titles&gt;&lt;periodical&gt;&lt;full-title&gt;Journal of Nuclear Materials&lt;/full-title&gt;&lt;/periodical&gt;&lt;pages&gt;153686&lt;/pages&gt;&lt;volume&gt;565&lt;/volume&gt;&lt;keywords&gt;&lt;keyword&gt;Fission gas release&lt;/keyword&gt;&lt;keyword&gt;BISON&lt;/keyword&gt;&lt;keyword&gt;MiniFuel&lt;/keyword&gt;&lt;keyword&gt;UO&lt;/keyword&gt;&lt;/keywords&gt;&lt;dates&gt;&lt;year&gt;2022&lt;/year&gt;&lt;pub-dates&gt;&lt;date&gt;2022/07/01/&lt;/date&gt;&lt;/pub-dates&gt;&lt;/dates&gt;&lt;isbn&gt;0022-3115&lt;/isbn&gt;&lt;urls&gt;&lt;related-urls&gt;&lt;url&gt;https://www.sciencedirect.com/science/article/pii/S0022311522001799&lt;/url&gt;&lt;/related-urls&gt;&lt;/urls&gt;&lt;electronic-resource-num&gt;https://doi.org/10.1016/j.jnucmat.2022.153686&lt;/electronic-resource-num&gt;&lt;/record&gt;&lt;/Cite&gt;&lt;/EndNote&gt;</w:instrText>
      </w:r>
      <w:r>
        <w:fldChar w:fldCharType="separate"/>
      </w:r>
      <w:r>
        <w:rPr>
          <w:noProof/>
        </w:rPr>
        <w:t>[185]</w:t>
      </w:r>
      <w:r>
        <w:fldChar w:fldCharType="end"/>
      </w:r>
      <w:r>
        <w:t>. Fuel interface temperatures of 1000</w:t>
      </w:r>
      <w:r w:rsidRPr="008C04B3">
        <w:rPr>
          <w:rFonts w:ascii="Calibri" w:hAnsi="Calibri" w:cs="Calibri"/>
          <w:color w:val="000000"/>
        </w:rPr>
        <w:t>°</w:t>
      </w:r>
      <w:r>
        <w:t>C and 1200</w:t>
      </w:r>
      <w:r w:rsidRPr="008C04B3">
        <w:rPr>
          <w:rFonts w:ascii="Calibri" w:hAnsi="Calibri" w:cs="Calibri"/>
          <w:color w:val="000000"/>
        </w:rPr>
        <w:t>°</w:t>
      </w:r>
      <w:r>
        <w:t>C aim to inspect different variations of FGR.</w:t>
      </w:r>
    </w:p>
    <w:p w14:paraId="1275BEC0" w14:textId="4FB01EB8" w:rsidR="007548A7" w:rsidRPr="0077684A" w:rsidRDefault="007548A7" w:rsidP="00F22A75">
      <w:pPr>
        <w:pStyle w:val="Heading3"/>
        <w:spacing w:before="0" w:after="0"/>
      </w:pPr>
      <w:bookmarkStart w:id="217" w:name="_Toc202957497"/>
      <w:r w:rsidRPr="0077684A">
        <w:t>Sobol Sensitivity Analysis</w:t>
      </w:r>
      <w:bookmarkEnd w:id="215"/>
      <w:r w:rsidR="0004286D">
        <w:t xml:space="preserve"> Results</w:t>
      </w:r>
      <w:bookmarkEnd w:id="217"/>
    </w:p>
    <w:p w14:paraId="4A7FCD57" w14:textId="6F32121F" w:rsidR="008110D5" w:rsidRDefault="007548A7" w:rsidP="00F22A75">
      <w:pPr>
        <w:widowControl w:val="0"/>
      </w:pPr>
      <w:r>
        <w:t>The results of the coupled Python-BISON model for a 1000</w:t>
      </w:r>
      <w:r w:rsidRPr="008C04B3">
        <w:rPr>
          <w:rFonts w:ascii="Calibri" w:hAnsi="Calibri" w:cs="Calibri"/>
          <w:color w:val="000000"/>
        </w:rPr>
        <w:t>°</w:t>
      </w:r>
      <w:r>
        <w:t xml:space="preserve">C target temperature RB subcapsule are shown in </w:t>
      </w:r>
      <w:r w:rsidR="00054636" w:rsidRPr="005E68D7">
        <w:rPr>
          <w:b/>
          <w:bCs/>
        </w:rPr>
        <w:fldChar w:fldCharType="begin"/>
      </w:r>
      <w:r w:rsidR="00054636" w:rsidRPr="005E68D7">
        <w:rPr>
          <w:b/>
          <w:bCs/>
        </w:rPr>
        <w:instrText xml:space="preserve"> REF _Ref197941340 \h </w:instrText>
      </w:r>
      <w:r w:rsidR="005E68D7">
        <w:rPr>
          <w:b/>
          <w:bCs/>
        </w:rPr>
        <w:instrText xml:space="preserve"> \* MERGEFORMAT </w:instrText>
      </w:r>
      <w:r w:rsidR="00054636" w:rsidRPr="005E68D7">
        <w:rPr>
          <w:b/>
          <w:bCs/>
        </w:rPr>
      </w:r>
      <w:r w:rsidR="00054636" w:rsidRPr="005E68D7">
        <w:rPr>
          <w:b/>
          <w:bCs/>
        </w:rPr>
        <w:fldChar w:fldCharType="separate"/>
      </w:r>
      <w:r w:rsidR="00BF7E93" w:rsidRPr="00BF7E93">
        <w:rPr>
          <w:b/>
          <w:bCs/>
        </w:rPr>
        <w:t xml:space="preserve">Figure </w:t>
      </w:r>
      <w:r w:rsidR="00BF7E93" w:rsidRPr="00BF7E93">
        <w:rPr>
          <w:b/>
          <w:bCs/>
          <w:noProof/>
        </w:rPr>
        <w:t>4.17</w:t>
      </w:r>
      <w:r w:rsidR="00054636" w:rsidRPr="005E68D7">
        <w:rPr>
          <w:b/>
          <w:bCs/>
        </w:rPr>
        <w:fldChar w:fldCharType="end"/>
      </w:r>
      <w:r>
        <w:t xml:space="preserve">. This demonstrates the impact of the initial gas pressure on the fuel temperature predictions. The primary design parameters dictating the variance in the fuel interface temperature are the contact pressure, initial gas pressure and </w:t>
      </w:r>
      <w:r w:rsidR="008110D5">
        <w:t>C</w:t>
      </w:r>
      <w:r w:rsidR="008110D5" w:rsidRPr="00C054DD">
        <w:rPr>
          <w:vertAlign w:val="subscript"/>
        </w:rPr>
        <w:t>2</w:t>
      </w:r>
      <w:r w:rsidR="008110D5">
        <w:t xml:space="preserve"> coefficient. There is also a small contribution to the variance from uncertainty in surface roughness of both the fuel and dish.</w:t>
      </w:r>
    </w:p>
    <w:p w14:paraId="588938D0" w14:textId="32ED93D8" w:rsidR="0019075F" w:rsidRDefault="0019075F" w:rsidP="008110D5">
      <w:pPr>
        <w:rPr>
          <w:b/>
          <w:bCs/>
        </w:rPr>
      </w:pPr>
      <w:r>
        <w:rPr>
          <w:b/>
          <w:bCs/>
        </w:rPr>
        <w:br w:type="page"/>
      </w:r>
    </w:p>
    <w:p w14:paraId="330FA773" w14:textId="77777777" w:rsidR="007548A7" w:rsidRDefault="007548A7" w:rsidP="007548A7">
      <w:r>
        <w:rPr>
          <w:noProof/>
        </w:rPr>
        <w:lastRenderedPageBreak/>
        <w:drawing>
          <wp:inline distT="0" distB="0" distL="0" distR="0" wp14:anchorId="323AD95F" wp14:editId="16B1EE80">
            <wp:extent cx="5486400" cy="3677941"/>
            <wp:effectExtent l="0" t="0" r="0" b="508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53"/>
                    <pic:cNvPicPr/>
                  </pic:nvPicPr>
                  <pic:blipFill rotWithShape="1">
                    <a:blip r:embed="rId65" cstate="print">
                      <a:extLst>
                        <a:ext uri="{28A0092B-C50C-407E-A947-70E740481C1C}">
                          <a14:useLocalDpi xmlns:a14="http://schemas.microsoft.com/office/drawing/2010/main" val="0"/>
                        </a:ext>
                      </a:extLst>
                    </a:blip>
                    <a:srcRect l="4051" t="11423" r="9502" b="11307"/>
                    <a:stretch/>
                  </pic:blipFill>
                  <pic:spPr bwMode="auto">
                    <a:xfrm>
                      <a:off x="0" y="0"/>
                      <a:ext cx="5486400" cy="3677941"/>
                    </a:xfrm>
                    <a:prstGeom prst="rect">
                      <a:avLst/>
                    </a:prstGeom>
                    <a:ln>
                      <a:noFill/>
                    </a:ln>
                    <a:extLst>
                      <a:ext uri="{53640926-AAD7-44D8-BBD7-CCE9431645EC}">
                        <a14:shadowObscured xmlns:a14="http://schemas.microsoft.com/office/drawing/2010/main"/>
                      </a:ext>
                    </a:extLst>
                  </pic:spPr>
                </pic:pic>
              </a:graphicData>
            </a:graphic>
          </wp:inline>
        </w:drawing>
      </w:r>
    </w:p>
    <w:p w14:paraId="7A97C555" w14:textId="3883EAE4" w:rsidR="007548A7" w:rsidRPr="009B6D75" w:rsidRDefault="00054636" w:rsidP="00874CBB">
      <w:pPr>
        <w:pStyle w:val="Caption"/>
      </w:pPr>
      <w:bookmarkStart w:id="218" w:name="_Ref197941340"/>
      <w:bookmarkStart w:id="219" w:name="_Toc202957580"/>
      <w:r w:rsidRPr="009B6D75">
        <w:t xml:space="preserve">Figure </w:t>
      </w:r>
      <w:fldSimple w:instr=" STYLEREF 1 \s ">
        <w:r w:rsidR="00BF7E93">
          <w:rPr>
            <w:noProof/>
          </w:rPr>
          <w:t>4</w:t>
        </w:r>
      </w:fldSimple>
      <w:r w:rsidRPr="009B6D75">
        <w:t>.</w:t>
      </w:r>
      <w:fldSimple w:instr=" SEQ Figure \* ARABIC \s 1 ">
        <w:r w:rsidR="00BF7E93">
          <w:rPr>
            <w:noProof/>
          </w:rPr>
          <w:t>17</w:t>
        </w:r>
      </w:fldSimple>
      <w:bookmarkEnd w:id="218"/>
      <w:r w:rsidR="007548A7" w:rsidRPr="009B6D75">
        <w:t xml:space="preserve">. Total Sobol </w:t>
      </w:r>
      <w:r w:rsidR="004B60C4" w:rsidRPr="009B6D75">
        <w:t>indices</w:t>
      </w:r>
      <w:r w:rsidR="007548A7" w:rsidRPr="009B6D75">
        <w:t xml:space="preserve"> of UO</w:t>
      </w:r>
      <w:r w:rsidR="007548A7" w:rsidRPr="009B6D75">
        <w:rPr>
          <w:vertAlign w:val="subscript"/>
        </w:rPr>
        <w:t>2</w:t>
      </w:r>
      <w:r w:rsidR="007548A7" w:rsidRPr="009B6D75">
        <w:t xml:space="preserve"> MiniFuel TCC parameters at 1000</w:t>
      </w:r>
      <w:r w:rsidR="007548A7" w:rsidRPr="009B6D75">
        <w:rPr>
          <w:color w:val="000000"/>
        </w:rPr>
        <w:t>°</w:t>
      </w:r>
      <w:r w:rsidR="007548A7" w:rsidRPr="009B6D75">
        <w:t>C target temperature and 80 GWd/MTU using a coupled Python-BISON model.</w:t>
      </w:r>
      <w:bookmarkEnd w:id="219"/>
    </w:p>
    <w:p w14:paraId="5B48F28F" w14:textId="77777777" w:rsidR="00D623B1" w:rsidRPr="0074556C" w:rsidRDefault="0019075F" w:rsidP="00F22A75">
      <w:pPr>
        <w:pStyle w:val="Heading3"/>
        <w:spacing w:before="0" w:after="0"/>
      </w:pPr>
      <w:r>
        <w:br w:type="page"/>
      </w:r>
      <w:bookmarkStart w:id="220" w:name="_Toc202957498"/>
      <w:r w:rsidR="00D623B1">
        <w:lastRenderedPageBreak/>
        <w:t>Performance Envelopes</w:t>
      </w:r>
      <w:bookmarkEnd w:id="220"/>
    </w:p>
    <w:p w14:paraId="188E3BE8" w14:textId="77777777" w:rsidR="00D623B1" w:rsidRDefault="00D623B1" w:rsidP="00F22A75">
      <w:r>
        <w:t>Using the data from each run in the Sobol sensitivity analysis, envelopes of performance are developed for each target temperature over the 80 GWd/MTU irradiation.</w:t>
      </w:r>
      <w:r w:rsidRPr="00F723E5">
        <w:t xml:space="preserve"> </w:t>
      </w:r>
      <w:r>
        <w:t>The data within these plots are bounded by the maximum and minimum values at each interval of</w:t>
      </w:r>
    </w:p>
    <w:p w14:paraId="32DF23B5" w14:textId="050E4D54" w:rsidR="00D623B1" w:rsidRDefault="00D623B1" w:rsidP="00F22A75">
      <w:r>
        <w:t xml:space="preserve">5 GWd/MTU. </w:t>
      </w:r>
      <w:r w:rsidRPr="005E68D7">
        <w:rPr>
          <w:b/>
          <w:bCs/>
        </w:rPr>
        <w:fldChar w:fldCharType="begin"/>
      </w:r>
      <w:r w:rsidRPr="005E68D7">
        <w:rPr>
          <w:b/>
          <w:bCs/>
        </w:rPr>
        <w:instrText xml:space="preserve"> REF _Ref197941413 \h </w:instrText>
      </w:r>
      <w:r>
        <w:rPr>
          <w:b/>
          <w:bCs/>
        </w:rPr>
        <w:instrText xml:space="preserve"> \* MERGEFORMAT </w:instrText>
      </w:r>
      <w:r w:rsidRPr="005E68D7">
        <w:rPr>
          <w:b/>
          <w:bCs/>
        </w:rPr>
      </w:r>
      <w:r w:rsidRPr="005E68D7">
        <w:rPr>
          <w:b/>
          <w:bCs/>
        </w:rPr>
        <w:fldChar w:fldCharType="separate"/>
      </w:r>
      <w:r w:rsidR="00BF7E93" w:rsidRPr="00BF7E93">
        <w:rPr>
          <w:b/>
          <w:bCs/>
        </w:rPr>
        <w:t xml:space="preserve">Figure </w:t>
      </w:r>
      <w:r w:rsidR="00BF7E93" w:rsidRPr="00BF7E93">
        <w:rPr>
          <w:b/>
          <w:bCs/>
          <w:noProof/>
        </w:rPr>
        <w:t>4.18</w:t>
      </w:r>
      <w:r w:rsidRPr="005E68D7">
        <w:rPr>
          <w:b/>
          <w:bCs/>
        </w:rPr>
        <w:fldChar w:fldCharType="end"/>
      </w:r>
      <w:r>
        <w:t xml:space="preserve"> contains the fuel interface temperature for each of the target temperatures, 800</w:t>
      </w:r>
      <w:r w:rsidRPr="008C04B3">
        <w:rPr>
          <w:rFonts w:ascii="Calibri" w:hAnsi="Calibri" w:cs="Calibri"/>
          <w:color w:val="000000"/>
        </w:rPr>
        <w:t>°</w:t>
      </w:r>
      <w:r>
        <w:t>C, 1000</w:t>
      </w:r>
      <w:r w:rsidRPr="008C04B3">
        <w:rPr>
          <w:rFonts w:ascii="Calibri" w:hAnsi="Calibri" w:cs="Calibri"/>
          <w:color w:val="000000"/>
        </w:rPr>
        <w:t>°</w:t>
      </w:r>
      <w:r>
        <w:t>C, and 1200</w:t>
      </w:r>
      <w:r w:rsidRPr="008C04B3">
        <w:rPr>
          <w:rFonts w:ascii="Calibri" w:hAnsi="Calibri" w:cs="Calibri"/>
          <w:color w:val="000000"/>
        </w:rPr>
        <w:t>°</w:t>
      </w:r>
      <w:r>
        <w:t>C, within the Sobol sensitivity analysis. The figure demonstrates a ~200</w:t>
      </w:r>
      <w:r w:rsidRPr="008C04B3">
        <w:rPr>
          <w:rFonts w:ascii="Calibri" w:hAnsi="Calibri" w:cs="Calibri"/>
          <w:color w:val="000000"/>
        </w:rPr>
        <w:t>°</w:t>
      </w:r>
      <w:r>
        <w:t>C range in interface temperature for all targets with fresh fuel, which increases to ~300</w:t>
      </w:r>
      <w:r w:rsidRPr="008C04B3">
        <w:rPr>
          <w:rFonts w:ascii="Calibri" w:hAnsi="Calibri" w:cs="Calibri"/>
          <w:color w:val="000000"/>
        </w:rPr>
        <w:t>°</w:t>
      </w:r>
      <w:r>
        <w:t xml:space="preserve">C as burnup increases. Histograms containing the distribution of interface temperature for each target temperature are shown in </w:t>
      </w:r>
      <w:r w:rsidRPr="005E68D7">
        <w:rPr>
          <w:b/>
          <w:bCs/>
        </w:rPr>
        <w:fldChar w:fldCharType="begin"/>
      </w:r>
      <w:r w:rsidRPr="005E68D7">
        <w:rPr>
          <w:b/>
          <w:bCs/>
        </w:rPr>
        <w:instrText xml:space="preserve"> REF _Ref197941426 \h </w:instrText>
      </w:r>
      <w:r>
        <w:rPr>
          <w:b/>
          <w:bCs/>
        </w:rPr>
        <w:instrText xml:space="preserve"> \* MERGEFORMAT </w:instrText>
      </w:r>
      <w:r w:rsidRPr="005E68D7">
        <w:rPr>
          <w:b/>
          <w:bCs/>
        </w:rPr>
      </w:r>
      <w:r w:rsidRPr="005E68D7">
        <w:rPr>
          <w:b/>
          <w:bCs/>
        </w:rPr>
        <w:fldChar w:fldCharType="separate"/>
      </w:r>
      <w:r w:rsidR="00BF7E93" w:rsidRPr="00BF7E93">
        <w:rPr>
          <w:b/>
          <w:bCs/>
        </w:rPr>
        <w:t xml:space="preserve">Figure </w:t>
      </w:r>
      <w:r w:rsidR="00BF7E93" w:rsidRPr="00BF7E93">
        <w:rPr>
          <w:b/>
          <w:bCs/>
          <w:noProof/>
        </w:rPr>
        <w:t>4.19</w:t>
      </w:r>
      <w:r w:rsidRPr="005E68D7">
        <w:rPr>
          <w:b/>
          <w:bCs/>
        </w:rPr>
        <w:fldChar w:fldCharType="end"/>
      </w:r>
      <w:r>
        <w:t xml:space="preserve">. Higher thermal uncertainties propagate into the higher temperature calculations which shift the fuel interface temperature distributions further from the dish temperature. The cause of this shift will be inspected in the discussion section. </w:t>
      </w:r>
      <w:r w:rsidRPr="00092CC7">
        <w:rPr>
          <w:b/>
          <w:bCs/>
        </w:rPr>
        <w:fldChar w:fldCharType="begin"/>
      </w:r>
      <w:r w:rsidRPr="00092CC7">
        <w:rPr>
          <w:b/>
          <w:bCs/>
        </w:rPr>
        <w:instrText xml:space="preserve"> REF _Ref199765262 \h  \* MERGEFORMAT </w:instrText>
      </w:r>
      <w:r w:rsidRPr="00092CC7">
        <w:rPr>
          <w:b/>
          <w:bCs/>
        </w:rPr>
      </w:r>
      <w:r w:rsidRPr="00092CC7">
        <w:rPr>
          <w:b/>
          <w:bCs/>
        </w:rPr>
        <w:fldChar w:fldCharType="separate"/>
      </w:r>
      <w:r w:rsidR="00BF7E93" w:rsidRPr="00BF7E93">
        <w:rPr>
          <w:b/>
          <w:bCs/>
        </w:rPr>
        <w:t xml:space="preserve">Figure </w:t>
      </w:r>
      <w:r w:rsidR="00BF7E93" w:rsidRPr="00BF7E93">
        <w:rPr>
          <w:b/>
          <w:bCs/>
          <w:noProof/>
        </w:rPr>
        <w:t>4.20</w:t>
      </w:r>
      <w:r w:rsidRPr="00092CC7">
        <w:rPr>
          <w:b/>
          <w:bCs/>
        </w:rPr>
        <w:fldChar w:fldCharType="end"/>
      </w:r>
      <w:r>
        <w:rPr>
          <w:b/>
          <w:bCs/>
        </w:rPr>
        <w:t xml:space="preserve"> </w:t>
      </w:r>
      <w:r>
        <w:t xml:space="preserve">contains the performance envelopes for FGR across each target temperature. As temperature increases, the time of initial FGR decreases. The behavior of these curves closely resembles those from the work of Cheniour et. al. </w:t>
      </w:r>
      <w:r>
        <w:fldChar w:fldCharType="begin"/>
      </w:r>
      <w:r>
        <w:instrText xml:space="preserve"> ADDIN EN.CITE &lt;EndNote&gt;&lt;Cite&gt;&lt;Author&gt;Cheniour&lt;/Author&gt;&lt;Year&gt;2022&lt;/Year&gt;&lt;RecNum&gt;423&lt;/RecNum&gt;&lt;DisplayText&gt;[185]&lt;/DisplayText&gt;&lt;record&gt;&lt;rec-number&gt;423&lt;/rec-number&gt;&lt;foreign-keys&gt;&lt;key app="EN" db-id="eseee05sfe5vt6efvr0xapvq20vfdsfp5fvf" timestamp="1710037058"&gt;423&lt;/key&gt;&lt;/foreign-keys&gt;&lt;ref-type name="Journal Article"&gt;17&lt;/ref-type&gt;&lt;contributors&gt;&lt;authors&gt;&lt;author&gt;Cheniour, Amani&lt;/author&gt;&lt;author&gt;Pastore, Giovanni&lt;/author&gt;&lt;author&gt;Harp, Jason M.&lt;/author&gt;&lt;author&gt;Petrie, Christian M.&lt;/author&gt;&lt;author&gt;Capps, Nathan A.&lt;/author&gt;&lt;/authors&gt;&lt;/contributors&gt;&lt;titles&gt;&lt;title&gt;Application of BISON to UO2 MiniFuel fission gas release analysis&lt;/title&gt;&lt;secondary-title&gt;Journal of Nuclear Materials&lt;/secondary-title&gt;&lt;/titles&gt;&lt;periodical&gt;&lt;full-title&gt;Journal of Nuclear Materials&lt;/full-title&gt;&lt;/periodical&gt;&lt;pages&gt;153686&lt;/pages&gt;&lt;volume&gt;565&lt;/volume&gt;&lt;keywords&gt;&lt;keyword&gt;Fission gas release&lt;/keyword&gt;&lt;keyword&gt;BISON&lt;/keyword&gt;&lt;keyword&gt;MiniFuel&lt;/keyword&gt;&lt;keyword&gt;UO&lt;/keyword&gt;&lt;/keywords&gt;&lt;dates&gt;&lt;year&gt;2022&lt;/year&gt;&lt;pub-dates&gt;&lt;date&gt;2022/07/01/&lt;/date&gt;&lt;/pub-dates&gt;&lt;/dates&gt;&lt;isbn&gt;0022-3115&lt;/isbn&gt;&lt;urls&gt;&lt;related-urls&gt;&lt;url&gt;https://www.sciencedirect.com/science/article/pii/S0022311522001799&lt;/url&gt;&lt;/related-urls&gt;&lt;/urls&gt;&lt;electronic-resource-num&gt;https://doi.org/10.1016/j.jnucmat.2022.153686&lt;/electronic-resource-num&gt;&lt;/record&gt;&lt;/Cite&gt;&lt;/EndNote&gt;</w:instrText>
      </w:r>
      <w:r>
        <w:fldChar w:fldCharType="separate"/>
      </w:r>
      <w:r>
        <w:rPr>
          <w:noProof/>
        </w:rPr>
        <w:t>[185]</w:t>
      </w:r>
      <w:r>
        <w:fldChar w:fldCharType="end"/>
      </w:r>
      <w:r>
        <w:t xml:space="preserve"> at each respective temperature.</w:t>
      </w:r>
    </w:p>
    <w:p w14:paraId="3569B04B" w14:textId="77777777" w:rsidR="00D623B1" w:rsidRDefault="00D623B1" w:rsidP="00F22A75">
      <w:pPr>
        <w:pStyle w:val="Heading3"/>
        <w:spacing w:before="0" w:after="0"/>
      </w:pPr>
      <w:bookmarkStart w:id="221" w:name="_Toc202957499"/>
      <w:r>
        <w:t>Influence of Controllable Variables</w:t>
      </w:r>
      <w:bookmarkEnd w:id="221"/>
    </w:p>
    <w:p w14:paraId="52F0DEB1" w14:textId="38767DA1" w:rsidR="00D623B1" w:rsidRDefault="00D623B1" w:rsidP="00F22A75">
      <w:r>
        <w:t>This section aims to inspect the influence of each parameter of interest which can be controlled in the capsule design. The Sobol Sensitivity analysis consists of over 70,000 sample cases. Within the sample cases, each parameter was varied within the sample</w:t>
      </w:r>
      <w:r w:rsidRPr="00E77933">
        <w:t xml:space="preserve"> </w:t>
      </w:r>
      <w:r>
        <w:t xml:space="preserve">spaces specified in </w:t>
      </w:r>
      <w:r w:rsidRPr="00E77933">
        <w:rPr>
          <w:b/>
          <w:bCs/>
        </w:rPr>
        <w:fldChar w:fldCharType="begin"/>
      </w:r>
      <w:r w:rsidRPr="00E77933">
        <w:rPr>
          <w:b/>
          <w:bCs/>
        </w:rPr>
        <w:instrText xml:space="preserve"> REF _Ref198131881 \h </w:instrText>
      </w:r>
      <w:r>
        <w:rPr>
          <w:b/>
          <w:bCs/>
        </w:rPr>
        <w:instrText xml:space="preserve"> \* MERGEFORMAT </w:instrText>
      </w:r>
      <w:r w:rsidRPr="00E77933">
        <w:rPr>
          <w:b/>
          <w:bCs/>
        </w:rPr>
      </w:r>
      <w:r w:rsidRPr="00E77933">
        <w:rPr>
          <w:b/>
          <w:bCs/>
        </w:rPr>
        <w:fldChar w:fldCharType="separate"/>
      </w:r>
      <w:r w:rsidR="00BF7E93" w:rsidRPr="00BF7E93">
        <w:rPr>
          <w:b/>
          <w:bCs/>
        </w:rPr>
        <w:t xml:space="preserve">Table </w:t>
      </w:r>
      <w:r w:rsidR="00BF7E93" w:rsidRPr="00BF7E93">
        <w:rPr>
          <w:b/>
          <w:bCs/>
          <w:noProof/>
        </w:rPr>
        <w:t>4.8</w:t>
      </w:r>
      <w:r w:rsidRPr="00E77933">
        <w:rPr>
          <w:b/>
          <w:bCs/>
        </w:rPr>
        <w:fldChar w:fldCharType="end"/>
      </w:r>
      <w:r>
        <w:t xml:space="preserve">. The individual influence of initial gas pressure, contact pressure, and effective surface roughness on the fuel interface temperature prediction is </w:t>
      </w:r>
      <w:r>
        <w:br w:type="page"/>
      </w:r>
    </w:p>
    <w:p w14:paraId="408C23DF" w14:textId="77777777" w:rsidR="00D34AF5" w:rsidRDefault="00D34AF5" w:rsidP="00E77933"/>
    <w:p w14:paraId="07538BD5" w14:textId="77777777" w:rsidR="007548A7" w:rsidRDefault="007548A7" w:rsidP="007548A7">
      <w:r>
        <w:rPr>
          <w:noProof/>
        </w:rPr>
        <w:drawing>
          <wp:inline distT="0" distB="0" distL="0" distR="0" wp14:anchorId="431767F0" wp14:editId="73FB27F1">
            <wp:extent cx="5486400" cy="4014926"/>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rotWithShape="1">
                    <a:blip r:embed="rId66" cstate="print">
                      <a:extLst>
                        <a:ext uri="{28A0092B-C50C-407E-A947-70E740481C1C}">
                          <a14:useLocalDpi xmlns:a14="http://schemas.microsoft.com/office/drawing/2010/main" val="0"/>
                        </a:ext>
                      </a:extLst>
                    </a:blip>
                    <a:srcRect l="1786" t="4961" r="2828" b="1968"/>
                    <a:stretch/>
                  </pic:blipFill>
                  <pic:spPr bwMode="auto">
                    <a:xfrm>
                      <a:off x="0" y="0"/>
                      <a:ext cx="5486400" cy="4014926"/>
                    </a:xfrm>
                    <a:prstGeom prst="rect">
                      <a:avLst/>
                    </a:prstGeom>
                    <a:ln>
                      <a:noFill/>
                    </a:ln>
                    <a:extLst>
                      <a:ext uri="{53640926-AAD7-44D8-BBD7-CCE9431645EC}">
                        <a14:shadowObscured xmlns:a14="http://schemas.microsoft.com/office/drawing/2010/main"/>
                      </a:ext>
                    </a:extLst>
                  </pic:spPr>
                </pic:pic>
              </a:graphicData>
            </a:graphic>
          </wp:inline>
        </w:drawing>
      </w:r>
    </w:p>
    <w:p w14:paraId="3FF87B64" w14:textId="14FD437A" w:rsidR="00D34AF5" w:rsidRDefault="00054636" w:rsidP="00874CBB">
      <w:pPr>
        <w:pStyle w:val="Caption"/>
      </w:pPr>
      <w:bookmarkStart w:id="222" w:name="_Ref197941413"/>
      <w:bookmarkStart w:id="223" w:name="_Toc202957581"/>
      <w:r w:rsidRPr="009B6D75">
        <w:t xml:space="preserve">Figure </w:t>
      </w:r>
      <w:fldSimple w:instr=" STYLEREF 1 \s ">
        <w:r w:rsidR="00BF7E93">
          <w:rPr>
            <w:noProof/>
          </w:rPr>
          <w:t>4</w:t>
        </w:r>
      </w:fldSimple>
      <w:r w:rsidRPr="009B6D75">
        <w:t>.</w:t>
      </w:r>
      <w:fldSimple w:instr=" SEQ Figure \* ARABIC \s 1 ">
        <w:r w:rsidR="00BF7E93">
          <w:rPr>
            <w:noProof/>
          </w:rPr>
          <w:t>18</w:t>
        </w:r>
      </w:fldSimple>
      <w:bookmarkEnd w:id="222"/>
      <w:r w:rsidR="007548A7" w:rsidRPr="009B6D75">
        <w:t>. Interface temperature variations of UO</w:t>
      </w:r>
      <w:r w:rsidR="007548A7" w:rsidRPr="009B6D75">
        <w:rPr>
          <w:vertAlign w:val="subscript"/>
        </w:rPr>
        <w:t>2</w:t>
      </w:r>
      <w:r w:rsidR="007548A7" w:rsidRPr="009B6D75">
        <w:t xml:space="preserve"> MiniFuel subcapsules with target temperatures of 800</w:t>
      </w:r>
      <w:r w:rsidR="007548A7" w:rsidRPr="009B6D75">
        <w:rPr>
          <w:color w:val="000000"/>
        </w:rPr>
        <w:t>°</w:t>
      </w:r>
      <w:r w:rsidR="007548A7" w:rsidRPr="009B6D75">
        <w:t>C, 1000</w:t>
      </w:r>
      <w:r w:rsidR="007548A7" w:rsidRPr="009B6D75">
        <w:rPr>
          <w:color w:val="000000"/>
        </w:rPr>
        <w:t>°</w:t>
      </w:r>
      <w:r w:rsidR="007548A7" w:rsidRPr="009B6D75">
        <w:t>C, and 1200</w:t>
      </w:r>
      <w:r w:rsidR="007548A7" w:rsidRPr="009B6D75">
        <w:rPr>
          <w:color w:val="000000"/>
        </w:rPr>
        <w:t>°</w:t>
      </w:r>
      <w:r w:rsidR="007548A7" w:rsidRPr="009B6D75">
        <w:t>C.</w:t>
      </w:r>
      <w:bookmarkEnd w:id="223"/>
    </w:p>
    <w:p w14:paraId="3E2FF8EB" w14:textId="77777777" w:rsidR="0019075F" w:rsidRPr="0019075F" w:rsidRDefault="0019075F" w:rsidP="0019075F"/>
    <w:p w14:paraId="09E99CA1" w14:textId="77777777" w:rsidR="00D34AF5" w:rsidRDefault="00D34AF5">
      <w:r>
        <w:br w:type="page"/>
      </w:r>
    </w:p>
    <w:p w14:paraId="1B158D6E" w14:textId="68055BF1" w:rsidR="007548A7" w:rsidRDefault="007548A7" w:rsidP="007548A7">
      <w:r>
        <w:rPr>
          <w:noProof/>
        </w:rPr>
        <w:lastRenderedPageBreak/>
        <w:drawing>
          <wp:inline distT="0" distB="0" distL="0" distR="0" wp14:anchorId="05384CE1" wp14:editId="5BE9FED2">
            <wp:extent cx="5486400" cy="3979393"/>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Picture 56"/>
                    <pic:cNvPicPr/>
                  </pic:nvPicPr>
                  <pic:blipFill rotWithShape="1">
                    <a:blip r:embed="rId67" cstate="print">
                      <a:extLst>
                        <a:ext uri="{28A0092B-C50C-407E-A947-70E740481C1C}">
                          <a14:useLocalDpi xmlns:a14="http://schemas.microsoft.com/office/drawing/2010/main" val="0"/>
                        </a:ext>
                      </a:extLst>
                    </a:blip>
                    <a:srcRect l="2180" t="10801" r="7166" b="1529"/>
                    <a:stretch/>
                  </pic:blipFill>
                  <pic:spPr bwMode="auto">
                    <a:xfrm>
                      <a:off x="0" y="0"/>
                      <a:ext cx="5486400" cy="3979393"/>
                    </a:xfrm>
                    <a:prstGeom prst="rect">
                      <a:avLst/>
                    </a:prstGeom>
                    <a:ln>
                      <a:noFill/>
                    </a:ln>
                    <a:extLst>
                      <a:ext uri="{53640926-AAD7-44D8-BBD7-CCE9431645EC}">
                        <a14:shadowObscured xmlns:a14="http://schemas.microsoft.com/office/drawing/2010/main"/>
                      </a:ext>
                    </a:extLst>
                  </pic:spPr>
                </pic:pic>
              </a:graphicData>
            </a:graphic>
          </wp:inline>
        </w:drawing>
      </w:r>
    </w:p>
    <w:p w14:paraId="2F12FB04" w14:textId="36CAB804" w:rsidR="00EF507E" w:rsidRDefault="00054636" w:rsidP="00874CBB">
      <w:pPr>
        <w:pStyle w:val="Caption"/>
      </w:pPr>
      <w:bookmarkStart w:id="224" w:name="_Ref197941426"/>
      <w:bookmarkStart w:id="225" w:name="_Toc202957582"/>
      <w:r w:rsidRPr="009B6D75">
        <w:t xml:space="preserve">Figure </w:t>
      </w:r>
      <w:fldSimple w:instr=" STYLEREF 1 \s ">
        <w:r w:rsidR="00BF7E93">
          <w:rPr>
            <w:noProof/>
          </w:rPr>
          <w:t>4</w:t>
        </w:r>
      </w:fldSimple>
      <w:r w:rsidRPr="009B6D75">
        <w:t>.</w:t>
      </w:r>
      <w:fldSimple w:instr=" SEQ Figure \* ARABIC \s 1 ">
        <w:r w:rsidR="00BF7E93">
          <w:rPr>
            <w:noProof/>
          </w:rPr>
          <w:t>19</w:t>
        </w:r>
      </w:fldSimple>
      <w:bookmarkEnd w:id="224"/>
      <w:r w:rsidR="007548A7" w:rsidRPr="009B6D75">
        <w:t>. Histograms of UO</w:t>
      </w:r>
      <w:r w:rsidR="007548A7" w:rsidRPr="009B6D75">
        <w:rPr>
          <w:vertAlign w:val="subscript"/>
        </w:rPr>
        <w:t>2</w:t>
      </w:r>
      <w:r w:rsidR="007548A7" w:rsidRPr="009B6D75">
        <w:t xml:space="preserve"> MiniFuel specimens at 80 GWd/MTU with target temperatures of 800</w:t>
      </w:r>
      <w:r w:rsidR="007548A7" w:rsidRPr="009B6D75">
        <w:rPr>
          <w:color w:val="000000"/>
        </w:rPr>
        <w:t>°</w:t>
      </w:r>
      <w:r w:rsidR="007548A7" w:rsidRPr="009B6D75">
        <w:t>C, 1000</w:t>
      </w:r>
      <w:r w:rsidR="007548A7" w:rsidRPr="009B6D75">
        <w:rPr>
          <w:color w:val="000000"/>
        </w:rPr>
        <w:t>°</w:t>
      </w:r>
      <w:r w:rsidR="007548A7" w:rsidRPr="009B6D75">
        <w:t>C, and 1200</w:t>
      </w:r>
      <w:r w:rsidR="007548A7" w:rsidRPr="009B6D75">
        <w:rPr>
          <w:color w:val="000000"/>
        </w:rPr>
        <w:t>°</w:t>
      </w:r>
      <w:r w:rsidR="007548A7" w:rsidRPr="009B6D75">
        <w:t>C.</w:t>
      </w:r>
      <w:bookmarkEnd w:id="225"/>
    </w:p>
    <w:p w14:paraId="619C87C4" w14:textId="77777777" w:rsidR="0019075F" w:rsidRPr="0019075F" w:rsidRDefault="0019075F" w:rsidP="0019075F"/>
    <w:p w14:paraId="4AF05BEC" w14:textId="77777777" w:rsidR="00D34AF5" w:rsidRDefault="00D34AF5">
      <w:r>
        <w:br w:type="page"/>
      </w:r>
    </w:p>
    <w:p w14:paraId="507F5BDD" w14:textId="77777777" w:rsidR="00092CC7" w:rsidRDefault="007548A7" w:rsidP="00092CC7">
      <w:r>
        <w:rPr>
          <w:noProof/>
        </w:rPr>
        <w:lastRenderedPageBreak/>
        <w:drawing>
          <wp:inline distT="0" distB="0" distL="0" distR="0" wp14:anchorId="3AE1A923" wp14:editId="7E227E4D">
            <wp:extent cx="5486400" cy="4076832"/>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rotWithShape="1">
                    <a:blip r:embed="rId68" cstate="print">
                      <a:extLst>
                        <a:ext uri="{28A0092B-C50C-407E-A947-70E740481C1C}">
                          <a14:useLocalDpi xmlns:a14="http://schemas.microsoft.com/office/drawing/2010/main" val="0"/>
                        </a:ext>
                      </a:extLst>
                    </a:blip>
                    <a:srcRect l="2977" t="4762" r="2679" b="1764"/>
                    <a:stretch/>
                  </pic:blipFill>
                  <pic:spPr bwMode="auto">
                    <a:xfrm>
                      <a:off x="0" y="0"/>
                      <a:ext cx="5486400" cy="4076832"/>
                    </a:xfrm>
                    <a:prstGeom prst="rect">
                      <a:avLst/>
                    </a:prstGeom>
                    <a:ln>
                      <a:noFill/>
                    </a:ln>
                    <a:extLst>
                      <a:ext uri="{53640926-AAD7-44D8-BBD7-CCE9431645EC}">
                        <a14:shadowObscured xmlns:a14="http://schemas.microsoft.com/office/drawing/2010/main"/>
                      </a:ext>
                    </a:extLst>
                  </pic:spPr>
                </pic:pic>
              </a:graphicData>
            </a:graphic>
          </wp:inline>
        </w:drawing>
      </w:r>
      <w:bookmarkStart w:id="226" w:name="_Ref197941436"/>
    </w:p>
    <w:p w14:paraId="42ABDB2A" w14:textId="2E8543CE" w:rsidR="00495A82" w:rsidRDefault="00092CC7" w:rsidP="00874CBB">
      <w:pPr>
        <w:pStyle w:val="Caption"/>
      </w:pPr>
      <w:bookmarkStart w:id="227" w:name="_Ref199765262"/>
      <w:bookmarkStart w:id="228" w:name="_Toc202957583"/>
      <w:r w:rsidRPr="009B6D75">
        <w:t xml:space="preserve">Figure </w:t>
      </w:r>
      <w:fldSimple w:instr=" STYLEREF 1 \s ">
        <w:r w:rsidR="00BF7E93">
          <w:rPr>
            <w:noProof/>
          </w:rPr>
          <w:t>4</w:t>
        </w:r>
      </w:fldSimple>
      <w:r w:rsidRPr="009B6D75">
        <w:t>.</w:t>
      </w:r>
      <w:fldSimple w:instr=" SEQ Figure \* ARABIC \s 1 ">
        <w:r w:rsidR="00BF7E93">
          <w:rPr>
            <w:noProof/>
          </w:rPr>
          <w:t>20</w:t>
        </w:r>
      </w:fldSimple>
      <w:bookmarkEnd w:id="227"/>
      <w:r w:rsidRPr="009B6D75">
        <w:t xml:space="preserve">. </w:t>
      </w:r>
      <w:r w:rsidRPr="00A51B06">
        <w:t>FGR of UO2 MiniFuel subcapsules with target temperatures of 800°C, 1000°C, and 1200°C.</w:t>
      </w:r>
      <w:bookmarkStart w:id="229" w:name="_Ref196908588"/>
      <w:bookmarkEnd w:id="226"/>
      <w:bookmarkEnd w:id="228"/>
    </w:p>
    <w:bookmarkEnd w:id="229"/>
    <w:p w14:paraId="726878B9" w14:textId="0E5E7F2C" w:rsidR="00D623B1" w:rsidRDefault="00D623B1">
      <w:pPr>
        <w:spacing w:line="240" w:lineRule="auto"/>
      </w:pPr>
      <w:r>
        <w:br w:type="page"/>
      </w:r>
    </w:p>
    <w:p w14:paraId="1086F588" w14:textId="64E4DAD0" w:rsidR="00D623B1" w:rsidRDefault="00D623B1" w:rsidP="00D623B1">
      <w:r>
        <w:lastRenderedPageBreak/>
        <w:t>determined by filtering the Monte Carlo data using 4 set subintervals of their respective sample space. Model temperature predictions for a 1000</w:t>
      </w:r>
      <w:r w:rsidRPr="008C04B3">
        <w:rPr>
          <w:rFonts w:ascii="Calibri" w:hAnsi="Calibri" w:cs="Calibri"/>
          <w:color w:val="000000"/>
        </w:rPr>
        <w:t>°</w:t>
      </w:r>
      <w:r>
        <w:t xml:space="preserve">C target temperature subcapsule at 80 GWd/MTU with varying initial gas pressure, contact pressure, and effective surface roughness are seen in </w:t>
      </w:r>
      <w:r w:rsidRPr="007258A1">
        <w:rPr>
          <w:b/>
          <w:bCs/>
        </w:rPr>
        <w:fldChar w:fldCharType="begin"/>
      </w:r>
      <w:r w:rsidRPr="007258A1">
        <w:rPr>
          <w:b/>
          <w:bCs/>
        </w:rPr>
        <w:instrText xml:space="preserve"> REF _Ref197941540 \h </w:instrText>
      </w:r>
      <w:r>
        <w:rPr>
          <w:b/>
          <w:bCs/>
        </w:rPr>
        <w:instrText xml:space="preserve"> \* MERGEFORMAT </w:instrText>
      </w:r>
      <w:r w:rsidRPr="007258A1">
        <w:rPr>
          <w:b/>
          <w:bCs/>
        </w:rPr>
      </w:r>
      <w:r w:rsidRPr="007258A1">
        <w:rPr>
          <w:b/>
          <w:bCs/>
        </w:rPr>
        <w:fldChar w:fldCharType="separate"/>
      </w:r>
      <w:r w:rsidR="00BF7E93" w:rsidRPr="00BF7E93">
        <w:rPr>
          <w:b/>
          <w:bCs/>
        </w:rPr>
        <w:t xml:space="preserve">Figure </w:t>
      </w:r>
      <w:r w:rsidR="00BF7E93" w:rsidRPr="00BF7E93">
        <w:rPr>
          <w:b/>
          <w:bCs/>
          <w:noProof/>
        </w:rPr>
        <w:t>4.21</w:t>
      </w:r>
      <w:r w:rsidRPr="007258A1">
        <w:rPr>
          <w:b/>
          <w:bCs/>
        </w:rPr>
        <w:fldChar w:fldCharType="end"/>
      </w:r>
      <w:r>
        <w:t xml:space="preserve">, </w:t>
      </w:r>
      <w:r w:rsidRPr="007258A1">
        <w:rPr>
          <w:b/>
          <w:bCs/>
        </w:rPr>
        <w:fldChar w:fldCharType="begin"/>
      </w:r>
      <w:r w:rsidRPr="007258A1">
        <w:rPr>
          <w:b/>
          <w:bCs/>
        </w:rPr>
        <w:instrText xml:space="preserve"> REF _Ref197941551 \h </w:instrText>
      </w:r>
      <w:r>
        <w:rPr>
          <w:b/>
          <w:bCs/>
        </w:rPr>
        <w:instrText xml:space="preserve"> \* MERGEFORMAT </w:instrText>
      </w:r>
      <w:r w:rsidRPr="007258A1">
        <w:rPr>
          <w:b/>
          <w:bCs/>
        </w:rPr>
      </w:r>
      <w:r w:rsidRPr="007258A1">
        <w:rPr>
          <w:b/>
          <w:bCs/>
        </w:rPr>
        <w:fldChar w:fldCharType="separate"/>
      </w:r>
      <w:r w:rsidR="00BF7E93" w:rsidRPr="00BF7E93">
        <w:rPr>
          <w:b/>
          <w:bCs/>
        </w:rPr>
        <w:t xml:space="preserve">Figure </w:t>
      </w:r>
      <w:r w:rsidR="00BF7E93" w:rsidRPr="00BF7E93">
        <w:rPr>
          <w:b/>
          <w:bCs/>
          <w:noProof/>
        </w:rPr>
        <w:t>4.22</w:t>
      </w:r>
      <w:r w:rsidRPr="007258A1">
        <w:rPr>
          <w:b/>
          <w:bCs/>
        </w:rPr>
        <w:fldChar w:fldCharType="end"/>
      </w:r>
      <w:r>
        <w:t xml:space="preserve">, and </w:t>
      </w:r>
      <w:r w:rsidRPr="007258A1">
        <w:rPr>
          <w:b/>
          <w:bCs/>
        </w:rPr>
        <w:fldChar w:fldCharType="begin"/>
      </w:r>
      <w:r w:rsidRPr="007258A1">
        <w:rPr>
          <w:b/>
          <w:bCs/>
        </w:rPr>
        <w:instrText xml:space="preserve"> REF _Ref197941559 \h </w:instrText>
      </w:r>
      <w:r>
        <w:rPr>
          <w:b/>
          <w:bCs/>
        </w:rPr>
        <w:instrText xml:space="preserve"> \* MERGEFORMAT </w:instrText>
      </w:r>
      <w:r w:rsidRPr="007258A1">
        <w:rPr>
          <w:b/>
          <w:bCs/>
        </w:rPr>
      </w:r>
      <w:r w:rsidRPr="007258A1">
        <w:rPr>
          <w:b/>
          <w:bCs/>
        </w:rPr>
        <w:fldChar w:fldCharType="separate"/>
      </w:r>
      <w:r w:rsidR="00BF7E93" w:rsidRPr="00BF7E93">
        <w:rPr>
          <w:b/>
          <w:bCs/>
        </w:rPr>
        <w:t xml:space="preserve">Figure </w:t>
      </w:r>
      <w:r w:rsidR="00BF7E93" w:rsidRPr="00BF7E93">
        <w:rPr>
          <w:b/>
          <w:bCs/>
          <w:noProof/>
        </w:rPr>
        <w:t>4.23</w:t>
      </w:r>
      <w:r w:rsidRPr="007258A1">
        <w:rPr>
          <w:b/>
          <w:bCs/>
        </w:rPr>
        <w:fldChar w:fldCharType="end"/>
      </w:r>
      <w:r>
        <w:t xml:space="preserve">, respectively. </w:t>
      </w:r>
      <w:r w:rsidRPr="00E77933">
        <w:rPr>
          <w:b/>
          <w:bCs/>
        </w:rPr>
        <w:fldChar w:fldCharType="begin"/>
      </w:r>
      <w:r w:rsidRPr="00E77933">
        <w:rPr>
          <w:b/>
          <w:bCs/>
        </w:rPr>
        <w:instrText xml:space="preserve"> REF _Ref197941540 \h  \* MERGEFORMAT </w:instrText>
      </w:r>
      <w:r w:rsidRPr="00E77933">
        <w:rPr>
          <w:b/>
          <w:bCs/>
        </w:rPr>
      </w:r>
      <w:r w:rsidRPr="00E77933">
        <w:rPr>
          <w:b/>
          <w:bCs/>
        </w:rPr>
        <w:fldChar w:fldCharType="separate"/>
      </w:r>
      <w:r w:rsidR="00BF7E93" w:rsidRPr="00BF7E93">
        <w:rPr>
          <w:b/>
          <w:bCs/>
        </w:rPr>
        <w:t xml:space="preserve">Figure </w:t>
      </w:r>
      <w:r w:rsidR="00BF7E93" w:rsidRPr="00BF7E93">
        <w:rPr>
          <w:b/>
          <w:bCs/>
          <w:noProof/>
        </w:rPr>
        <w:t>4.21</w:t>
      </w:r>
      <w:r w:rsidRPr="00E77933">
        <w:rPr>
          <w:b/>
          <w:bCs/>
        </w:rPr>
        <w:fldChar w:fldCharType="end"/>
      </w:r>
      <w:r>
        <w:t xml:space="preserve"> suggests that the current capsule design with a target temperature of 1000</w:t>
      </w:r>
      <w:r w:rsidRPr="008C04B3">
        <w:rPr>
          <w:rFonts w:ascii="Calibri" w:hAnsi="Calibri" w:cs="Calibri"/>
          <w:color w:val="000000"/>
        </w:rPr>
        <w:t>°</w:t>
      </w:r>
      <w:r>
        <w:t>C, which is backfilled with He at atmospheric pressure (~0.1 MPa) and room temperature prior to irradiation, operates within a range of ~15</w:t>
      </w:r>
      <w:r w:rsidRPr="008C04B3">
        <w:rPr>
          <w:rFonts w:ascii="Calibri" w:hAnsi="Calibri" w:cs="Calibri"/>
          <w:color w:val="000000"/>
        </w:rPr>
        <w:t>°</w:t>
      </w:r>
      <w:r>
        <w:t>C at low burnup, which increases to ~50</w:t>
      </w:r>
      <w:r w:rsidRPr="008C04B3">
        <w:rPr>
          <w:rFonts w:ascii="Calibri" w:hAnsi="Calibri" w:cs="Calibri"/>
          <w:color w:val="000000"/>
        </w:rPr>
        <w:t>°</w:t>
      </w:r>
      <w:r>
        <w:t>C at 80 GWd/MTU due to FGR and degradation of thermal conductivity due to burnup. At the maximum initial pressure range of 1-2 MPa, the range reduces to ~20</w:t>
      </w:r>
      <w:r w:rsidRPr="008C04B3">
        <w:rPr>
          <w:rFonts w:ascii="Calibri" w:hAnsi="Calibri" w:cs="Calibri"/>
          <w:color w:val="000000"/>
        </w:rPr>
        <w:t>°</w:t>
      </w:r>
      <w:r>
        <w:t xml:space="preserve">C across all considered burnups. The initial gas pressure has a two-fold effect on increasing the TCC at the interface. The temperature jump distance of He, Ar, and Xe gas decreases </w:t>
      </w:r>
      <w:r>
        <w:fldChar w:fldCharType="begin"/>
      </w:r>
      <w:r>
        <w:instrText xml:space="preserve"> ADDIN EN.CITE &lt;EndNote&gt;&lt;Cite&gt;&lt;Author&gt;Toptan&lt;/Author&gt;&lt;Year&gt;2019&lt;/Year&gt;&lt;RecNum&gt;462&lt;/RecNum&gt;&lt;DisplayText&gt;[181]&lt;/DisplayText&gt;&lt;record&gt;&lt;rec-number&gt;462&lt;/rec-number&gt;&lt;foreign-keys&gt;&lt;key app="EN" db-id="eseee05sfe5vt6efvr0xapvq20vfdsfp5fvf" timestamp="1713369197"&gt;462&lt;/key&gt;&lt;/foreign-keys&gt;&lt;ref-type name="Journal Article"&gt;17&lt;/ref-type&gt;&lt;contributors&gt;&lt;authors&gt;&lt;author&gt;Toptan, Aysenur&lt;/author&gt;&lt;author&gt;Kropaczek, David J.&lt;/author&gt;&lt;author&gt;Avramova, Maria N.&lt;/author&gt;&lt;/authors&gt;&lt;/contributors&gt;&lt;titles&gt;&lt;title&gt;Gap conductance modeling I: Theoretical considerations for single- and multi-component gases in curvilinear coordinates&lt;/title&gt;&lt;secondary-title&gt;Nuclear Engineering and Design&lt;/secondary-title&gt;&lt;/titles&gt;&lt;periodical&gt;&lt;full-title&gt;Nuclear Engineering and Design&lt;/full-title&gt;&lt;/periodical&gt;&lt;pages&gt;110283&lt;/pages&gt;&lt;volume&gt;353&lt;/volume&gt;&lt;keywords&gt;&lt;keyword&gt;Gap conductance&lt;/keyword&gt;&lt;keyword&gt;Temperature jump distance&lt;/keyword&gt;&lt;keyword&gt;Thermal accommodation coefficient&lt;/keyword&gt;&lt;keyword&gt;Static load&lt;/keyword&gt;&lt;keyword&gt;Mixture&lt;/keyword&gt;&lt;/keywords&gt;&lt;dates&gt;&lt;year&gt;2019&lt;/year&gt;&lt;pub-dates&gt;&lt;date&gt;2019/11/01/&lt;/date&gt;&lt;/pub-dates&gt;&lt;/dates&gt;&lt;isbn&gt;0029-5493&lt;/isbn&gt;&lt;urls&gt;&lt;related-urls&gt;&lt;url&gt;https://www.sciencedirect.com/science/article/pii/S0029549319303000&lt;/url&gt;&lt;/related-urls&gt;&lt;/urls&gt;&lt;electronic-resource-num&gt;https://doi.org/10.1016/j.nucengdes.2019.110283&lt;/electronic-resource-num&gt;&lt;/record&gt;&lt;/Cite&gt;&lt;/EndNote&gt;</w:instrText>
      </w:r>
      <w:r>
        <w:fldChar w:fldCharType="separate"/>
      </w:r>
      <w:r>
        <w:rPr>
          <w:noProof/>
        </w:rPr>
        <w:t>[181]</w:t>
      </w:r>
      <w:r>
        <w:fldChar w:fldCharType="end"/>
      </w:r>
      <w:r>
        <w:t>, increasing gas gap conductance, and the initial composition of He is greater, mitigating the thermal conductivity reduction from FGR into the plenum. It is important to note that the only way to achieve vacuum conditions within the subcapsule is to seal</w:t>
      </w:r>
      <w:r w:rsidRPr="00E77933">
        <w:t xml:space="preserve"> </w:t>
      </w:r>
      <w:r>
        <w:t xml:space="preserve">the subcapsule within a vacuum chamber since the pressure of the irradiation target is also backfilled with He at atmospheric pressure. </w:t>
      </w:r>
    </w:p>
    <w:p w14:paraId="1832C3F2" w14:textId="44F7B63D" w:rsidR="0019075F" w:rsidRDefault="00D623B1" w:rsidP="00D623B1">
      <w:r w:rsidRPr="00F22A75">
        <w:rPr>
          <w:b/>
          <w:bCs/>
        </w:rPr>
        <w:fldChar w:fldCharType="begin"/>
      </w:r>
      <w:r w:rsidRPr="00F22A75">
        <w:rPr>
          <w:b/>
          <w:bCs/>
        </w:rPr>
        <w:instrText xml:space="preserve"> REF _Ref197941551 \h </w:instrText>
      </w:r>
      <w:r w:rsidRPr="00F22A75">
        <w:rPr>
          <w:b/>
          <w:bCs/>
        </w:rPr>
      </w:r>
      <w:r w:rsidR="00F22A75">
        <w:rPr>
          <w:b/>
          <w:bCs/>
        </w:rPr>
        <w:instrText xml:space="preserve"> \* MERGEFORMAT </w:instrText>
      </w:r>
      <w:r w:rsidRPr="00F22A75">
        <w:rPr>
          <w:b/>
          <w:bCs/>
        </w:rPr>
        <w:fldChar w:fldCharType="separate"/>
      </w:r>
      <w:r w:rsidR="00BF7E93" w:rsidRPr="00F22A75">
        <w:rPr>
          <w:b/>
          <w:bCs/>
        </w:rPr>
        <w:t xml:space="preserve">Figure </w:t>
      </w:r>
      <w:r w:rsidR="00BF7E93" w:rsidRPr="00F22A75">
        <w:rPr>
          <w:b/>
          <w:bCs/>
          <w:noProof/>
        </w:rPr>
        <w:t>4</w:t>
      </w:r>
      <w:r w:rsidR="00BF7E93" w:rsidRPr="00F22A75">
        <w:rPr>
          <w:b/>
          <w:bCs/>
        </w:rPr>
        <w:t>.</w:t>
      </w:r>
      <w:r w:rsidR="00BF7E93" w:rsidRPr="00F22A75">
        <w:rPr>
          <w:b/>
          <w:bCs/>
          <w:noProof/>
        </w:rPr>
        <w:t>22</w:t>
      </w:r>
      <w:r w:rsidRPr="00F22A75">
        <w:rPr>
          <w:b/>
          <w:bCs/>
        </w:rPr>
        <w:fldChar w:fldCharType="end"/>
      </w:r>
      <w:r>
        <w:t xml:space="preserve"> shows the relationship between the interface temperature and contact pressure. This relationship is more linear and consists of relatively even distributions of each envelope with increasing orders of</w:t>
      </w:r>
      <w:r w:rsidRPr="00E77933">
        <w:t xml:space="preserve"> </w:t>
      </w:r>
      <w:r>
        <w:t xml:space="preserve">magnitude in contact pressure. The same can be expressed for </w:t>
      </w:r>
      <w:r w:rsidRPr="00E77933">
        <w:rPr>
          <w:b/>
          <w:bCs/>
        </w:rPr>
        <w:fldChar w:fldCharType="begin"/>
      </w:r>
      <w:r w:rsidRPr="00E77933">
        <w:rPr>
          <w:b/>
          <w:bCs/>
        </w:rPr>
        <w:instrText xml:space="preserve"> REF _Ref197941559 \h </w:instrText>
      </w:r>
      <w:r>
        <w:rPr>
          <w:b/>
          <w:bCs/>
        </w:rPr>
        <w:instrText xml:space="preserve"> \* MERGEFORMAT </w:instrText>
      </w:r>
      <w:r w:rsidRPr="00E77933">
        <w:rPr>
          <w:b/>
          <w:bCs/>
        </w:rPr>
      </w:r>
      <w:r w:rsidRPr="00E77933">
        <w:rPr>
          <w:b/>
          <w:bCs/>
        </w:rPr>
        <w:fldChar w:fldCharType="separate"/>
      </w:r>
      <w:r w:rsidR="00BF7E93" w:rsidRPr="00BF7E93">
        <w:rPr>
          <w:b/>
          <w:bCs/>
        </w:rPr>
        <w:t xml:space="preserve">Figure </w:t>
      </w:r>
      <w:r w:rsidR="00BF7E93" w:rsidRPr="00BF7E93">
        <w:rPr>
          <w:b/>
          <w:bCs/>
          <w:noProof/>
        </w:rPr>
        <w:t>4.23</w:t>
      </w:r>
      <w:r w:rsidRPr="00E77933">
        <w:rPr>
          <w:b/>
          <w:bCs/>
        </w:rPr>
        <w:fldChar w:fldCharType="end"/>
      </w:r>
      <w:r>
        <w:t xml:space="preserve"> with regard to effective surface roughness between the fuel and dish interfaces. There may be additional higher order interactions between the </w:t>
      </w:r>
    </w:p>
    <w:p w14:paraId="5FB989EB" w14:textId="70A29522" w:rsidR="007548A7" w:rsidRDefault="007548A7" w:rsidP="007548A7">
      <w:bookmarkStart w:id="230" w:name="_Ref193643711"/>
      <w:bookmarkStart w:id="231" w:name="_Ref195640170"/>
      <w:r>
        <w:rPr>
          <w:noProof/>
        </w:rPr>
        <w:lastRenderedPageBreak/>
        <w:drawing>
          <wp:inline distT="0" distB="0" distL="0" distR="0" wp14:anchorId="0C5440F8" wp14:editId="1ED40F59">
            <wp:extent cx="5486400" cy="4210529"/>
            <wp:effectExtent l="0" t="0" r="0" b="635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rotWithShape="1">
                    <a:blip r:embed="rId69" cstate="print">
                      <a:extLst>
                        <a:ext uri="{28A0092B-C50C-407E-A947-70E740481C1C}">
                          <a14:useLocalDpi xmlns:a14="http://schemas.microsoft.com/office/drawing/2010/main" val="0"/>
                        </a:ext>
                      </a:extLst>
                    </a:blip>
                    <a:srcRect l="1887" t="7757" r="9591" b="1661"/>
                    <a:stretch/>
                  </pic:blipFill>
                  <pic:spPr bwMode="auto">
                    <a:xfrm>
                      <a:off x="0" y="0"/>
                      <a:ext cx="5486400" cy="4210529"/>
                    </a:xfrm>
                    <a:prstGeom prst="rect">
                      <a:avLst/>
                    </a:prstGeom>
                    <a:ln>
                      <a:noFill/>
                    </a:ln>
                    <a:extLst>
                      <a:ext uri="{53640926-AAD7-44D8-BBD7-CCE9431645EC}">
                        <a14:shadowObscured xmlns:a14="http://schemas.microsoft.com/office/drawing/2010/main"/>
                      </a:ext>
                    </a:extLst>
                  </pic:spPr>
                </pic:pic>
              </a:graphicData>
            </a:graphic>
          </wp:inline>
        </w:drawing>
      </w:r>
    </w:p>
    <w:p w14:paraId="28401F8E" w14:textId="77777777" w:rsidR="00424967" w:rsidRDefault="00424967" w:rsidP="007548A7"/>
    <w:p w14:paraId="6BECF321" w14:textId="69FFFF52" w:rsidR="007548A7" w:rsidRPr="009B6D75" w:rsidRDefault="00054636" w:rsidP="00874CBB">
      <w:pPr>
        <w:pStyle w:val="Caption"/>
      </w:pPr>
      <w:bookmarkStart w:id="232" w:name="_Ref197941540"/>
      <w:bookmarkStart w:id="233" w:name="_Toc202957584"/>
      <w:bookmarkEnd w:id="230"/>
      <w:bookmarkEnd w:id="231"/>
      <w:r w:rsidRPr="009B6D75">
        <w:t xml:space="preserve">Figure </w:t>
      </w:r>
      <w:fldSimple w:instr=" STYLEREF 1 \s ">
        <w:r w:rsidR="00BF7E93">
          <w:rPr>
            <w:noProof/>
          </w:rPr>
          <w:t>4</w:t>
        </w:r>
      </w:fldSimple>
      <w:r w:rsidRPr="009B6D75">
        <w:t>.</w:t>
      </w:r>
      <w:fldSimple w:instr=" SEQ Figure \* ARABIC \s 1 ">
        <w:r w:rsidR="00BF7E93">
          <w:rPr>
            <w:noProof/>
          </w:rPr>
          <w:t>21</w:t>
        </w:r>
      </w:fldSimple>
      <w:bookmarkEnd w:id="232"/>
      <w:r w:rsidR="007548A7" w:rsidRPr="009B6D75">
        <w:t>. Performance envelopes of a 1000</w:t>
      </w:r>
      <w:r w:rsidR="007548A7" w:rsidRPr="009B6D75">
        <w:rPr>
          <w:color w:val="000000"/>
        </w:rPr>
        <w:t>°</w:t>
      </w:r>
      <w:r w:rsidR="007548A7" w:rsidRPr="009B6D75">
        <w:t>C target temperature UO</w:t>
      </w:r>
      <w:r w:rsidR="007548A7" w:rsidRPr="009B6D75">
        <w:rPr>
          <w:vertAlign w:val="subscript"/>
        </w:rPr>
        <w:t>2</w:t>
      </w:r>
      <w:r w:rsidR="007548A7" w:rsidRPr="009B6D75">
        <w:t xml:space="preserve"> MiniFuel subcapsule based on initial fill gas pressure.</w:t>
      </w:r>
      <w:bookmarkEnd w:id="233"/>
    </w:p>
    <w:p w14:paraId="7C38355E" w14:textId="7F63CD41" w:rsidR="007548A7" w:rsidRDefault="007548A7" w:rsidP="007548A7"/>
    <w:p w14:paraId="32C620B6" w14:textId="75E1C7BF" w:rsidR="0019075F" w:rsidRDefault="0019075F">
      <w:pPr>
        <w:spacing w:line="240" w:lineRule="auto"/>
      </w:pPr>
      <w:r>
        <w:br w:type="page"/>
      </w:r>
    </w:p>
    <w:p w14:paraId="54FCD4EE" w14:textId="1D714AE3" w:rsidR="00424967" w:rsidRDefault="007548A7" w:rsidP="007548A7">
      <w:bookmarkStart w:id="234" w:name="_Ref193643721"/>
      <w:r>
        <w:rPr>
          <w:noProof/>
        </w:rPr>
        <w:lastRenderedPageBreak/>
        <w:drawing>
          <wp:inline distT="0" distB="0" distL="0" distR="0" wp14:anchorId="03F5C168" wp14:editId="1BDDEB18">
            <wp:extent cx="5486400" cy="4216221"/>
            <wp:effectExtent l="0" t="0" r="0" b="635"/>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rotWithShape="1">
                    <a:blip r:embed="rId70" cstate="print">
                      <a:extLst>
                        <a:ext uri="{28A0092B-C50C-407E-A947-70E740481C1C}">
                          <a14:useLocalDpi xmlns:a14="http://schemas.microsoft.com/office/drawing/2010/main" val="0"/>
                        </a:ext>
                      </a:extLst>
                    </a:blip>
                    <a:srcRect l="2045" t="8177" r="9749" b="1442"/>
                    <a:stretch/>
                  </pic:blipFill>
                  <pic:spPr bwMode="auto">
                    <a:xfrm>
                      <a:off x="0" y="0"/>
                      <a:ext cx="5486400" cy="4216221"/>
                    </a:xfrm>
                    <a:prstGeom prst="rect">
                      <a:avLst/>
                    </a:prstGeom>
                    <a:ln>
                      <a:noFill/>
                    </a:ln>
                    <a:extLst>
                      <a:ext uri="{53640926-AAD7-44D8-BBD7-CCE9431645EC}">
                        <a14:shadowObscured xmlns:a14="http://schemas.microsoft.com/office/drawing/2010/main"/>
                      </a:ext>
                    </a:extLst>
                  </pic:spPr>
                </pic:pic>
              </a:graphicData>
            </a:graphic>
          </wp:inline>
        </w:drawing>
      </w:r>
    </w:p>
    <w:p w14:paraId="642EDF58" w14:textId="77777777" w:rsidR="0077684A" w:rsidRDefault="0077684A" w:rsidP="007548A7"/>
    <w:p w14:paraId="08BA8900" w14:textId="75247CAA" w:rsidR="007548A7" w:rsidRPr="009B6D75" w:rsidRDefault="00054636" w:rsidP="00874CBB">
      <w:pPr>
        <w:pStyle w:val="Caption"/>
      </w:pPr>
      <w:bookmarkStart w:id="235" w:name="_Ref197941551"/>
      <w:bookmarkStart w:id="236" w:name="_Toc202957585"/>
      <w:bookmarkEnd w:id="234"/>
      <w:r w:rsidRPr="009B6D75">
        <w:t xml:space="preserve">Figure </w:t>
      </w:r>
      <w:fldSimple w:instr=" STYLEREF 1 \s ">
        <w:r w:rsidR="00BF7E93">
          <w:rPr>
            <w:noProof/>
          </w:rPr>
          <w:t>4</w:t>
        </w:r>
      </w:fldSimple>
      <w:r w:rsidRPr="009B6D75">
        <w:t>.</w:t>
      </w:r>
      <w:fldSimple w:instr=" SEQ Figure \* ARABIC \s 1 ">
        <w:r w:rsidR="00BF7E93">
          <w:rPr>
            <w:noProof/>
          </w:rPr>
          <w:t>22</w:t>
        </w:r>
      </w:fldSimple>
      <w:bookmarkEnd w:id="235"/>
      <w:r w:rsidR="007548A7" w:rsidRPr="009B6D75">
        <w:t>. Performance envelopes of a 1000</w:t>
      </w:r>
      <w:r w:rsidR="007548A7" w:rsidRPr="009B6D75">
        <w:rPr>
          <w:color w:val="000000"/>
        </w:rPr>
        <w:t>°</w:t>
      </w:r>
      <w:r w:rsidR="007548A7" w:rsidRPr="009B6D75">
        <w:t>C target temperature UO</w:t>
      </w:r>
      <w:r w:rsidR="007548A7" w:rsidRPr="009B6D75">
        <w:rPr>
          <w:vertAlign w:val="subscript"/>
        </w:rPr>
        <w:t>2</w:t>
      </w:r>
      <w:r w:rsidR="007548A7" w:rsidRPr="009B6D75">
        <w:t xml:space="preserve"> MiniFuel subcapsule based on contact pressure.</w:t>
      </w:r>
      <w:bookmarkEnd w:id="236"/>
    </w:p>
    <w:p w14:paraId="10487970" w14:textId="167553B3" w:rsidR="0088162B" w:rsidRDefault="0088162B" w:rsidP="007548A7"/>
    <w:p w14:paraId="2E18B2E6" w14:textId="7EFEF5B7" w:rsidR="0019075F" w:rsidRDefault="0019075F">
      <w:pPr>
        <w:spacing w:line="240" w:lineRule="auto"/>
      </w:pPr>
      <w:r>
        <w:br w:type="page"/>
      </w:r>
    </w:p>
    <w:p w14:paraId="77268715" w14:textId="77777777" w:rsidR="007548A7" w:rsidRPr="005B7DCB" w:rsidRDefault="007548A7" w:rsidP="007548A7">
      <w:pPr>
        <w:jc w:val="center"/>
      </w:pPr>
      <w:r>
        <w:rPr>
          <w:noProof/>
        </w:rPr>
        <w:lastRenderedPageBreak/>
        <w:drawing>
          <wp:inline distT="0" distB="0" distL="0" distR="0" wp14:anchorId="30011688" wp14:editId="6899E81C">
            <wp:extent cx="5486400" cy="4252034"/>
            <wp:effectExtent l="0" t="0" r="0" b="254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rotWithShape="1">
                    <a:blip r:embed="rId71" cstate="print">
                      <a:extLst>
                        <a:ext uri="{28A0092B-C50C-407E-A947-70E740481C1C}">
                          <a14:useLocalDpi xmlns:a14="http://schemas.microsoft.com/office/drawing/2010/main" val="0"/>
                        </a:ext>
                      </a:extLst>
                    </a:blip>
                    <a:srcRect l="1888" t="6709" r="9434" b="1654"/>
                    <a:stretch/>
                  </pic:blipFill>
                  <pic:spPr bwMode="auto">
                    <a:xfrm>
                      <a:off x="0" y="0"/>
                      <a:ext cx="5486400" cy="4252034"/>
                    </a:xfrm>
                    <a:prstGeom prst="rect">
                      <a:avLst/>
                    </a:prstGeom>
                    <a:ln>
                      <a:noFill/>
                    </a:ln>
                    <a:extLst>
                      <a:ext uri="{53640926-AAD7-44D8-BBD7-CCE9431645EC}">
                        <a14:shadowObscured xmlns:a14="http://schemas.microsoft.com/office/drawing/2010/main"/>
                      </a:ext>
                    </a:extLst>
                  </pic:spPr>
                </pic:pic>
              </a:graphicData>
            </a:graphic>
          </wp:inline>
        </w:drawing>
      </w:r>
    </w:p>
    <w:p w14:paraId="5AFFFF71" w14:textId="77777777" w:rsidR="0077684A" w:rsidRDefault="0077684A" w:rsidP="007548A7">
      <w:bookmarkStart w:id="237" w:name="_Ref196309269"/>
    </w:p>
    <w:p w14:paraId="4E52E8E2" w14:textId="1A304A07" w:rsidR="00054636" w:rsidRPr="009B6D75" w:rsidRDefault="00054636" w:rsidP="00874CBB">
      <w:pPr>
        <w:pStyle w:val="Caption"/>
      </w:pPr>
      <w:bookmarkStart w:id="238" w:name="_Ref197941559"/>
      <w:bookmarkStart w:id="239" w:name="_Toc202957586"/>
      <w:bookmarkEnd w:id="237"/>
      <w:r w:rsidRPr="009B6D75">
        <w:t xml:space="preserve">Figure </w:t>
      </w:r>
      <w:fldSimple w:instr=" STYLEREF 1 \s ">
        <w:r w:rsidR="00BF7E93">
          <w:rPr>
            <w:noProof/>
          </w:rPr>
          <w:t>4</w:t>
        </w:r>
      </w:fldSimple>
      <w:r w:rsidRPr="009B6D75">
        <w:t>.</w:t>
      </w:r>
      <w:fldSimple w:instr=" SEQ Figure \* ARABIC \s 1 ">
        <w:r w:rsidR="00BF7E93">
          <w:rPr>
            <w:noProof/>
          </w:rPr>
          <w:t>23</w:t>
        </w:r>
      </w:fldSimple>
      <w:bookmarkEnd w:id="238"/>
      <w:r w:rsidR="007548A7" w:rsidRPr="009B6D75">
        <w:t>. Performance envelopes of a 1000</w:t>
      </w:r>
      <w:r w:rsidR="007548A7" w:rsidRPr="009B6D75">
        <w:rPr>
          <w:color w:val="000000"/>
        </w:rPr>
        <w:t>°</w:t>
      </w:r>
      <w:r w:rsidR="007548A7" w:rsidRPr="009B6D75">
        <w:t>C target temperature UO</w:t>
      </w:r>
      <w:r w:rsidR="007548A7" w:rsidRPr="009B6D75">
        <w:rPr>
          <w:vertAlign w:val="subscript"/>
        </w:rPr>
        <w:t>2</w:t>
      </w:r>
      <w:r w:rsidR="007548A7" w:rsidRPr="009B6D75">
        <w:t xml:space="preserve"> MiniFuel subcapsule based on effective surface roughness.</w:t>
      </w:r>
      <w:bookmarkEnd w:id="239"/>
      <w:r w:rsidR="00BF6131" w:rsidRPr="009B6D75">
        <w:t xml:space="preserve"> </w:t>
      </w:r>
    </w:p>
    <w:p w14:paraId="36E74FE5" w14:textId="77777777" w:rsidR="00054636" w:rsidRDefault="00054636" w:rsidP="007548A7"/>
    <w:p w14:paraId="5DEDD445" w14:textId="33B04458" w:rsidR="00495A82" w:rsidRDefault="00495A82">
      <w:r>
        <w:br w:type="page"/>
      </w:r>
    </w:p>
    <w:p w14:paraId="37F5C898" w14:textId="668E11C0" w:rsidR="00D623B1" w:rsidRDefault="00D623B1" w:rsidP="00D623B1">
      <w:r>
        <w:lastRenderedPageBreak/>
        <w:t>parameter C</w:t>
      </w:r>
      <w:r w:rsidRPr="00723CFA">
        <w:rPr>
          <w:vertAlign w:val="subscript"/>
        </w:rPr>
        <w:t>2</w:t>
      </w:r>
      <w:r>
        <w:t xml:space="preserve"> however, since C</w:t>
      </w:r>
      <w:r w:rsidRPr="00723CFA">
        <w:rPr>
          <w:vertAlign w:val="subscript"/>
        </w:rPr>
        <w:t>2</w:t>
      </w:r>
      <w:r>
        <w:t xml:space="preserve"> is an empirical fitting correlation with a wide variation based on surface characteristics and surface materials </w:t>
      </w:r>
      <w:r>
        <w:fldChar w:fldCharType="begin"/>
      </w:r>
      <w:r>
        <w:instrText xml:space="preserve"> ADDIN EN.CITE &lt;EndNote&gt;&lt;Cite&gt;&lt;Author&gt;Madhusudana&lt;/Author&gt;&lt;Year&gt;2014&lt;/Year&gt;&lt;RecNum&gt;535&lt;/RecNum&gt;&lt;DisplayText&gt;[184]&lt;/DisplayText&gt;&lt;record&gt;&lt;rec-number&gt;535&lt;/rec-number&gt;&lt;foreign-keys&gt;&lt;key app="EN" db-id="eseee05sfe5vt6efvr0xapvq20vfdsfp5fvf" timestamp="1740768285"&gt;535&lt;/key&gt;&lt;/foreign-keys&gt;&lt;ref-type name="Book"&gt;6&lt;/ref-type&gt;&lt;contributors&gt;&lt;authors&gt;&lt;author&gt;C. V. Madhusudana&lt;/author&gt;&lt;/authors&gt;&lt;/contributors&gt;&lt;titles&gt;&lt;title&gt;Thermal Contact Conductance&lt;/title&gt;&lt;secondary-title&gt;Mechanical Engineering Series&lt;/secondary-title&gt;&lt;/titles&gt;&lt;edition&gt;2&lt;/edition&gt;&lt;dates&gt;&lt;year&gt;2014&lt;/year&gt;&lt;pub-dates&gt;&lt;date&gt;2014&lt;/date&gt;&lt;/pub-dates&gt;&lt;/dates&gt;&lt;pub-location&gt;Springer International Publishing Switzerland&lt;/pub-location&gt;&lt;publisher&gt;Springer Cham&lt;/publisher&gt;&lt;urls&gt;&lt;/urls&gt;&lt;electronic-resource-num&gt;https://doi.org/10.1007/978-3-319-01276-6&lt;/electronic-resource-num&gt;&lt;/record&gt;&lt;/Cite&gt;&lt;/EndNote&gt;</w:instrText>
      </w:r>
      <w:r>
        <w:fldChar w:fldCharType="separate"/>
      </w:r>
      <w:r>
        <w:rPr>
          <w:noProof/>
        </w:rPr>
        <w:t>[184]</w:t>
      </w:r>
      <w:r>
        <w:fldChar w:fldCharType="end"/>
      </w:r>
      <w:r>
        <w:t>, little can be done to reduce any uncertainties stemming from this interaction. With this in mind, C</w:t>
      </w:r>
      <w:r w:rsidRPr="00723CFA">
        <w:rPr>
          <w:vertAlign w:val="subscript"/>
        </w:rPr>
        <w:t>2</w:t>
      </w:r>
      <w:r>
        <w:t xml:space="preserve"> is set to a nominal value of 0.68, a mean value for the reported range of C</w:t>
      </w:r>
      <w:r>
        <w:rPr>
          <w:vertAlign w:val="subscript"/>
        </w:rPr>
        <w:t>2</w:t>
      </w:r>
      <w:r>
        <w:t xml:space="preserve"> for engineering surfaces 0.6-0.75 </w:t>
      </w:r>
      <w:r>
        <w:fldChar w:fldCharType="begin"/>
      </w:r>
      <w:r>
        <w:instrText xml:space="preserve"> ADDIN EN.CITE &lt;EndNote&gt;&lt;Cite&gt;&lt;Author&gt;McDuffee&lt;/Author&gt;&lt;Year&gt;2013&lt;/Year&gt;&lt;RecNum&gt;427&lt;/RecNum&gt;&lt;DisplayText&gt;[153]&lt;/DisplayText&gt;&lt;record&gt;&lt;rec-number&gt;427&lt;/rec-number&gt;&lt;foreign-keys&gt;&lt;key app="EN" db-id="eseee05sfe5vt6efvr0xapvq20vfdsfp5fvf" timestamp="1710045524"&gt;427&lt;/key&gt;&lt;/foreign-keys&gt;&lt;ref-type name="Conference Paper"&gt;47&lt;/ref-type&gt;&lt;contributors&gt;&lt;authors&gt;&lt;author&gt;McDuffee, Joel L.&lt;/author&gt;&lt;/authors&gt;&lt;/contributors&gt;&lt;titles&gt;&lt;title&gt;Heat Transfer Through Small Moveable Gas Gaps in a Multi-Body System Using the ANSYS Finite Element Software&lt;/title&gt;&lt;secondary-title&gt;ASME 2013 Heat Transfer Summer Conference&lt;/secondary-title&gt;&lt;/titles&gt;&lt;number&gt;V001T01A038&lt;/number&gt;&lt;dates&gt;&lt;year&gt;2013&lt;/year&gt;&lt;/dates&gt;&lt;urls&gt;&lt;related-urls&gt;&lt;url&gt;https://doi.org/10.1115/HT2013-17783&lt;/url&gt;&lt;/related-urls&gt;&lt;/urls&gt;&lt;custom1&gt;Volume 1: Heat Transfer in Energy Systems; Thermophysical Properties; Theory and Fundamental Research in Heat Transfer&lt;/custom1&gt;&lt;custom2&gt;ASME 2013 Heat Transfer Summer Conference collocated with the ASME 2013 7th International Conference on Energy Sustainability and the ASME 2013 11th International Conference on Fuel Cell Science, Engineering and Technology&lt;/custom2&gt;&lt;custom3&gt;HT2013&lt;/custom3&gt;&lt;custom4&gt;Heat Transfer Summer Conference&lt;/custom4&gt;&lt;electronic-resource-num&gt;10.1115/HT2013-17783&lt;/electronic-resource-num&gt;&lt;access-date&gt;3/10/2024&lt;/access-date&gt;&lt;/record&gt;&lt;/Cite&gt;&lt;/EndNote&gt;</w:instrText>
      </w:r>
      <w:r>
        <w:fldChar w:fldCharType="separate"/>
      </w:r>
      <w:r>
        <w:rPr>
          <w:noProof/>
        </w:rPr>
        <w:t>[153]</w:t>
      </w:r>
      <w:r>
        <w:fldChar w:fldCharType="end"/>
      </w:r>
      <w:r>
        <w:t xml:space="preserve">, for the remainder of the analysis. Based on the results in </w:t>
      </w:r>
      <w:r w:rsidRPr="00E77933">
        <w:rPr>
          <w:b/>
          <w:bCs/>
        </w:rPr>
        <w:fldChar w:fldCharType="begin"/>
      </w:r>
      <w:r w:rsidRPr="00E77933">
        <w:rPr>
          <w:b/>
          <w:bCs/>
        </w:rPr>
        <w:instrText xml:space="preserve"> REF _Ref197941551 \h </w:instrText>
      </w:r>
      <w:r>
        <w:rPr>
          <w:b/>
          <w:bCs/>
        </w:rPr>
        <w:instrText xml:space="preserve"> \* MERGEFORMAT </w:instrText>
      </w:r>
      <w:r w:rsidRPr="00E77933">
        <w:rPr>
          <w:b/>
          <w:bCs/>
        </w:rPr>
      </w:r>
      <w:r w:rsidRPr="00E77933">
        <w:rPr>
          <w:b/>
          <w:bCs/>
        </w:rPr>
        <w:fldChar w:fldCharType="separate"/>
      </w:r>
      <w:r w:rsidR="00BF7E93" w:rsidRPr="00BF7E93">
        <w:rPr>
          <w:b/>
          <w:bCs/>
        </w:rPr>
        <w:t xml:space="preserve">Figure </w:t>
      </w:r>
      <w:r w:rsidR="00BF7E93" w:rsidRPr="00BF7E93">
        <w:rPr>
          <w:b/>
          <w:bCs/>
          <w:noProof/>
        </w:rPr>
        <w:t>4.22</w:t>
      </w:r>
      <w:r w:rsidRPr="00E77933">
        <w:rPr>
          <w:b/>
          <w:bCs/>
        </w:rPr>
        <w:fldChar w:fldCharType="end"/>
      </w:r>
      <w:r>
        <w:t xml:space="preserve"> and </w:t>
      </w:r>
      <w:r w:rsidRPr="00E77933">
        <w:rPr>
          <w:b/>
          <w:bCs/>
        </w:rPr>
        <w:fldChar w:fldCharType="begin"/>
      </w:r>
      <w:r w:rsidRPr="00E77933">
        <w:rPr>
          <w:b/>
          <w:bCs/>
        </w:rPr>
        <w:instrText xml:space="preserve"> REF _Ref197941559 \h </w:instrText>
      </w:r>
      <w:r>
        <w:rPr>
          <w:b/>
          <w:bCs/>
        </w:rPr>
        <w:instrText xml:space="preserve"> \* MERGEFORMAT </w:instrText>
      </w:r>
      <w:r w:rsidRPr="00E77933">
        <w:rPr>
          <w:b/>
          <w:bCs/>
        </w:rPr>
      </w:r>
      <w:r w:rsidRPr="00E77933">
        <w:rPr>
          <w:b/>
          <w:bCs/>
        </w:rPr>
        <w:fldChar w:fldCharType="separate"/>
      </w:r>
      <w:r w:rsidR="00BF7E93" w:rsidRPr="00BF7E93">
        <w:rPr>
          <w:b/>
          <w:bCs/>
        </w:rPr>
        <w:t xml:space="preserve">Figure </w:t>
      </w:r>
      <w:r w:rsidR="00BF7E93" w:rsidRPr="00BF7E93">
        <w:rPr>
          <w:b/>
          <w:bCs/>
          <w:noProof/>
        </w:rPr>
        <w:t>4.23</w:t>
      </w:r>
      <w:r w:rsidRPr="00E77933">
        <w:rPr>
          <w:b/>
          <w:bCs/>
        </w:rPr>
        <w:fldChar w:fldCharType="end"/>
      </w:r>
      <w:r>
        <w:t>, the use of contact pressure or surface roughness as a primary method of variance reduction seems unreasonable within the currently considered gas and contact pressures.</w:t>
      </w:r>
    </w:p>
    <w:p w14:paraId="6A414D79" w14:textId="2617F10C" w:rsidR="00D623B1" w:rsidRDefault="00D623B1" w:rsidP="00D623B1">
      <w:r>
        <w:t xml:space="preserve">To translate these results into design recommendations, a set of performance envelopes are developed using initial gas pressure as the primary design parameter and several regions of SSC as the secondary design parameter. </w:t>
      </w:r>
      <w:r w:rsidRPr="007258A1">
        <w:rPr>
          <w:b/>
          <w:bCs/>
        </w:rPr>
        <w:fldChar w:fldCharType="begin"/>
      </w:r>
      <w:r w:rsidRPr="007258A1">
        <w:rPr>
          <w:b/>
          <w:bCs/>
        </w:rPr>
        <w:instrText xml:space="preserve"> REF _Ref197941736 \h </w:instrText>
      </w:r>
      <w:r>
        <w:rPr>
          <w:b/>
          <w:bCs/>
        </w:rPr>
        <w:instrText xml:space="preserve"> \* MERGEFORMAT </w:instrText>
      </w:r>
      <w:r w:rsidRPr="007258A1">
        <w:rPr>
          <w:b/>
          <w:bCs/>
        </w:rPr>
      </w:r>
      <w:r w:rsidRPr="007258A1">
        <w:rPr>
          <w:b/>
          <w:bCs/>
        </w:rPr>
        <w:fldChar w:fldCharType="separate"/>
      </w:r>
      <w:r w:rsidR="00BF7E93" w:rsidRPr="00BF7E93">
        <w:rPr>
          <w:b/>
          <w:bCs/>
        </w:rPr>
        <w:t xml:space="preserve">Figure </w:t>
      </w:r>
      <w:r w:rsidR="00BF7E93" w:rsidRPr="00BF7E93">
        <w:rPr>
          <w:b/>
          <w:bCs/>
          <w:noProof/>
        </w:rPr>
        <w:t>4.24</w:t>
      </w:r>
      <w:r w:rsidRPr="007258A1">
        <w:rPr>
          <w:b/>
          <w:bCs/>
        </w:rPr>
        <w:fldChar w:fldCharType="end"/>
      </w:r>
      <w:r>
        <w:t xml:space="preserve"> shows each considered</w:t>
      </w:r>
      <w:r w:rsidRPr="00D623B1">
        <w:t xml:space="preserve"> </w:t>
      </w:r>
      <w:r>
        <w:t>range of initial gas pressure with several ranges of SSC overlaid. The ranges of SSC (in W/m</w:t>
      </w:r>
      <w:r w:rsidRPr="00723CFA">
        <w:rPr>
          <w:vertAlign w:val="superscript"/>
        </w:rPr>
        <w:t>2</w:t>
      </w:r>
      <w:r>
        <w:t>-</w:t>
      </w:r>
      <w:r w:rsidRPr="008C04B3">
        <w:rPr>
          <w:rFonts w:ascii="Calibri" w:hAnsi="Calibri" w:cs="Calibri"/>
          <w:color w:val="000000"/>
        </w:rPr>
        <w:t>°</w:t>
      </w:r>
      <w:r>
        <w:t>C) are as follows:</w:t>
      </w:r>
    </w:p>
    <w:p w14:paraId="6645F8D7" w14:textId="77777777" w:rsidR="00D623B1" w:rsidRDefault="00D623B1" w:rsidP="00D623B1">
      <w:pPr>
        <w:ind w:firstLine="720"/>
      </w:pPr>
      <w:r>
        <w:t>Case 1: 1</w:t>
      </w:r>
      <w:r>
        <w:sym w:font="Symbol" w:char="F0B4"/>
      </w:r>
      <w:r>
        <w:t>10</w:t>
      </w:r>
      <w:r>
        <w:rPr>
          <w:vertAlign w:val="superscript"/>
        </w:rPr>
        <w:t>4</w:t>
      </w:r>
      <w:r>
        <w:t xml:space="preserve"> &lt; h</w:t>
      </w:r>
      <w:r>
        <w:rPr>
          <w:vertAlign w:val="subscript"/>
        </w:rPr>
        <w:t>s</w:t>
      </w:r>
      <w:r>
        <w:t xml:space="preserve"> &lt; 2</w:t>
      </w:r>
      <w:r>
        <w:sym w:font="Symbol" w:char="F0B4"/>
      </w:r>
      <w:r>
        <w:t>10</w:t>
      </w:r>
      <w:r>
        <w:rPr>
          <w:vertAlign w:val="superscript"/>
        </w:rPr>
        <w:t>4</w:t>
      </w:r>
      <w:r>
        <w:tab/>
      </w:r>
      <w:r>
        <w:tab/>
        <w:t>Case 2: 2</w:t>
      </w:r>
      <w:r>
        <w:sym w:font="Symbol" w:char="F0B4"/>
      </w:r>
      <w:r>
        <w:t>10</w:t>
      </w:r>
      <w:r>
        <w:rPr>
          <w:vertAlign w:val="superscript"/>
        </w:rPr>
        <w:t>4</w:t>
      </w:r>
      <w:r>
        <w:t xml:space="preserve"> &lt; h</w:t>
      </w:r>
      <w:r>
        <w:rPr>
          <w:vertAlign w:val="subscript"/>
        </w:rPr>
        <w:t>s</w:t>
      </w:r>
      <w:r>
        <w:t xml:space="preserve"> &lt; 3</w:t>
      </w:r>
      <w:r>
        <w:sym w:font="Symbol" w:char="F0B4"/>
      </w:r>
      <w:r>
        <w:t>10</w:t>
      </w:r>
      <w:r>
        <w:rPr>
          <w:vertAlign w:val="superscript"/>
        </w:rPr>
        <w:t>4</w:t>
      </w:r>
    </w:p>
    <w:p w14:paraId="256840CD" w14:textId="77777777" w:rsidR="00D623B1" w:rsidRDefault="00D623B1" w:rsidP="00D623B1">
      <w:pPr>
        <w:ind w:firstLine="720"/>
      </w:pPr>
      <w:r>
        <w:t>Case 3: 3</w:t>
      </w:r>
      <w:r>
        <w:sym w:font="Symbol" w:char="F0B4"/>
      </w:r>
      <w:r>
        <w:t>10</w:t>
      </w:r>
      <w:r>
        <w:rPr>
          <w:vertAlign w:val="superscript"/>
        </w:rPr>
        <w:t>4</w:t>
      </w:r>
      <w:r>
        <w:t xml:space="preserve"> &lt; h</w:t>
      </w:r>
      <w:r>
        <w:rPr>
          <w:vertAlign w:val="subscript"/>
        </w:rPr>
        <w:t>s</w:t>
      </w:r>
      <w:r>
        <w:t xml:space="preserve"> &lt; 4</w:t>
      </w:r>
      <w:r>
        <w:sym w:font="Symbol" w:char="F0B4"/>
      </w:r>
      <w:r>
        <w:t>10</w:t>
      </w:r>
      <w:r>
        <w:rPr>
          <w:vertAlign w:val="superscript"/>
        </w:rPr>
        <w:t>4</w:t>
      </w:r>
      <w:r>
        <w:tab/>
      </w:r>
      <w:r>
        <w:tab/>
        <w:t>Case 4: 4</w:t>
      </w:r>
      <w:r>
        <w:sym w:font="Symbol" w:char="F0B4"/>
      </w:r>
      <w:r>
        <w:t>10</w:t>
      </w:r>
      <w:r>
        <w:rPr>
          <w:vertAlign w:val="superscript"/>
        </w:rPr>
        <w:t>4</w:t>
      </w:r>
      <w:r>
        <w:t xml:space="preserve"> &lt; h</w:t>
      </w:r>
      <w:r>
        <w:rPr>
          <w:vertAlign w:val="subscript"/>
        </w:rPr>
        <w:t>s</w:t>
      </w:r>
      <w:r>
        <w:t xml:space="preserve"> &lt; 5</w:t>
      </w:r>
      <w:r>
        <w:sym w:font="Symbol" w:char="F0B4"/>
      </w:r>
      <w:r>
        <w:t>10</w:t>
      </w:r>
      <w:r>
        <w:rPr>
          <w:vertAlign w:val="superscript"/>
        </w:rPr>
        <w:t>4</w:t>
      </w:r>
    </w:p>
    <w:p w14:paraId="2B8AB325" w14:textId="56B92E53" w:rsidR="00D623B1" w:rsidRDefault="00D623B1" w:rsidP="00D623B1">
      <w:r>
        <w:t>The minimum SSC is selected to keep the interface temperature within ~50</w:t>
      </w:r>
      <w:r w:rsidRPr="008C04B3">
        <w:rPr>
          <w:rFonts w:ascii="Calibri" w:hAnsi="Calibri" w:cs="Calibri"/>
          <w:color w:val="000000"/>
        </w:rPr>
        <w:t>°</w:t>
      </w:r>
      <w:r>
        <w:t>C of the heat sink at all initial gas pressure conditions including vacuum. This corresponds to the</w:t>
      </w:r>
      <w:r w:rsidRPr="00E77933">
        <w:t xml:space="preserve"> </w:t>
      </w:r>
      <w:r>
        <w:t xml:space="preserve">results at 0.1 MPa initial pressure and 80 GWd/MTU from </w:t>
      </w:r>
      <w:r w:rsidRPr="00E77933">
        <w:rPr>
          <w:b/>
          <w:bCs/>
        </w:rPr>
        <w:fldChar w:fldCharType="begin"/>
      </w:r>
      <w:r w:rsidRPr="00E77933">
        <w:rPr>
          <w:b/>
          <w:bCs/>
        </w:rPr>
        <w:instrText xml:space="preserve"> REF _Ref197941540 \h </w:instrText>
      </w:r>
      <w:r>
        <w:rPr>
          <w:b/>
          <w:bCs/>
        </w:rPr>
        <w:instrText xml:space="preserve"> \* MERGEFORMAT </w:instrText>
      </w:r>
      <w:r w:rsidRPr="00E77933">
        <w:rPr>
          <w:b/>
          <w:bCs/>
        </w:rPr>
      </w:r>
      <w:r w:rsidRPr="00E77933">
        <w:rPr>
          <w:b/>
          <w:bCs/>
        </w:rPr>
        <w:fldChar w:fldCharType="separate"/>
      </w:r>
      <w:r w:rsidR="00BF7E93" w:rsidRPr="00BF7E93">
        <w:rPr>
          <w:b/>
          <w:bCs/>
        </w:rPr>
        <w:t xml:space="preserve">Figure </w:t>
      </w:r>
      <w:r w:rsidR="00BF7E93" w:rsidRPr="00BF7E93">
        <w:rPr>
          <w:b/>
          <w:bCs/>
          <w:noProof/>
        </w:rPr>
        <w:t>4.21</w:t>
      </w:r>
      <w:r w:rsidRPr="00E77933">
        <w:rPr>
          <w:b/>
          <w:bCs/>
        </w:rPr>
        <w:fldChar w:fldCharType="end"/>
      </w:r>
      <w:r w:rsidRPr="00E77933">
        <w:rPr>
          <w:b/>
          <w:bCs/>
        </w:rPr>
        <w:t>.</w:t>
      </w:r>
      <w:r>
        <w:t xml:space="preserve"> To determine an estimate for the maximum SSC, a linear least squares fit is performed on the SSC data</w:t>
      </w:r>
      <w:r w:rsidRPr="00E77933">
        <w:t xml:space="preserve"> </w:t>
      </w:r>
      <w:r>
        <w:t xml:space="preserve">with respect to surface roughness and contact pressure. </w:t>
      </w:r>
    </w:p>
    <w:p w14:paraId="0C6C20B0" w14:textId="7AAC6FE8" w:rsidR="0019075F" w:rsidRDefault="00D623B1" w:rsidP="00874CBB">
      <w:r w:rsidRPr="00E77933">
        <w:rPr>
          <w:rFonts w:cs="Times New Roman"/>
          <w:b/>
          <w:bCs/>
        </w:rPr>
        <w:fldChar w:fldCharType="begin"/>
      </w:r>
      <w:r w:rsidRPr="00E77933">
        <w:rPr>
          <w:rFonts w:cs="Times New Roman"/>
          <w:b/>
          <w:bCs/>
        </w:rPr>
        <w:instrText xml:space="preserve"> REF _Ref197941746 \h  \* MERGEFORMAT </w:instrText>
      </w:r>
      <w:r w:rsidRPr="00E77933">
        <w:rPr>
          <w:rFonts w:cs="Times New Roman"/>
          <w:b/>
          <w:bCs/>
        </w:rPr>
      </w:r>
      <w:r w:rsidRPr="00E77933">
        <w:rPr>
          <w:rFonts w:cs="Times New Roman"/>
          <w:b/>
          <w:bCs/>
        </w:rPr>
        <w:fldChar w:fldCharType="separate"/>
      </w:r>
      <w:r w:rsidR="00BF7E93" w:rsidRPr="00BF7E93">
        <w:rPr>
          <w:rFonts w:cs="Times New Roman"/>
          <w:b/>
          <w:bCs/>
        </w:rPr>
        <w:t xml:space="preserve">Figure </w:t>
      </w:r>
      <w:r w:rsidR="00BF7E93" w:rsidRPr="00BF7E93">
        <w:rPr>
          <w:rFonts w:cs="Times New Roman"/>
          <w:b/>
          <w:bCs/>
          <w:noProof/>
        </w:rPr>
        <w:t>4.25</w:t>
      </w:r>
      <w:r w:rsidRPr="00E77933">
        <w:rPr>
          <w:rFonts w:cs="Times New Roman"/>
          <w:b/>
          <w:bCs/>
        </w:rPr>
        <w:fldChar w:fldCharType="end"/>
      </w:r>
      <w:r>
        <w:t xml:space="preserve"> is a contour plot outlining the required contact pressure and effective surface roughness to reach a specific SSC according to Equation </w:t>
      </w:r>
      <w:r>
        <w:fldChar w:fldCharType="begin"/>
      </w:r>
      <w:r>
        <w:instrText xml:space="preserve"> REF _Ref195184758 \h </w:instrText>
      </w:r>
      <w:r>
        <w:fldChar w:fldCharType="separate"/>
      </w:r>
      <w:r w:rsidR="00BF7E93">
        <w:rPr>
          <w:noProof/>
        </w:rPr>
        <w:t>21</w:t>
      </w:r>
      <w:r>
        <w:fldChar w:fldCharType="end"/>
      </w:r>
      <w:r>
        <w:t xml:space="preserve">. </w:t>
      </w:r>
      <w:r w:rsidRPr="006C0E6F">
        <w:t>The</w:t>
      </w:r>
      <w:r>
        <w:t xml:space="preserve"> maximum SSC </w:t>
      </w:r>
      <w:r w:rsidR="0019075F">
        <w:br w:type="page"/>
      </w:r>
    </w:p>
    <w:p w14:paraId="2B2EBD88" w14:textId="77777777" w:rsidR="007548A7" w:rsidRDefault="007548A7" w:rsidP="007548A7">
      <w:r>
        <w:rPr>
          <w:noProof/>
        </w:rPr>
        <w:lastRenderedPageBreak/>
        <w:drawing>
          <wp:inline distT="0" distB="0" distL="0" distR="0" wp14:anchorId="4B200D49" wp14:editId="27AA84B6">
            <wp:extent cx="5486400" cy="4429656"/>
            <wp:effectExtent l="0" t="0" r="0" b="3175"/>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rotWithShape="1">
                    <a:blip r:embed="rId72">
                      <a:extLst>
                        <a:ext uri="{28A0092B-C50C-407E-A947-70E740481C1C}">
                          <a14:useLocalDpi xmlns:a14="http://schemas.microsoft.com/office/drawing/2010/main" val="0"/>
                        </a:ext>
                      </a:extLst>
                    </a:blip>
                    <a:srcRect l="13071" t="1493" r="19183" b="1269"/>
                    <a:stretch/>
                  </pic:blipFill>
                  <pic:spPr bwMode="auto">
                    <a:xfrm>
                      <a:off x="0" y="0"/>
                      <a:ext cx="5486400" cy="4429656"/>
                    </a:xfrm>
                    <a:prstGeom prst="rect">
                      <a:avLst/>
                    </a:prstGeom>
                    <a:ln>
                      <a:noFill/>
                    </a:ln>
                    <a:extLst>
                      <a:ext uri="{53640926-AAD7-44D8-BBD7-CCE9431645EC}">
                        <a14:shadowObscured xmlns:a14="http://schemas.microsoft.com/office/drawing/2010/main"/>
                      </a:ext>
                    </a:extLst>
                  </pic:spPr>
                </pic:pic>
              </a:graphicData>
            </a:graphic>
          </wp:inline>
        </w:drawing>
      </w:r>
    </w:p>
    <w:p w14:paraId="3B29C9B9" w14:textId="54C6809F" w:rsidR="007548A7" w:rsidRPr="00806A64" w:rsidRDefault="00054636" w:rsidP="00874CBB">
      <w:pPr>
        <w:pStyle w:val="Caption"/>
      </w:pPr>
      <w:bookmarkStart w:id="240" w:name="_Ref197941736"/>
      <w:bookmarkStart w:id="241" w:name="_Toc202957587"/>
      <w:r w:rsidRPr="00806A64">
        <w:t xml:space="preserve">Figure </w:t>
      </w:r>
      <w:fldSimple w:instr=" STYLEREF 1 \s ">
        <w:r w:rsidR="00BF7E93">
          <w:rPr>
            <w:noProof/>
          </w:rPr>
          <w:t>4</w:t>
        </w:r>
      </w:fldSimple>
      <w:r w:rsidRPr="00806A64">
        <w:t>.</w:t>
      </w:r>
      <w:fldSimple w:instr=" SEQ Figure \* ARABIC \s 1 ">
        <w:r w:rsidR="00BF7E93">
          <w:rPr>
            <w:noProof/>
          </w:rPr>
          <w:t>24</w:t>
        </w:r>
      </w:fldSimple>
      <w:bookmarkEnd w:id="240"/>
      <w:r w:rsidR="007548A7" w:rsidRPr="00806A64">
        <w:t>. Performance envelopes of a 1000</w:t>
      </w:r>
      <w:r w:rsidR="007548A7" w:rsidRPr="00806A64">
        <w:rPr>
          <w:color w:val="000000"/>
        </w:rPr>
        <w:t>°</w:t>
      </w:r>
      <w:r w:rsidR="007548A7" w:rsidRPr="00806A64">
        <w:t>C target temperature UO</w:t>
      </w:r>
      <w:r w:rsidR="007548A7" w:rsidRPr="00806A64">
        <w:rPr>
          <w:vertAlign w:val="subscript"/>
        </w:rPr>
        <w:t>2</w:t>
      </w:r>
      <w:r w:rsidR="007548A7" w:rsidRPr="00806A64">
        <w:t xml:space="preserve"> MiniFuel subcapsule inspecting varying SSC.</w:t>
      </w:r>
      <w:bookmarkEnd w:id="241"/>
    </w:p>
    <w:p w14:paraId="4D2C8457" w14:textId="06CE0F8D" w:rsidR="007548A7" w:rsidRDefault="007548A7" w:rsidP="007548A7"/>
    <w:p w14:paraId="5130AEE7" w14:textId="68498EB6" w:rsidR="0019075F" w:rsidRDefault="0019075F" w:rsidP="0019075F">
      <w:pPr>
        <w:spacing w:line="240" w:lineRule="auto"/>
      </w:pPr>
      <w:r>
        <w:br w:type="page"/>
      </w:r>
    </w:p>
    <w:p w14:paraId="60C06D5F" w14:textId="1053A74A" w:rsidR="0019075F" w:rsidRDefault="0019075F" w:rsidP="00E77933"/>
    <w:p w14:paraId="3FDDD80B" w14:textId="7B4F124E" w:rsidR="007548A7" w:rsidRDefault="007548A7" w:rsidP="00D3135C">
      <w:pPr>
        <w:jc w:val="center"/>
      </w:pPr>
      <w:r>
        <w:rPr>
          <w:noProof/>
        </w:rPr>
        <w:drawing>
          <wp:inline distT="0" distB="0" distL="0" distR="0" wp14:anchorId="53B1EFC4" wp14:editId="6C480E23">
            <wp:extent cx="5486400" cy="3950574"/>
            <wp:effectExtent l="0" t="0" r="0"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rotWithShape="1">
                    <a:blip r:embed="rId73" cstate="print">
                      <a:extLst>
                        <a:ext uri="{28A0092B-C50C-407E-A947-70E740481C1C}">
                          <a14:useLocalDpi xmlns:a14="http://schemas.microsoft.com/office/drawing/2010/main" val="0"/>
                        </a:ext>
                      </a:extLst>
                    </a:blip>
                    <a:srcRect l="2638" t="10872" r="6594" b="1983"/>
                    <a:stretch/>
                  </pic:blipFill>
                  <pic:spPr bwMode="auto">
                    <a:xfrm>
                      <a:off x="0" y="0"/>
                      <a:ext cx="5486400" cy="3950574"/>
                    </a:xfrm>
                    <a:prstGeom prst="rect">
                      <a:avLst/>
                    </a:prstGeom>
                    <a:ln>
                      <a:noFill/>
                    </a:ln>
                    <a:extLst>
                      <a:ext uri="{53640926-AAD7-44D8-BBD7-CCE9431645EC}">
                        <a14:shadowObscured xmlns:a14="http://schemas.microsoft.com/office/drawing/2010/main"/>
                      </a:ext>
                    </a:extLst>
                  </pic:spPr>
                </pic:pic>
              </a:graphicData>
            </a:graphic>
          </wp:inline>
        </w:drawing>
      </w:r>
    </w:p>
    <w:p w14:paraId="3CB6010D" w14:textId="7EF84C7D" w:rsidR="007548A7" w:rsidRPr="00806A64" w:rsidRDefault="00054636" w:rsidP="00874CBB">
      <w:pPr>
        <w:pStyle w:val="Caption"/>
      </w:pPr>
      <w:bookmarkStart w:id="242" w:name="_Ref197941746"/>
      <w:bookmarkStart w:id="243" w:name="_Toc202957588"/>
      <w:r w:rsidRPr="00806A64">
        <w:t xml:space="preserve">Figure </w:t>
      </w:r>
      <w:fldSimple w:instr=" STYLEREF 1 \s ">
        <w:r w:rsidR="00BF7E93">
          <w:rPr>
            <w:noProof/>
          </w:rPr>
          <w:t>4</w:t>
        </w:r>
      </w:fldSimple>
      <w:r w:rsidRPr="00806A64">
        <w:t>.</w:t>
      </w:r>
      <w:fldSimple w:instr=" SEQ Figure \* ARABIC \s 1 ">
        <w:r w:rsidR="00BF7E93">
          <w:rPr>
            <w:noProof/>
          </w:rPr>
          <w:t>25</w:t>
        </w:r>
      </w:fldSimple>
      <w:bookmarkEnd w:id="242"/>
      <w:r w:rsidR="007548A7" w:rsidRPr="00806A64">
        <w:t>. SSC of a 1000</w:t>
      </w:r>
      <w:r w:rsidR="007548A7" w:rsidRPr="00806A64">
        <w:rPr>
          <w:color w:val="000000"/>
        </w:rPr>
        <w:t>°</w:t>
      </w:r>
      <w:r w:rsidR="007548A7" w:rsidRPr="00806A64">
        <w:t>C target UO</w:t>
      </w:r>
      <w:r w:rsidR="007548A7" w:rsidRPr="00806A64">
        <w:rPr>
          <w:vertAlign w:val="subscript"/>
        </w:rPr>
        <w:t>2</w:t>
      </w:r>
      <w:r w:rsidR="007548A7" w:rsidRPr="00806A64">
        <w:t xml:space="preserve"> MiniFuel subcapsule at 80 GWd/MTU based on contact pressure and surface roughness.</w:t>
      </w:r>
      <w:bookmarkEnd w:id="243"/>
      <w:r w:rsidR="007548A7" w:rsidRPr="00806A64">
        <w:t xml:space="preserve"> </w:t>
      </w:r>
    </w:p>
    <w:p w14:paraId="1266CBB9" w14:textId="77777777" w:rsidR="007548A7" w:rsidRDefault="007548A7" w:rsidP="007548A7"/>
    <w:p w14:paraId="466C937C" w14:textId="7DA80681" w:rsidR="0019075F" w:rsidRDefault="0019075F">
      <w:pPr>
        <w:spacing w:line="240" w:lineRule="auto"/>
      </w:pPr>
      <w:r>
        <w:br w:type="page"/>
      </w:r>
    </w:p>
    <w:p w14:paraId="53ED9F23" w14:textId="568A80A3" w:rsidR="00D623B1" w:rsidRPr="00F22A75" w:rsidRDefault="00D623B1" w:rsidP="00F22A75">
      <w:pPr>
        <w:rPr>
          <w:rFonts w:cs="Times New Roman"/>
        </w:rPr>
      </w:pPr>
      <w:r w:rsidRPr="00F22A75">
        <w:rPr>
          <w:rFonts w:cs="Times New Roman"/>
        </w:rPr>
        <w:lastRenderedPageBreak/>
        <w:t xml:space="preserve">considered in Case 4 is the peak SSC from </w:t>
      </w:r>
      <w:r w:rsidRPr="00F22A75">
        <w:rPr>
          <w:rFonts w:cs="Times New Roman"/>
        </w:rPr>
        <w:fldChar w:fldCharType="begin"/>
      </w:r>
      <w:r w:rsidRPr="00F22A75">
        <w:rPr>
          <w:rFonts w:cs="Times New Roman"/>
        </w:rPr>
        <w:instrText xml:space="preserve"> REF _Ref197941746 \h </w:instrText>
      </w:r>
      <w:r w:rsidRPr="00F22A75">
        <w:rPr>
          <w:rFonts w:cs="Times New Roman"/>
        </w:rPr>
      </w:r>
      <w:r w:rsidR="00F22A75">
        <w:rPr>
          <w:rFonts w:cs="Times New Roman"/>
        </w:rPr>
        <w:instrText xml:space="preserve"> \* MERGEFORMAT </w:instrText>
      </w:r>
      <w:r w:rsidRPr="00F22A75">
        <w:rPr>
          <w:rFonts w:cs="Times New Roman"/>
        </w:rPr>
        <w:fldChar w:fldCharType="separate"/>
      </w:r>
      <w:r w:rsidR="00BF7E93" w:rsidRPr="00F22A75">
        <w:rPr>
          <w:rFonts w:cs="Times New Roman"/>
        </w:rPr>
        <w:t xml:space="preserve">Figure </w:t>
      </w:r>
      <w:r w:rsidR="00BF7E93" w:rsidRPr="00F22A75">
        <w:rPr>
          <w:rFonts w:cs="Times New Roman"/>
          <w:noProof/>
        </w:rPr>
        <w:t>4</w:t>
      </w:r>
      <w:r w:rsidR="00BF7E93" w:rsidRPr="00F22A75">
        <w:rPr>
          <w:rFonts w:cs="Times New Roman"/>
        </w:rPr>
        <w:t>.</w:t>
      </w:r>
      <w:r w:rsidR="00BF7E93" w:rsidRPr="00F22A75">
        <w:rPr>
          <w:rFonts w:cs="Times New Roman"/>
          <w:noProof/>
        </w:rPr>
        <w:t>25</w:t>
      </w:r>
      <w:r w:rsidRPr="00F22A75">
        <w:rPr>
          <w:rFonts w:cs="Times New Roman"/>
        </w:rPr>
        <w:fldChar w:fldCharType="end"/>
      </w:r>
      <w:r w:rsidRPr="00F22A75">
        <w:rPr>
          <w:rFonts w:cs="Times New Roman"/>
        </w:rPr>
        <w:t xml:space="preserve">. It should be noted that the thermal conductivity between the two surfaces degrades as a function of burnup, so the peak achievable SSC would be at 0 GWd/MTU and degrade over the course of the irradiation to reach the considered ranges. From the trends in </w:t>
      </w:r>
      <w:r w:rsidRPr="00F22A75">
        <w:rPr>
          <w:rFonts w:cs="Times New Roman"/>
        </w:rPr>
        <w:fldChar w:fldCharType="begin"/>
      </w:r>
      <w:r w:rsidRPr="00F22A75">
        <w:rPr>
          <w:rFonts w:cs="Times New Roman"/>
        </w:rPr>
        <w:instrText xml:space="preserve"> REF _Ref197941736 \h </w:instrText>
      </w:r>
      <w:r w:rsidRPr="00F22A75">
        <w:rPr>
          <w:rFonts w:cs="Times New Roman"/>
        </w:rPr>
      </w:r>
      <w:r w:rsidR="00F22A75">
        <w:rPr>
          <w:rFonts w:cs="Times New Roman"/>
        </w:rPr>
        <w:instrText xml:space="preserve"> \* MERGEFORMAT </w:instrText>
      </w:r>
      <w:r w:rsidRPr="00F22A75">
        <w:rPr>
          <w:rFonts w:cs="Times New Roman"/>
        </w:rPr>
        <w:fldChar w:fldCharType="separate"/>
      </w:r>
      <w:r w:rsidR="00BF7E93" w:rsidRPr="00F22A75">
        <w:rPr>
          <w:rFonts w:cs="Times New Roman"/>
        </w:rPr>
        <w:t xml:space="preserve">Figure </w:t>
      </w:r>
      <w:r w:rsidR="00BF7E93" w:rsidRPr="00F22A75">
        <w:rPr>
          <w:rFonts w:cs="Times New Roman"/>
          <w:noProof/>
        </w:rPr>
        <w:t>4</w:t>
      </w:r>
      <w:r w:rsidR="00BF7E93" w:rsidRPr="00F22A75">
        <w:rPr>
          <w:rFonts w:cs="Times New Roman"/>
        </w:rPr>
        <w:t>.</w:t>
      </w:r>
      <w:r w:rsidR="00BF7E93" w:rsidRPr="00F22A75">
        <w:rPr>
          <w:rFonts w:cs="Times New Roman"/>
          <w:noProof/>
        </w:rPr>
        <w:t>24</w:t>
      </w:r>
      <w:r w:rsidRPr="00F22A75">
        <w:rPr>
          <w:rFonts w:cs="Times New Roman"/>
        </w:rPr>
        <w:fldChar w:fldCharType="end"/>
      </w:r>
      <w:r w:rsidRPr="00F22A75">
        <w:rPr>
          <w:rFonts w:cs="Times New Roman"/>
        </w:rPr>
        <w:t xml:space="preserve"> and </w:t>
      </w:r>
      <w:r w:rsidRPr="00F22A75">
        <w:rPr>
          <w:rFonts w:cs="Times New Roman"/>
        </w:rPr>
        <w:fldChar w:fldCharType="begin"/>
      </w:r>
      <w:r w:rsidRPr="00F22A75">
        <w:rPr>
          <w:rFonts w:cs="Times New Roman"/>
        </w:rPr>
        <w:instrText xml:space="preserve"> REF _Ref197941746 \h </w:instrText>
      </w:r>
      <w:r w:rsidRPr="00F22A75">
        <w:rPr>
          <w:rFonts w:cs="Times New Roman"/>
        </w:rPr>
      </w:r>
      <w:r w:rsidR="00F22A75">
        <w:rPr>
          <w:rFonts w:cs="Times New Roman"/>
        </w:rPr>
        <w:instrText xml:space="preserve"> \* MERGEFORMAT </w:instrText>
      </w:r>
      <w:r w:rsidRPr="00F22A75">
        <w:rPr>
          <w:rFonts w:cs="Times New Roman"/>
        </w:rPr>
        <w:fldChar w:fldCharType="separate"/>
      </w:r>
      <w:r w:rsidR="00BF7E93" w:rsidRPr="00F22A75">
        <w:rPr>
          <w:rFonts w:cs="Times New Roman"/>
        </w:rPr>
        <w:t xml:space="preserve">Figure </w:t>
      </w:r>
      <w:r w:rsidR="00BF7E93" w:rsidRPr="00F22A75">
        <w:rPr>
          <w:rFonts w:cs="Times New Roman"/>
          <w:noProof/>
        </w:rPr>
        <w:t>4</w:t>
      </w:r>
      <w:r w:rsidR="00BF7E93" w:rsidRPr="00F22A75">
        <w:rPr>
          <w:rFonts w:cs="Times New Roman"/>
        </w:rPr>
        <w:t>.</w:t>
      </w:r>
      <w:r w:rsidR="00BF7E93" w:rsidRPr="00F22A75">
        <w:rPr>
          <w:rFonts w:cs="Times New Roman"/>
          <w:noProof/>
        </w:rPr>
        <w:t>25</w:t>
      </w:r>
      <w:r w:rsidRPr="00F22A75">
        <w:rPr>
          <w:rFonts w:cs="Times New Roman"/>
        </w:rPr>
        <w:fldChar w:fldCharType="end"/>
      </w:r>
      <w:r w:rsidRPr="00F22A75">
        <w:rPr>
          <w:rFonts w:cs="Times New Roman"/>
        </w:rPr>
        <w:t xml:space="preserve">, the SSC should be maximized through increasing contact pressure and decreasing surface roughness. Based on the results in </w:t>
      </w:r>
      <w:r w:rsidRPr="00F22A75">
        <w:rPr>
          <w:rFonts w:cs="Times New Roman"/>
        </w:rPr>
        <w:fldChar w:fldCharType="begin"/>
      </w:r>
      <w:r w:rsidRPr="00F22A75">
        <w:rPr>
          <w:rFonts w:cs="Times New Roman"/>
        </w:rPr>
        <w:instrText xml:space="preserve"> REF _Ref197941736 \h </w:instrText>
      </w:r>
      <w:r w:rsidRPr="00F22A75">
        <w:rPr>
          <w:rFonts w:cs="Times New Roman"/>
        </w:rPr>
      </w:r>
      <w:r w:rsidR="00F22A75">
        <w:rPr>
          <w:rFonts w:cs="Times New Roman"/>
        </w:rPr>
        <w:instrText xml:space="preserve"> \* MERGEFORMAT </w:instrText>
      </w:r>
      <w:r w:rsidRPr="00F22A75">
        <w:rPr>
          <w:rFonts w:cs="Times New Roman"/>
        </w:rPr>
        <w:fldChar w:fldCharType="separate"/>
      </w:r>
      <w:r w:rsidR="00BF7E93" w:rsidRPr="00F22A75">
        <w:rPr>
          <w:rFonts w:cs="Times New Roman"/>
        </w:rPr>
        <w:t xml:space="preserve">Figure </w:t>
      </w:r>
      <w:r w:rsidR="00BF7E93" w:rsidRPr="00F22A75">
        <w:rPr>
          <w:rFonts w:cs="Times New Roman"/>
          <w:noProof/>
        </w:rPr>
        <w:t>4</w:t>
      </w:r>
      <w:r w:rsidR="00BF7E93" w:rsidRPr="00F22A75">
        <w:rPr>
          <w:rFonts w:cs="Times New Roman"/>
        </w:rPr>
        <w:t>.</w:t>
      </w:r>
      <w:r w:rsidR="00BF7E93" w:rsidRPr="00F22A75">
        <w:rPr>
          <w:rFonts w:cs="Times New Roman"/>
          <w:noProof/>
        </w:rPr>
        <w:t>24</w:t>
      </w:r>
      <w:r w:rsidRPr="00F22A75">
        <w:rPr>
          <w:rFonts w:cs="Times New Roman"/>
        </w:rPr>
        <w:fldChar w:fldCharType="end"/>
      </w:r>
      <w:r w:rsidRPr="00F22A75">
        <w:rPr>
          <w:rFonts w:cs="Times New Roman"/>
        </w:rPr>
        <w:t>, if the SSC is kept above 4x10</w:t>
      </w:r>
      <w:r w:rsidRPr="00F22A75">
        <w:rPr>
          <w:rFonts w:cs="Times New Roman"/>
          <w:vertAlign w:val="superscript"/>
        </w:rPr>
        <w:t>4</w:t>
      </w:r>
      <w:r w:rsidRPr="00F22A75">
        <w:rPr>
          <w:rFonts w:cs="Times New Roman"/>
        </w:rPr>
        <w:t xml:space="preserve"> W/m</w:t>
      </w:r>
      <w:r w:rsidRPr="00F22A75">
        <w:rPr>
          <w:rFonts w:cs="Times New Roman"/>
          <w:vertAlign w:val="superscript"/>
        </w:rPr>
        <w:t>2</w:t>
      </w:r>
      <w:r w:rsidRPr="00F22A75">
        <w:rPr>
          <w:rFonts w:cs="Times New Roman"/>
        </w:rPr>
        <w:t>-</w:t>
      </w:r>
      <w:r w:rsidRPr="00F22A75">
        <w:rPr>
          <w:rFonts w:cs="Times New Roman"/>
          <w:color w:val="000000"/>
        </w:rPr>
        <w:t>°</w:t>
      </w:r>
      <w:r w:rsidRPr="00F22A75">
        <w:rPr>
          <w:rFonts w:cs="Times New Roman"/>
        </w:rPr>
        <w:t>C, the effects of FGR</w:t>
      </w:r>
      <w:r w:rsidRPr="00F22A75" w:rsidDel="00F27A40">
        <w:rPr>
          <w:rFonts w:cs="Times New Roman"/>
        </w:rPr>
        <w:t xml:space="preserve"> </w:t>
      </w:r>
      <w:r w:rsidRPr="00F22A75">
        <w:rPr>
          <w:rFonts w:cs="Times New Roman"/>
        </w:rPr>
        <w:t>under atmospheric pressure conditions would be mitigated.</w:t>
      </w:r>
    </w:p>
    <w:p w14:paraId="18E4B2B2" w14:textId="229BF408" w:rsidR="00874CBB" w:rsidRPr="00F22A75" w:rsidRDefault="00874CBB" w:rsidP="00F22A75">
      <w:pPr>
        <w:pStyle w:val="Heading3"/>
        <w:spacing w:before="0" w:after="0"/>
        <w:rPr>
          <w:rFonts w:cs="Times New Roman"/>
        </w:rPr>
      </w:pPr>
      <w:bookmarkStart w:id="244" w:name="_Toc202957500"/>
      <w:r w:rsidRPr="00F22A75">
        <w:rPr>
          <w:rFonts w:cs="Times New Roman"/>
        </w:rPr>
        <w:t>Influence of Temperature Jump Distance</w:t>
      </w:r>
      <w:bookmarkEnd w:id="244"/>
    </w:p>
    <w:p w14:paraId="18A81DD9" w14:textId="1A75DF8F" w:rsidR="00874CBB" w:rsidRPr="00F22A75" w:rsidRDefault="00874CBB" w:rsidP="00F22A75">
      <w:pPr>
        <w:rPr>
          <w:rFonts w:cs="Times New Roman"/>
        </w:rPr>
      </w:pPr>
      <w:r w:rsidRPr="00F22A75">
        <w:rPr>
          <w:rFonts w:cs="Times New Roman"/>
        </w:rPr>
        <w:t xml:space="preserve">Temperature jump distance is a manifestation of inefficiencies in heat transfer between individual gas particles and surface particles </w:t>
      </w:r>
      <w:r w:rsidRPr="00F22A75">
        <w:rPr>
          <w:rFonts w:cs="Times New Roman"/>
        </w:rPr>
        <w:fldChar w:fldCharType="begin"/>
      </w:r>
      <w:r w:rsidRPr="00F22A75">
        <w:rPr>
          <w:rFonts w:cs="Times New Roman"/>
        </w:rPr>
        <w:instrText xml:space="preserve"> ADDIN EN.CITE &lt;EndNote&gt;&lt;Cite&gt;&lt;Author&gt;Madhusudana&lt;/Author&gt;&lt;Year&gt;2014&lt;/Year&gt;&lt;RecNum&gt;535&lt;/RecNum&gt;&lt;DisplayText&gt;[184]&lt;/DisplayText&gt;&lt;record&gt;&lt;rec-number&gt;535&lt;/rec-number&gt;&lt;foreign-keys&gt;&lt;key app="EN" db-id="eseee05sfe5vt6efvr0xapvq20vfdsfp5fvf" timestamp="1740768285"&gt;535&lt;/key&gt;&lt;/foreign-keys&gt;&lt;ref-type name="Book"&gt;6&lt;/ref-type&gt;&lt;contributors&gt;&lt;authors&gt;&lt;author&gt;C. V. Madhusudana&lt;/author&gt;&lt;/authors&gt;&lt;/contributors&gt;&lt;titles&gt;&lt;title&gt;Thermal Contact Conductance&lt;/title&gt;&lt;secondary-title&gt;Mechanical Engineering Series&lt;/secondary-title&gt;&lt;/titles&gt;&lt;edition&gt;2&lt;/edition&gt;&lt;dates&gt;&lt;year&gt;2014&lt;/year&gt;&lt;pub-dates&gt;&lt;date&gt;2014&lt;/date&gt;&lt;/pub-dates&gt;&lt;/dates&gt;&lt;pub-location&gt;Springer International Publishing Switzerland&lt;/pub-location&gt;&lt;publisher&gt;Springer Cham&lt;/publisher&gt;&lt;urls&gt;&lt;/urls&gt;&lt;electronic-resource-num&gt;https://doi.org/10.1007/978-3-319-01276-6&lt;/electronic-resource-num&gt;&lt;/record&gt;&lt;/Cite&gt;&lt;/EndNote&gt;</w:instrText>
      </w:r>
      <w:r w:rsidRPr="00F22A75">
        <w:rPr>
          <w:rFonts w:cs="Times New Roman"/>
        </w:rPr>
        <w:fldChar w:fldCharType="separate"/>
      </w:r>
      <w:r w:rsidRPr="00F22A75">
        <w:rPr>
          <w:rFonts w:cs="Times New Roman"/>
          <w:noProof/>
        </w:rPr>
        <w:t>[184]</w:t>
      </w:r>
      <w:r w:rsidRPr="00F22A75">
        <w:rPr>
          <w:rFonts w:cs="Times New Roman"/>
        </w:rPr>
        <w:fldChar w:fldCharType="end"/>
      </w:r>
      <w:r w:rsidRPr="00F22A75">
        <w:rPr>
          <w:rFonts w:cs="Times New Roman"/>
        </w:rPr>
        <w:t xml:space="preserve">. The jump distance of a gas in the ANSYS model, dictated by Equation </w:t>
      </w:r>
      <w:r w:rsidRPr="00F22A75">
        <w:rPr>
          <w:rFonts w:cs="Times New Roman"/>
        </w:rPr>
        <w:fldChar w:fldCharType="begin"/>
      </w:r>
      <w:r w:rsidRPr="00F22A75">
        <w:rPr>
          <w:rFonts w:cs="Times New Roman"/>
        </w:rPr>
        <w:instrText xml:space="preserve"> REF _Ref197339045 \h </w:instrText>
      </w:r>
      <w:r w:rsidRPr="00F22A75">
        <w:rPr>
          <w:rFonts w:cs="Times New Roman"/>
        </w:rPr>
      </w:r>
      <w:r w:rsidR="00F22A75">
        <w:rPr>
          <w:rFonts w:cs="Times New Roman"/>
        </w:rPr>
        <w:instrText xml:space="preserve"> \* MERGEFORMAT </w:instrText>
      </w:r>
      <w:r w:rsidRPr="00F22A75">
        <w:rPr>
          <w:rFonts w:cs="Times New Roman"/>
        </w:rPr>
        <w:fldChar w:fldCharType="separate"/>
      </w:r>
      <w:r w:rsidR="00BF7E93" w:rsidRPr="00F22A75">
        <w:rPr>
          <w:rFonts w:cs="Times New Roman"/>
          <w:noProof/>
        </w:rPr>
        <w:t>24</w:t>
      </w:r>
      <w:r w:rsidRPr="00F22A75">
        <w:rPr>
          <w:rFonts w:cs="Times New Roman"/>
        </w:rPr>
        <w:fldChar w:fldCharType="end"/>
      </w:r>
      <w:r w:rsidRPr="00F22A75">
        <w:rPr>
          <w:rFonts w:cs="Times New Roman"/>
        </w:rPr>
        <w:t xml:space="preserve">, is based on the derivation by Kennard </w:t>
      </w:r>
      <w:r w:rsidRPr="00F22A75">
        <w:rPr>
          <w:rFonts w:cs="Times New Roman"/>
        </w:rPr>
        <w:fldChar w:fldCharType="begin"/>
      </w:r>
      <w:r w:rsidRPr="00F22A75">
        <w:rPr>
          <w:rFonts w:cs="Times New Roman"/>
        </w:rPr>
        <w:instrText xml:space="preserve"> ADDIN EN.CITE &lt;EndNote&gt;&lt;Cite&gt;&lt;Author&gt;Kennard&lt;/Author&gt;&lt;Year&gt;1938&lt;/Year&gt;&lt;RecNum&gt;555&lt;/RecNum&gt;&lt;DisplayText&gt;[193]&lt;/DisplayText&gt;&lt;record&gt;&lt;rec-number&gt;555&lt;/rec-number&gt;&lt;foreign-keys&gt;&lt;key app="EN" db-id="eseee05sfe5vt6efvr0xapvq20vfdsfp5fvf" timestamp="1744752323"&gt;555&lt;/key&gt;&lt;/foreign-keys&gt;&lt;ref-type name="Book"&gt;6&lt;/ref-type&gt;&lt;contributors&gt;&lt;authors&gt;&lt;author&gt;Kennard, Earle H&lt;/author&gt;&lt;/authors&gt;&lt;/contributors&gt;&lt;titles&gt;&lt;title&gt;Kinetic theory of gases&lt;/title&gt;&lt;/titles&gt;&lt;volume&gt;483&lt;/volume&gt;&lt;dates&gt;&lt;year&gt;1938&lt;/year&gt;&lt;/dates&gt;&lt;publisher&gt;McGraw-hill New York&lt;/publisher&gt;&lt;urls&gt;&lt;/urls&gt;&lt;/record&gt;&lt;/Cite&gt;&lt;/EndNote&gt;</w:instrText>
      </w:r>
      <w:r w:rsidRPr="00F22A75">
        <w:rPr>
          <w:rFonts w:cs="Times New Roman"/>
        </w:rPr>
        <w:fldChar w:fldCharType="separate"/>
      </w:r>
      <w:r w:rsidRPr="00F22A75">
        <w:rPr>
          <w:rFonts w:cs="Times New Roman"/>
          <w:noProof/>
        </w:rPr>
        <w:t>[193]</w:t>
      </w:r>
      <w:r w:rsidRPr="00F22A75">
        <w:rPr>
          <w:rFonts w:cs="Times New Roman"/>
        </w:rPr>
        <w:fldChar w:fldCharType="end"/>
      </w:r>
      <w:r w:rsidRPr="00F22A75">
        <w:rPr>
          <w:rFonts w:cs="Times New Roman"/>
        </w:rPr>
        <w:t xml:space="preserve">. </w:t>
      </w:r>
    </w:p>
    <w:p w14:paraId="048DD6BE" w14:textId="35A66F1D" w:rsidR="00874CBB" w:rsidRPr="00F22A75" w:rsidRDefault="00874CBB" w:rsidP="00F22A75">
      <w:pPr>
        <w:rPr>
          <w:rFonts w:cs="Times New Roman"/>
        </w:rPr>
      </w:pPr>
      <w:r w:rsidRPr="00F22A75">
        <w:rPr>
          <w:rFonts w:cs="Times New Roman"/>
        </w:rPr>
        <w:t xml:space="preserve">Equation </w:t>
      </w:r>
      <w:r w:rsidRPr="00F22A75">
        <w:rPr>
          <w:rFonts w:cs="Times New Roman"/>
        </w:rPr>
        <w:fldChar w:fldCharType="begin"/>
      </w:r>
      <w:r w:rsidRPr="00F22A75">
        <w:rPr>
          <w:rFonts w:cs="Times New Roman"/>
        </w:rPr>
        <w:instrText xml:space="preserve"> REF _Ref197339045 \h </w:instrText>
      </w:r>
      <w:r w:rsidRPr="00F22A75">
        <w:rPr>
          <w:rFonts w:cs="Times New Roman"/>
        </w:rPr>
      </w:r>
      <w:r w:rsidR="00F22A75">
        <w:rPr>
          <w:rFonts w:cs="Times New Roman"/>
        </w:rPr>
        <w:instrText xml:space="preserve"> \* MERGEFORMAT </w:instrText>
      </w:r>
      <w:r w:rsidRPr="00F22A75">
        <w:rPr>
          <w:rFonts w:cs="Times New Roman"/>
        </w:rPr>
        <w:fldChar w:fldCharType="separate"/>
      </w:r>
      <w:r w:rsidR="00BF7E93" w:rsidRPr="00F22A75">
        <w:rPr>
          <w:rFonts w:cs="Times New Roman"/>
          <w:noProof/>
        </w:rPr>
        <w:t>24</w:t>
      </w:r>
      <w:r w:rsidRPr="00F22A75">
        <w:rPr>
          <w:rFonts w:cs="Times New Roman"/>
        </w:rPr>
        <w:fldChar w:fldCharType="end"/>
      </w:r>
      <w:r w:rsidRPr="00F22A75">
        <w:rPr>
          <w:rFonts w:cs="Times New Roman"/>
        </w:rPr>
        <w:t xml:space="preserve"> takes into account the collision efficiency of the particles using an accommodation coefficient </w:t>
      </w:r>
      <w:r w:rsidRPr="00F22A75">
        <w:rPr>
          <w:rFonts w:cs="Times New Roman"/>
        </w:rPr>
        <w:sym w:font="Symbol" w:char="F061"/>
      </w:r>
      <w:r w:rsidRPr="00F22A75">
        <w:rPr>
          <w:rFonts w:cs="Times New Roman"/>
        </w:rPr>
        <w:t xml:space="preserve">. The model utilizes a formulation of </w:t>
      </w:r>
      <w:r w:rsidRPr="00F22A75">
        <w:rPr>
          <w:rFonts w:cs="Times New Roman"/>
        </w:rPr>
        <w:sym w:font="Symbol" w:char="F061"/>
      </w:r>
      <w:r w:rsidRPr="00F22A75">
        <w:rPr>
          <w:rFonts w:cs="Times New Roman"/>
        </w:rPr>
        <w:t xml:space="preserve"> by Song and Yovanovich </w:t>
      </w:r>
      <w:r w:rsidRPr="00F22A75">
        <w:rPr>
          <w:rFonts w:cs="Times New Roman"/>
        </w:rPr>
        <w:fldChar w:fldCharType="begin"/>
      </w:r>
      <w:r w:rsidRPr="00F22A75">
        <w:rPr>
          <w:rFonts w:cs="Times New Roman"/>
        </w:rPr>
        <w:instrText xml:space="preserve"> ADDIN EN.CITE &lt;EndNote&gt;&lt;Cite&gt;&lt;Author&gt;Song&lt;/Author&gt;&lt;Year&gt;1987&lt;/Year&gt;&lt;RecNum&gt;556&lt;/RecNum&gt;&lt;DisplayText&gt;[194]&lt;/DisplayText&gt;&lt;record&gt;&lt;rec-number&gt;556&lt;/rec-number&gt;&lt;foreign-keys&gt;&lt;key app="EN" db-id="eseee05sfe5vt6efvr0xapvq20vfdsfp5fvf" timestamp="1744755169"&gt;556&lt;/key&gt;&lt;/foreign-keys&gt;&lt;ref-type name="Journal Article"&gt;17&lt;/ref-type&gt;&lt;contributors&gt;&lt;authors&gt;&lt;author&gt;Song, Seaho&lt;/author&gt;&lt;author&gt;Yovanovich, M.&lt;/author&gt;&lt;/authors&gt;&lt;/contributors&gt;&lt;titles&gt;&lt;title&gt;Correlation of thermal accommodation coefficient for engineering surfaces&lt;/title&gt;&lt;/titles&gt;&lt;pages&gt;107-116&lt;/pages&gt;&lt;volume&gt;-1&lt;/volume&gt;&lt;dates&gt;&lt;year&gt;1987&lt;/year&gt;&lt;pub-dates&gt;&lt;date&gt;01/01&lt;/date&gt;&lt;/pub-dates&gt;&lt;/dates&gt;&lt;urls&gt;&lt;/urls&gt;&lt;/record&gt;&lt;/Cite&gt;&lt;/EndNote&gt;</w:instrText>
      </w:r>
      <w:r w:rsidRPr="00F22A75">
        <w:rPr>
          <w:rFonts w:cs="Times New Roman"/>
        </w:rPr>
        <w:fldChar w:fldCharType="separate"/>
      </w:r>
      <w:r w:rsidRPr="00F22A75">
        <w:rPr>
          <w:rFonts w:cs="Times New Roman"/>
          <w:noProof/>
        </w:rPr>
        <w:t>[194]</w:t>
      </w:r>
      <w:r w:rsidRPr="00F22A75">
        <w:rPr>
          <w:rFonts w:cs="Times New Roman"/>
        </w:rPr>
        <w:fldChar w:fldCharType="end"/>
      </w:r>
      <w:r w:rsidRPr="00F22A75">
        <w:rPr>
          <w:rFonts w:cs="Times New Roman"/>
        </w:rPr>
        <w:t xml:space="preserve">, Equation </w:t>
      </w:r>
      <w:r w:rsidRPr="00F22A75">
        <w:rPr>
          <w:rFonts w:cs="Times New Roman"/>
        </w:rPr>
        <w:fldChar w:fldCharType="begin"/>
      </w:r>
      <w:r w:rsidRPr="00F22A75">
        <w:rPr>
          <w:rFonts w:cs="Times New Roman"/>
        </w:rPr>
        <w:instrText xml:space="preserve"> REF _Ref197339091 \h </w:instrText>
      </w:r>
      <w:r w:rsidRPr="00F22A75">
        <w:rPr>
          <w:rFonts w:cs="Times New Roman"/>
        </w:rPr>
      </w:r>
      <w:r w:rsidR="00F22A75">
        <w:rPr>
          <w:rFonts w:cs="Times New Roman"/>
        </w:rPr>
        <w:instrText xml:space="preserve"> \* MERGEFORMAT </w:instrText>
      </w:r>
      <w:r w:rsidRPr="00F22A75">
        <w:rPr>
          <w:rFonts w:cs="Times New Roman"/>
        </w:rPr>
        <w:fldChar w:fldCharType="separate"/>
      </w:r>
      <w:r w:rsidR="00BF7E93" w:rsidRPr="00F22A75">
        <w:rPr>
          <w:rFonts w:cs="Times New Roman"/>
          <w:noProof/>
        </w:rPr>
        <w:t>25</w:t>
      </w:r>
      <w:r w:rsidRPr="00F22A75">
        <w:rPr>
          <w:rFonts w:cs="Times New Roman"/>
        </w:rPr>
        <w:fldChar w:fldCharType="end"/>
      </w:r>
      <w:r w:rsidRPr="00F22A75">
        <w:rPr>
          <w:rFonts w:cs="Times New Roman"/>
        </w:rPr>
        <w:t>, which is applicable to gas mixtures and applied for temperatures between 0</w:t>
      </w:r>
      <w:r w:rsidRPr="00F22A75">
        <w:rPr>
          <w:rFonts w:cs="Times New Roman"/>
          <w:color w:val="000000"/>
        </w:rPr>
        <w:t>°</w:t>
      </w:r>
      <w:r w:rsidRPr="00F22A75">
        <w:rPr>
          <w:rFonts w:cs="Times New Roman"/>
        </w:rPr>
        <w:t>C and 1000</w:t>
      </w:r>
      <w:r w:rsidRPr="00F22A75">
        <w:rPr>
          <w:rFonts w:cs="Times New Roman"/>
          <w:color w:val="000000"/>
        </w:rPr>
        <w:t>°</w:t>
      </w:r>
      <w:r w:rsidRPr="00F22A75">
        <w:rPr>
          <w:rFonts w:cs="Times New Roman"/>
        </w:rPr>
        <w:t>C. Heavier gas particles such as Xe and Kr have a higher accommodation coefficient and are more efficient at transferring energy to Mo or UO</w:t>
      </w:r>
      <w:r w:rsidRPr="00F22A75">
        <w:rPr>
          <w:rFonts w:cs="Times New Roman"/>
          <w:vertAlign w:val="subscript"/>
        </w:rPr>
        <w:t>2</w:t>
      </w:r>
      <w:r w:rsidRPr="00F22A75">
        <w:rPr>
          <w:rFonts w:cs="Times New Roman"/>
        </w:rPr>
        <w:t xml:space="preserve"> surfaces but also have lower thermal conductivity than a less efficient particle such as He. </w:t>
      </w:r>
    </w:p>
    <w:p w14:paraId="77F07723" w14:textId="4D01812D" w:rsidR="0019075F" w:rsidRDefault="0019075F" w:rsidP="00F22A75">
      <w:r w:rsidRPr="00F22A75">
        <w:rPr>
          <w:rFonts w:cs="Times New Roman"/>
        </w:rPr>
        <w:t xml:space="preserve">Equation </w:t>
      </w:r>
      <w:r w:rsidRPr="00F22A75">
        <w:rPr>
          <w:rFonts w:cs="Times New Roman"/>
        </w:rPr>
        <w:fldChar w:fldCharType="begin"/>
      </w:r>
      <w:r w:rsidRPr="00F22A75">
        <w:rPr>
          <w:rFonts w:cs="Times New Roman"/>
        </w:rPr>
        <w:instrText xml:space="preserve"> REF _Ref197339045 \h </w:instrText>
      </w:r>
      <w:r w:rsidRPr="00F22A75">
        <w:rPr>
          <w:rFonts w:cs="Times New Roman"/>
        </w:rPr>
      </w:r>
      <w:r w:rsidR="00F22A75">
        <w:rPr>
          <w:rFonts w:cs="Times New Roman"/>
        </w:rPr>
        <w:instrText xml:space="preserve"> \* MERGEFORMAT </w:instrText>
      </w:r>
      <w:r w:rsidRPr="00F22A75">
        <w:rPr>
          <w:rFonts w:cs="Times New Roman"/>
        </w:rPr>
        <w:fldChar w:fldCharType="separate"/>
      </w:r>
      <w:r w:rsidR="00BF7E93" w:rsidRPr="00F22A75">
        <w:rPr>
          <w:rFonts w:cs="Times New Roman"/>
          <w:noProof/>
        </w:rPr>
        <w:t>24</w:t>
      </w:r>
      <w:r w:rsidRPr="00F22A75">
        <w:rPr>
          <w:rFonts w:cs="Times New Roman"/>
        </w:rPr>
        <w:fldChar w:fldCharType="end"/>
      </w:r>
      <w:r w:rsidRPr="00F22A75">
        <w:rPr>
          <w:rFonts w:cs="Times New Roman"/>
        </w:rPr>
        <w:t xml:space="preserve"> demonstrates the jump distance is inversely proportional to both pressure and molecular weight of the gas </w:t>
      </w:r>
      <w:r w:rsidRPr="00F22A75">
        <w:rPr>
          <w:rFonts w:cs="Times New Roman"/>
        </w:rPr>
        <w:fldChar w:fldCharType="begin"/>
      </w:r>
      <w:r w:rsidR="007245A9" w:rsidRPr="00F22A75">
        <w:rPr>
          <w:rFonts w:cs="Times New Roman"/>
        </w:rPr>
        <w:instrText xml:space="preserve"> ADDIN EN.CITE &lt;EndNote&gt;&lt;Cite&gt;&lt;Author&gt;Kennard&lt;/Author&gt;&lt;Year&gt;1938&lt;/Year&gt;&lt;RecNum&gt;555&lt;/RecNum&gt;&lt;DisplayText&gt;[181, 193]&lt;/DisplayText&gt;&lt;record&gt;&lt;rec-number&gt;555&lt;/rec-number&gt;&lt;foreign-keys&gt;&lt;key app="EN" db-id="eseee05sfe5vt6efvr0xapvq20vfdsfp5fvf" timestamp="1744752323"&gt;555&lt;/key&gt;&lt;/foreign-keys&gt;&lt;ref-type name="Book"&gt;6&lt;/ref-type&gt;&lt;contributors&gt;&lt;authors&gt;&lt;author&gt;Kennard, Earle H&lt;/author&gt;&lt;/authors&gt;&lt;/contributors&gt;&lt;titles&gt;&lt;title&gt;Kinetic theory of gases&lt;/title&gt;&lt;/titles&gt;&lt;volume&gt;483&lt;/volume&gt;&lt;dates&gt;&lt;year&gt;1938&lt;/year&gt;&lt;/dates&gt;&lt;publisher&gt;McGraw-hill New York&lt;/publisher&gt;&lt;urls&gt;&lt;/urls&gt;&lt;/record&gt;&lt;/Cite&gt;&lt;Cite&gt;&lt;Author&gt;Toptan&lt;/Author&gt;&lt;Year&gt;2019&lt;/Year&gt;&lt;RecNum&gt;462&lt;/RecNum&gt;&lt;record&gt;&lt;rec-number&gt;462&lt;/rec-number&gt;&lt;foreign-keys&gt;&lt;key app="EN" db-id="eseee05sfe5vt6efvr0xapvq20vfdsfp5fvf" timestamp="1713369197"&gt;462&lt;/key&gt;&lt;/foreign-keys&gt;&lt;ref-type name="Journal Article"&gt;17&lt;/ref-type&gt;&lt;contributors&gt;&lt;authors&gt;&lt;author&gt;Toptan, Aysenur&lt;/author&gt;&lt;author&gt;Kropaczek, David J.&lt;/author&gt;&lt;author&gt;Avramova, Maria N.&lt;/author&gt;&lt;/authors&gt;&lt;/contributors&gt;&lt;titles&gt;&lt;title&gt;Gap conductance modeling I: Theoretical considerations for single- and multi-component gases in curvilinear coordinates&lt;/title&gt;&lt;secondary-title&gt;Nuclear Engineering and Design&lt;/secondary-title&gt;&lt;/titles&gt;&lt;periodical&gt;&lt;full-title&gt;Nuclear Engineering and Design&lt;/full-title&gt;&lt;/periodical&gt;&lt;pages&gt;110283&lt;/pages&gt;&lt;volume&gt;353&lt;/volume&gt;&lt;keywords&gt;&lt;keyword&gt;Gap conductance&lt;/keyword&gt;&lt;keyword&gt;Temperature jump distance&lt;/keyword&gt;&lt;keyword&gt;Thermal accommodation coefficient&lt;/keyword&gt;&lt;keyword&gt;Static load&lt;/keyword&gt;&lt;keyword&gt;Mixture&lt;/keyword&gt;&lt;/keywords&gt;&lt;dates&gt;&lt;year&gt;2019&lt;/year&gt;&lt;pub-dates&gt;&lt;date&gt;2019/11/01/&lt;/date&gt;&lt;/pub-dates&gt;&lt;/dates&gt;&lt;isbn&gt;0029-5493&lt;/isbn&gt;&lt;urls&gt;&lt;related-urls&gt;&lt;url&gt;https://www.sciencedirect.com/science/article/pii/S0029549319303000&lt;/url&gt;&lt;/related-urls&gt;&lt;/urls&gt;&lt;electronic-resource-num&gt;https://doi.org/10.1016/j.nucengdes.2019.110283&lt;/electronic-resource-num&gt;&lt;/record&gt;&lt;/Cite&gt;&lt;/EndNote&gt;</w:instrText>
      </w:r>
      <w:r w:rsidRPr="00F22A75">
        <w:rPr>
          <w:rFonts w:cs="Times New Roman"/>
        </w:rPr>
        <w:fldChar w:fldCharType="separate"/>
      </w:r>
      <w:r w:rsidR="007245A9" w:rsidRPr="00F22A75">
        <w:rPr>
          <w:rFonts w:cs="Times New Roman"/>
          <w:noProof/>
        </w:rPr>
        <w:t>[181, 193]</w:t>
      </w:r>
      <w:r w:rsidRPr="00F22A75">
        <w:rPr>
          <w:rFonts w:cs="Times New Roman"/>
        </w:rPr>
        <w:fldChar w:fldCharType="end"/>
      </w:r>
      <w:r w:rsidRPr="00F22A75">
        <w:rPr>
          <w:rFonts w:cs="Times New Roman"/>
        </w:rPr>
        <w:t xml:space="preserve">. </w:t>
      </w:r>
      <w:r w:rsidRPr="00F22A75">
        <w:rPr>
          <w:rFonts w:cs="Times New Roman"/>
          <w:b/>
          <w:bCs/>
        </w:rPr>
        <w:fldChar w:fldCharType="begin"/>
      </w:r>
      <w:r w:rsidRPr="00F22A75">
        <w:rPr>
          <w:rFonts w:cs="Times New Roman"/>
          <w:b/>
          <w:bCs/>
        </w:rPr>
        <w:instrText xml:space="preserve"> REF _Ref197941806 \h  \* MERGEFORMAT </w:instrText>
      </w:r>
      <w:r w:rsidRPr="00F22A75">
        <w:rPr>
          <w:rFonts w:cs="Times New Roman"/>
          <w:b/>
          <w:bCs/>
        </w:rPr>
      </w:r>
      <w:r w:rsidRPr="00F22A75">
        <w:rPr>
          <w:rFonts w:cs="Times New Roman"/>
          <w:b/>
          <w:bCs/>
        </w:rPr>
        <w:fldChar w:fldCharType="separate"/>
      </w:r>
      <w:r w:rsidR="00BF7E93" w:rsidRPr="00F22A75">
        <w:rPr>
          <w:rFonts w:cs="Times New Roman"/>
          <w:b/>
          <w:bCs/>
        </w:rPr>
        <w:t xml:space="preserve">Figure </w:t>
      </w:r>
      <w:r w:rsidR="00BF7E93" w:rsidRPr="00F22A75">
        <w:rPr>
          <w:rFonts w:cs="Times New Roman"/>
          <w:b/>
          <w:bCs/>
          <w:noProof/>
        </w:rPr>
        <w:t>4.26</w:t>
      </w:r>
      <w:r w:rsidRPr="00F22A75">
        <w:rPr>
          <w:rFonts w:cs="Times New Roman"/>
          <w:b/>
          <w:bCs/>
        </w:rPr>
        <w:fldChar w:fldCharType="end"/>
      </w:r>
      <w:r w:rsidRPr="00F22A75">
        <w:rPr>
          <w:rFonts w:cs="Times New Roman"/>
        </w:rPr>
        <w:t xml:space="preserve"> demonstrates how the relationship between temperature jump distance and gas pressure translates to the fuel </w:t>
      </w:r>
      <w:r>
        <w:br w:type="page"/>
      </w:r>
    </w:p>
    <w:p w14:paraId="4E62D908" w14:textId="77777777" w:rsidR="007548A7" w:rsidRDefault="007548A7" w:rsidP="007548A7">
      <w:pPr>
        <w:jc w:val="center"/>
      </w:pPr>
      <w:r>
        <w:rPr>
          <w:noProof/>
        </w:rPr>
        <w:lastRenderedPageBreak/>
        <w:drawing>
          <wp:inline distT="0" distB="0" distL="0" distR="0" wp14:anchorId="2353500D" wp14:editId="4E32B599">
            <wp:extent cx="5486400" cy="5123697"/>
            <wp:effectExtent l="0" t="0" r="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Picture 64"/>
                    <pic:cNvPicPr/>
                  </pic:nvPicPr>
                  <pic:blipFill rotWithShape="1">
                    <a:blip r:embed="rId74" cstate="print">
                      <a:extLst>
                        <a:ext uri="{28A0092B-C50C-407E-A947-70E740481C1C}">
                          <a14:useLocalDpi xmlns:a14="http://schemas.microsoft.com/office/drawing/2010/main" val="0"/>
                        </a:ext>
                      </a:extLst>
                    </a:blip>
                    <a:srcRect l="11858" t="10768" r="18041" b="1943"/>
                    <a:stretch/>
                  </pic:blipFill>
                  <pic:spPr bwMode="auto">
                    <a:xfrm>
                      <a:off x="0" y="0"/>
                      <a:ext cx="5486400" cy="5123697"/>
                    </a:xfrm>
                    <a:prstGeom prst="rect">
                      <a:avLst/>
                    </a:prstGeom>
                    <a:ln>
                      <a:noFill/>
                    </a:ln>
                    <a:extLst>
                      <a:ext uri="{53640926-AAD7-44D8-BBD7-CCE9431645EC}">
                        <a14:shadowObscured xmlns:a14="http://schemas.microsoft.com/office/drawing/2010/main"/>
                      </a:ext>
                    </a:extLst>
                  </pic:spPr>
                </pic:pic>
              </a:graphicData>
            </a:graphic>
          </wp:inline>
        </w:drawing>
      </w:r>
    </w:p>
    <w:p w14:paraId="412CF1B5" w14:textId="0F0FAA04" w:rsidR="007548A7" w:rsidRDefault="00CE60BA" w:rsidP="00874CBB">
      <w:pPr>
        <w:pStyle w:val="Caption"/>
      </w:pPr>
      <w:bookmarkStart w:id="245" w:name="_Ref197941806"/>
      <w:bookmarkStart w:id="246" w:name="_Toc202957589"/>
      <w:r>
        <w:t xml:space="preserve">Figure </w:t>
      </w:r>
      <w:fldSimple w:instr=" STYLEREF 1 \s ">
        <w:r w:rsidR="00BF7E93">
          <w:rPr>
            <w:noProof/>
          </w:rPr>
          <w:t>4</w:t>
        </w:r>
      </w:fldSimple>
      <w:r>
        <w:t>.</w:t>
      </w:r>
      <w:fldSimple w:instr=" SEQ Figure \* ARABIC \s 1 ">
        <w:r w:rsidR="00BF7E93">
          <w:rPr>
            <w:noProof/>
          </w:rPr>
          <w:t>26</w:t>
        </w:r>
      </w:fldSimple>
      <w:bookmarkEnd w:id="245"/>
      <w:r w:rsidR="007548A7" w:rsidRPr="0074556C">
        <w:t>.</w:t>
      </w:r>
      <w:r w:rsidR="007548A7">
        <w:t xml:space="preserve"> Fuel interface temperature performance envelopes of a Target UO</w:t>
      </w:r>
      <w:r w:rsidR="007548A7" w:rsidRPr="00723CFA">
        <w:rPr>
          <w:vertAlign w:val="subscript"/>
        </w:rPr>
        <w:t>2</w:t>
      </w:r>
      <w:r w:rsidR="007548A7">
        <w:t xml:space="preserve"> MiniFuel subcapsule at 80 GWd/MTU based on initial fill gas pressure.</w:t>
      </w:r>
      <w:bookmarkEnd w:id="246"/>
    </w:p>
    <w:p w14:paraId="0D0C98ED" w14:textId="77777777" w:rsidR="0019075F" w:rsidRPr="0019075F" w:rsidRDefault="0019075F" w:rsidP="0019075F"/>
    <w:p w14:paraId="7A4D13E3" w14:textId="77777777" w:rsidR="00874CBB" w:rsidRDefault="00874CBB">
      <w:pPr>
        <w:spacing w:line="240" w:lineRule="auto"/>
      </w:pPr>
      <w:r>
        <w:br w:type="page"/>
      </w:r>
    </w:p>
    <w:p w14:paraId="152BF68B" w14:textId="71B6FAB8" w:rsidR="00D623B1" w:rsidRDefault="00D623B1" w:rsidP="00D623B1">
      <w:r>
        <w:lastRenderedPageBreak/>
        <w:t xml:space="preserve">interface temperature predictions and shows that the temperature jump distance of the gas can influence the fuel temperature prediction. At higher temperatures, the jump distance increases and shifts the distribution of temperatures toward higher initial gas pressures. This behavior is replicated in the histogram from </w:t>
      </w:r>
      <w:r w:rsidRPr="00E77933">
        <w:rPr>
          <w:b/>
          <w:bCs/>
        </w:rPr>
        <w:fldChar w:fldCharType="begin"/>
      </w:r>
      <w:r w:rsidRPr="00E77933">
        <w:rPr>
          <w:b/>
          <w:bCs/>
        </w:rPr>
        <w:instrText xml:space="preserve"> REF _Ref197941426 \h </w:instrText>
      </w:r>
      <w:r>
        <w:rPr>
          <w:b/>
          <w:bCs/>
        </w:rPr>
        <w:instrText xml:space="preserve"> \* MERGEFORMAT </w:instrText>
      </w:r>
      <w:r w:rsidRPr="00E77933">
        <w:rPr>
          <w:b/>
          <w:bCs/>
        </w:rPr>
      </w:r>
      <w:r w:rsidRPr="00E77933">
        <w:rPr>
          <w:b/>
          <w:bCs/>
        </w:rPr>
        <w:fldChar w:fldCharType="separate"/>
      </w:r>
      <w:r w:rsidR="00BF7E93" w:rsidRPr="00BF7E93">
        <w:rPr>
          <w:b/>
          <w:bCs/>
        </w:rPr>
        <w:t xml:space="preserve">Figure </w:t>
      </w:r>
      <w:r w:rsidR="00BF7E93" w:rsidRPr="00BF7E93">
        <w:rPr>
          <w:b/>
          <w:bCs/>
          <w:noProof/>
        </w:rPr>
        <w:t>4.19</w:t>
      </w:r>
      <w:r w:rsidRPr="00E77933">
        <w:rPr>
          <w:b/>
          <w:bCs/>
        </w:rPr>
        <w:fldChar w:fldCharType="end"/>
      </w:r>
      <w:r>
        <w:t>.</w:t>
      </w:r>
    </w:p>
    <w:p w14:paraId="15BE1BB6" w14:textId="5BE73692" w:rsidR="00645DFA" w:rsidRDefault="00D623B1">
      <w:r>
        <w:t xml:space="preserve">The temperature jump distance formulation based on Kennard </w:t>
      </w:r>
      <w:r>
        <w:fldChar w:fldCharType="begin"/>
      </w:r>
      <w:r>
        <w:instrText xml:space="preserve"> ADDIN EN.CITE &lt;EndNote&gt;&lt;Cite&gt;&lt;Author&gt;Kennard&lt;/Author&gt;&lt;Year&gt;1938&lt;/Year&gt;&lt;RecNum&gt;555&lt;/RecNum&gt;&lt;DisplayText&gt;[193]&lt;/DisplayText&gt;&lt;record&gt;&lt;rec-number&gt;555&lt;/rec-number&gt;&lt;foreign-keys&gt;&lt;key app="EN" db-id="eseee05sfe5vt6efvr0xapvq20vfdsfp5fvf" timestamp="1744752323"&gt;555&lt;/key&gt;&lt;/foreign-keys&gt;&lt;ref-type name="Book"&gt;6&lt;/ref-type&gt;&lt;contributors&gt;&lt;authors&gt;&lt;author&gt;Kennard, Earle H&lt;/author&gt;&lt;/authors&gt;&lt;/contributors&gt;&lt;titles&gt;&lt;title&gt;Kinetic theory of gases&lt;/title&gt;&lt;/titles&gt;&lt;volume&gt;483&lt;/volume&gt;&lt;dates&gt;&lt;year&gt;1938&lt;/year&gt;&lt;/dates&gt;&lt;publisher&gt;McGraw-hill New York&lt;/publisher&gt;&lt;urls&gt;&lt;/urls&gt;&lt;/record&gt;&lt;/Cite&gt;&lt;/EndNote&gt;</w:instrText>
      </w:r>
      <w:r>
        <w:fldChar w:fldCharType="separate"/>
      </w:r>
      <w:r>
        <w:rPr>
          <w:noProof/>
        </w:rPr>
        <w:t>[193]</w:t>
      </w:r>
      <w:r>
        <w:fldChar w:fldCharType="end"/>
      </w:r>
      <w:r>
        <w:t xml:space="preserve"> is standard in many model calculations of TCC </w:t>
      </w:r>
      <w:r>
        <w:fldChar w:fldCharType="begin">
          <w:fldData xml:space="preserve">PEVuZE5vdGU+PENpdGU+PEF1dGhvcj5NY0R1ZmZlZTwvQXV0aG9yPjxZZWFyPjIwMTM8L1llYXI+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</w:fldData>
        </w:fldChar>
      </w:r>
      <w:r>
        <w:instrText xml:space="preserve"> ADDIN EN.CITE </w:instrText>
      </w:r>
      <w:r>
        <w:fldChar w:fldCharType="begin">
          <w:fldData xml:space="preserve">PEVuZE5vdGU+PENpdGU+PEF1dGhvcj5NY0R1ZmZlZTwvQXV0aG9yPjxZZWFyPjIwMTM8L1llYXI+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</w:fldData>
        </w:fldChar>
      </w:r>
      <w:r>
        <w:instrText xml:space="preserve"> ADDIN EN.CITE.DATA </w:instrText>
      </w:r>
      <w:r>
        <w:fldChar w:fldCharType="end"/>
      </w:r>
      <w:r>
        <w:fldChar w:fldCharType="separate"/>
      </w:r>
      <w:r>
        <w:rPr>
          <w:noProof/>
        </w:rPr>
        <w:t>[153, 181, 184, 195-198]</w:t>
      </w:r>
      <w:r>
        <w:fldChar w:fldCharType="end"/>
      </w:r>
      <w:r>
        <w:t xml:space="preserve">. However, the accommodation coefficient, Equation </w:t>
      </w:r>
      <w:r>
        <w:fldChar w:fldCharType="begin"/>
      </w:r>
      <w:r>
        <w:instrText xml:space="preserve"> REF _Ref197339091 \h </w:instrText>
      </w:r>
      <w:r>
        <w:fldChar w:fldCharType="separate"/>
      </w:r>
      <w:r w:rsidR="00BF7E93">
        <w:rPr>
          <w:noProof/>
        </w:rPr>
        <w:t>25</w:t>
      </w:r>
      <w:r>
        <w:fldChar w:fldCharType="end"/>
      </w:r>
      <w:r>
        <w:t xml:space="preserve">, varies between correlations and can shift the behavior shown in </w:t>
      </w:r>
      <w:r w:rsidR="00874CBB" w:rsidRPr="00E77933">
        <w:rPr>
          <w:b/>
          <w:bCs/>
        </w:rPr>
        <w:fldChar w:fldCharType="begin"/>
      </w:r>
      <w:r w:rsidR="00874CBB" w:rsidRPr="00E77933">
        <w:rPr>
          <w:b/>
          <w:bCs/>
        </w:rPr>
        <w:instrText xml:space="preserve"> REF _Ref197941806 \h </w:instrText>
      </w:r>
      <w:r w:rsidR="00874CBB">
        <w:rPr>
          <w:b/>
          <w:bCs/>
        </w:rPr>
        <w:instrText xml:space="preserve"> \* MERGEFORMAT </w:instrText>
      </w:r>
      <w:r w:rsidR="00874CBB" w:rsidRPr="00E77933">
        <w:rPr>
          <w:b/>
          <w:bCs/>
        </w:rPr>
      </w:r>
      <w:r w:rsidR="00874CBB" w:rsidRPr="00E77933">
        <w:rPr>
          <w:b/>
          <w:bCs/>
        </w:rPr>
        <w:fldChar w:fldCharType="separate"/>
      </w:r>
      <w:r w:rsidR="00BF7E93" w:rsidRPr="00BF7E93">
        <w:rPr>
          <w:b/>
          <w:bCs/>
        </w:rPr>
        <w:t xml:space="preserve">Figure </w:t>
      </w:r>
      <w:r w:rsidR="00BF7E93" w:rsidRPr="00BF7E93">
        <w:rPr>
          <w:b/>
          <w:bCs/>
          <w:noProof/>
        </w:rPr>
        <w:t>4.26</w:t>
      </w:r>
      <w:r w:rsidR="00874CBB" w:rsidRPr="00E77933">
        <w:rPr>
          <w:b/>
          <w:bCs/>
        </w:rPr>
        <w:fldChar w:fldCharType="end"/>
      </w:r>
      <w:r w:rsidR="00874CBB">
        <w:t xml:space="preserve">. </w:t>
      </w:r>
      <w:r w:rsidR="00874CBB" w:rsidRPr="007258A1">
        <w:rPr>
          <w:b/>
          <w:bCs/>
        </w:rPr>
        <w:fldChar w:fldCharType="begin"/>
      </w:r>
      <w:r w:rsidR="00874CBB" w:rsidRPr="007258A1">
        <w:rPr>
          <w:b/>
          <w:bCs/>
        </w:rPr>
        <w:instrText xml:space="preserve"> REF _Ref197941881 \h </w:instrText>
      </w:r>
      <w:r w:rsidR="00874CBB">
        <w:rPr>
          <w:b/>
          <w:bCs/>
        </w:rPr>
        <w:instrText xml:space="preserve"> \* MERGEFORMAT </w:instrText>
      </w:r>
      <w:r w:rsidR="00874CBB" w:rsidRPr="007258A1">
        <w:rPr>
          <w:b/>
          <w:bCs/>
        </w:rPr>
      </w:r>
      <w:r w:rsidR="00874CBB" w:rsidRPr="007258A1">
        <w:rPr>
          <w:b/>
          <w:bCs/>
        </w:rPr>
        <w:fldChar w:fldCharType="separate"/>
      </w:r>
      <w:r w:rsidR="00BF7E93" w:rsidRPr="00BF7E93">
        <w:rPr>
          <w:b/>
          <w:bCs/>
        </w:rPr>
        <w:t xml:space="preserve">Figure </w:t>
      </w:r>
      <w:r w:rsidR="00BF7E93" w:rsidRPr="00BF7E93">
        <w:rPr>
          <w:b/>
          <w:bCs/>
          <w:noProof/>
        </w:rPr>
        <w:t>4.27</w:t>
      </w:r>
      <w:r w:rsidR="00874CBB" w:rsidRPr="007258A1">
        <w:rPr>
          <w:b/>
          <w:bCs/>
        </w:rPr>
        <w:fldChar w:fldCharType="end"/>
      </w:r>
      <w:r w:rsidR="00874CBB">
        <w:t xml:space="preserve"> and </w:t>
      </w:r>
      <w:r w:rsidR="00874CBB" w:rsidRPr="007258A1">
        <w:rPr>
          <w:b/>
          <w:bCs/>
        </w:rPr>
        <w:fldChar w:fldCharType="begin"/>
      </w:r>
      <w:r w:rsidR="00874CBB" w:rsidRPr="007258A1">
        <w:rPr>
          <w:b/>
          <w:bCs/>
        </w:rPr>
        <w:instrText xml:space="preserve"> REF _Ref197941892 \h </w:instrText>
      </w:r>
      <w:r w:rsidR="00874CBB">
        <w:rPr>
          <w:b/>
          <w:bCs/>
        </w:rPr>
        <w:instrText xml:space="preserve"> \* MERGEFORMAT </w:instrText>
      </w:r>
      <w:r w:rsidR="00874CBB" w:rsidRPr="007258A1">
        <w:rPr>
          <w:b/>
          <w:bCs/>
        </w:rPr>
      </w:r>
      <w:r w:rsidR="00874CBB" w:rsidRPr="007258A1">
        <w:rPr>
          <w:b/>
          <w:bCs/>
        </w:rPr>
        <w:fldChar w:fldCharType="separate"/>
      </w:r>
      <w:r w:rsidR="00BF7E93" w:rsidRPr="00BF7E93">
        <w:rPr>
          <w:b/>
          <w:bCs/>
        </w:rPr>
        <w:t xml:space="preserve">Figure </w:t>
      </w:r>
      <w:r w:rsidR="00BF7E93" w:rsidRPr="00BF7E93">
        <w:rPr>
          <w:b/>
          <w:bCs/>
          <w:noProof/>
        </w:rPr>
        <w:t>4.28</w:t>
      </w:r>
      <w:r w:rsidR="00874CBB" w:rsidRPr="007258A1">
        <w:rPr>
          <w:b/>
          <w:bCs/>
        </w:rPr>
        <w:fldChar w:fldCharType="end"/>
      </w:r>
      <w:r w:rsidR="00874CBB">
        <w:t xml:space="preserve"> show several jump distance calculations at 1000</w:t>
      </w:r>
      <w:r w:rsidR="00874CBB" w:rsidRPr="0074556C">
        <w:t>°C</w:t>
      </w:r>
      <w:r w:rsidR="00874CBB">
        <w:t xml:space="preserve"> between He and</w:t>
      </w:r>
      <w:r w:rsidR="00874CBB" w:rsidRPr="0078131C">
        <w:t xml:space="preserve"> </w:t>
      </w:r>
      <w:r w:rsidR="00874CBB">
        <w:t>Mo, and He and UO</w:t>
      </w:r>
      <w:r w:rsidR="00874CBB">
        <w:rPr>
          <w:vertAlign w:val="subscript"/>
        </w:rPr>
        <w:t>2</w:t>
      </w:r>
      <w:r w:rsidR="00874CBB">
        <w:t xml:space="preserve">, respectively. Data for each graph was generated using the Python model from Section </w:t>
      </w:r>
      <w:r w:rsidR="00874CBB">
        <w:fldChar w:fldCharType="begin"/>
      </w:r>
      <w:r w:rsidR="00874CBB">
        <w:instrText xml:space="preserve"> REF _Ref193721351 \r \h </w:instrText>
      </w:r>
      <w:r w:rsidR="00874CBB">
        <w:fldChar w:fldCharType="separate"/>
      </w:r>
      <w:r w:rsidR="00BF7E93">
        <w:t>0</w:t>
      </w:r>
      <w:r w:rsidR="00874CBB">
        <w:fldChar w:fldCharType="end"/>
      </w:r>
      <w:r w:rsidR="00874CBB">
        <w:t xml:space="preserve">. Each jump distance calculation used the formulation by Kennard, but varied calculations of the accommodation coefficient. Included are methodologies by Kennard </w:t>
      </w:r>
      <w:r w:rsidR="00874CBB">
        <w:fldChar w:fldCharType="begin"/>
      </w:r>
      <w:r w:rsidR="00874CBB">
        <w:instrText xml:space="preserve"> ADDIN EN.CITE &lt;EndNote&gt;&lt;Cite&gt;&lt;Author&gt;Kennard&lt;/Author&gt;&lt;Year&gt;1938&lt;/Year&gt;&lt;RecNum&gt;555&lt;/RecNum&gt;&lt;DisplayText&gt;[193]&lt;/DisplayText&gt;&lt;record&gt;&lt;rec-number&gt;555&lt;/rec-number&gt;&lt;foreign-keys&gt;&lt;key app="EN" db-id="eseee05sfe5vt6efvr0xapvq20vfdsfp5fvf" timestamp="1744752323"&gt;555&lt;/key&gt;&lt;/foreign-keys&gt;&lt;ref-type name="Book"&gt;6&lt;/ref-type&gt;&lt;contributors&gt;&lt;authors&gt;&lt;author&gt;Kennard, Earle H&lt;/author&gt;&lt;/authors&gt;&lt;/contributors&gt;&lt;titles&gt;&lt;title&gt;Kinetic theory of gases&lt;/title&gt;&lt;/titles&gt;&lt;volume&gt;483&lt;/volume&gt;&lt;dates&gt;&lt;year&gt;1938&lt;/year&gt;&lt;/dates&gt;&lt;publisher&gt;McGraw-hill New York&lt;/publisher&gt;&lt;urls&gt;&lt;/urls&gt;&lt;/record&gt;&lt;/Cite&gt;&lt;/EndNote&gt;</w:instrText>
      </w:r>
      <w:r w:rsidR="00874CBB">
        <w:fldChar w:fldCharType="separate"/>
      </w:r>
      <w:r w:rsidR="00874CBB">
        <w:rPr>
          <w:noProof/>
        </w:rPr>
        <w:t>[193]</w:t>
      </w:r>
      <w:r w:rsidR="00874CBB">
        <w:fldChar w:fldCharType="end"/>
      </w:r>
      <w:r w:rsidR="00874CBB">
        <w:t xml:space="preserve"> using a classical hard-sphere approximation, by Song and Yovanovich </w:t>
      </w:r>
      <w:r w:rsidR="00874CBB">
        <w:fldChar w:fldCharType="begin"/>
      </w:r>
      <w:r w:rsidR="00874CBB">
        <w:instrText xml:space="preserve"> ADDIN EN.CITE &lt;EndNote&gt;&lt;Cite&gt;&lt;Author&gt;Song&lt;/Author&gt;&lt;Year&gt;1987&lt;/Year&gt;&lt;RecNum&gt;556&lt;/RecNum&gt;&lt;DisplayText&gt;[194]&lt;/DisplayText&gt;&lt;record&gt;&lt;rec-number&gt;556&lt;/rec-number&gt;&lt;foreign-keys&gt;&lt;key app="EN" db-id="eseee05sfe5vt6efvr0xapvq20vfdsfp5fvf" timestamp="1744755169"&gt;556&lt;/key&gt;&lt;/foreign-keys&gt;&lt;ref-type name="Journal Article"&gt;17&lt;/ref-type&gt;&lt;contributors&gt;&lt;authors&gt;&lt;author&gt;Song, Seaho&lt;/author&gt;&lt;author&gt;Yovanovich, M.&lt;/author&gt;&lt;/authors&gt;&lt;/contributors&gt;&lt;titles&gt;&lt;title&gt;Correlation of thermal accommodation coefficient for engineering surfaces&lt;/title&gt;&lt;/titles&gt;&lt;pages&gt;107-116&lt;/pages&gt;&lt;volume&gt;-1&lt;/volume&gt;&lt;dates&gt;&lt;year&gt;1987&lt;/year&gt;&lt;pub-dates&gt;&lt;date&gt;01/01&lt;/date&gt;&lt;/pub-dates&gt;&lt;/dates&gt;&lt;urls&gt;&lt;/urls&gt;&lt;/record&gt;&lt;/Cite&gt;&lt;/EndNote&gt;</w:instrText>
      </w:r>
      <w:r w:rsidR="00874CBB">
        <w:fldChar w:fldCharType="separate"/>
      </w:r>
      <w:r w:rsidR="00874CBB">
        <w:rPr>
          <w:noProof/>
        </w:rPr>
        <w:t>[194]</w:t>
      </w:r>
      <w:r w:rsidR="00874CBB">
        <w:fldChar w:fldCharType="end"/>
      </w:r>
      <w:r w:rsidR="00874CBB">
        <w:t xml:space="preserve"> (Currently implemented in ANSYS), and by Goodman and Wachman </w:t>
      </w:r>
      <w:r w:rsidR="00874CBB">
        <w:fldChar w:fldCharType="begin"/>
      </w:r>
      <w:r w:rsidR="00874CBB">
        <w:instrText xml:space="preserve"> ADDIN EN.CITE &lt;EndNote&gt;&lt;Cite&gt;&lt;Author&gt;Goodman&lt;/Author&gt;&lt;Year&gt;1967&lt;/Year&gt;&lt;RecNum&gt;563&lt;/RecNum&gt;&lt;DisplayText&gt;[199]&lt;/DisplayText&gt;&lt;record&gt;&lt;rec-number&gt;563&lt;/rec-number&gt;&lt;foreign-keys&gt;&lt;key app="EN" db-id="eseee05sfe5vt6efvr0xapvq20vfdsfp5fvf" timestamp="1745264629"&gt;563&lt;/key&gt;&lt;/foreign-keys&gt;&lt;ref-type name="Journal Article"&gt;17&lt;/ref-type&gt;&lt;contributors&gt;&lt;authors&gt;&lt;author&gt;Goodman, Frank O&lt;/author&gt;&lt;author&gt;Wachman, Harold Y&lt;/author&gt;&lt;/authors&gt;&lt;/contributors&gt;&lt;titles&gt;&lt;title&gt;Formula for thermal accommodation coefficients&lt;/title&gt;&lt;secondary-title&gt;Journal of Chemical Physics&lt;/secondary-title&gt;&lt;/titles&gt;&lt;periodical&gt;&lt;full-title&gt;Journal of Chemical Physics&lt;/full-title&gt;&lt;/periodical&gt;&lt;pages&gt;2376-2386&lt;/pages&gt;&lt;volume&gt;46&lt;/volume&gt;&lt;number&gt;6&lt;/number&gt;&lt;dates&gt;&lt;year&gt;1967&lt;/year&gt;&lt;/dates&gt;&lt;isbn&gt;0021-9606&lt;/isbn&gt;&lt;urls&gt;&lt;/urls&gt;&lt;/record&gt;&lt;/Cite&gt;&lt;/EndNote&gt;</w:instrText>
      </w:r>
      <w:r w:rsidR="00874CBB">
        <w:fldChar w:fldCharType="separate"/>
      </w:r>
      <w:r w:rsidR="00874CBB">
        <w:rPr>
          <w:noProof/>
        </w:rPr>
        <w:t>[199]</w:t>
      </w:r>
      <w:r w:rsidR="00874CBB">
        <w:fldChar w:fldCharType="end"/>
      </w:r>
      <w:r w:rsidR="00874CBB">
        <w:t>. Based on the 1/P dependence; the jump distances will</w:t>
      </w:r>
      <w:r w:rsidR="00874CBB" w:rsidRPr="00E77933">
        <w:t xml:space="preserve"> </w:t>
      </w:r>
      <w:r w:rsidR="00874CBB">
        <w:t xml:space="preserve">all have an asymptote at 0 and, from the results in </w:t>
      </w:r>
      <w:r w:rsidR="00874CBB" w:rsidRPr="00E77933">
        <w:rPr>
          <w:b/>
          <w:bCs/>
        </w:rPr>
        <w:fldChar w:fldCharType="begin"/>
      </w:r>
      <w:r w:rsidR="00874CBB" w:rsidRPr="00E77933">
        <w:rPr>
          <w:b/>
          <w:bCs/>
        </w:rPr>
        <w:instrText xml:space="preserve"> REF _Ref197941881 \h </w:instrText>
      </w:r>
      <w:r w:rsidR="00874CBB">
        <w:rPr>
          <w:b/>
          <w:bCs/>
        </w:rPr>
        <w:instrText xml:space="preserve"> \* MERGEFORMAT </w:instrText>
      </w:r>
      <w:r w:rsidR="00874CBB" w:rsidRPr="00E77933">
        <w:rPr>
          <w:b/>
          <w:bCs/>
        </w:rPr>
      </w:r>
      <w:r w:rsidR="00874CBB" w:rsidRPr="00E77933">
        <w:rPr>
          <w:b/>
          <w:bCs/>
        </w:rPr>
        <w:fldChar w:fldCharType="separate"/>
      </w:r>
      <w:r w:rsidR="00BF7E93" w:rsidRPr="00BF7E93">
        <w:rPr>
          <w:b/>
          <w:bCs/>
        </w:rPr>
        <w:t xml:space="preserve">Figure </w:t>
      </w:r>
      <w:r w:rsidR="00BF7E93" w:rsidRPr="00BF7E93">
        <w:rPr>
          <w:b/>
          <w:bCs/>
          <w:noProof/>
        </w:rPr>
        <w:t>4.27</w:t>
      </w:r>
      <w:r w:rsidR="00874CBB" w:rsidRPr="00E77933">
        <w:rPr>
          <w:b/>
          <w:bCs/>
        </w:rPr>
        <w:fldChar w:fldCharType="end"/>
      </w:r>
      <w:r w:rsidR="00874CBB" w:rsidRPr="00E77933">
        <w:rPr>
          <w:b/>
          <w:bCs/>
        </w:rPr>
        <w:t xml:space="preserve"> </w:t>
      </w:r>
      <w:r w:rsidR="00874CBB">
        <w:t xml:space="preserve">and </w:t>
      </w:r>
      <w:r w:rsidR="00874CBB" w:rsidRPr="00E77933">
        <w:rPr>
          <w:b/>
          <w:bCs/>
        </w:rPr>
        <w:fldChar w:fldCharType="begin"/>
      </w:r>
      <w:r w:rsidR="00874CBB" w:rsidRPr="00E77933">
        <w:rPr>
          <w:b/>
          <w:bCs/>
        </w:rPr>
        <w:instrText xml:space="preserve"> REF _Ref197941892 \h </w:instrText>
      </w:r>
      <w:r w:rsidR="00874CBB">
        <w:rPr>
          <w:b/>
          <w:bCs/>
        </w:rPr>
        <w:instrText xml:space="preserve"> \* MERGEFORMAT </w:instrText>
      </w:r>
      <w:r w:rsidR="00874CBB" w:rsidRPr="00E77933">
        <w:rPr>
          <w:b/>
          <w:bCs/>
        </w:rPr>
      </w:r>
      <w:r w:rsidR="00874CBB" w:rsidRPr="00E77933">
        <w:rPr>
          <w:b/>
          <w:bCs/>
        </w:rPr>
        <w:fldChar w:fldCharType="separate"/>
      </w:r>
      <w:r w:rsidR="00BF7E93" w:rsidRPr="00BF7E93">
        <w:rPr>
          <w:b/>
          <w:bCs/>
        </w:rPr>
        <w:t xml:space="preserve">Figure </w:t>
      </w:r>
      <w:r w:rsidR="00BF7E93" w:rsidRPr="00BF7E93">
        <w:rPr>
          <w:b/>
          <w:bCs/>
          <w:noProof/>
        </w:rPr>
        <w:t>4.28</w:t>
      </w:r>
      <w:r w:rsidR="00874CBB" w:rsidRPr="00E77933">
        <w:rPr>
          <w:b/>
          <w:bCs/>
        </w:rPr>
        <w:fldChar w:fldCharType="end"/>
      </w:r>
      <w:r w:rsidR="00874CBB" w:rsidRPr="00E77933">
        <w:rPr>
          <w:b/>
          <w:bCs/>
        </w:rPr>
        <w:t>,</w:t>
      </w:r>
      <w:r w:rsidR="00874CBB">
        <w:t xml:space="preserve"> are most sensitive at pressures below ~0.5 MPa. Above ~0.5 MPa, the differences between jump distance methodologies start to converge. Most accommodation coefficients include a mass dependence similar to the hard-sphere approximation which causes energy transfer to become less efficient with greater difference in particle molecular weight. As such there is a higher jump distance between He gas and UO</w:t>
      </w:r>
      <w:r w:rsidR="00874CBB">
        <w:rPr>
          <w:vertAlign w:val="subscript"/>
        </w:rPr>
        <w:t>2</w:t>
      </w:r>
      <w:r w:rsidR="00874CBB">
        <w:t xml:space="preserve"> surfaces than He gas and Mo surfaces at all pressures.</w:t>
      </w:r>
      <w:r w:rsidR="00645DFA">
        <w:br w:type="page"/>
      </w:r>
    </w:p>
    <w:p w14:paraId="6F5697AB" w14:textId="77777777" w:rsidR="007548A7" w:rsidRDefault="007548A7" w:rsidP="007548A7">
      <w:pPr>
        <w:jc w:val="center"/>
      </w:pPr>
      <w:r>
        <w:rPr>
          <w:noProof/>
        </w:rPr>
        <w:lastRenderedPageBreak/>
        <w:drawing>
          <wp:inline distT="0" distB="0" distL="0" distR="0" wp14:anchorId="0A6D953D" wp14:editId="2902F2CB">
            <wp:extent cx="4718685" cy="3616779"/>
            <wp:effectExtent l="0" t="0" r="5715" b="3175"/>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rotWithShape="1">
                    <a:blip r:embed="rId75" cstate="print">
                      <a:extLst>
                        <a:ext uri="{28A0092B-C50C-407E-A947-70E740481C1C}">
                          <a14:useLocalDpi xmlns:a14="http://schemas.microsoft.com/office/drawing/2010/main" val="0"/>
                        </a:ext>
                      </a:extLst>
                    </a:blip>
                    <a:srcRect l="4613" t="10119" r="9375" b="1979"/>
                    <a:stretch/>
                  </pic:blipFill>
                  <pic:spPr bwMode="auto">
                    <a:xfrm>
                      <a:off x="0" y="0"/>
                      <a:ext cx="4718945" cy="3616978"/>
                    </a:xfrm>
                    <a:prstGeom prst="rect">
                      <a:avLst/>
                    </a:prstGeom>
                    <a:ln>
                      <a:noFill/>
                    </a:ln>
                    <a:extLst>
                      <a:ext uri="{53640926-AAD7-44D8-BBD7-CCE9431645EC}">
                        <a14:shadowObscured xmlns:a14="http://schemas.microsoft.com/office/drawing/2010/main"/>
                      </a:ext>
                    </a:extLst>
                  </pic:spPr>
                </pic:pic>
              </a:graphicData>
            </a:graphic>
          </wp:inline>
        </w:drawing>
      </w:r>
    </w:p>
    <w:p w14:paraId="680565F7" w14:textId="090514E4" w:rsidR="007548A7" w:rsidRDefault="00CE60BA" w:rsidP="00874CBB">
      <w:pPr>
        <w:pStyle w:val="Caption"/>
      </w:pPr>
      <w:bookmarkStart w:id="247" w:name="_Ref197941881"/>
      <w:bookmarkStart w:id="248" w:name="_Ref197342208"/>
      <w:bookmarkStart w:id="249" w:name="_Toc202957590"/>
      <w:r>
        <w:t xml:space="preserve">Figure </w:t>
      </w:r>
      <w:fldSimple w:instr=" STYLEREF 1 \s ">
        <w:r w:rsidR="00BF7E93">
          <w:rPr>
            <w:noProof/>
          </w:rPr>
          <w:t>4</w:t>
        </w:r>
      </w:fldSimple>
      <w:r>
        <w:t>.</w:t>
      </w:r>
      <w:fldSimple w:instr=" SEQ Figure \* ARABIC \s 1 ">
        <w:r w:rsidR="00BF7E93">
          <w:rPr>
            <w:noProof/>
          </w:rPr>
          <w:t>27</w:t>
        </w:r>
      </w:fldSimple>
      <w:bookmarkEnd w:id="247"/>
      <w:r w:rsidR="007548A7" w:rsidRPr="0074556C">
        <w:t>.</w:t>
      </w:r>
      <w:r w:rsidR="007548A7">
        <w:t xml:space="preserve"> Influence of initial gas pressure on temperature jump distance for a He-Mo interface at 1000 </w:t>
      </w:r>
      <w:r w:rsidR="007548A7" w:rsidRPr="0074556C">
        <w:t>°C</w:t>
      </w:r>
      <w:r w:rsidR="007548A7">
        <w:t>.</w:t>
      </w:r>
      <w:bookmarkEnd w:id="248"/>
      <w:bookmarkEnd w:id="249"/>
    </w:p>
    <w:p w14:paraId="3225B5D5" w14:textId="77777777" w:rsidR="007548A7" w:rsidRDefault="007548A7" w:rsidP="007548A7"/>
    <w:p w14:paraId="6BBD84F1" w14:textId="1E1B5AA5" w:rsidR="0019075F" w:rsidRDefault="0019075F">
      <w:pPr>
        <w:spacing w:line="240" w:lineRule="auto"/>
      </w:pPr>
      <w:r>
        <w:br w:type="page"/>
      </w:r>
    </w:p>
    <w:p w14:paraId="60A20636" w14:textId="77777777" w:rsidR="007548A7" w:rsidRDefault="007548A7" w:rsidP="00D3135C">
      <w:pPr>
        <w:jc w:val="center"/>
      </w:pPr>
      <w:r>
        <w:rPr>
          <w:noProof/>
        </w:rPr>
        <w:lastRenderedPageBreak/>
        <w:drawing>
          <wp:inline distT="0" distB="0" distL="0" distR="0" wp14:anchorId="712920F9" wp14:editId="51E2D862">
            <wp:extent cx="4710430" cy="3616779"/>
            <wp:effectExtent l="0" t="0" r="1270" b="3175"/>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rotWithShape="1">
                    <a:blip r:embed="rId76" cstate="print">
                      <a:extLst>
                        <a:ext uri="{28A0092B-C50C-407E-A947-70E740481C1C}">
                          <a14:useLocalDpi xmlns:a14="http://schemas.microsoft.com/office/drawing/2010/main" val="0"/>
                        </a:ext>
                      </a:extLst>
                    </a:blip>
                    <a:srcRect l="4614" t="10317" r="9524" b="1780"/>
                    <a:stretch/>
                  </pic:blipFill>
                  <pic:spPr bwMode="auto">
                    <a:xfrm>
                      <a:off x="0" y="0"/>
                      <a:ext cx="4710775" cy="3617044"/>
                    </a:xfrm>
                    <a:prstGeom prst="rect">
                      <a:avLst/>
                    </a:prstGeom>
                    <a:ln>
                      <a:noFill/>
                    </a:ln>
                    <a:extLst>
                      <a:ext uri="{53640926-AAD7-44D8-BBD7-CCE9431645EC}">
                        <a14:shadowObscured xmlns:a14="http://schemas.microsoft.com/office/drawing/2010/main"/>
                      </a:ext>
                    </a:extLst>
                  </pic:spPr>
                </pic:pic>
              </a:graphicData>
            </a:graphic>
          </wp:inline>
        </w:drawing>
      </w:r>
    </w:p>
    <w:p w14:paraId="42D53EC7" w14:textId="727A5FA2" w:rsidR="007548A7" w:rsidRDefault="00CE60BA" w:rsidP="00874CBB">
      <w:pPr>
        <w:pStyle w:val="Caption"/>
      </w:pPr>
      <w:bookmarkStart w:id="250" w:name="_Ref197941892"/>
      <w:bookmarkStart w:id="251" w:name="_Toc202957591"/>
      <w:r>
        <w:t xml:space="preserve">Figure </w:t>
      </w:r>
      <w:fldSimple w:instr=" STYLEREF 1 \s ">
        <w:r w:rsidR="00BF7E93">
          <w:rPr>
            <w:noProof/>
          </w:rPr>
          <w:t>4</w:t>
        </w:r>
      </w:fldSimple>
      <w:r>
        <w:t>.</w:t>
      </w:r>
      <w:fldSimple w:instr=" SEQ Figure \* ARABIC \s 1 ">
        <w:r w:rsidR="00BF7E93">
          <w:rPr>
            <w:noProof/>
          </w:rPr>
          <w:t>28</w:t>
        </w:r>
      </w:fldSimple>
      <w:bookmarkEnd w:id="250"/>
      <w:r w:rsidR="007548A7" w:rsidRPr="0074556C">
        <w:t>.</w:t>
      </w:r>
      <w:r w:rsidR="007548A7">
        <w:t xml:space="preserve"> Influence of initial gas pressure on temperature jump distance for a He-UO</w:t>
      </w:r>
      <w:r w:rsidR="007548A7">
        <w:rPr>
          <w:vertAlign w:val="subscript"/>
        </w:rPr>
        <w:t>2</w:t>
      </w:r>
      <w:r w:rsidR="007548A7">
        <w:t xml:space="preserve"> interface at 1000 </w:t>
      </w:r>
      <w:r w:rsidR="007548A7" w:rsidRPr="0074556C">
        <w:t>°C</w:t>
      </w:r>
      <w:r w:rsidR="007548A7">
        <w:t>.</w:t>
      </w:r>
      <w:bookmarkEnd w:id="251"/>
    </w:p>
    <w:p w14:paraId="3BCEC8B7" w14:textId="77777777" w:rsidR="0019075F" w:rsidRPr="0019075F" w:rsidRDefault="0019075F" w:rsidP="0019075F"/>
    <w:p w14:paraId="009ECFF4" w14:textId="06F6F9A3" w:rsidR="00645DFA" w:rsidRDefault="00645DFA">
      <w:r>
        <w:br w:type="page"/>
      </w:r>
    </w:p>
    <w:p w14:paraId="68CDDE92" w14:textId="24B3E329" w:rsidR="00D623B1" w:rsidRDefault="00D623B1" w:rsidP="00F22A75">
      <w:bookmarkStart w:id="252" w:name="_Ref197429662"/>
      <w:r>
        <w:lastRenderedPageBreak/>
        <w:t>Additional variance may be introduced in the at-temperature gas pressure due to simplifying assumptions of the r-z model. Since the gas is dispersed throughout the capsule, the actual gas temperature at the fuel-dish interface is unknown. The model gas temperature is assumed to be the average between the fuel and dish interface temperatures. The fuel interface temperature can potentially be much higher than the dish temperature, but the effects resulting from this variance can be mitigated with sufficiently high initial pressure.</w:t>
      </w:r>
    </w:p>
    <w:p w14:paraId="290845CB" w14:textId="11B85CD4" w:rsidR="0019075F" w:rsidRDefault="0019075F" w:rsidP="00F22A75">
      <w:pPr>
        <w:pStyle w:val="Heading3"/>
        <w:spacing w:before="0" w:after="0"/>
      </w:pPr>
      <w:bookmarkStart w:id="253" w:name="_Toc202957501"/>
      <w:r>
        <w:t>Capsule Design Recommendations</w:t>
      </w:r>
      <w:bookmarkEnd w:id="252"/>
      <w:bookmarkEnd w:id="253"/>
    </w:p>
    <w:p w14:paraId="3D6A4594" w14:textId="6F2D18DD" w:rsidR="0019075F" w:rsidRDefault="0019075F" w:rsidP="00F22A75">
      <w:r w:rsidRPr="00E77933">
        <w:rPr>
          <w:b/>
          <w:bCs/>
        </w:rPr>
        <w:fldChar w:fldCharType="begin"/>
      </w:r>
      <w:r w:rsidRPr="00E77933">
        <w:rPr>
          <w:b/>
          <w:bCs/>
        </w:rPr>
        <w:instrText xml:space="preserve"> REF _Ref197941340 \h </w:instrText>
      </w:r>
      <w:r w:rsidR="00E77933">
        <w:rPr>
          <w:b/>
          <w:bCs/>
        </w:rPr>
        <w:instrText xml:space="preserve"> \* MERGEFORMAT </w:instrText>
      </w:r>
      <w:r w:rsidRPr="00E77933">
        <w:rPr>
          <w:b/>
          <w:bCs/>
        </w:rPr>
      </w:r>
      <w:r w:rsidRPr="00E77933">
        <w:rPr>
          <w:b/>
          <w:bCs/>
        </w:rPr>
        <w:fldChar w:fldCharType="separate"/>
      </w:r>
      <w:r w:rsidR="00BF7E93" w:rsidRPr="00BF7E93">
        <w:rPr>
          <w:b/>
          <w:bCs/>
        </w:rPr>
        <w:t xml:space="preserve">Figure </w:t>
      </w:r>
      <w:r w:rsidR="00BF7E93" w:rsidRPr="00BF7E93">
        <w:rPr>
          <w:b/>
          <w:bCs/>
          <w:noProof/>
        </w:rPr>
        <w:t>4.17</w:t>
      </w:r>
      <w:r w:rsidRPr="00E77933">
        <w:rPr>
          <w:b/>
          <w:bCs/>
        </w:rPr>
        <w:fldChar w:fldCharType="end"/>
      </w:r>
      <w:r>
        <w:t xml:space="preserve"> outlines the parameters that contribute the greatest variance to the model fuel temperature predictions. The parameters are, in order of greatest to least impact, the initial gas pressure, the contact pressure between the fuel and dish, the C</w:t>
      </w:r>
      <w:r w:rsidRPr="00652871">
        <w:rPr>
          <w:vertAlign w:val="subscript"/>
        </w:rPr>
        <w:t>2</w:t>
      </w:r>
      <w:r>
        <w:t xml:space="preserve"> empirical constant, and the surface roughness of the fuel and dish. The nominal values currently used for design analysis and calculations for subcapsules are 0.1 MPa initial gas pressure, 0 MPa contact pressure (i.e., the negligible weight of the specimen resting on the dish) and </w:t>
      </w:r>
      <w:r w:rsidRPr="004859C3">
        <w:t>2.26</w:t>
      </w:r>
      <w:r>
        <w:t xml:space="preserve"> </w:t>
      </w:r>
      <w:r>
        <w:sym w:font="Symbol" w:char="F06D"/>
      </w:r>
      <w:r>
        <w:t>m effective surface roughness, equating 0 W/m</w:t>
      </w:r>
      <w:r w:rsidRPr="00723CFA">
        <w:rPr>
          <w:vertAlign w:val="superscript"/>
        </w:rPr>
        <w:t>2</w:t>
      </w:r>
      <w:r>
        <w:t>-</w:t>
      </w:r>
      <w:r w:rsidRPr="008C04B3">
        <w:rPr>
          <w:rFonts w:ascii="Calibri" w:hAnsi="Calibri" w:cs="Calibri"/>
          <w:color w:val="000000"/>
        </w:rPr>
        <w:t>°</w:t>
      </w:r>
      <w:r w:rsidRPr="00CE3294">
        <w:t>C</w:t>
      </w:r>
      <w:r w:rsidRPr="00CE3294">
        <w:rPr>
          <w:rStyle w:val="CommentReference"/>
          <w:sz w:val="24"/>
          <w:szCs w:val="24"/>
        </w:rPr>
        <w:t xml:space="preserve"> </w:t>
      </w:r>
      <w:r>
        <w:rPr>
          <w:rStyle w:val="CommentReference"/>
          <w:sz w:val="24"/>
          <w:szCs w:val="24"/>
        </w:rPr>
        <w:t>SSC</w:t>
      </w:r>
      <w:r>
        <w:t xml:space="preserve">. </w:t>
      </w:r>
    </w:p>
    <w:p w14:paraId="791105E1" w14:textId="1D1B7816" w:rsidR="00645DFA" w:rsidRPr="00645DFA" w:rsidRDefault="00645DFA" w:rsidP="00F22A75">
      <w:r>
        <w:t>Using the results from the discussion, the following set of design recommendations is developed for minimizing fuel temperature variance in future experiments:</w:t>
      </w:r>
    </w:p>
    <w:p w14:paraId="63BAB89B" w14:textId="7B0F26E5" w:rsidR="007548A7" w:rsidRPr="008152DE" w:rsidRDefault="007548A7" w:rsidP="00F22A75">
      <w:pPr>
        <w:numPr>
          <w:ilvl w:val="1"/>
          <w:numId w:val="11"/>
        </w:numPr>
      </w:pPr>
      <w:r w:rsidRPr="008152DE">
        <w:rPr>
          <w:rFonts w:hint="eastAsia"/>
          <w:b/>
          <w:bCs/>
          <w:u w:val="single"/>
        </w:rPr>
        <w:t>Inc</w:t>
      </w:r>
      <w:r>
        <w:rPr>
          <w:b/>
          <w:bCs/>
          <w:u w:val="single"/>
        </w:rPr>
        <w:t xml:space="preserve">rease </w:t>
      </w:r>
      <w:r w:rsidRPr="008152DE">
        <w:rPr>
          <w:rFonts w:hint="eastAsia"/>
          <w:b/>
          <w:bCs/>
          <w:u w:val="single"/>
        </w:rPr>
        <w:t>initial gas pressure</w:t>
      </w:r>
      <w:r>
        <w:rPr>
          <w:b/>
          <w:bCs/>
          <w:u w:val="single"/>
        </w:rPr>
        <w:t xml:space="preserve"> from 0.1 to ~0.5 MPa</w:t>
      </w:r>
      <w:r w:rsidRPr="007779A4">
        <w:rPr>
          <w:b/>
          <w:bCs/>
        </w:rPr>
        <w:t xml:space="preserve"> </w:t>
      </w:r>
      <w:r w:rsidRPr="008152DE">
        <w:rPr>
          <w:rFonts w:hint="eastAsia"/>
        </w:rPr>
        <w:t>such that the thermal jump distance uncertainty is low</w:t>
      </w:r>
      <w:r>
        <w:t xml:space="preserve"> as demonstrated in </w:t>
      </w:r>
      <w:r w:rsidR="00CE60BA" w:rsidRPr="00E77933">
        <w:rPr>
          <w:b/>
          <w:bCs/>
        </w:rPr>
        <w:fldChar w:fldCharType="begin"/>
      </w:r>
      <w:r w:rsidR="00CE60BA" w:rsidRPr="00E77933">
        <w:rPr>
          <w:b/>
          <w:bCs/>
        </w:rPr>
        <w:instrText xml:space="preserve"> REF _Ref197941881 \h </w:instrText>
      </w:r>
      <w:r w:rsidR="00E77933">
        <w:rPr>
          <w:b/>
          <w:bCs/>
        </w:rPr>
        <w:instrText xml:space="preserve"> \* MERGEFORMAT </w:instrText>
      </w:r>
      <w:r w:rsidR="00CE60BA" w:rsidRPr="00E77933">
        <w:rPr>
          <w:b/>
          <w:bCs/>
        </w:rPr>
      </w:r>
      <w:r w:rsidR="00CE60BA" w:rsidRPr="00E77933">
        <w:rPr>
          <w:b/>
          <w:bCs/>
        </w:rPr>
        <w:fldChar w:fldCharType="separate"/>
      </w:r>
      <w:r w:rsidR="00BF7E93" w:rsidRPr="00BF7E93">
        <w:rPr>
          <w:b/>
          <w:bCs/>
        </w:rPr>
        <w:t xml:space="preserve">Figure </w:t>
      </w:r>
      <w:r w:rsidR="00BF7E93" w:rsidRPr="00BF7E93">
        <w:rPr>
          <w:b/>
          <w:bCs/>
          <w:noProof/>
        </w:rPr>
        <w:t>4.27</w:t>
      </w:r>
      <w:r w:rsidR="00CE60BA" w:rsidRPr="00E77933">
        <w:rPr>
          <w:b/>
          <w:bCs/>
        </w:rPr>
        <w:fldChar w:fldCharType="end"/>
      </w:r>
      <w:r>
        <w:t xml:space="preserve"> and </w:t>
      </w:r>
      <w:r w:rsidR="00CE60BA" w:rsidRPr="00E77933">
        <w:rPr>
          <w:b/>
          <w:bCs/>
        </w:rPr>
        <w:fldChar w:fldCharType="begin"/>
      </w:r>
      <w:r w:rsidR="00CE60BA" w:rsidRPr="00E77933">
        <w:rPr>
          <w:b/>
          <w:bCs/>
        </w:rPr>
        <w:instrText xml:space="preserve"> REF _Ref197941892 \h </w:instrText>
      </w:r>
      <w:r w:rsidR="00E77933">
        <w:rPr>
          <w:b/>
          <w:bCs/>
        </w:rPr>
        <w:instrText xml:space="preserve"> \* MERGEFORMAT </w:instrText>
      </w:r>
      <w:r w:rsidR="00CE60BA" w:rsidRPr="00E77933">
        <w:rPr>
          <w:b/>
          <w:bCs/>
        </w:rPr>
      </w:r>
      <w:r w:rsidR="00CE60BA" w:rsidRPr="00E77933">
        <w:rPr>
          <w:b/>
          <w:bCs/>
        </w:rPr>
        <w:fldChar w:fldCharType="separate"/>
      </w:r>
      <w:r w:rsidR="00BF7E93" w:rsidRPr="00BF7E93">
        <w:rPr>
          <w:b/>
          <w:bCs/>
        </w:rPr>
        <w:t xml:space="preserve">Figure </w:t>
      </w:r>
      <w:r w:rsidR="00BF7E93" w:rsidRPr="00BF7E93">
        <w:rPr>
          <w:b/>
          <w:bCs/>
          <w:noProof/>
        </w:rPr>
        <w:t>4.28</w:t>
      </w:r>
      <w:r w:rsidR="00CE60BA" w:rsidRPr="00E77933">
        <w:rPr>
          <w:b/>
          <w:bCs/>
        </w:rPr>
        <w:fldChar w:fldCharType="end"/>
      </w:r>
      <w:r w:rsidRPr="00E77933">
        <w:t>.</w:t>
      </w:r>
      <w:r w:rsidRPr="00E77933">
        <w:rPr>
          <w:rFonts w:hint="eastAsia"/>
        </w:rPr>
        <w:t xml:space="preserve"> </w:t>
      </w:r>
      <w:r>
        <w:t xml:space="preserve">This is the most impactful design improvement and can be implemented without changing the capsule design so long as the welds can </w:t>
      </w:r>
      <w:r>
        <w:lastRenderedPageBreak/>
        <w:t>ensure hermiticity.</w:t>
      </w:r>
      <w:r w:rsidRPr="00FC7D8D">
        <w:rPr>
          <w:rFonts w:hint="eastAsia"/>
        </w:rPr>
        <w:t xml:space="preserve"> </w:t>
      </w:r>
      <w:r>
        <w:t>Increased initial gas pressure</w:t>
      </w:r>
      <w:r w:rsidRPr="008152DE">
        <w:rPr>
          <w:rFonts w:hint="eastAsia"/>
        </w:rPr>
        <w:t xml:space="preserve"> will also help to suppress the </w:t>
      </w:r>
      <w:r>
        <w:t>degradation</w:t>
      </w:r>
      <w:r w:rsidRPr="008152DE">
        <w:rPr>
          <w:rFonts w:hint="eastAsia"/>
        </w:rPr>
        <w:t xml:space="preserve"> of gas conductance induced by FGR.</w:t>
      </w:r>
    </w:p>
    <w:p w14:paraId="0D48FF08" w14:textId="4F8E8942" w:rsidR="007548A7" w:rsidRPr="00FC7D8D" w:rsidRDefault="007548A7" w:rsidP="00F22A75">
      <w:pPr>
        <w:numPr>
          <w:ilvl w:val="1"/>
          <w:numId w:val="11"/>
        </w:numPr>
      </w:pPr>
      <w:r w:rsidRPr="008152DE">
        <w:rPr>
          <w:rFonts w:hint="eastAsia"/>
          <w:b/>
          <w:bCs/>
          <w:u w:val="single"/>
        </w:rPr>
        <w:t xml:space="preserve">Increase </w:t>
      </w:r>
      <w:r>
        <w:rPr>
          <w:b/>
          <w:bCs/>
          <w:u w:val="single"/>
        </w:rPr>
        <w:t>SSC from 0 to ~1</w:t>
      </w:r>
      <w:r>
        <w:rPr>
          <w:b/>
          <w:bCs/>
          <w:u w:val="single"/>
        </w:rPr>
        <w:sym w:font="Symbol" w:char="F0B4"/>
      </w:r>
      <w:r>
        <w:rPr>
          <w:b/>
          <w:bCs/>
          <w:u w:val="single"/>
        </w:rPr>
        <w:t>10</w:t>
      </w:r>
      <w:r>
        <w:rPr>
          <w:b/>
          <w:bCs/>
          <w:u w:val="single"/>
          <w:vertAlign w:val="superscript"/>
        </w:rPr>
        <w:t>4</w:t>
      </w:r>
      <w:r>
        <w:rPr>
          <w:b/>
          <w:bCs/>
          <w:u w:val="single"/>
        </w:rPr>
        <w:t xml:space="preserve"> </w:t>
      </w:r>
      <w:r w:rsidRPr="00024E11">
        <w:rPr>
          <w:b/>
          <w:bCs/>
          <w:u w:val="single"/>
        </w:rPr>
        <w:t>W/m</w:t>
      </w:r>
      <w:r w:rsidRPr="00024E11">
        <w:rPr>
          <w:b/>
          <w:bCs/>
          <w:u w:val="single"/>
          <w:vertAlign w:val="superscript"/>
        </w:rPr>
        <w:t>2</w:t>
      </w:r>
      <w:r w:rsidRPr="00024E11">
        <w:rPr>
          <w:b/>
          <w:bCs/>
          <w:u w:val="single"/>
        </w:rPr>
        <w:t>-</w:t>
      </w:r>
      <w:r w:rsidRPr="00024E11">
        <w:rPr>
          <w:rFonts w:ascii="Calibri" w:hAnsi="Calibri" w:cs="Calibri"/>
          <w:b/>
          <w:bCs/>
          <w:color w:val="000000"/>
          <w:u w:val="single"/>
        </w:rPr>
        <w:t>°</w:t>
      </w:r>
      <w:r w:rsidRPr="00024E11">
        <w:rPr>
          <w:b/>
          <w:bCs/>
          <w:u w:val="single"/>
        </w:rPr>
        <w:t>C</w:t>
      </w:r>
      <w:r>
        <w:t xml:space="preserve"> such that interface temperature variance is low under low gas pressure conditions. This can be established through some combination of contact pressure and effective surface roughness as outlined in </w:t>
      </w:r>
      <w:r w:rsidR="00CE60BA" w:rsidRPr="00E77933">
        <w:rPr>
          <w:rFonts w:cs="Times New Roman"/>
          <w:b/>
          <w:bCs/>
        </w:rPr>
        <w:fldChar w:fldCharType="begin"/>
      </w:r>
      <w:r w:rsidR="00CE60BA" w:rsidRPr="00E77933">
        <w:rPr>
          <w:rFonts w:cs="Times New Roman"/>
          <w:b/>
          <w:bCs/>
        </w:rPr>
        <w:instrText xml:space="preserve"> REF _Ref197941746 \h </w:instrText>
      </w:r>
      <w:r w:rsidR="00E77933" w:rsidRPr="00E77933">
        <w:rPr>
          <w:rFonts w:cs="Times New Roman"/>
          <w:b/>
          <w:bCs/>
        </w:rPr>
        <w:instrText xml:space="preserve"> \* MERGEFORMAT </w:instrText>
      </w:r>
      <w:r w:rsidR="00CE60BA" w:rsidRPr="00E77933">
        <w:rPr>
          <w:rFonts w:cs="Times New Roman"/>
          <w:b/>
          <w:bCs/>
        </w:rPr>
      </w:r>
      <w:r w:rsidR="00CE60BA" w:rsidRPr="00E77933">
        <w:rPr>
          <w:rFonts w:cs="Times New Roman"/>
          <w:b/>
          <w:bCs/>
        </w:rPr>
        <w:fldChar w:fldCharType="separate"/>
      </w:r>
      <w:r w:rsidR="00BF7E93" w:rsidRPr="00BF7E93">
        <w:rPr>
          <w:rFonts w:cs="Times New Roman"/>
          <w:b/>
          <w:bCs/>
        </w:rPr>
        <w:t xml:space="preserve">Figure </w:t>
      </w:r>
      <w:r w:rsidR="00BF7E93" w:rsidRPr="00BF7E93">
        <w:rPr>
          <w:rFonts w:cs="Times New Roman"/>
          <w:b/>
          <w:bCs/>
          <w:noProof/>
        </w:rPr>
        <w:t>4.25</w:t>
      </w:r>
      <w:r w:rsidR="00CE60BA" w:rsidRPr="00E77933">
        <w:rPr>
          <w:rFonts w:cs="Times New Roman"/>
          <w:b/>
          <w:bCs/>
        </w:rPr>
        <w:fldChar w:fldCharType="end"/>
      </w:r>
      <w:r w:rsidRPr="00E77933">
        <w:rPr>
          <w:rFonts w:cs="Times New Roman"/>
        </w:rPr>
        <w:t xml:space="preserve">. </w:t>
      </w:r>
      <w:r>
        <w:t xml:space="preserve">Any additional SSC will work to further reduce the variance at any initial gas pressure as demonstrated by </w:t>
      </w:r>
      <w:r w:rsidR="00CE60BA" w:rsidRPr="00E77933">
        <w:rPr>
          <w:b/>
          <w:bCs/>
        </w:rPr>
        <w:fldChar w:fldCharType="begin"/>
      </w:r>
      <w:r w:rsidR="00CE60BA" w:rsidRPr="00E77933">
        <w:rPr>
          <w:b/>
          <w:bCs/>
        </w:rPr>
        <w:instrText xml:space="preserve"> REF _Ref197941736 \h </w:instrText>
      </w:r>
      <w:r w:rsidR="00E77933">
        <w:rPr>
          <w:b/>
          <w:bCs/>
        </w:rPr>
        <w:instrText xml:space="preserve"> \* MERGEFORMAT </w:instrText>
      </w:r>
      <w:r w:rsidR="00CE60BA" w:rsidRPr="00E77933">
        <w:rPr>
          <w:b/>
          <w:bCs/>
        </w:rPr>
      </w:r>
      <w:r w:rsidR="00CE60BA" w:rsidRPr="00E77933">
        <w:rPr>
          <w:b/>
          <w:bCs/>
        </w:rPr>
        <w:fldChar w:fldCharType="separate"/>
      </w:r>
      <w:r w:rsidR="00BF7E93" w:rsidRPr="00BF7E93">
        <w:rPr>
          <w:b/>
          <w:bCs/>
        </w:rPr>
        <w:t xml:space="preserve">Figure </w:t>
      </w:r>
      <w:r w:rsidR="00BF7E93" w:rsidRPr="00BF7E93">
        <w:rPr>
          <w:b/>
          <w:bCs/>
          <w:noProof/>
        </w:rPr>
        <w:t>4.24</w:t>
      </w:r>
      <w:r w:rsidR="00CE60BA" w:rsidRPr="00E77933">
        <w:rPr>
          <w:b/>
          <w:bCs/>
        </w:rPr>
        <w:fldChar w:fldCharType="end"/>
      </w:r>
      <w:r>
        <w:t>.</w:t>
      </w:r>
    </w:p>
    <w:p w14:paraId="3B887B71" w14:textId="6379CB31" w:rsidR="007548A7" w:rsidRDefault="007548A7" w:rsidP="00F22A75">
      <w:r>
        <w:t>Using the subcapsule gas pressure as a main method of variance reduction is favorable since the current subcapsule design does not have to change to accommodate the new subcapsule pressures. Additional variance reduction achieved via enhanced contact pressure would require a redesign of the MiniFuel subcapsule such that the fuel disk is contacted on both axial faces and under a mechanical load.  This would provide two surfaces for heat transfer out of the specimen and would reduce the peak heat flux by ~1/2. The combination of enhanced contact pressure and a reduction in heat flux at each surface could mitigate error at the interface further.</w:t>
      </w:r>
    </w:p>
    <w:p w14:paraId="7DF464B4" w14:textId="77777777" w:rsidR="007548A7" w:rsidRPr="001976AA" w:rsidRDefault="007548A7" w:rsidP="00F22A75">
      <w:r>
        <w:t xml:space="preserve">Furthermore, if initial gas pressure is sufficiently high, it may obviate the need to include a tightly coupled FGR model for these experiments. Based on the current FGR models, the total fuel mass (assuming nominal dimensions of 1.4mm height and 0.3mm radius at all considered target interface temperatures) does not generate enough FGR over the given 80 GWd/MTU irradiation to significantly degrade the gas conductance under the </w:t>
      </w:r>
      <w:r>
        <w:lastRenderedPageBreak/>
        <w:t>recommended initial gas pressure of ~0.5 MPa. In this case, it would be possible to provide a conservative estimate of FGR using the lookup table method. However, this would need to be reevaluated with any design changes to the subcapsule which increase fuel temperature or fuel mass as FGR may increase.</w:t>
      </w:r>
    </w:p>
    <w:p w14:paraId="23C8589C" w14:textId="7A453297" w:rsidR="007548A7" w:rsidRDefault="007548A7" w:rsidP="00F22A75">
      <w:pPr>
        <w:pStyle w:val="Heading3"/>
        <w:spacing w:before="0" w:after="0"/>
      </w:pPr>
      <w:bookmarkStart w:id="254" w:name="_Toc202957502"/>
      <w:r>
        <w:t>Appl</w:t>
      </w:r>
      <w:r w:rsidR="0004286D">
        <w:t>ying Recommendations</w:t>
      </w:r>
      <w:r>
        <w:t xml:space="preserve"> to ANSYS</w:t>
      </w:r>
      <w:bookmarkEnd w:id="254"/>
    </w:p>
    <w:p w14:paraId="57FC1F07" w14:textId="7C2383F8" w:rsidR="007548A7" w:rsidRDefault="007548A7" w:rsidP="00F22A75">
      <w:r>
        <w:t xml:space="preserve">The goal of this section is to quantify the potential reduction in the uncertainty of average fuel temperature predictions by applying the design recommendations to ANSYS. First, the model from the previous work </w:t>
      </w:r>
      <w:r>
        <w:fldChar w:fldCharType="begin"/>
      </w:r>
      <w:r w:rsidR="005C2BB1">
        <w:instrText xml:space="preserve"> ADDIN EN.CITE &lt;EndNote&gt;&lt;Cite&gt;&lt;Author&gt;Meehan&lt;/Author&gt;&lt;Year&gt;2025&lt;/Year&gt;&lt;RecNum&gt;542&lt;/RecNum&gt;&lt;DisplayText&gt;[25]&lt;/DisplayText&gt;&lt;record&gt;&lt;rec-number&gt;542&lt;/rec-number&gt;&lt;foreign-keys&gt;&lt;key app="EN" db-id="eseee05sfe5vt6efvr0xapvq20vfdsfp5fvf" timestamp="1742483734"&gt;542&lt;/key&gt;&lt;/foreign-keys&gt;&lt;ref-type name="Journal Article"&gt;17&lt;/ref-type&gt;&lt;contributors&gt;&lt;authors&gt;&lt;author&gt;Meehan, Nicholas A.&lt;/author&gt;&lt;author&gt;Gorton, Jacob P.&lt;/author&gt;&lt;author&gt;Capps, Nathan A.&lt;/author&gt;&lt;author&gt;Brown, Nicholas R.&lt;/author&gt;&lt;/authors&gt;&lt;/contributors&gt;&lt;titles&gt;&lt;title&gt;Identifying high-impact and high-uncertainty parameters in MiniFuel model predictions&lt;/title&gt;&lt;secondary-title&gt;Journal of Nuclear Materials&lt;/secondary-title&gt;&lt;/titles&gt;&lt;periodical&gt;&lt;full-title&gt;Journal of Nuclear Materials&lt;/full-title&gt;&lt;/periodical&gt;&lt;pages&gt;155745&lt;/pages&gt;&lt;volume&gt;609&lt;/volume&gt;&lt;keywords&gt;&lt;keyword&gt;Fuel, Irradiation&lt;/keyword&gt;&lt;keyword&gt;Separate effects&lt;/keyword&gt;&lt;keyword&gt;Sensitivity analysis&lt;/keyword&gt;&lt;keyword&gt;Morris&lt;/keyword&gt;&lt;keyword&gt;Sobol&lt;/keyword&gt;&lt;/keywords&gt;&lt;dates&gt;&lt;year&gt;2025&lt;/year&gt;&lt;pub-dates&gt;&lt;date&gt;2025/05/01/&lt;/date&gt;&lt;/pub-dates&gt;&lt;/dates&gt;&lt;isbn&gt;0022-3115&lt;/isbn&gt;&lt;urls&gt;&lt;related-urls&gt;&lt;url&gt;https://www.sciencedirect.com/science/article/pii/S0022311525001400&lt;/url&gt;&lt;/related-urls&gt;&lt;/urls&gt;&lt;electronic-resource-num&gt;https://doi.org/10.1016/j.jnucmat.2025.155745&lt;/electronic-resource-num&gt;&lt;/record&gt;&lt;/Cite&gt;&lt;/EndNote&gt;</w:instrText>
      </w:r>
      <w:r>
        <w:fldChar w:fldCharType="separate"/>
      </w:r>
      <w:r w:rsidR="005C2BB1">
        <w:rPr>
          <w:noProof/>
        </w:rPr>
        <w:t>[25]</w:t>
      </w:r>
      <w:r>
        <w:fldChar w:fldCharType="end"/>
      </w:r>
      <w:r>
        <w:t xml:space="preserve"> is re-evaluated at the extremes of the associated sampling space using the RB and VXF boundary conditions. This will define a minimum and maximum temperature range within the considered uncertainties. Each model evaluation uses set fuel dimensions of 1.4 mm radius and 0.3 mm height and subcapsules are assumed to be backfilled with atmospheric pressure He. The minimum temperature case uses the minimum HGRs and burnup, maximum heat transfer parameters including SSC and thermal conductivity, and will approach ideal heat transfer. The maximum temperature case is a conservative estimate that uses the maximum HGRs and burnup, minimum heat transfer parameters including no SSC (which is nominally assumed for design analysis and calculation) and the minimum considered thermal conductivity. </w:t>
      </w:r>
    </w:p>
    <w:p w14:paraId="5B5C6128" w14:textId="2B99068F" w:rsidR="007548A7" w:rsidRDefault="007548A7" w:rsidP="00F22A75">
      <w:r>
        <w:t>Applying these conditions to the subcapsule for VXF and RB boundary conditions gives the following average fuel temperature ranges: 542</w:t>
      </w:r>
      <w:r w:rsidRPr="008C04B3">
        <w:rPr>
          <w:rFonts w:ascii="Calibri" w:hAnsi="Calibri" w:cs="Calibri"/>
          <w:color w:val="000000"/>
        </w:rPr>
        <w:t>°</w:t>
      </w:r>
      <w:r>
        <w:t>C - 641</w:t>
      </w:r>
      <w:r w:rsidRPr="008C04B3">
        <w:rPr>
          <w:rFonts w:ascii="Calibri" w:hAnsi="Calibri" w:cs="Calibri"/>
          <w:color w:val="000000"/>
        </w:rPr>
        <w:t>°</w:t>
      </w:r>
      <w:r>
        <w:t>C in VXF and 947</w:t>
      </w:r>
      <w:r w:rsidRPr="008C04B3">
        <w:rPr>
          <w:rFonts w:ascii="Calibri" w:hAnsi="Calibri" w:cs="Calibri"/>
          <w:color w:val="000000"/>
        </w:rPr>
        <w:t>°</w:t>
      </w:r>
      <w:r>
        <w:t>C - 1178</w:t>
      </w:r>
      <w:r w:rsidRPr="008C04B3">
        <w:rPr>
          <w:rFonts w:ascii="Calibri" w:hAnsi="Calibri" w:cs="Calibri"/>
          <w:color w:val="000000"/>
        </w:rPr>
        <w:t>°</w:t>
      </w:r>
      <w:r>
        <w:t>C in RB. The uncertainty range within the considered sample space is 99</w:t>
      </w:r>
      <w:r w:rsidRPr="008C04B3">
        <w:rPr>
          <w:rFonts w:ascii="Calibri" w:hAnsi="Calibri" w:cs="Calibri"/>
          <w:color w:val="000000"/>
        </w:rPr>
        <w:t>°</w:t>
      </w:r>
      <w:r>
        <w:t>C in VXF and 231</w:t>
      </w:r>
      <w:r w:rsidRPr="008C04B3">
        <w:rPr>
          <w:rFonts w:ascii="Calibri" w:hAnsi="Calibri" w:cs="Calibri"/>
          <w:color w:val="000000"/>
        </w:rPr>
        <w:t>°</w:t>
      </w:r>
      <w:r>
        <w:t xml:space="preserve">C in RB. These ranges correspond with the uncertainty extremes determined  in </w:t>
      </w:r>
      <w:r>
        <w:lastRenderedPageBreak/>
        <w:t xml:space="preserve">the previous work </w:t>
      </w:r>
      <w:r>
        <w:fldChar w:fldCharType="begin"/>
      </w:r>
      <w:r w:rsidR="005C2BB1">
        <w:instrText xml:space="preserve"> ADDIN EN.CITE &lt;EndNote&gt;&lt;Cite&gt;&lt;Author&gt;Meehan&lt;/Author&gt;&lt;Year&gt;2025&lt;/Year&gt;&lt;RecNum&gt;542&lt;/RecNum&gt;&lt;DisplayText&gt;[25]&lt;/DisplayText&gt;&lt;record&gt;&lt;rec-number&gt;542&lt;/rec-number&gt;&lt;foreign-keys&gt;&lt;key app="EN" db-id="eseee05sfe5vt6efvr0xapvq20vfdsfp5fvf" timestamp="1742483734"&gt;542&lt;/key&gt;&lt;/foreign-keys&gt;&lt;ref-type name="Journal Article"&gt;17&lt;/ref-type&gt;&lt;contributors&gt;&lt;authors&gt;&lt;author&gt;Meehan, Nicholas A.&lt;/author&gt;&lt;author&gt;Gorton, Jacob P.&lt;/author&gt;&lt;author&gt;Capps, Nathan A.&lt;/author&gt;&lt;author&gt;Brown, Nicholas R.&lt;/author&gt;&lt;/authors&gt;&lt;/contributors&gt;&lt;titles&gt;&lt;title&gt;Identifying high-impact and high-uncertainty parameters in MiniFuel model predictions&lt;/title&gt;&lt;secondary-title&gt;Journal of Nuclear Materials&lt;/secondary-title&gt;&lt;/titles&gt;&lt;periodical&gt;&lt;full-title&gt;Journal of Nuclear Materials&lt;/full-title&gt;&lt;/periodical&gt;&lt;pages&gt;155745&lt;/pages&gt;&lt;volume&gt;609&lt;/volume&gt;&lt;keywords&gt;&lt;keyword&gt;Fuel, Irradiation&lt;/keyword&gt;&lt;keyword&gt;Separate effects&lt;/keyword&gt;&lt;keyword&gt;Sensitivity analysis&lt;/keyword&gt;&lt;keyword&gt;Morris&lt;/keyword&gt;&lt;keyword&gt;Sobol&lt;/keyword&gt;&lt;/keywords&gt;&lt;dates&gt;&lt;year&gt;2025&lt;/year&gt;&lt;pub-dates&gt;&lt;date&gt;2025/05/01/&lt;/date&gt;&lt;/pub-dates&gt;&lt;/dates&gt;&lt;isbn&gt;0022-3115&lt;/isbn&gt;&lt;urls&gt;&lt;related-urls&gt;&lt;url&gt;https://www.sciencedirect.com/science/article/pii/S0022311525001400&lt;/url&gt;&lt;/related-urls&gt;&lt;/urls&gt;&lt;electronic-resource-num&gt;https://doi.org/10.1016/j.jnucmat.2025.155745&lt;/electronic-resource-num&gt;&lt;/record&gt;&lt;/Cite&gt;&lt;/EndNote&gt;</w:instrText>
      </w:r>
      <w:r>
        <w:fldChar w:fldCharType="separate"/>
      </w:r>
      <w:r w:rsidR="005C2BB1">
        <w:rPr>
          <w:noProof/>
        </w:rPr>
        <w:t>[25]</w:t>
      </w:r>
      <w:r>
        <w:fldChar w:fldCharType="end"/>
      </w:r>
      <w:r>
        <w:t>. The previous paper quantified uncertainty ranges of ±40</w:t>
      </w:r>
      <w:r w:rsidRPr="008C04B3">
        <w:rPr>
          <w:rFonts w:ascii="Calibri" w:hAnsi="Calibri" w:cs="Calibri"/>
          <w:color w:val="000000"/>
        </w:rPr>
        <w:t>°</w:t>
      </w:r>
      <w:r>
        <w:t>C in VXF and ±80</w:t>
      </w:r>
      <w:r w:rsidRPr="008C04B3">
        <w:rPr>
          <w:rFonts w:ascii="Calibri" w:hAnsi="Calibri" w:cs="Calibri"/>
          <w:color w:val="000000"/>
        </w:rPr>
        <w:t>°</w:t>
      </w:r>
      <w:r>
        <w:t>C in RB by calculating two standard deviations from the mean fuel temperatures. The larger ranges of 99</w:t>
      </w:r>
      <w:r w:rsidRPr="008C04B3">
        <w:rPr>
          <w:rFonts w:ascii="Calibri" w:hAnsi="Calibri" w:cs="Calibri"/>
          <w:color w:val="000000"/>
        </w:rPr>
        <w:t>°</w:t>
      </w:r>
      <w:r>
        <w:t>C and 231</w:t>
      </w:r>
      <w:r w:rsidRPr="008C04B3">
        <w:rPr>
          <w:rFonts w:ascii="Calibri" w:hAnsi="Calibri" w:cs="Calibri"/>
          <w:color w:val="000000"/>
        </w:rPr>
        <w:t>°</w:t>
      </w:r>
      <w:r>
        <w:t>C listed here are inclusive of the low-probability tails of the bell curves presented in the previous work. Applying the design recommendations to the ANSYS model provides the following average fuel temperature ranges: 542</w:t>
      </w:r>
      <w:r w:rsidRPr="008C04B3">
        <w:rPr>
          <w:rFonts w:ascii="Calibri" w:hAnsi="Calibri" w:cs="Calibri"/>
          <w:color w:val="000000"/>
        </w:rPr>
        <w:t>°</w:t>
      </w:r>
      <w:r>
        <w:t>C - 620</w:t>
      </w:r>
      <w:r w:rsidRPr="008C04B3">
        <w:rPr>
          <w:rFonts w:ascii="Calibri" w:hAnsi="Calibri" w:cs="Calibri"/>
          <w:color w:val="000000"/>
        </w:rPr>
        <w:t>°</w:t>
      </w:r>
      <w:r>
        <w:t>C in VXF and 947</w:t>
      </w:r>
      <w:r w:rsidRPr="008C04B3">
        <w:rPr>
          <w:rFonts w:ascii="Calibri" w:hAnsi="Calibri" w:cs="Calibri"/>
          <w:color w:val="000000"/>
        </w:rPr>
        <w:t>°</w:t>
      </w:r>
      <w:r>
        <w:t>C - 1102</w:t>
      </w:r>
      <w:r w:rsidRPr="008C04B3">
        <w:rPr>
          <w:rFonts w:ascii="Calibri" w:hAnsi="Calibri" w:cs="Calibri"/>
          <w:color w:val="000000"/>
        </w:rPr>
        <w:t>°</w:t>
      </w:r>
      <w:r>
        <w:t>C in RB. The new uncertainty ranges are 78</w:t>
      </w:r>
      <w:r w:rsidRPr="008C04B3">
        <w:rPr>
          <w:rFonts w:ascii="Calibri" w:hAnsi="Calibri" w:cs="Calibri"/>
          <w:color w:val="000000"/>
        </w:rPr>
        <w:t>°</w:t>
      </w:r>
      <w:r>
        <w:t>C in VXF and 155</w:t>
      </w:r>
      <w:r w:rsidRPr="008C04B3">
        <w:rPr>
          <w:rFonts w:ascii="Calibri" w:hAnsi="Calibri" w:cs="Calibri"/>
          <w:color w:val="000000"/>
        </w:rPr>
        <w:t>°</w:t>
      </w:r>
      <w:r>
        <w:t>C in RB, equating to a 21% and 33% reduction in the uncertainty range of the average fuel temperature for VXF and RB, respectively. Assuming that uncertainty calculated using two standard deviations would scale by the same degree, the ±2σ uncertainties for fuel specimen temperatures could reduce to approximately ±32</w:t>
      </w:r>
      <w:r w:rsidRPr="008C04B3">
        <w:rPr>
          <w:rFonts w:ascii="Calibri" w:hAnsi="Calibri" w:cs="Calibri"/>
          <w:color w:val="000000"/>
        </w:rPr>
        <w:t>°</w:t>
      </w:r>
      <w:r>
        <w:t>C and ±53</w:t>
      </w:r>
      <w:r w:rsidRPr="008C04B3">
        <w:rPr>
          <w:rFonts w:ascii="Calibri" w:hAnsi="Calibri" w:cs="Calibri"/>
          <w:color w:val="000000"/>
        </w:rPr>
        <w:t>°</w:t>
      </w:r>
      <w:r>
        <w:t xml:space="preserve">C for VXF and RB MiniFuel, respectively.  </w:t>
      </w:r>
    </w:p>
    <w:p w14:paraId="016F059B" w14:textId="67991CFB" w:rsidR="00645DFA" w:rsidRDefault="00D87DF5" w:rsidP="00F22A75">
      <w:r w:rsidRPr="007258A1">
        <w:rPr>
          <w:b/>
          <w:bCs/>
        </w:rPr>
        <w:fldChar w:fldCharType="begin"/>
      </w:r>
      <w:r w:rsidRPr="007258A1">
        <w:rPr>
          <w:b/>
          <w:bCs/>
        </w:rPr>
        <w:instrText xml:space="preserve"> REF _Ref197942138 \h </w:instrText>
      </w:r>
      <w:r w:rsidR="007258A1">
        <w:rPr>
          <w:b/>
          <w:bCs/>
        </w:rPr>
        <w:instrText xml:space="preserve"> \* MERGEFORMAT </w:instrText>
      </w:r>
      <w:r w:rsidRPr="007258A1">
        <w:rPr>
          <w:b/>
          <w:bCs/>
        </w:rPr>
      </w:r>
      <w:r w:rsidRPr="007258A1">
        <w:rPr>
          <w:b/>
          <w:bCs/>
        </w:rPr>
        <w:fldChar w:fldCharType="separate"/>
      </w:r>
      <w:r w:rsidR="00BF7E93" w:rsidRPr="00BF7E93">
        <w:rPr>
          <w:b/>
          <w:bCs/>
        </w:rPr>
        <w:t xml:space="preserve">Figure </w:t>
      </w:r>
      <w:r w:rsidR="00BF7E93" w:rsidRPr="00BF7E93">
        <w:rPr>
          <w:b/>
          <w:bCs/>
          <w:noProof/>
        </w:rPr>
        <w:t>4.29</w:t>
      </w:r>
      <w:r w:rsidRPr="007258A1">
        <w:rPr>
          <w:b/>
          <w:bCs/>
        </w:rPr>
        <w:fldChar w:fldCharType="end"/>
      </w:r>
      <w:r w:rsidR="007548A7">
        <w:t xml:space="preserve"> shows several cases that represent variations in the applied design recommendations. The minimum and maximum temperature cases again assumed the extremes of each parameter from the Sobol sensitivity analysis of the previous work </w:t>
      </w:r>
      <w:r w:rsidR="007548A7">
        <w:fldChar w:fldCharType="begin"/>
      </w:r>
      <w:r w:rsidR="005C2BB1">
        <w:instrText xml:space="preserve"> ADDIN EN.CITE &lt;EndNote&gt;&lt;Cite&gt;&lt;Author&gt;Meehan&lt;/Author&gt;&lt;Year&gt;2025&lt;/Year&gt;&lt;RecNum&gt;542&lt;/RecNum&gt;&lt;DisplayText&gt;[25]&lt;/DisplayText&gt;&lt;record&gt;&lt;rec-number&gt;542&lt;/rec-number&gt;&lt;foreign-keys&gt;&lt;key app="EN" db-id="eseee05sfe5vt6efvr0xapvq20vfdsfp5fvf" timestamp="1742483734"&gt;542&lt;/key&gt;&lt;/foreign-keys&gt;&lt;ref-type name="Journal Article"&gt;17&lt;/ref-type&gt;&lt;contributors&gt;&lt;authors&gt;&lt;author&gt;Meehan, Nicholas A.&lt;/author&gt;&lt;author&gt;Gorton, Jacob P.&lt;/author&gt;&lt;author&gt;Capps, Nathan A.&lt;/author&gt;&lt;author&gt;Brown, Nicholas R.&lt;/author&gt;&lt;/authors&gt;&lt;/contributors&gt;&lt;titles&gt;&lt;title&gt;Identifying high-impact and high-uncertainty parameters in MiniFuel model predictions&lt;/title&gt;&lt;secondary-title&gt;Journal of Nuclear Materials&lt;/secondary-title&gt;&lt;/titles&gt;&lt;periodical&gt;&lt;full-title&gt;Journal of Nuclear Materials&lt;/full-title&gt;&lt;/periodical&gt;&lt;pages&gt;155745&lt;/pages&gt;&lt;volume&gt;609&lt;/volume&gt;&lt;keywords&gt;&lt;keyword&gt;Fuel, Irradiation&lt;/keyword&gt;&lt;keyword&gt;Separate effects&lt;/keyword&gt;&lt;keyword&gt;Sensitivity analysis&lt;/keyword&gt;&lt;keyword&gt;Morris&lt;/keyword&gt;&lt;keyword&gt;Sobol&lt;/keyword&gt;&lt;/keywords&gt;&lt;dates&gt;&lt;year&gt;2025&lt;/year&gt;&lt;pub-dates&gt;&lt;date&gt;2025/05/01/&lt;/date&gt;&lt;/pub-dates&gt;&lt;/dates&gt;&lt;isbn&gt;0022-3115&lt;/isbn&gt;&lt;urls&gt;&lt;related-urls&gt;&lt;url&gt;https://www.sciencedirect.com/science/article/pii/S0022311525001400&lt;/url&gt;&lt;/related-urls&gt;&lt;/urls&gt;&lt;electronic-resource-num&gt;https://doi.org/10.1016/j.jnucmat.2025.155745&lt;/electronic-resource-num&gt;&lt;/record&gt;&lt;/Cite&gt;&lt;/EndNote&gt;</w:instrText>
      </w:r>
      <w:r w:rsidR="007548A7">
        <w:fldChar w:fldCharType="separate"/>
      </w:r>
      <w:r w:rsidR="005C2BB1">
        <w:rPr>
          <w:noProof/>
        </w:rPr>
        <w:t>[25]</w:t>
      </w:r>
      <w:r w:rsidR="007548A7">
        <w:fldChar w:fldCharType="end"/>
      </w:r>
      <w:r w:rsidR="007548A7">
        <w:t xml:space="preserve">. Case 0 represents a baseline ANSYS calculation which assumes ~0.1 MPa initial fill gas </w:t>
      </w:r>
      <w:r w:rsidR="00874CBB">
        <w:t>pressure and 0 W/m</w:t>
      </w:r>
      <w:r w:rsidR="00874CBB" w:rsidRPr="00723CFA">
        <w:rPr>
          <w:vertAlign w:val="superscript"/>
        </w:rPr>
        <w:t>2</w:t>
      </w:r>
      <w:r w:rsidR="00874CBB">
        <w:t>-</w:t>
      </w:r>
      <w:r w:rsidR="00874CBB" w:rsidRPr="008C04B3">
        <w:rPr>
          <w:rFonts w:ascii="Calibri" w:hAnsi="Calibri" w:cs="Calibri"/>
          <w:color w:val="000000"/>
        </w:rPr>
        <w:t>°</w:t>
      </w:r>
      <w:r w:rsidR="00874CBB">
        <w:t>C SSC. Case 1 applies only the recommended 1E+04 W/m</w:t>
      </w:r>
      <w:r w:rsidR="00874CBB" w:rsidRPr="00723CFA">
        <w:rPr>
          <w:vertAlign w:val="superscript"/>
        </w:rPr>
        <w:t>2</w:t>
      </w:r>
      <w:r w:rsidR="00874CBB">
        <w:t>-</w:t>
      </w:r>
      <w:r w:rsidR="00874CBB" w:rsidRPr="008C04B3">
        <w:rPr>
          <w:rFonts w:ascii="Calibri" w:hAnsi="Calibri" w:cs="Calibri"/>
          <w:color w:val="000000"/>
        </w:rPr>
        <w:t>°</w:t>
      </w:r>
      <w:r w:rsidR="00874CBB">
        <w:t>C SSC to the baseline calculation. Case 2 applies only the recommended ~0.5 MPa initial fill gas pressure to the baseline calculation. Case 3 applies both ~0.5 MPa initial fill gas pressure and 1E+04 W/m</w:t>
      </w:r>
      <w:r w:rsidR="00874CBB" w:rsidRPr="00723CFA">
        <w:rPr>
          <w:vertAlign w:val="superscript"/>
        </w:rPr>
        <w:t>2</w:t>
      </w:r>
      <w:r w:rsidR="00874CBB">
        <w:t>-</w:t>
      </w:r>
      <w:r w:rsidR="00874CBB" w:rsidRPr="008C04B3">
        <w:rPr>
          <w:rFonts w:ascii="Calibri" w:hAnsi="Calibri" w:cs="Calibri"/>
          <w:color w:val="000000"/>
        </w:rPr>
        <w:t>°</w:t>
      </w:r>
      <w:r w:rsidR="00874CBB">
        <w:t xml:space="preserve">C SSC to the baseline calculation. By utilizing either design recommendation to the baseline design individually, the temperature gradient across the </w:t>
      </w:r>
      <w:r w:rsidR="00DE3A43">
        <w:br w:type="page"/>
      </w:r>
    </w:p>
    <w:p w14:paraId="50C6A613" w14:textId="40C79574" w:rsidR="007548A7" w:rsidRDefault="007548A7" w:rsidP="007548A7">
      <w:pPr>
        <w:jc w:val="center"/>
      </w:pPr>
      <w:r>
        <w:rPr>
          <w:noProof/>
        </w:rPr>
        <w:lastRenderedPageBreak/>
        <w:drawing>
          <wp:inline distT="0" distB="0" distL="0" distR="0" wp14:anchorId="0693FF0C" wp14:editId="389C78C7">
            <wp:extent cx="5486400" cy="4160527"/>
            <wp:effectExtent l="0" t="0" r="0" b="508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rotWithShape="1">
                    <a:blip r:embed="rId77" cstate="print">
                      <a:extLst>
                        <a:ext uri="{28A0092B-C50C-407E-A947-70E740481C1C}">
                          <a14:useLocalDpi xmlns:a14="http://schemas.microsoft.com/office/drawing/2010/main" val="0"/>
                        </a:ext>
                      </a:extLst>
                    </a:blip>
                    <a:srcRect l="4465" t="10714" r="9375" b="2168"/>
                    <a:stretch/>
                  </pic:blipFill>
                  <pic:spPr bwMode="auto">
                    <a:xfrm>
                      <a:off x="0" y="0"/>
                      <a:ext cx="5486400" cy="4160527"/>
                    </a:xfrm>
                    <a:prstGeom prst="rect">
                      <a:avLst/>
                    </a:prstGeom>
                    <a:ln>
                      <a:noFill/>
                    </a:ln>
                    <a:extLst>
                      <a:ext uri="{53640926-AAD7-44D8-BBD7-CCE9431645EC}">
                        <a14:shadowObscured xmlns:a14="http://schemas.microsoft.com/office/drawing/2010/main"/>
                      </a:ext>
                    </a:extLst>
                  </pic:spPr>
                </pic:pic>
              </a:graphicData>
            </a:graphic>
          </wp:inline>
        </w:drawing>
      </w:r>
    </w:p>
    <w:p w14:paraId="6FDE12D3" w14:textId="792F8700" w:rsidR="007548A7" w:rsidRDefault="00D87DF5" w:rsidP="00874CBB">
      <w:pPr>
        <w:pStyle w:val="Caption"/>
      </w:pPr>
      <w:bookmarkStart w:id="255" w:name="_Ref197942138"/>
      <w:bookmarkStart w:id="256" w:name="_Toc202957592"/>
      <w:r>
        <w:t xml:space="preserve">Figure </w:t>
      </w:r>
      <w:fldSimple w:instr=" STYLEREF 1 \s ">
        <w:r w:rsidR="00BF7E93">
          <w:rPr>
            <w:noProof/>
          </w:rPr>
          <w:t>4</w:t>
        </w:r>
      </w:fldSimple>
      <w:r>
        <w:t>.</w:t>
      </w:r>
      <w:fldSimple w:instr=" SEQ Figure \* ARABIC \s 1 ">
        <w:r w:rsidR="00BF7E93">
          <w:rPr>
            <w:noProof/>
          </w:rPr>
          <w:t>29</w:t>
        </w:r>
      </w:fldSimple>
      <w:bookmarkEnd w:id="255"/>
      <w:r w:rsidR="007548A7" w:rsidRPr="0074556C">
        <w:t>.</w:t>
      </w:r>
      <w:r w:rsidR="007548A7">
        <w:t xml:space="preserve"> Influence of design recommendations on fuel and dish interface temperature gradients in ANSYS.</w:t>
      </w:r>
      <w:bookmarkEnd w:id="256"/>
    </w:p>
    <w:p w14:paraId="0EB02636" w14:textId="77777777" w:rsidR="0019075F" w:rsidRDefault="0019075F" w:rsidP="0019075F"/>
    <w:p w14:paraId="467FA05D" w14:textId="77777777" w:rsidR="00E77933" w:rsidRDefault="00E77933" w:rsidP="0019075F"/>
    <w:p w14:paraId="6354D66A" w14:textId="77777777" w:rsidR="00E77933" w:rsidRDefault="00E77933" w:rsidP="0019075F"/>
    <w:p w14:paraId="0279B518" w14:textId="77777777" w:rsidR="00E77933" w:rsidRDefault="00E77933" w:rsidP="0019075F"/>
    <w:p w14:paraId="31EE0F0C" w14:textId="77777777" w:rsidR="00E77933" w:rsidRDefault="00E77933" w:rsidP="0019075F"/>
    <w:p w14:paraId="408EFC24" w14:textId="77777777" w:rsidR="00E77933" w:rsidRDefault="00E77933" w:rsidP="0019075F"/>
    <w:p w14:paraId="6AAD8708" w14:textId="77777777" w:rsidR="00E77933" w:rsidRDefault="00E77933" w:rsidP="0019075F"/>
    <w:p w14:paraId="71D97C69" w14:textId="1A16F8D7" w:rsidR="00D623B1" w:rsidRDefault="00D623B1" w:rsidP="00D623B1"/>
    <w:p w14:paraId="7E54FDF5" w14:textId="1D9FA681" w:rsidR="00D623B1" w:rsidRDefault="00D623B1" w:rsidP="00F22A75">
      <w:r>
        <w:lastRenderedPageBreak/>
        <w:t>interface between the fuel and dish decreases from ~65</w:t>
      </w:r>
      <w:r w:rsidRPr="0074556C">
        <w:t>°C</w:t>
      </w:r>
      <w:r>
        <w:t xml:space="preserve"> to ~30</w:t>
      </w:r>
      <w:r w:rsidRPr="0074556C">
        <w:t>°C</w:t>
      </w:r>
      <w:r>
        <w:t xml:space="preserve"> in RB and from ~20</w:t>
      </w:r>
      <w:r w:rsidRPr="0074556C">
        <w:t>°C</w:t>
      </w:r>
      <w:r>
        <w:t xml:space="preserve"> to ~10</w:t>
      </w:r>
      <w:r w:rsidRPr="0074556C">
        <w:t>°C</w:t>
      </w:r>
      <w:r>
        <w:t xml:space="preserve"> in VXF. By utilizing both design recommendations, the gradient is further reduced to ~15</w:t>
      </w:r>
      <w:r w:rsidRPr="0074556C">
        <w:t>°C</w:t>
      </w:r>
      <w:r>
        <w:t xml:space="preserve"> in RB and ~5</w:t>
      </w:r>
      <w:r w:rsidRPr="0074556C">
        <w:t>°C</w:t>
      </w:r>
      <w:r>
        <w:t xml:space="preserve"> in VXF.</w:t>
      </w:r>
    </w:p>
    <w:p w14:paraId="11823BF3" w14:textId="5FF9164D" w:rsidR="0019075F" w:rsidRDefault="0019075F" w:rsidP="00F22A75">
      <w:pPr>
        <w:pStyle w:val="Heading3"/>
        <w:spacing w:before="0" w:after="0"/>
      </w:pPr>
      <w:bookmarkStart w:id="257" w:name="_Toc202957503"/>
      <w:r>
        <w:t>Additional Considerations and Future Work</w:t>
      </w:r>
      <w:bookmarkEnd w:id="257"/>
    </w:p>
    <w:p w14:paraId="4C428DCD" w14:textId="07B0FD0E" w:rsidR="0019075F" w:rsidRDefault="0019075F" w:rsidP="00F22A75">
      <w:r>
        <w:t>While high initial gas pressures can provide a notable reduction in the predicted temperature range, the welds that ensure the hermiticity of the capsule need to be able to withstand this pressure. This will serve to prevent the leakage of He and ensure gas gap conductance remains high. If the welds do fail, contact pressure will be essential for mitigating temperature variation through SSC. Pressure within the subcapsule in the case of a leak would equalize to the pressure of the surrounding target which is backfilled with atmospheric pressure He prior to irradiation, replicating the nominal subcapsule design.</w:t>
      </w:r>
    </w:p>
    <w:p w14:paraId="406A3DC6" w14:textId="66C7CC88" w:rsidR="007548A7" w:rsidRDefault="007548A7" w:rsidP="00F22A75">
      <w:r>
        <w:t xml:space="preserve">As contact pressure approaches zero between two real surfaces, the effective gap distance increases until the surfaces are no longer in contact. To account for this transition within a simulation environment, where surfaces do not include imperfections such as roughness, there must be a minimum contact pressure for which SSC is considered </w:t>
      </w:r>
      <w:r>
        <w:fldChar w:fldCharType="begin"/>
      </w:r>
      <w:r w:rsidR="003026BC">
        <w:instrText xml:space="preserve"> ADDIN EN.CITE &lt;EndNote&gt;&lt;Cite&gt;&lt;Author&gt;McDuffee&lt;/Author&gt;&lt;Year&gt;2013&lt;/Year&gt;&lt;RecNum&gt;427&lt;/RecNum&gt;&lt;DisplayText&gt;[153]&lt;/DisplayText&gt;&lt;record&gt;&lt;rec-number&gt;427&lt;/rec-number&gt;&lt;foreign-keys&gt;&lt;key app="EN" db-id="eseee05sfe5vt6efvr0xapvq20vfdsfp5fvf" timestamp="1710045524"&gt;427&lt;/key&gt;&lt;/foreign-keys&gt;&lt;ref-type name="Conference Paper"&gt;47&lt;/ref-type&gt;&lt;contributors&gt;&lt;authors&gt;&lt;author&gt;McDuffee, Joel L.&lt;/author&gt;&lt;/authors&gt;&lt;/contributors&gt;&lt;titles&gt;&lt;title&gt;Heat Transfer Through Small Moveable Gas Gaps in a Multi-Body System Using the ANSYS Finite Element Software&lt;/title&gt;&lt;secondary-title&gt;ASME 2013 Heat Transfer Summer Conference&lt;/secondary-title&gt;&lt;/titles&gt;&lt;number&gt;V001T01A038&lt;/number&gt;&lt;dates&gt;&lt;year&gt;2013&lt;/year&gt;&lt;/dates&gt;&lt;urls&gt;&lt;related-urls&gt;&lt;url&gt;https://doi.org/10.1115/HT2013-17783&lt;/url&gt;&lt;/related-urls&gt;&lt;/urls&gt;&lt;custom1&gt;Volume 1: Heat Transfer in Energy Systems; Thermophysical Properties; Theory and Fundamental Research in Heat Transfer&lt;/custom1&gt;&lt;custom2&gt;ASME 2013 Heat Transfer Summer Conference collocated with the ASME 2013 7th International Conference on Energy Sustainability and the ASME 2013 11th International Conference on Fuel Cell Science, Engineering and Technology&lt;/custom2&gt;&lt;custom3&gt;HT2013&lt;/custom3&gt;&lt;custom4&gt;Heat Transfer Summer Conference&lt;/custom4&gt;&lt;electronic-resource-num&gt;10.1115/HT2013-17783&lt;/electronic-resource-num&gt;&lt;access-date&gt;3/10/2024&lt;/access-date&gt;&lt;/record&gt;&lt;/Cite&gt;&lt;/EndNote&gt;</w:instrText>
      </w:r>
      <w:r>
        <w:fldChar w:fldCharType="separate"/>
      </w:r>
      <w:r w:rsidR="003026BC">
        <w:rPr>
          <w:noProof/>
        </w:rPr>
        <w:t>[153]</w:t>
      </w:r>
      <w:r>
        <w:fldChar w:fldCharType="end"/>
      </w:r>
      <w:r>
        <w:t xml:space="preserve">. Otherwise, the gap can be infinitesimally small without being in contact. The model addresses this transitional period by using the correlation from Negus and </w:t>
      </w:r>
      <w:r w:rsidR="004456CE">
        <w:t>Yovanovich</w:t>
      </w:r>
      <w:r>
        <w:t xml:space="preserve"> </w:t>
      </w:r>
      <w:r>
        <w:fldChar w:fldCharType="begin"/>
      </w:r>
      <w:r w:rsidR="00874CBB">
        <w:instrText xml:space="preserve"> ADDIN EN.CITE &lt;EndNote&gt;&lt;Cite&gt;&lt;Author&gt;Negus&lt;/Author&gt;&lt;Year&gt;1988&lt;/Year&gt;&lt;RecNum&gt;557&lt;/RecNum&gt;&lt;DisplayText&gt;[200]&lt;/DisplayText&gt;&lt;record&gt;&lt;rec-number&gt;557&lt;/rec-number&gt;&lt;foreign-keys&gt;&lt;key app="EN" db-id="eseee05sfe5vt6efvr0xapvq20vfdsfp5fvf" timestamp="1744814987"&gt;557&lt;/key&gt;&lt;/foreign-keys&gt;&lt;ref-type name="Journal Article"&gt;17&lt;/ref-type&gt;&lt;contributors&gt;&lt;authors&gt;&lt;author&gt;Negus, KJ&lt;/author&gt;&lt;author&gt;Yovanovich, MM&lt;/author&gt;&lt;/authors&gt;&lt;/contributors&gt;&lt;titles&gt;&lt;title&gt;Correlation of the gap conductancg integral for conforming rough surf aces&lt;/title&gt;&lt;secondary-title&gt;Journal of thermophysics and heat transfer&lt;/secondary-title&gt;&lt;/titles&gt;&lt;periodical&gt;&lt;full-title&gt;Journal of Thermophysics and Heat Transfer&lt;/full-title&gt;&lt;/periodical&gt;&lt;pages&gt;279-281&lt;/pages&gt;&lt;volume&gt;2&lt;/volume&gt;&lt;number&gt;3&lt;/number&gt;&lt;dates&gt;&lt;year&gt;1988&lt;/year&gt;&lt;/dates&gt;&lt;isbn&gt;0887-8722&lt;/isbn&gt;&lt;urls&gt;&lt;/urls&gt;&lt;/record&gt;&lt;/Cite&gt;&lt;/EndNote&gt;</w:instrText>
      </w:r>
      <w:r>
        <w:fldChar w:fldCharType="separate"/>
      </w:r>
      <w:r w:rsidR="00874CBB">
        <w:rPr>
          <w:noProof/>
        </w:rPr>
        <w:t>[200]</w:t>
      </w:r>
      <w:r>
        <w:fldChar w:fldCharType="end"/>
      </w:r>
      <w:r>
        <w:t>:</w:t>
      </w:r>
    </w:p>
    <w:tbl>
      <w:tblPr>
        <w:tblStyle w:val="TableGrid"/>
        <w:tblW w:w="86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0"/>
        <w:gridCol w:w="7200"/>
        <w:gridCol w:w="720"/>
      </w:tblGrid>
      <w:tr w:rsidR="007548A7" w:rsidRPr="0074556C" w14:paraId="5B286345" w14:textId="77777777" w:rsidTr="00CE00E2">
        <w:tc>
          <w:tcPr>
            <w:tcW w:w="720" w:type="dxa"/>
            <w:vAlign w:val="center"/>
          </w:tcPr>
          <w:p w14:paraId="46D09F2F" w14:textId="77777777" w:rsidR="007548A7" w:rsidRPr="0074556C" w:rsidRDefault="007548A7" w:rsidP="00F22A75">
            <w:pPr>
              <w:pStyle w:val="Equation"/>
              <w:spacing w:before="0" w:after="0" w:line="480" w:lineRule="auto"/>
            </w:pPr>
          </w:p>
        </w:tc>
        <w:tc>
          <w:tcPr>
            <w:tcW w:w="7200" w:type="dxa"/>
            <w:vAlign w:val="center"/>
          </w:tcPr>
          <w:p w14:paraId="4C77A823" w14:textId="77777777" w:rsidR="007548A7" w:rsidRPr="0074556C" w:rsidRDefault="007548A7" w:rsidP="00F22A75">
            <w:pPr>
              <w:pStyle w:val="Equation"/>
              <w:spacing w:before="0" w:after="0" w:line="480" w:lineRule="auto"/>
            </w:pPr>
            <m:oMathPara>
              <m:oMath>
                <m:r>
                  <w:rPr>
                    <w:rFonts w:ascii="Cambria Math" w:hAnsi="Cambria Math"/>
                  </w:rPr>
                  <m:t>δ</m:t>
                </m:r>
                <m:r>
                  <m:rPr>
                    <m:sty m:val="p"/>
                  </m:rPr>
                  <w:rPr>
                    <w:rFonts w:ascii="Cambria Math" w:hAnsi="Cambria Math"/>
                  </w:rPr>
                  <m:t>=1.184</m:t>
                </m:r>
                <m:r>
                  <w:rPr>
                    <w:rFonts w:ascii="Cambria Math" w:hAnsi="Cambria Math"/>
                  </w:rPr>
                  <m:t>σ</m:t>
                </m:r>
                <m:sSup>
                  <m:sSupPr>
                    <m:ctrlPr>
                      <w:rPr>
                        <w:rFonts w:ascii="Cambria Math" w:hAnsi="Cambria Math"/>
                      </w:rPr>
                    </m:ctrlPr>
                  </m:sSupPr>
                  <m:e>
                    <m:d>
                      <m:dPr>
                        <m:begChr m:val="["/>
                        <m:endChr m:val="]"/>
                        <m:ctrlPr>
                          <w:rPr>
                            <w:rFonts w:ascii="Cambria Math" w:hAnsi="Cambria Math"/>
                          </w:rPr>
                        </m:ctrlPr>
                      </m:dPr>
                      <m:e>
                        <m:r>
                          <m:rPr>
                            <m:sty m:val="p"/>
                          </m:rPr>
                          <w:rPr>
                            <w:rFonts w:ascii="Cambria Math" w:hAnsi="Cambria Math"/>
                          </w:rPr>
                          <m:t>-</m:t>
                        </m:r>
                        <m:func>
                          <m:funcPr>
                            <m:ctrlPr>
                              <w:rPr>
                                <w:rFonts w:ascii="Cambria Math" w:hAnsi="Cambria Math"/>
                              </w:rPr>
                            </m:ctrlPr>
                          </m:funcPr>
                          <m:fName>
                            <m:r>
                              <m:rPr>
                                <m:sty m:val="p"/>
                              </m:rPr>
                              <w:rPr>
                                <w:rFonts w:ascii="Cambria Math" w:hAnsi="Cambria Math"/>
                              </w:rPr>
                              <m:t>ln</m:t>
                            </m:r>
                          </m:fName>
                          <m:e>
                            <m:d>
                              <m:dPr>
                                <m:ctrlPr>
                                  <w:rPr>
                                    <w:rFonts w:ascii="Cambria Math" w:hAnsi="Cambria Math"/>
                                  </w:rPr>
                                </m:ctrlPr>
                              </m:dPr>
                              <m:e>
                                <m:r>
                                  <m:rPr>
                                    <m:sty m:val="p"/>
                                  </m:rPr>
                                  <w:rPr>
                                    <w:rFonts w:ascii="Cambria Math" w:hAnsi="Cambria Math"/>
                                  </w:rPr>
                                  <m:t>3.132</m:t>
                                </m:r>
                                <m:f>
                                  <m:fPr>
                                    <m:ctrlPr>
                                      <w:rPr>
                                        <w:rFonts w:ascii="Cambria Math" w:hAnsi="Cambria Math"/>
                                      </w:rPr>
                                    </m:ctrlPr>
                                  </m:fPr>
                                  <m:num>
                                    <m:sSub>
                                      <m:sSubPr>
                                        <m:ctrlPr>
                                          <w:rPr>
                                            <w:rFonts w:ascii="Cambria Math" w:hAnsi="Cambria Math"/>
                                          </w:rPr>
                                        </m:ctrlPr>
                                      </m:sSubPr>
                                      <m:e>
                                        <m:r>
                                          <w:rPr>
                                            <w:rFonts w:ascii="Cambria Math" w:hAnsi="Cambria Math"/>
                                          </w:rPr>
                                          <m:t>P</m:t>
                                        </m:r>
                                      </m:e>
                                      <m:sub>
                                        <m:r>
                                          <w:rPr>
                                            <w:rFonts w:ascii="Cambria Math" w:hAnsi="Cambria Math"/>
                                          </w:rPr>
                                          <m:t>c</m:t>
                                        </m:r>
                                      </m:sub>
                                    </m:sSub>
                                  </m:num>
                                  <m:den>
                                    <m:sSub>
                                      <m:sSubPr>
                                        <m:ctrlPr>
                                          <w:rPr>
                                            <w:rFonts w:ascii="Cambria Math" w:hAnsi="Cambria Math"/>
                                          </w:rPr>
                                        </m:ctrlPr>
                                      </m:sSubPr>
                                      <m:e>
                                        <m:r>
                                          <w:rPr>
                                            <w:rFonts w:ascii="Cambria Math" w:hAnsi="Cambria Math"/>
                                          </w:rPr>
                                          <m:t>H</m:t>
                                        </m:r>
                                      </m:e>
                                      <m:sub>
                                        <m:r>
                                          <w:rPr>
                                            <w:rFonts w:ascii="Cambria Math" w:hAnsi="Cambria Math"/>
                                          </w:rPr>
                                          <m:t>eff</m:t>
                                        </m:r>
                                      </m:sub>
                                    </m:sSub>
                                  </m:den>
                                </m:f>
                              </m:e>
                            </m:d>
                          </m:e>
                        </m:func>
                      </m:e>
                    </m:d>
                  </m:e>
                  <m:sup>
                    <m:r>
                      <m:rPr>
                        <m:sty m:val="p"/>
                      </m:rPr>
                      <w:rPr>
                        <w:rFonts w:ascii="Cambria Math" w:hAnsi="Cambria Math"/>
                      </w:rPr>
                      <m:t>0.547</m:t>
                    </m:r>
                  </m:sup>
                </m:sSup>
                <m:r>
                  <m:rPr>
                    <m:sty m:val="p"/>
                  </m:rPr>
                  <w:rPr>
                    <w:rFonts w:ascii="Cambria Math" w:hAnsi="Cambria Math"/>
                  </w:rPr>
                  <m:t xml:space="preserve">  </m:t>
                </m:r>
              </m:oMath>
            </m:oMathPara>
          </w:p>
        </w:tc>
        <w:tc>
          <w:tcPr>
            <w:tcW w:w="720" w:type="dxa"/>
            <w:vAlign w:val="center"/>
          </w:tcPr>
          <w:p w14:paraId="257A2D4B" w14:textId="3C19479F" w:rsidR="007548A7" w:rsidRPr="0074556C" w:rsidRDefault="00BF7E93" w:rsidP="00F22A75">
            <w:pPr>
              <w:pStyle w:val="Equation"/>
              <w:spacing w:before="0" w:after="0" w:line="480" w:lineRule="auto"/>
            </w:pPr>
            <w:fldSimple w:instr=" SEQ Equation \* ARABIC ">
              <w:bookmarkStart w:id="258" w:name="_Ref197442229"/>
              <w:r>
                <w:rPr>
                  <w:noProof/>
                </w:rPr>
                <w:t>31</w:t>
              </w:r>
              <w:bookmarkEnd w:id="258"/>
            </w:fldSimple>
          </w:p>
        </w:tc>
      </w:tr>
    </w:tbl>
    <w:p w14:paraId="28B610D8" w14:textId="3D8DFBA9" w:rsidR="007548A7" w:rsidRDefault="007548A7" w:rsidP="00F22A75">
      <w:r>
        <w:t xml:space="preserve">and applying Equation </w:t>
      </w:r>
      <w:r>
        <w:fldChar w:fldCharType="begin"/>
      </w:r>
      <w:r>
        <w:instrText xml:space="preserve"> REF _Ref197442229 \h </w:instrText>
      </w:r>
      <w:r>
        <w:fldChar w:fldCharType="separate"/>
      </w:r>
      <w:r w:rsidR="00BF7E93">
        <w:rPr>
          <w:noProof/>
        </w:rPr>
        <w:t>31</w:t>
      </w:r>
      <w:r>
        <w:fldChar w:fldCharType="end"/>
      </w:r>
      <w:r>
        <w:t xml:space="preserve"> across the minimum and maximum values of P/H</w:t>
      </w:r>
      <w:r>
        <w:rPr>
          <w:vertAlign w:val="subscript"/>
        </w:rPr>
        <w:t>eff</w:t>
      </w:r>
      <w:r>
        <w:t xml:space="preserve"> from literature </w:t>
      </w:r>
      <w:r>
        <w:fldChar w:fldCharType="begin"/>
      </w:r>
      <w:r w:rsidR="007245A9">
        <w:instrText xml:space="preserve"> ADDIN EN.CITE &lt;EndNote&gt;&lt;Cite&gt;&lt;Author&gt;Bahrami&lt;/Author&gt;&lt;Year&gt;2004&lt;/Year&gt;&lt;RecNum&gt;466&lt;/RecNum&gt;&lt;DisplayText&gt;[177, 179]&lt;/DisplayText&gt;&lt;record&gt;&lt;rec-number&gt;466&lt;/rec-number&gt;&lt;foreign-keys&gt;&lt;key app="EN" db-id="eseee05sfe5vt6efvr0xapvq20vfdsfp5fvf" timestamp="1713384902"&gt;466&lt;/key&gt;&lt;/foreign-keys&gt;&lt;ref-type name="Conference Proceedings"&gt;10&lt;/ref-type&gt;&lt;contributors&gt;&lt;authors&gt;&lt;author&gt;Bahrami, Majid&lt;/author&gt;&lt;author&gt;Culham, Richard&lt;/author&gt;&lt;author&gt;Yovanovich, Michael&lt;/author&gt;&lt;/authors&gt;&lt;/contributors&gt;&lt;titles&gt;&lt;title&gt;Thermal resistances of gaseous gap for conforming rough contacts&lt;/title&gt;&lt;secondary-title&gt;42nd AIAA Aerospace Sciences Meeting and Exhibit&lt;/secondary-title&gt;&lt;/titles&gt;&lt;pages&gt;821&lt;/pages&gt;&lt;dates&gt;&lt;year&gt;2004&lt;/year&gt;&lt;pub-dates&gt;&lt;date&gt;2004&lt;/date&gt;&lt;/pub-dates&gt;&lt;/dates&gt;&lt;urls&gt;&lt;/urls&gt;&lt;/record&gt;&lt;/Cite&gt;&lt;Cite&gt;&lt;Author&gt;Yüncü&lt;/Author&gt;&lt;Year&gt;2006&lt;/Year&gt;&lt;RecNum&gt;463&lt;/RecNum&gt;&lt;record&gt;&lt;rec-number&gt;463&lt;/rec-number&gt;&lt;foreign-keys&gt;&lt;key app="EN" db-id="eseee05sfe5vt6efvr0xapvq20vfdsfp5fvf" timestamp="1713373610"&gt;463&lt;/key&gt;&lt;/foreign-keys&gt;&lt;ref-type name="Journal Article"&gt;17&lt;/ref-type&gt;&lt;contributors&gt;&lt;authors&gt;&lt;author&gt;Yüncü, H.&lt;/author&gt;&lt;/authors&gt;&lt;/contributors&gt;&lt;titles&gt;&lt;title&gt;Thermal contact conductance of nominaly flat surfaces&lt;/title&gt;&lt;secondary-title&gt;Heat and Mass Transfer&lt;/secondary-title&gt;&lt;/titles&gt;&lt;periodical&gt;&lt;full-title&gt;Heat and Mass Transfer&lt;/full-title&gt;&lt;/periodical&gt;&lt;pages&gt;1-5&lt;/pages&gt;&lt;volume&gt;43&lt;/volume&gt;&lt;number&gt;1&lt;/number&gt;&lt;dates&gt;&lt;year&gt;2006&lt;/year&gt;&lt;pub-dates&gt;&lt;date&gt;2006/11/01&lt;/date&gt;&lt;/pub-dates&gt;&lt;/dates&gt;&lt;isbn&gt;1432-1181&lt;/isbn&gt;&lt;urls&gt;&lt;related-urls&gt;&lt;url&gt;https://doi.org/10.1007/s00231-006-0087-9&lt;/url&gt;&lt;/related-urls&gt;&lt;/urls&gt;&lt;electronic-resource-num&gt;10.1007/s00231-006-0087-9&lt;/electronic-resource-num&gt;&lt;/record&gt;&lt;/Cite&gt;&lt;/EndNote&gt;</w:instrText>
      </w:r>
      <w:r>
        <w:fldChar w:fldCharType="separate"/>
      </w:r>
      <w:r w:rsidR="007245A9">
        <w:rPr>
          <w:noProof/>
        </w:rPr>
        <w:t>[177, 179]</w:t>
      </w:r>
      <w:r>
        <w:fldChar w:fldCharType="end"/>
      </w:r>
      <w:r>
        <w:t xml:space="preserve">. The considered contact pressure ranges, minimum ~.1 MPa and </w:t>
      </w:r>
      <w:r>
        <w:lastRenderedPageBreak/>
        <w:t xml:space="preserve">maximum ~60 MPa, far exceed the expected contact pressures between the fuel and dish based on gravitational force. This both increases the calculated SSC and decreases the effective gap distance which increases gas gap conductance </w:t>
      </w:r>
      <w:r>
        <w:fldChar w:fldCharType="begin"/>
      </w:r>
      <w:r w:rsidR="003026BC">
        <w:instrText xml:space="preserve"> ADDIN EN.CITE &lt;EndNote&gt;&lt;Cite&gt;&lt;Author&gt;McDuffee&lt;/Author&gt;&lt;Year&gt;2013&lt;/Year&gt;&lt;RecNum&gt;427&lt;/RecNum&gt;&lt;DisplayText&gt;[153]&lt;/DisplayText&gt;&lt;record&gt;&lt;rec-number&gt;427&lt;/rec-number&gt;&lt;foreign-keys&gt;&lt;key app="EN" db-id="eseee05sfe5vt6efvr0xapvq20vfdsfp5fvf" timestamp="1710045524"&gt;427&lt;/key&gt;&lt;/foreign-keys&gt;&lt;ref-type name="Conference Paper"&gt;47&lt;/ref-type&gt;&lt;contributors&gt;&lt;authors&gt;&lt;author&gt;McDuffee, Joel L.&lt;/author&gt;&lt;/authors&gt;&lt;/contributors&gt;&lt;titles&gt;&lt;title&gt;Heat Transfer Through Small Moveable Gas Gaps in a Multi-Body System Using the ANSYS Finite Element Software&lt;/title&gt;&lt;secondary-title&gt;ASME 2013 Heat Transfer Summer Conference&lt;/secondary-title&gt;&lt;/titles&gt;&lt;number&gt;V001T01A038&lt;/number&gt;&lt;dates&gt;&lt;year&gt;2013&lt;/year&gt;&lt;/dates&gt;&lt;urls&gt;&lt;related-urls&gt;&lt;url&gt;https://doi.org/10.1115/HT2013-17783&lt;/url&gt;&lt;/related-urls&gt;&lt;/urls&gt;&lt;custom1&gt;Volume 1: Heat Transfer in Energy Systems; Thermophysical Properties; Theory and Fundamental Research in Heat Transfer&lt;/custom1&gt;&lt;custom2&gt;ASME 2013 Heat Transfer Summer Conference collocated with the ASME 2013 7th International Conference on Energy Sustainability and the ASME 2013 11th International Conference on Fuel Cell Science, Engineering and Technology&lt;/custom2&gt;&lt;custom3&gt;HT2013&lt;/custom3&gt;&lt;custom4&gt;Heat Transfer Summer Conference&lt;/custom4&gt;&lt;electronic-resource-num&gt;10.1115/HT2013-17783&lt;/electronic-resource-num&gt;&lt;access-date&gt;3/10/2024&lt;/access-date&gt;&lt;/record&gt;&lt;/Cite&gt;&lt;/EndNote&gt;</w:instrText>
      </w:r>
      <w:r>
        <w:fldChar w:fldCharType="separate"/>
      </w:r>
      <w:r w:rsidR="003026BC">
        <w:rPr>
          <w:noProof/>
        </w:rPr>
        <w:t>[153]</w:t>
      </w:r>
      <w:r>
        <w:fldChar w:fldCharType="end"/>
      </w:r>
      <w:r>
        <w:t>. This in turn can introduce an overestimation of gap conductance. The impact of this estimation will not be known until PIE is performed and results for irradiation temperature and fission gas release are compared to the model predictions.</w:t>
      </w:r>
    </w:p>
    <w:p w14:paraId="01C0CE91" w14:textId="29EFFB3B" w:rsidR="007548A7" w:rsidRDefault="007548A7" w:rsidP="00F22A75">
      <w:r>
        <w:t xml:space="preserve">An avenue for future work that can further benefit the reduction of variance in fuel temperature predictions is better defining SSC. The correlation by </w:t>
      </w:r>
      <w:r>
        <w:rPr>
          <w:color w:val="1F1F1F"/>
        </w:rPr>
        <w:t xml:space="preserve">Mikić </w:t>
      </w:r>
      <w:r>
        <w:rPr>
          <w:color w:val="1F1F1F"/>
        </w:rPr>
        <w:fldChar w:fldCharType="begin"/>
      </w:r>
      <w:r w:rsidR="00874CBB">
        <w:rPr>
          <w:color w:val="1F1F1F"/>
        </w:rPr>
        <w:instrText xml:space="preserve"> ADDIN EN.CITE &lt;EndNote&gt;&lt;Cite&gt;&lt;Author&gt;Mikić&lt;/Author&gt;&lt;Year&gt;1974&lt;/Year&gt;&lt;RecNum&gt;570&lt;/RecNum&gt;&lt;DisplayText&gt;[201]&lt;/DisplayText&gt;&lt;record&gt;&lt;rec-number&gt;570&lt;/rec-number&gt;&lt;foreign-keys&gt;&lt;key app="EN" db-id="eseee05sfe5vt6efvr0xapvq20vfdsfp5fvf" timestamp="1746559952"&gt;570&lt;/key&gt;&lt;/foreign-keys&gt;&lt;ref-type name="Journal Article"&gt;17&lt;/ref-type&gt;&lt;contributors&gt;&lt;authors&gt;&lt;author&gt;Mikić, B. B.&lt;/author&gt;&lt;/authors&gt;&lt;/contributors&gt;&lt;titles&gt;&lt;title&gt;Thermal contact conductance; theoretical considerations&lt;/title&gt;&lt;secondary-title&gt;International Journal of Heat and Mass Transfer&lt;/secondary-title&gt;&lt;/titles&gt;&lt;periodical&gt;&lt;full-title&gt;International journal of heat and mass transfer&lt;/full-title&gt;&lt;/periodical&gt;&lt;pages&gt;205-214&lt;/pages&gt;&lt;volume&gt;17&lt;/volume&gt;&lt;number&gt;2&lt;/number&gt;&lt;dates&gt;&lt;year&gt;1974&lt;/year&gt;&lt;pub-dates&gt;&lt;date&gt;1974/02/01/&lt;/date&gt;&lt;/pub-dates&gt;&lt;/dates&gt;&lt;isbn&gt;0017-9310&lt;/isbn&gt;&lt;urls&gt;&lt;related-urls&gt;&lt;url&gt;https://www.sciencedirect.com/science/article/pii/0017931074900829&lt;/url&gt;&lt;/related-urls&gt;&lt;/urls&gt;&lt;electronic-resource-num&gt;https://doi.org/10.1016/0017-9310(74)90082-9&lt;/electronic-resource-num&gt;&lt;/record&gt;&lt;/Cite&gt;&lt;/EndNote&gt;</w:instrText>
      </w:r>
      <w:r>
        <w:rPr>
          <w:color w:val="1F1F1F"/>
        </w:rPr>
        <w:fldChar w:fldCharType="separate"/>
      </w:r>
      <w:r w:rsidR="00874CBB">
        <w:rPr>
          <w:noProof/>
          <w:color w:val="1F1F1F"/>
        </w:rPr>
        <w:t>[201]</w:t>
      </w:r>
      <w:r>
        <w:rPr>
          <w:color w:val="1F1F1F"/>
        </w:rPr>
        <w:fldChar w:fldCharType="end"/>
      </w:r>
      <w:r>
        <w:rPr>
          <w:color w:val="1F1F1F"/>
        </w:rPr>
        <w:t xml:space="preserve">, used in this work, has been shown to be the most fundamental in nature and widely applicable </w:t>
      </w:r>
      <w:r>
        <w:rPr>
          <w:color w:val="1F1F1F"/>
        </w:rPr>
        <w:fldChar w:fldCharType="begin"/>
      </w:r>
      <w:r w:rsidR="00874CBB">
        <w:rPr>
          <w:color w:val="1F1F1F"/>
        </w:rPr>
        <w:instrText xml:space="preserve"> ADDIN EN.CITE &lt;EndNote&gt;&lt;Cite&gt;&lt;Author&gt;Jacobs&lt;/Author&gt;&lt;Year&gt;1973&lt;/Year&gt;&lt;RecNum&gt;558&lt;/RecNum&gt;&lt;DisplayText&gt;[202]&lt;/DisplayText&gt;&lt;record&gt;&lt;rec-number&gt;558&lt;/rec-number&gt;&lt;foreign-keys&gt;&lt;key app="EN" db-id="eseee05sfe5vt6efvr0xapvq20vfdsfp5fvf" timestamp="1744824063"&gt;558&lt;/key&gt;&lt;/foreign-keys&gt;&lt;ref-type name="Journal Article"&gt;17&lt;/ref-type&gt;&lt;contributors&gt;&lt;authors&gt;&lt;author&gt;Jacobs, Gary&lt;/author&gt;&lt;author&gt;Todreas, Neil&lt;/author&gt;&lt;/authors&gt;&lt;/contributors&gt;&lt;titles&gt;&lt;title&gt;Thermal Contact Conductance in Reactor Fuel Elements&lt;/title&gt;&lt;secondary-title&gt;Nuclear Science and Engineering&lt;/secondary-title&gt;&lt;/titles&gt;&lt;periodical&gt;&lt;full-title&gt;Nuclear Science and Engineering&lt;/full-title&gt;&lt;/periodical&gt;&lt;pages&gt;283-290&lt;/pages&gt;&lt;volume&gt;50&lt;/volume&gt;&lt;number&gt;3&lt;/number&gt;&lt;dates&gt;&lt;year&gt;1973&lt;/year&gt;&lt;pub-dates&gt;&lt;date&gt;1973/03/01&lt;/date&gt;&lt;/pub-dates&gt;&lt;/dates&gt;&lt;publisher&gt;Taylor &amp;amp; Francis&lt;/publisher&gt;&lt;isbn&gt;0029-5639&lt;/isbn&gt;&lt;urls&gt;&lt;related-urls&gt;&lt;url&gt;https://doi.org/10.13182/NSE73-A28981&lt;/url&gt;&lt;/related-urls&gt;&lt;/urls&gt;&lt;electronic-resource-num&gt;10.13182/NSE73-A28981&lt;/electronic-resource-num&gt;&lt;/record&gt;&lt;/Cite&gt;&lt;/EndNote&gt;</w:instrText>
      </w:r>
      <w:r>
        <w:rPr>
          <w:color w:val="1F1F1F"/>
        </w:rPr>
        <w:fldChar w:fldCharType="separate"/>
      </w:r>
      <w:r w:rsidR="00874CBB">
        <w:rPr>
          <w:noProof/>
          <w:color w:val="1F1F1F"/>
        </w:rPr>
        <w:t>[202]</w:t>
      </w:r>
      <w:r>
        <w:rPr>
          <w:color w:val="1F1F1F"/>
        </w:rPr>
        <w:fldChar w:fldCharType="end"/>
      </w:r>
      <w:r>
        <w:t>. Several alternate SSC correlations have been tested against UO</w:t>
      </w:r>
      <w:r>
        <w:rPr>
          <w:vertAlign w:val="subscript"/>
        </w:rPr>
        <w:t>2</w:t>
      </w:r>
      <w:r>
        <w:t xml:space="preserve"> fuels in out-of-pile conditions </w:t>
      </w:r>
      <w:r>
        <w:fldChar w:fldCharType="begin">
          <w:fldData xml:space="preserve">PEVuZE5vdGU+PENpdGU+PEF1dGhvcj5KYWNvYnM8L0F1dGhvcj48WWVhcj4xOTczPC9ZZWFyPjxS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</w:fldData>
        </w:fldChar>
      </w:r>
      <w:r w:rsidR="00874CBB">
        <w:instrText xml:space="preserve"> ADDIN EN.CITE </w:instrText>
      </w:r>
      <w:r w:rsidR="00874CBB">
        <w:fldChar w:fldCharType="begin">
          <w:fldData xml:space="preserve">PEVuZE5vdGU+PENpdGU+PEF1dGhvcj5KYWNvYnM8L0F1dGhvcj48WWVhcj4xOTczPC9ZZWFyPjxS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</w:fldData>
        </w:fldChar>
      </w:r>
      <w:r w:rsidR="00874CBB">
        <w:instrText xml:space="preserve"> ADDIN EN.CITE.DATA </w:instrText>
      </w:r>
      <w:r w:rsidR="00874CBB">
        <w:fldChar w:fldCharType="end"/>
      </w:r>
      <w:r>
        <w:fldChar w:fldCharType="separate"/>
      </w:r>
      <w:r w:rsidR="00874CBB">
        <w:rPr>
          <w:noProof/>
        </w:rPr>
        <w:t>[202-204]</w:t>
      </w:r>
      <w:r>
        <w:fldChar w:fldCharType="end"/>
      </w:r>
      <w:r>
        <w:t xml:space="preserve">, but these correlations following implementation in fuel performance codes have shown to have large uncertainties when compared to experimental data </w:t>
      </w:r>
      <w:r>
        <w:fldChar w:fldCharType="begin"/>
      </w:r>
      <w:r w:rsidR="00874CBB">
        <w:instrText xml:space="preserve"> ADDIN EN.CITE &lt;EndNote&gt;&lt;Cite&gt;&lt;Author&gt;Herranz&lt;/Author&gt;&lt;Year&gt;2010&lt;/Year&gt;&lt;RecNum&gt;560&lt;/RecNum&gt;&lt;DisplayText&gt;[204]&lt;/DisplayText&gt;&lt;record&gt;&lt;rec-number&gt;560&lt;/rec-number&gt;&lt;foreign-keys&gt;&lt;key app="EN" db-id="eseee05sfe5vt6efvr0xapvq20vfdsfp5fvf" timestamp="1744825255"&gt;560&lt;/key&gt;&lt;/foreign-keys&gt;&lt;ref-type name="Journal Article"&gt;17&lt;/ref-type&gt;&lt;contributors&gt;&lt;authors&gt;&lt;author&gt;Herranz, L. E.&lt;/author&gt;&lt;author&gt;Tigeras, A.&lt;/author&gt;&lt;/authors&gt;&lt;/contributors&gt;&lt;titles&gt;&lt;title&gt;Solid-solid conductance in nuclear fuel: An assessment of it in-code models performance&lt;/title&gt;&lt;secondary-title&gt;Progress in Nuclear Energy&lt;/secondary-title&gt;&lt;/titles&gt;&lt;periodical&gt;&lt;full-title&gt;Progress in Nuclear Energy&lt;/full-title&gt;&lt;/periodical&gt;&lt;pages&gt;435-441&lt;/pages&gt;&lt;volume&gt;52&lt;/volume&gt;&lt;number&gt;4&lt;/number&gt;&lt;keywords&gt;&lt;keyword&gt;Nuclear fuel&lt;/keyword&gt;&lt;keyword&gt;Heat transfer&lt;/keyword&gt;&lt;keyword&gt;Fuel-rod performance codes&lt;/keyword&gt;&lt;keyword&gt;Solid-solid conductance&lt;/keyword&gt;&lt;/keywords&gt;&lt;dates&gt;&lt;year&gt;2010&lt;/year&gt;&lt;pub-dates&gt;&lt;date&gt;2010/05/01/&lt;/date&gt;&lt;/pub-dates&gt;&lt;/dates&gt;&lt;isbn&gt;0149-1970&lt;/isbn&gt;&lt;urls&gt;&lt;related-urls&gt;&lt;url&gt;https://www.sciencedirect.com/science/article/pii/S0149197009001644&lt;/url&gt;&lt;/related-urls&gt;&lt;/urls&gt;&lt;electronic-resource-num&gt;https://doi.org/10.1016/j.pnucene.2009.09.018&lt;/electronic-resource-num&gt;&lt;/record&gt;&lt;/Cite&gt;&lt;/EndNote&gt;</w:instrText>
      </w:r>
      <w:r>
        <w:fldChar w:fldCharType="separate"/>
      </w:r>
      <w:r w:rsidR="00874CBB">
        <w:rPr>
          <w:noProof/>
        </w:rPr>
        <w:t>[204]</w:t>
      </w:r>
      <w:r>
        <w:fldChar w:fldCharType="end"/>
      </w:r>
      <w:r>
        <w:t>. From the literature there are correlations specifically for UO</w:t>
      </w:r>
      <w:r w:rsidR="00FD305A">
        <w:rPr>
          <w:vertAlign w:val="subscript"/>
        </w:rPr>
        <w:t>2</w:t>
      </w:r>
      <w:r>
        <w:t xml:space="preserve"> and some surface, but are fit to very specific data and may not be more widely applicable to differing temperatures, burnups, etc. There is no dataset that inspects all of these effects but there are some that exist looking at each individually </w:t>
      </w:r>
      <w:r>
        <w:fldChar w:fldCharType="begin"/>
      </w:r>
      <w:r w:rsidR="00874CBB">
        <w:instrText xml:space="preserve"> ADDIN EN.CITE &lt;EndNote&gt;&lt;Cite&gt;&lt;Author&gt;Herranz&lt;/Author&gt;&lt;Year&gt;2010&lt;/Year&gt;&lt;RecNum&gt;560&lt;/RecNum&gt;&lt;DisplayText&gt;[204]&lt;/DisplayText&gt;&lt;record&gt;&lt;rec-number&gt;560&lt;/rec-number&gt;&lt;foreign-keys&gt;&lt;key app="EN" db-id="eseee05sfe5vt6efvr0xapvq20vfdsfp5fvf" timestamp="1744825255"&gt;560&lt;/key&gt;&lt;/foreign-keys&gt;&lt;ref-type name="Journal Article"&gt;17&lt;/ref-type&gt;&lt;contributors&gt;&lt;authors&gt;&lt;author&gt;Herranz, L. E.&lt;/author&gt;&lt;author&gt;Tigeras, A.&lt;/author&gt;&lt;/authors&gt;&lt;/contributors&gt;&lt;titles&gt;&lt;title&gt;Solid-solid conductance in nuclear fuel: An assessment of it in-code models performance&lt;/title&gt;&lt;secondary-title&gt;Progress in Nuclear Energy&lt;/secondary-title&gt;&lt;/titles&gt;&lt;periodical&gt;&lt;full-title&gt;Progress in Nuclear Energy&lt;/full-title&gt;&lt;/periodical&gt;&lt;pages&gt;435-441&lt;/pages&gt;&lt;volume&gt;52&lt;/volume&gt;&lt;number&gt;4&lt;/number&gt;&lt;keywords&gt;&lt;keyword&gt;Nuclear fuel&lt;/keyword&gt;&lt;keyword&gt;Heat transfer&lt;/keyword&gt;&lt;keyword&gt;Fuel-rod performance codes&lt;/keyword&gt;&lt;keyword&gt;Solid-solid conductance&lt;/keyword&gt;&lt;/keywords&gt;&lt;dates&gt;&lt;year&gt;2010&lt;/year&gt;&lt;pub-dates&gt;&lt;date&gt;2010/05/01/&lt;/date&gt;&lt;/pub-dates&gt;&lt;/dates&gt;&lt;isbn&gt;0149-1970&lt;/isbn&gt;&lt;urls&gt;&lt;related-urls&gt;&lt;url&gt;https://www.sciencedirect.com/science/article/pii/S0149197009001644&lt;/url&gt;&lt;/related-urls&gt;&lt;/urls&gt;&lt;electronic-resource-num&gt;https://doi.org/10.1016/j.pnucene.2009.09.018&lt;/electronic-resource-num&gt;&lt;/record&gt;&lt;/Cite&gt;&lt;/EndNote&gt;</w:instrText>
      </w:r>
      <w:r>
        <w:fldChar w:fldCharType="separate"/>
      </w:r>
      <w:r w:rsidR="00874CBB">
        <w:rPr>
          <w:noProof/>
        </w:rPr>
        <w:t>[204]</w:t>
      </w:r>
      <w:r>
        <w:fldChar w:fldCharType="end"/>
      </w:r>
      <w:r>
        <w:t xml:space="preserve">. There has been no comparison with the correlation by Mikic to some of these datasets since there is too little data to inform the correlation </w:t>
      </w:r>
      <w:r>
        <w:fldChar w:fldCharType="begin"/>
      </w:r>
      <w:r w:rsidR="00874CBB">
        <w:instrText xml:space="preserve"> ADDIN EN.CITE &lt;EndNote&gt;&lt;Cite&gt;&lt;Author&gt;Herranz&lt;/Author&gt;&lt;Year&gt;2010&lt;/Year&gt;&lt;RecNum&gt;560&lt;/RecNum&gt;&lt;DisplayText&gt;[204]&lt;/DisplayText&gt;&lt;record&gt;&lt;rec-number&gt;560&lt;/rec-number&gt;&lt;foreign-keys&gt;&lt;key app="EN" db-id="eseee05sfe5vt6efvr0xapvq20vfdsfp5fvf" timestamp="1744825255"&gt;560&lt;/key&gt;&lt;/foreign-keys&gt;&lt;ref-type name="Journal Article"&gt;17&lt;/ref-type&gt;&lt;contributors&gt;&lt;authors&gt;&lt;author&gt;Herranz, L. E.&lt;/author&gt;&lt;author&gt;Tigeras, A.&lt;/author&gt;&lt;/authors&gt;&lt;/contributors&gt;&lt;titles&gt;&lt;title&gt;Solid-solid conductance in nuclear fuel: An assessment of it in-code models performance&lt;/title&gt;&lt;secondary-title&gt;Progress in Nuclear Energy&lt;/secondary-title&gt;&lt;/titles&gt;&lt;periodical&gt;&lt;full-title&gt;Progress in Nuclear Energy&lt;/full-title&gt;&lt;/periodical&gt;&lt;pages&gt;435-441&lt;/pages&gt;&lt;volume&gt;52&lt;/volume&gt;&lt;number&gt;4&lt;/number&gt;&lt;keywords&gt;&lt;keyword&gt;Nuclear fuel&lt;/keyword&gt;&lt;keyword&gt;Heat transfer&lt;/keyword&gt;&lt;keyword&gt;Fuel-rod performance codes&lt;/keyword&gt;&lt;keyword&gt;Solid-solid conductance&lt;/keyword&gt;&lt;/keywords&gt;&lt;dates&gt;&lt;year&gt;2010&lt;/year&gt;&lt;pub-dates&gt;&lt;date&gt;2010/05/01/&lt;/date&gt;&lt;/pub-dates&gt;&lt;/dates&gt;&lt;isbn&gt;0149-1970&lt;/isbn&gt;&lt;urls&gt;&lt;related-urls&gt;&lt;url&gt;https://www.sciencedirect.com/science/article/pii/S0149197009001644&lt;/url&gt;&lt;/related-urls&gt;&lt;/urls&gt;&lt;electronic-resource-num&gt;https://doi.org/10.1016/j.pnucene.2009.09.018&lt;/electronic-resource-num&gt;&lt;/record&gt;&lt;/Cite&gt;&lt;/EndNote&gt;</w:instrText>
      </w:r>
      <w:r>
        <w:fldChar w:fldCharType="separate"/>
      </w:r>
      <w:r w:rsidR="00874CBB">
        <w:rPr>
          <w:noProof/>
        </w:rPr>
        <w:t>[204]</w:t>
      </w:r>
      <w:r>
        <w:fldChar w:fldCharType="end"/>
      </w:r>
      <w:r>
        <w:t>.</w:t>
      </w:r>
    </w:p>
    <w:p w14:paraId="7A697FFB" w14:textId="77777777" w:rsidR="007548A7" w:rsidRDefault="007548A7" w:rsidP="00F22A75">
      <w:r>
        <w:t xml:space="preserve">Another avenue of future work would be to better define the FGR of MiniFuel under these irradiation conditions. As PIE for RB MiniFuel irradiations begins, there is an opportunity to compare these results to existing data to either confirm that the applied </w:t>
      </w:r>
      <w:r>
        <w:lastRenderedPageBreak/>
        <w:t>models are sufficient or even to develop a new model specific to MiniFuel. These results can determine if the FGR model estimates are conservative and if there is a need for a tightly coupled FGR model for MiniFuel thermal analysis.</w:t>
      </w:r>
    </w:p>
    <w:p w14:paraId="3C5FBE5D" w14:textId="0F4DD0EE" w:rsidR="007548A7" w:rsidRDefault="007548A7" w:rsidP="00F22A75">
      <w:pPr>
        <w:pStyle w:val="Heading3"/>
        <w:spacing w:before="0" w:after="0"/>
      </w:pPr>
      <w:bookmarkStart w:id="259" w:name="_Toc166850930"/>
      <w:bookmarkStart w:id="260" w:name="_Toc202957504"/>
      <w:r w:rsidRPr="005105CF">
        <w:t>Conclusions</w:t>
      </w:r>
      <w:bookmarkEnd w:id="259"/>
      <w:r w:rsidRPr="005105CF">
        <w:t xml:space="preserve"> </w:t>
      </w:r>
      <w:r w:rsidR="00C47E49">
        <w:t>of In-Depth TCC Model Analysis</w:t>
      </w:r>
      <w:bookmarkEnd w:id="260"/>
    </w:p>
    <w:p w14:paraId="283A2EF2" w14:textId="6E7E222B" w:rsidR="0049588D" w:rsidRDefault="007548A7" w:rsidP="00F22A75">
      <w:r>
        <w:t>Within this study, the TCC model for predicting the temperature gradient between the fuel and dish has been inspected with the intention to reduce the variance in MiniFuel specimen temperature predictions. The model was analyzed in increasing levels of complexity to determine high-impact high-uncertainty parameters while considering the influence of FGR. This work has produced Sobol sensitivity parameters associated with each parameter at 1000</w:t>
      </w:r>
      <w:r w:rsidRPr="008C04B3">
        <w:rPr>
          <w:rFonts w:ascii="Calibri" w:hAnsi="Calibri" w:cs="Calibri"/>
          <w:color w:val="000000"/>
        </w:rPr>
        <w:t>°</w:t>
      </w:r>
      <w:r>
        <w:t>C and performance envelopes of the associated subcapsule design at 800</w:t>
      </w:r>
      <w:r w:rsidRPr="008C04B3">
        <w:rPr>
          <w:rFonts w:ascii="Calibri" w:hAnsi="Calibri" w:cs="Calibri"/>
          <w:color w:val="000000"/>
        </w:rPr>
        <w:t>°</w:t>
      </w:r>
      <w:r>
        <w:t>C, 1000</w:t>
      </w:r>
      <w:r w:rsidRPr="008C04B3">
        <w:rPr>
          <w:rFonts w:ascii="Calibri" w:hAnsi="Calibri" w:cs="Calibri"/>
          <w:color w:val="000000"/>
        </w:rPr>
        <w:t>°</w:t>
      </w:r>
      <w:r>
        <w:t>C, and 1200</w:t>
      </w:r>
      <w:r w:rsidRPr="008C04B3">
        <w:rPr>
          <w:rFonts w:ascii="Calibri" w:hAnsi="Calibri" w:cs="Calibri"/>
          <w:color w:val="000000"/>
        </w:rPr>
        <w:t>°</w:t>
      </w:r>
      <w:r>
        <w:t>C.</w:t>
      </w:r>
      <w:r w:rsidRPr="006D188D">
        <w:t xml:space="preserve"> </w:t>
      </w:r>
      <w:r>
        <w:t>There are three high-impact sources of variance in the fuel interface temperature prediction within the subcapsule which can be reduced in future designs: the contact pressure between the fuel and dish, the effective surface roughness of the fuel-dish interface and the initial gas pressure within the subcapsule.</w:t>
      </w:r>
      <w:r w:rsidRPr="006D188D">
        <w:t xml:space="preserve"> </w:t>
      </w:r>
      <w:r>
        <w:t>A set of design recommendations has been made to reduce variance in fuel temperature predictions using the initial gas pressure as the primary design parameter. Applying these recommendations to the previously developed ANSYS models reduced the uncertainty range for average fuel temperature predictions from 99</w:t>
      </w:r>
      <w:r w:rsidRPr="008C04B3">
        <w:rPr>
          <w:rFonts w:ascii="Calibri" w:hAnsi="Calibri" w:cs="Calibri"/>
          <w:color w:val="000000"/>
        </w:rPr>
        <w:t>°</w:t>
      </w:r>
      <w:r>
        <w:t>C to 78</w:t>
      </w:r>
      <w:r w:rsidRPr="008C04B3">
        <w:rPr>
          <w:rFonts w:ascii="Calibri" w:hAnsi="Calibri" w:cs="Calibri"/>
          <w:color w:val="000000"/>
        </w:rPr>
        <w:t>°</w:t>
      </w:r>
      <w:r>
        <w:t>C in VXF, a 21% reduction, and from 231</w:t>
      </w:r>
      <w:r w:rsidRPr="008C04B3">
        <w:rPr>
          <w:rFonts w:ascii="Calibri" w:hAnsi="Calibri" w:cs="Calibri"/>
          <w:color w:val="000000"/>
        </w:rPr>
        <w:t>°</w:t>
      </w:r>
      <w:r>
        <w:t>C to 155</w:t>
      </w:r>
      <w:r w:rsidRPr="008C04B3">
        <w:rPr>
          <w:rFonts w:ascii="Calibri" w:hAnsi="Calibri" w:cs="Calibri"/>
          <w:color w:val="000000"/>
        </w:rPr>
        <w:t>°</w:t>
      </w:r>
      <w:r>
        <w:t xml:space="preserve">C in RB, a 33% reduction. Assuming the ±2σ uncertainties determined in the previous work decrease by the same amount, implementing the design changes suggested in this work would reduce the fuel </w:t>
      </w:r>
      <w:r>
        <w:lastRenderedPageBreak/>
        <w:t>temperature uncertainty in VXF and RB MiniFuel experiments to ±32</w:t>
      </w:r>
      <w:r w:rsidRPr="008C04B3">
        <w:rPr>
          <w:rFonts w:ascii="Calibri" w:hAnsi="Calibri" w:cs="Calibri"/>
          <w:color w:val="000000"/>
        </w:rPr>
        <w:t>°</w:t>
      </w:r>
      <w:r>
        <w:t>C and ±53</w:t>
      </w:r>
      <w:r w:rsidRPr="008C04B3">
        <w:rPr>
          <w:rFonts w:ascii="Calibri" w:hAnsi="Calibri" w:cs="Calibri"/>
          <w:color w:val="000000"/>
        </w:rPr>
        <w:t>°</w:t>
      </w:r>
      <w:r>
        <w:t>C, respectively. The maximum temperature gradient across the fuel-dish interface also decreased from ~65</w:t>
      </w:r>
      <w:r w:rsidRPr="0074556C">
        <w:t>°C</w:t>
      </w:r>
      <w:r>
        <w:t xml:space="preserve"> to ~15</w:t>
      </w:r>
      <w:r w:rsidRPr="0074556C">
        <w:t>°C</w:t>
      </w:r>
      <w:r>
        <w:t xml:space="preserve"> in RB and from ~20</w:t>
      </w:r>
      <w:r w:rsidRPr="0074556C">
        <w:t>°C</w:t>
      </w:r>
      <w:r>
        <w:t xml:space="preserve"> to ~5</w:t>
      </w:r>
      <w:r w:rsidRPr="0074556C">
        <w:t>°C</w:t>
      </w:r>
      <w:r>
        <w:t xml:space="preserve"> in VXF. This creates a lower bound for TCC and can work to address both the variance in temperature due to TCC and volumetric HGRs. Future work to further reduce variance include better definitions of contact conductance under low contact pressure irradiation conditions and experimental comparison with PIE data of FGR when it becomes available.</w:t>
      </w:r>
      <w:bookmarkEnd w:id="198"/>
      <w:bookmarkEnd w:id="199"/>
    </w:p>
    <w:p w14:paraId="2BC2E45B" w14:textId="77777777" w:rsidR="00AD3CBC" w:rsidRDefault="00AD3CBC" w:rsidP="00F22A75"/>
    <w:p w14:paraId="39DD7844" w14:textId="005B99DB" w:rsidR="00492CC9" w:rsidRPr="005B0516" w:rsidRDefault="00AD3CBC" w:rsidP="009544F3">
      <w:r>
        <w:br w:type="page"/>
      </w:r>
    </w:p>
    <w:p w14:paraId="6C0B6DE3" w14:textId="048F4C53" w:rsidR="000B4F41" w:rsidRDefault="00A03E5E" w:rsidP="00F22A75">
      <w:pPr>
        <w:pStyle w:val="Heading1"/>
        <w:numPr>
          <w:ilvl w:val="0"/>
          <w:numId w:val="5"/>
        </w:numPr>
        <w:spacing w:line="480" w:lineRule="auto"/>
      </w:pPr>
      <w:bookmarkStart w:id="261" w:name="_Toc202957505"/>
      <w:r>
        <w:lastRenderedPageBreak/>
        <w:t>Conclusions</w:t>
      </w:r>
      <w:bookmarkEnd w:id="261"/>
    </w:p>
    <w:p w14:paraId="25705AAF" w14:textId="0323589F" w:rsidR="00AC517F" w:rsidRDefault="00492049" w:rsidP="00F22A75">
      <w:bookmarkStart w:id="262" w:name="_Toc420995911"/>
      <w:bookmarkStart w:id="263" w:name="_Toc422997498"/>
      <w:r>
        <w:t>The overarching goal of this dissertation was to establish and demonstrate the feasibility of a computational framework for informing separate effects experimental design</w:t>
      </w:r>
      <w:r w:rsidR="00683BF8">
        <w:t xml:space="preserve"> using sensitivity analysis</w:t>
      </w:r>
      <w:r>
        <w:t>.</w:t>
      </w:r>
      <w:r w:rsidR="00683BF8">
        <w:t xml:space="preserve"> While this concept itself is not new, the </w:t>
      </w:r>
      <w:r w:rsidR="00937044">
        <w:t>demonstra</w:t>
      </w:r>
      <w:r w:rsidR="00683BF8">
        <w:t xml:space="preserve">tion of this method </w:t>
      </w:r>
      <w:r w:rsidR="00937044">
        <w:t>within</w:t>
      </w:r>
      <w:r w:rsidR="00683BF8">
        <w:t xml:space="preserve"> the fuel qualification process is novel and </w:t>
      </w:r>
      <w:r w:rsidR="00B47058">
        <w:t>is a necessary step</w:t>
      </w:r>
      <w:r w:rsidR="00683BF8">
        <w:t xml:space="preserve"> to save time and money </w:t>
      </w:r>
      <w:r w:rsidR="00623EAC">
        <w:t>in</w:t>
      </w:r>
      <w:r w:rsidR="00683BF8">
        <w:t xml:space="preserve"> accelerating the traditional process timeline.</w:t>
      </w:r>
      <w:r>
        <w:t xml:space="preserve"> </w:t>
      </w:r>
      <w:r w:rsidR="00937044">
        <w:t>The process was applied to two individual case studies involving separate effects testing for fuel qualification; one case inspecting transient boiling heat transfer and critical heat flux and another case inspecting irradiation of MiniFuel.</w:t>
      </w:r>
    </w:p>
    <w:p w14:paraId="439E4392" w14:textId="74702A7E" w:rsidR="00937044" w:rsidRDefault="00937044" w:rsidP="00F22A75">
      <w:pPr>
        <w:pStyle w:val="Heading2"/>
      </w:pPr>
      <w:bookmarkStart w:id="264" w:name="_Toc202957506"/>
      <w:r>
        <w:t>Answers to Key Questions</w:t>
      </w:r>
      <w:bookmarkEnd w:id="264"/>
    </w:p>
    <w:p w14:paraId="1DF98022" w14:textId="6248CC1B" w:rsidR="00DC1FDB" w:rsidRDefault="00CF46DA" w:rsidP="00F22A75">
      <w:r>
        <w:t xml:space="preserve">Chapter </w:t>
      </w:r>
      <w:r w:rsidR="002323F9">
        <w:t>1</w:t>
      </w:r>
      <w:r>
        <w:t xml:space="preserve"> </w:t>
      </w:r>
      <w:r w:rsidR="006C6B76">
        <w:t>established</w:t>
      </w:r>
      <w:r w:rsidR="00DC1FDB">
        <w:t xml:space="preserve"> several key questions associated with each case study</w:t>
      </w:r>
      <w:r w:rsidR="00937044">
        <w:t>. Within this section, I will address each question in detail with supporting evidence from the work presented.</w:t>
      </w:r>
    </w:p>
    <w:p w14:paraId="07B54C21" w14:textId="1D975AA7" w:rsidR="00DC1FDB" w:rsidRDefault="00637A79" w:rsidP="00F22A75">
      <w:pPr>
        <w:pStyle w:val="Heading3"/>
        <w:spacing w:before="0" w:after="0"/>
      </w:pPr>
      <w:bookmarkStart w:id="265" w:name="_Toc202957507"/>
      <w:r>
        <w:t>Key Questions for Case Study 1</w:t>
      </w:r>
      <w:bookmarkEnd w:id="265"/>
      <w:r>
        <w:t xml:space="preserve"> </w:t>
      </w:r>
    </w:p>
    <w:p w14:paraId="2C6E41E4" w14:textId="7BF6268E" w:rsidR="00DC1FDB" w:rsidRDefault="00DC1FDB" w:rsidP="00F22A75">
      <w:pPr>
        <w:pStyle w:val="ListParagraph"/>
        <w:numPr>
          <w:ilvl w:val="0"/>
          <w:numId w:val="15"/>
        </w:numPr>
      </w:pPr>
      <w:r w:rsidRPr="00D73F6A">
        <w:rPr>
          <w:rFonts w:hint="eastAsia"/>
        </w:rPr>
        <w:t xml:space="preserve">What are high-impact high-uncertainty parameters for prediction of pre- and post- CHF </w:t>
      </w:r>
      <w:r w:rsidR="00E5576F">
        <w:t xml:space="preserve">transient </w:t>
      </w:r>
      <w:r w:rsidRPr="00D73F6A">
        <w:rPr>
          <w:rFonts w:hint="eastAsia"/>
        </w:rPr>
        <w:t>boiling heat transfer?</w:t>
      </w:r>
    </w:p>
    <w:p w14:paraId="600CA0DF" w14:textId="2B7CD84F" w:rsidR="00CF46DA" w:rsidRDefault="00CF46DA" w:rsidP="00F22A75">
      <w:r>
        <w:t>From the Sobol sensitivity analysis in</w:t>
      </w:r>
      <w:r w:rsidR="00E5576F">
        <w:t xml:space="preserve"> Chapter 3, the high-impact high-uncertainty parameters for the prediction of pre- and post- CHF</w:t>
      </w:r>
      <w:r w:rsidR="00150F7F">
        <w:t xml:space="preserve"> are the CHF multiplier and film boiling multiplier.</w:t>
      </w:r>
      <w:r w:rsidR="0015206A">
        <w:t xml:space="preserve"> The CHF multiplier accounts for the transient CHF effect which increases CHF as the transient period decreases. The film boiling multiplier accounts for the film boiling heat transfer out of the system following the onset of CHF. These </w:t>
      </w:r>
      <w:r w:rsidR="0015206A">
        <w:lastRenderedPageBreak/>
        <w:t>parameters collectively control the energy retained in the system following a rapid power insertion so it follows that they would have the highest impact.</w:t>
      </w:r>
    </w:p>
    <w:p w14:paraId="1CE2978E" w14:textId="633771D4" w:rsidR="00DC1FDB" w:rsidRDefault="00DC1FDB" w:rsidP="00F22A75">
      <w:pPr>
        <w:pStyle w:val="ListParagraph"/>
        <w:numPr>
          <w:ilvl w:val="0"/>
          <w:numId w:val="15"/>
        </w:numPr>
      </w:pPr>
      <w:r w:rsidRPr="00E02011">
        <w:rPr>
          <w:rFonts w:hint="eastAsia"/>
        </w:rPr>
        <w:t xml:space="preserve">How can I improve model predictions of transient </w:t>
      </w:r>
      <w:r w:rsidR="00FD305A">
        <w:t>CHF</w:t>
      </w:r>
      <w:r w:rsidRPr="00E02011">
        <w:rPr>
          <w:rFonts w:hint="eastAsia"/>
        </w:rPr>
        <w:t xml:space="preserve"> and transient boiling heat transfer?</w:t>
      </w:r>
    </w:p>
    <w:p w14:paraId="0850AD5F" w14:textId="24B240CE" w:rsidR="0015206A" w:rsidRPr="00E02011" w:rsidRDefault="0015206A" w:rsidP="00F22A75">
      <w:r>
        <w:t>Chapter 3 demonstrated the modeling gaps for both pre- and post- CHF transient boiling heat transfer within RELAP5-3D. The experimental comparison with TREAT</w:t>
      </w:r>
      <w:r w:rsidR="004105F3">
        <w:t xml:space="preserve"> CHF-SERTTA capsule data</w:t>
      </w:r>
      <w:r>
        <w:t xml:space="preserve"> demonstrated that CHF was still being underestimated </w:t>
      </w:r>
      <w:r w:rsidR="009E5895">
        <w:t xml:space="preserve">without the consideration of effects such as irradiation, and the post-CHF </w:t>
      </w:r>
      <w:r w:rsidR="004105F3">
        <w:t xml:space="preserve">heat transfer effects were not within the considered model uncertainties. The experimental comparison with the UNM boiling facility data demonstrated that there is enhancements to transient nucleate boiling heat transfer </w:t>
      </w:r>
      <w:r w:rsidR="005C1D36">
        <w:t>related</w:t>
      </w:r>
      <w:r w:rsidR="004105F3">
        <w:t xml:space="preserve"> to bubble crowding and departure </w:t>
      </w:r>
      <w:r w:rsidR="005C1D36">
        <w:t>and</w:t>
      </w:r>
      <w:r w:rsidR="004105F3">
        <w:t xml:space="preserve"> to </w:t>
      </w:r>
      <w:r w:rsidR="005C1D36">
        <w:t xml:space="preserve">the </w:t>
      </w:r>
      <w:r w:rsidR="004105F3">
        <w:t>orientation of the cladding that is not being accounted for.</w:t>
      </w:r>
      <w:r w:rsidR="00321171">
        <w:t xml:space="preserve"> To address the lack of experimental data for both pre- and post- CHF transient boiling heat transfer, I developed an experimental test matrix for the TRTL facility. The details of the test matrix can be found in </w:t>
      </w:r>
      <w:r w:rsidR="00321171" w:rsidRPr="00E77933">
        <w:rPr>
          <w:b/>
          <w:bCs/>
        </w:rPr>
        <w:fldChar w:fldCharType="begin"/>
      </w:r>
      <w:r w:rsidR="00321171" w:rsidRPr="00E77933">
        <w:rPr>
          <w:b/>
          <w:bCs/>
        </w:rPr>
        <w:instrText xml:space="preserve"> REF _Ref160908385 \h </w:instrText>
      </w:r>
      <w:r w:rsidR="00E77933">
        <w:rPr>
          <w:b/>
          <w:bCs/>
        </w:rPr>
        <w:instrText xml:space="preserve"> \* MERGEFORMAT </w:instrText>
      </w:r>
      <w:r w:rsidR="00321171" w:rsidRPr="00E77933">
        <w:rPr>
          <w:b/>
          <w:bCs/>
        </w:rPr>
      </w:r>
      <w:r w:rsidR="00321171" w:rsidRPr="00E77933">
        <w:rPr>
          <w:b/>
          <w:bCs/>
        </w:rPr>
        <w:fldChar w:fldCharType="separate"/>
      </w:r>
      <w:r w:rsidR="00BF7E93" w:rsidRPr="00BF7E93">
        <w:rPr>
          <w:b/>
          <w:bCs/>
        </w:rPr>
        <w:t xml:space="preserve">Figure </w:t>
      </w:r>
      <w:r w:rsidR="00BF7E93" w:rsidRPr="00BF7E93">
        <w:rPr>
          <w:b/>
          <w:bCs/>
          <w:noProof/>
        </w:rPr>
        <w:t>3.28</w:t>
      </w:r>
      <w:r w:rsidR="00321171" w:rsidRPr="00E77933">
        <w:rPr>
          <w:b/>
          <w:bCs/>
        </w:rPr>
        <w:fldChar w:fldCharType="end"/>
      </w:r>
      <w:r w:rsidR="00321171">
        <w:t xml:space="preserve"> and </w:t>
      </w:r>
      <w:r w:rsidR="00321171" w:rsidRPr="00E77933">
        <w:rPr>
          <w:b/>
          <w:bCs/>
        </w:rPr>
        <w:fldChar w:fldCharType="begin"/>
      </w:r>
      <w:r w:rsidR="00321171" w:rsidRPr="00E77933">
        <w:rPr>
          <w:b/>
          <w:bCs/>
        </w:rPr>
        <w:instrText xml:space="preserve"> REF _Ref197961438 \h </w:instrText>
      </w:r>
      <w:r w:rsidR="00E77933">
        <w:rPr>
          <w:b/>
          <w:bCs/>
        </w:rPr>
        <w:instrText xml:space="preserve"> \* MERGEFORMAT </w:instrText>
      </w:r>
      <w:r w:rsidR="00321171" w:rsidRPr="00E77933">
        <w:rPr>
          <w:b/>
          <w:bCs/>
        </w:rPr>
      </w:r>
      <w:r w:rsidR="00321171" w:rsidRPr="00E77933">
        <w:rPr>
          <w:b/>
          <w:bCs/>
        </w:rPr>
        <w:fldChar w:fldCharType="separate"/>
      </w:r>
      <w:r w:rsidR="00BF7E93" w:rsidRPr="00BF7E93">
        <w:rPr>
          <w:b/>
          <w:bCs/>
        </w:rPr>
        <w:t xml:space="preserve">Table </w:t>
      </w:r>
      <w:r w:rsidR="00BF7E93" w:rsidRPr="00BF7E93">
        <w:rPr>
          <w:b/>
          <w:bCs/>
          <w:noProof/>
        </w:rPr>
        <w:t>3.6</w:t>
      </w:r>
      <w:r w:rsidR="00321171" w:rsidRPr="00E77933">
        <w:rPr>
          <w:b/>
          <w:bCs/>
        </w:rPr>
        <w:fldChar w:fldCharType="end"/>
      </w:r>
      <w:r w:rsidR="00321171">
        <w:t>. This test matrix will inspect several timescales which will allow for the inspection of transient boiling heat transfer within the nucleate and film boiling region as well as the transition between steady-state and transient CHF. While this test matrix was specific to the TRTL facility based on its capability to accommodate representative LWR pressures and flow rates, the test matrix ca</w:t>
      </w:r>
      <w:r w:rsidR="003F4B9A">
        <w:t>n</w:t>
      </w:r>
      <w:r w:rsidR="00321171">
        <w:t xml:space="preserve"> be scaled and performed on another CHF experimental system.</w:t>
      </w:r>
    </w:p>
    <w:p w14:paraId="3ED80A9E" w14:textId="312D3D60" w:rsidR="00637A79" w:rsidRDefault="00637A79" w:rsidP="00F22A75">
      <w:pPr>
        <w:pStyle w:val="Heading3"/>
        <w:spacing w:before="0" w:after="0"/>
      </w:pPr>
      <w:bookmarkStart w:id="266" w:name="_Toc202957508"/>
      <w:r>
        <w:lastRenderedPageBreak/>
        <w:t>Key Questions for Case Study 2</w:t>
      </w:r>
      <w:bookmarkEnd w:id="266"/>
      <w:r>
        <w:t xml:space="preserve"> </w:t>
      </w:r>
    </w:p>
    <w:p w14:paraId="7B9AB090" w14:textId="2392513F" w:rsidR="00DC1FDB" w:rsidRDefault="00DC1FDB" w:rsidP="00F22A75">
      <w:pPr>
        <w:pStyle w:val="ListParagraph"/>
        <w:numPr>
          <w:ilvl w:val="0"/>
          <w:numId w:val="14"/>
        </w:numPr>
        <w:ind w:left="360"/>
      </w:pPr>
      <w:r w:rsidRPr="00D73F6A">
        <w:rPr>
          <w:rFonts w:hint="eastAsia"/>
        </w:rPr>
        <w:t>What are high-impact high-uncertainty parameters for prediction of MiniFuel specimen temperatures?</w:t>
      </w:r>
    </w:p>
    <w:p w14:paraId="359728AC" w14:textId="03002ACD" w:rsidR="00D5296B" w:rsidRDefault="00CD6862" w:rsidP="00F22A75">
      <w:r>
        <w:t>Chapter 4 outlined two separate sensitivity analyses. The first is a full subcapsule analysis which considered over 50 sources of uncertainty. Following a Morris parameter screening and performing a Sobol sensitivity analysis, the heat generation rate in the Mo, and the TCC between the fuel and dish were the parameters of highest impact and uncertainty. The second sensitivity analysis was performed on the TCC model</w:t>
      </w:r>
      <w:r w:rsidR="00A90E5D">
        <w:t xml:space="preserve"> and inspected parameters within the gas and solid spot conductance correlations</w:t>
      </w:r>
      <w:r>
        <w:t xml:space="preserve">. </w:t>
      </w:r>
      <w:r w:rsidR="00875E0C">
        <w:t>The high-impact high-uncertainty parameters within the TCC model</w:t>
      </w:r>
      <w:r w:rsidR="00D5296B">
        <w:t xml:space="preserve"> in order of greatest sensitivity to lowest sensitivity</w:t>
      </w:r>
      <w:r w:rsidR="00875E0C">
        <w:t xml:space="preserve"> are the initial fill gas pressure, </w:t>
      </w:r>
      <w:r w:rsidR="00E77934">
        <w:t xml:space="preserve">contact pressure between the fuel and dish, the C2 fitting parameter, and the </w:t>
      </w:r>
      <w:r w:rsidR="00D5296B">
        <w:t>effective surface roughness.</w:t>
      </w:r>
    </w:p>
    <w:p w14:paraId="7874857C" w14:textId="336C8B4A" w:rsidR="00DC1FDB" w:rsidRDefault="00DC1FDB" w:rsidP="00F22A75">
      <w:pPr>
        <w:pStyle w:val="ListParagraph"/>
        <w:numPr>
          <w:ilvl w:val="0"/>
          <w:numId w:val="14"/>
        </w:numPr>
        <w:ind w:left="360"/>
      </w:pPr>
      <w:r w:rsidRPr="00E02011">
        <w:rPr>
          <w:rFonts w:hint="eastAsia"/>
        </w:rPr>
        <w:t>How can I improve experimental designs to reduce variance in predicted fuel temperatures?</w:t>
      </w:r>
    </w:p>
    <w:p w14:paraId="4A7B1BB4" w14:textId="1D1E61A6" w:rsidR="006672C7" w:rsidRDefault="00A706A8" w:rsidP="00F22A75">
      <w:r>
        <w:t>To address the uncertainty stemming from both the heat gene</w:t>
      </w:r>
      <w:r w:rsidR="0046724E">
        <w:t>ration rate of the Mo, and the TCC model, I developed a set of design recommendations using the highest impact and uncertainty parameters</w:t>
      </w:r>
      <w:r w:rsidR="00B359A0">
        <w:t xml:space="preserve"> of the TCC model. </w:t>
      </w:r>
      <w:r w:rsidR="006672C7">
        <w:t>Increasing the TCC will reduce the impact of the heat generation rate uncertainty on the fuel-dish interface temperature gradient as per the following equation:</w:t>
      </w:r>
    </w:p>
    <w:tbl>
      <w:tblPr>
        <w:tblStyle w:val="TableGrid"/>
        <w:tblW w:w="86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0"/>
        <w:gridCol w:w="7200"/>
        <w:gridCol w:w="720"/>
      </w:tblGrid>
      <w:tr w:rsidR="003E3920" w:rsidRPr="0074556C" w14:paraId="55094337" w14:textId="77777777" w:rsidTr="00AE2101">
        <w:tc>
          <w:tcPr>
            <w:tcW w:w="720" w:type="dxa"/>
            <w:vAlign w:val="center"/>
          </w:tcPr>
          <w:p w14:paraId="3392341B" w14:textId="77777777" w:rsidR="003E3920" w:rsidRPr="0074556C" w:rsidRDefault="003E3920" w:rsidP="00F22A75">
            <w:pPr>
              <w:pStyle w:val="Equation"/>
              <w:spacing w:before="0" w:after="0" w:line="480" w:lineRule="auto"/>
            </w:pPr>
          </w:p>
        </w:tc>
        <w:tc>
          <w:tcPr>
            <w:tcW w:w="7200" w:type="dxa"/>
            <w:vAlign w:val="center"/>
          </w:tcPr>
          <w:p w14:paraId="0AE5B725" w14:textId="53D2884D" w:rsidR="003E3920" w:rsidRPr="0074556C" w:rsidRDefault="003E3920" w:rsidP="00F22A75">
            <w:pPr>
              <w:pStyle w:val="Equation"/>
              <w:spacing w:before="0" w:after="0" w:line="480" w:lineRule="auto"/>
            </w:pPr>
            <m:oMathPara>
              <m:oMath>
                <m:r>
                  <m:rPr>
                    <m:sty m:val="p"/>
                  </m:rPr>
                  <w:rPr>
                    <w:rFonts w:ascii="Cambria Math" w:hAnsi="Cambria Math"/>
                  </w:rPr>
                  <m:t>Δ</m:t>
                </m:r>
                <m:r>
                  <w:rPr>
                    <w:rFonts w:ascii="Cambria Math" w:hAnsi="Cambria Math"/>
                  </w:rPr>
                  <m:t>T=</m:t>
                </m:r>
                <m:f>
                  <m:fPr>
                    <m:ctrlPr>
                      <w:rPr>
                        <w:rFonts w:ascii="Cambria Math" w:hAnsi="Cambria Math"/>
                      </w:rPr>
                    </m:ctrlPr>
                  </m:fPr>
                  <m:num>
                    <m:r>
                      <m:rPr>
                        <m:sty m:val="p"/>
                      </m:rPr>
                      <w:rPr>
                        <w:rFonts w:ascii="Cambria Math" w:hAnsi="Cambria Math"/>
                      </w:rPr>
                      <m:t>q''</m:t>
                    </m:r>
                  </m:num>
                  <m:den>
                    <m:r>
                      <m:rPr>
                        <m:sty m:val="p"/>
                      </m:rPr>
                      <w:rPr>
                        <w:rFonts w:ascii="Cambria Math" w:hAnsi="Cambria Math"/>
                      </w:rPr>
                      <m:t>TCC</m:t>
                    </m:r>
                  </m:den>
                </m:f>
                <m:r>
                  <m:rPr>
                    <m:sty m:val="p"/>
                  </m:rPr>
                  <w:rPr>
                    <w:rFonts w:ascii="Cambria Math" w:hAnsi="Cambria Math"/>
                  </w:rPr>
                  <m:t xml:space="preserve"> </m:t>
                </m:r>
              </m:oMath>
            </m:oMathPara>
          </w:p>
        </w:tc>
        <w:tc>
          <w:tcPr>
            <w:tcW w:w="720" w:type="dxa"/>
            <w:vAlign w:val="center"/>
          </w:tcPr>
          <w:p w14:paraId="29AFB6EC" w14:textId="6E75D5A6" w:rsidR="003E3920" w:rsidRPr="0074556C" w:rsidRDefault="00BF7E93" w:rsidP="00F22A75">
            <w:pPr>
              <w:pStyle w:val="Equation"/>
              <w:spacing w:before="0" w:after="0" w:line="480" w:lineRule="auto"/>
            </w:pPr>
            <w:fldSimple w:instr=" SEQ Equation \* ARABIC ">
              <w:r>
                <w:rPr>
                  <w:noProof/>
                </w:rPr>
                <w:t>32</w:t>
              </w:r>
            </w:fldSimple>
          </w:p>
        </w:tc>
      </w:tr>
    </w:tbl>
    <w:p w14:paraId="6B71024A" w14:textId="0D09D8C3" w:rsidR="006672C7" w:rsidRDefault="003E3920" w:rsidP="00F22A75">
      <w:r>
        <w:t>Where q’’ is the heat flux across the fuel-dish interface.</w:t>
      </w:r>
      <w:r w:rsidR="00024E11">
        <w:t xml:space="preserve"> The design recommendations are as follows:</w:t>
      </w:r>
    </w:p>
    <w:p w14:paraId="5AD65160" w14:textId="50A453BF" w:rsidR="00024E11" w:rsidRPr="008152DE" w:rsidRDefault="00024E11" w:rsidP="00F22A75">
      <w:pPr>
        <w:numPr>
          <w:ilvl w:val="0"/>
          <w:numId w:val="19"/>
        </w:numPr>
      </w:pPr>
      <w:r w:rsidRPr="008152DE">
        <w:rPr>
          <w:rFonts w:hint="eastAsia"/>
          <w:b/>
          <w:bCs/>
          <w:u w:val="single"/>
        </w:rPr>
        <w:t>Inc</w:t>
      </w:r>
      <w:r>
        <w:rPr>
          <w:b/>
          <w:bCs/>
          <w:u w:val="single"/>
        </w:rPr>
        <w:t xml:space="preserve">rease </w:t>
      </w:r>
      <w:r w:rsidRPr="008152DE">
        <w:rPr>
          <w:rFonts w:hint="eastAsia"/>
          <w:b/>
          <w:bCs/>
          <w:u w:val="single"/>
        </w:rPr>
        <w:t>initial gas pressure</w:t>
      </w:r>
      <w:r>
        <w:rPr>
          <w:b/>
          <w:bCs/>
          <w:u w:val="single"/>
        </w:rPr>
        <w:t xml:space="preserve"> from 0.1 to ~0.5 MPa</w:t>
      </w:r>
      <w:r w:rsidRPr="007779A4">
        <w:rPr>
          <w:b/>
          <w:bCs/>
        </w:rPr>
        <w:t xml:space="preserve"> </w:t>
      </w:r>
      <w:r w:rsidRPr="008152DE">
        <w:rPr>
          <w:rFonts w:hint="eastAsia"/>
        </w:rPr>
        <w:t>such that the thermal jump distance uncertainty is low</w:t>
      </w:r>
      <w:r>
        <w:t xml:space="preserve"> as demonstrated in </w:t>
      </w:r>
      <w:r w:rsidRPr="00E77933">
        <w:rPr>
          <w:b/>
          <w:bCs/>
        </w:rPr>
        <w:fldChar w:fldCharType="begin"/>
      </w:r>
      <w:r w:rsidRPr="00E77933">
        <w:rPr>
          <w:b/>
          <w:bCs/>
        </w:rPr>
        <w:instrText xml:space="preserve"> REF _Ref197941881 \h </w:instrText>
      </w:r>
      <w:r w:rsidR="00E77933">
        <w:rPr>
          <w:b/>
          <w:bCs/>
        </w:rPr>
        <w:instrText xml:space="preserve"> \* MERGEFORMAT </w:instrText>
      </w:r>
      <w:r w:rsidRPr="00E77933">
        <w:rPr>
          <w:b/>
          <w:bCs/>
        </w:rPr>
      </w:r>
      <w:r w:rsidRPr="00E77933">
        <w:rPr>
          <w:b/>
          <w:bCs/>
        </w:rPr>
        <w:fldChar w:fldCharType="separate"/>
      </w:r>
      <w:r w:rsidR="00BF7E93" w:rsidRPr="00BF7E93">
        <w:rPr>
          <w:b/>
          <w:bCs/>
        </w:rPr>
        <w:t xml:space="preserve">Figure </w:t>
      </w:r>
      <w:r w:rsidR="00BF7E93" w:rsidRPr="00BF7E93">
        <w:rPr>
          <w:b/>
          <w:bCs/>
          <w:noProof/>
        </w:rPr>
        <w:t>4.27</w:t>
      </w:r>
      <w:r w:rsidRPr="00E77933">
        <w:rPr>
          <w:b/>
          <w:bCs/>
        </w:rPr>
        <w:fldChar w:fldCharType="end"/>
      </w:r>
      <w:r>
        <w:t xml:space="preserve"> and </w:t>
      </w:r>
      <w:r w:rsidRPr="00E77933">
        <w:rPr>
          <w:b/>
          <w:bCs/>
        </w:rPr>
        <w:fldChar w:fldCharType="begin"/>
      </w:r>
      <w:r w:rsidRPr="00E77933">
        <w:rPr>
          <w:b/>
          <w:bCs/>
        </w:rPr>
        <w:instrText xml:space="preserve"> REF _Ref197941892 \h </w:instrText>
      </w:r>
      <w:r w:rsidR="00E77933">
        <w:rPr>
          <w:b/>
          <w:bCs/>
        </w:rPr>
        <w:instrText xml:space="preserve"> \* MERGEFORMAT </w:instrText>
      </w:r>
      <w:r w:rsidRPr="00E77933">
        <w:rPr>
          <w:b/>
          <w:bCs/>
        </w:rPr>
      </w:r>
      <w:r w:rsidRPr="00E77933">
        <w:rPr>
          <w:b/>
          <w:bCs/>
        </w:rPr>
        <w:fldChar w:fldCharType="separate"/>
      </w:r>
      <w:r w:rsidR="00BF7E93" w:rsidRPr="00BF7E93">
        <w:rPr>
          <w:b/>
          <w:bCs/>
        </w:rPr>
        <w:t xml:space="preserve">Figure </w:t>
      </w:r>
      <w:r w:rsidR="00BF7E93" w:rsidRPr="00BF7E93">
        <w:rPr>
          <w:b/>
          <w:bCs/>
          <w:noProof/>
        </w:rPr>
        <w:t>4.28</w:t>
      </w:r>
      <w:r w:rsidRPr="00E77933">
        <w:rPr>
          <w:b/>
          <w:bCs/>
        </w:rPr>
        <w:fldChar w:fldCharType="end"/>
      </w:r>
      <w:r>
        <w:t>.</w:t>
      </w:r>
      <w:r w:rsidRPr="008152DE">
        <w:rPr>
          <w:rFonts w:hint="eastAsia"/>
        </w:rPr>
        <w:t xml:space="preserve"> </w:t>
      </w:r>
      <w:r>
        <w:t>This is the most impactful design improvement and can be implemented without changing the capsule design so long as the welds can ensure hermiticity.</w:t>
      </w:r>
      <w:r w:rsidRPr="00FC7D8D">
        <w:rPr>
          <w:rFonts w:hint="eastAsia"/>
        </w:rPr>
        <w:t xml:space="preserve"> </w:t>
      </w:r>
      <w:r>
        <w:t>Increased initial gas pressure</w:t>
      </w:r>
      <w:r w:rsidRPr="008152DE">
        <w:rPr>
          <w:rFonts w:hint="eastAsia"/>
        </w:rPr>
        <w:t xml:space="preserve"> will also help to suppress the </w:t>
      </w:r>
      <w:r>
        <w:t>degradation</w:t>
      </w:r>
      <w:r w:rsidRPr="008152DE">
        <w:rPr>
          <w:rFonts w:hint="eastAsia"/>
        </w:rPr>
        <w:t xml:space="preserve"> of gas conductance induced by FGR.</w:t>
      </w:r>
    </w:p>
    <w:p w14:paraId="5E7E79F4" w14:textId="543C0F30" w:rsidR="003E3920" w:rsidRDefault="00024E11" w:rsidP="00F22A75">
      <w:pPr>
        <w:numPr>
          <w:ilvl w:val="0"/>
          <w:numId w:val="19"/>
        </w:numPr>
      </w:pPr>
      <w:r w:rsidRPr="008152DE">
        <w:rPr>
          <w:rFonts w:hint="eastAsia"/>
          <w:b/>
          <w:bCs/>
          <w:u w:val="single"/>
        </w:rPr>
        <w:t xml:space="preserve">Increase </w:t>
      </w:r>
      <w:r>
        <w:rPr>
          <w:b/>
          <w:bCs/>
          <w:u w:val="single"/>
        </w:rPr>
        <w:t>SSC from 0 to ~1</w:t>
      </w:r>
      <w:r>
        <w:rPr>
          <w:b/>
          <w:bCs/>
          <w:u w:val="single"/>
        </w:rPr>
        <w:sym w:font="Symbol" w:char="F0B4"/>
      </w:r>
      <w:r w:rsidRPr="00024E11">
        <w:rPr>
          <w:b/>
          <w:bCs/>
          <w:u w:val="single"/>
        </w:rPr>
        <w:t>10</w:t>
      </w:r>
      <w:r w:rsidRPr="00024E11">
        <w:rPr>
          <w:b/>
          <w:bCs/>
          <w:u w:val="single"/>
          <w:vertAlign w:val="superscript"/>
        </w:rPr>
        <w:t>4</w:t>
      </w:r>
      <w:r w:rsidRPr="00024E11">
        <w:rPr>
          <w:b/>
          <w:bCs/>
          <w:u w:val="single"/>
        </w:rPr>
        <w:t xml:space="preserve"> W/m</w:t>
      </w:r>
      <w:r w:rsidRPr="00024E11">
        <w:rPr>
          <w:b/>
          <w:bCs/>
          <w:u w:val="single"/>
          <w:vertAlign w:val="superscript"/>
        </w:rPr>
        <w:t>2</w:t>
      </w:r>
      <w:r w:rsidRPr="00024E11">
        <w:rPr>
          <w:b/>
          <w:bCs/>
          <w:u w:val="single"/>
        </w:rPr>
        <w:t>-</w:t>
      </w:r>
      <w:r w:rsidRPr="00024E11">
        <w:rPr>
          <w:rFonts w:ascii="Calibri" w:hAnsi="Calibri" w:cs="Calibri"/>
          <w:b/>
          <w:bCs/>
          <w:color w:val="000000"/>
          <w:u w:val="single"/>
        </w:rPr>
        <w:t>°</w:t>
      </w:r>
      <w:r w:rsidRPr="00024E11">
        <w:rPr>
          <w:b/>
          <w:bCs/>
          <w:u w:val="single"/>
        </w:rPr>
        <w:t>C</w:t>
      </w:r>
      <w:r>
        <w:t xml:space="preserve"> such that interface temperature variance is low under low gas pressure conditions. This can be established through some combination of contact pressure and effective surface roughness as outlined in </w:t>
      </w:r>
      <w:r>
        <w:fldChar w:fldCharType="begin"/>
      </w:r>
      <w:r>
        <w:instrText xml:space="preserve"> REF _Ref197941746 \h </w:instrText>
      </w:r>
      <w:r>
        <w:fldChar w:fldCharType="separate"/>
      </w:r>
      <w:r w:rsidR="00BF7E93" w:rsidRPr="00806A64">
        <w:t xml:space="preserve">Figure </w:t>
      </w:r>
      <w:r w:rsidR="00BF7E93">
        <w:rPr>
          <w:noProof/>
        </w:rPr>
        <w:t>4</w:t>
      </w:r>
      <w:r w:rsidR="00BF7E93" w:rsidRPr="00806A64">
        <w:t>.</w:t>
      </w:r>
      <w:r w:rsidR="00BF7E93">
        <w:rPr>
          <w:noProof/>
        </w:rPr>
        <w:t>25</w:t>
      </w:r>
      <w:r>
        <w:fldChar w:fldCharType="end"/>
      </w:r>
      <w:r>
        <w:t xml:space="preserve">. Any additional SSC will work to further reduce the variance at any initial gas pressure as demonstrated by </w:t>
      </w:r>
      <w:r w:rsidRPr="00E77933">
        <w:rPr>
          <w:b/>
          <w:bCs/>
        </w:rPr>
        <w:fldChar w:fldCharType="begin"/>
      </w:r>
      <w:r w:rsidRPr="00E77933">
        <w:rPr>
          <w:b/>
          <w:bCs/>
        </w:rPr>
        <w:instrText xml:space="preserve"> REF _Ref197941736 \h </w:instrText>
      </w:r>
      <w:r w:rsidR="00E77933">
        <w:rPr>
          <w:b/>
          <w:bCs/>
        </w:rPr>
        <w:instrText xml:space="preserve"> \* MERGEFORMAT </w:instrText>
      </w:r>
      <w:r w:rsidRPr="00E77933">
        <w:rPr>
          <w:b/>
          <w:bCs/>
        </w:rPr>
      </w:r>
      <w:r w:rsidRPr="00E77933">
        <w:rPr>
          <w:b/>
          <w:bCs/>
        </w:rPr>
        <w:fldChar w:fldCharType="separate"/>
      </w:r>
      <w:r w:rsidR="00BF7E93" w:rsidRPr="00BF7E93">
        <w:rPr>
          <w:b/>
          <w:bCs/>
        </w:rPr>
        <w:t xml:space="preserve">Figure </w:t>
      </w:r>
      <w:r w:rsidR="00BF7E93" w:rsidRPr="00BF7E93">
        <w:rPr>
          <w:b/>
          <w:bCs/>
          <w:noProof/>
        </w:rPr>
        <w:t>4.24</w:t>
      </w:r>
      <w:r w:rsidRPr="00E77933">
        <w:rPr>
          <w:b/>
          <w:bCs/>
        </w:rPr>
        <w:fldChar w:fldCharType="end"/>
      </w:r>
      <w:r>
        <w:t>.</w:t>
      </w:r>
    </w:p>
    <w:p w14:paraId="71B5745A" w14:textId="3BA0DA5A" w:rsidR="00B81030" w:rsidRDefault="00D16B0F" w:rsidP="00F22A75">
      <w:r>
        <w:t>The primary contributor to the uncertainty of gas conductance is the initial fill gas pressure.</w:t>
      </w:r>
      <w:r w:rsidR="00B81030">
        <w:t xml:space="preserve"> The fill gas pressure directly increases the gas conductance via</w:t>
      </w:r>
      <w:r w:rsidR="002766D1">
        <w:t xml:space="preserve"> jump distance,</w:t>
      </w:r>
      <w:r w:rsidR="00B81030">
        <w:t xml:space="preserve"> </w:t>
      </w:r>
      <w:r w:rsidR="002766D1">
        <w:t>E</w:t>
      </w:r>
      <w:r w:rsidR="00B81030">
        <w:t xml:space="preserve">quation </w:t>
      </w:r>
      <w:r w:rsidR="00B81030">
        <w:fldChar w:fldCharType="begin"/>
      </w:r>
      <w:r w:rsidR="00B81030">
        <w:instrText xml:space="preserve"> REF _Ref197339045 \h </w:instrText>
      </w:r>
      <w:r w:rsidR="00B81030">
        <w:fldChar w:fldCharType="separate"/>
      </w:r>
      <w:r w:rsidR="00BF7E93">
        <w:rPr>
          <w:noProof/>
        </w:rPr>
        <w:t>24</w:t>
      </w:r>
      <w:r w:rsidR="00B81030">
        <w:fldChar w:fldCharType="end"/>
      </w:r>
      <w:r w:rsidR="002766D1">
        <w:t xml:space="preserve">, and is also the primary contributor to the gas thermal conductivity. The initial fill gas pressure influences the final composition of the gas following gaseous fission product release and can mitigate the thermal conductivity degradation from the addition of Kr and Xe. </w:t>
      </w:r>
      <w:r w:rsidR="002766D1" w:rsidRPr="00E77933">
        <w:rPr>
          <w:b/>
          <w:bCs/>
        </w:rPr>
        <w:fldChar w:fldCharType="begin"/>
      </w:r>
      <w:r w:rsidR="002766D1" w:rsidRPr="00E77933">
        <w:rPr>
          <w:b/>
          <w:bCs/>
        </w:rPr>
        <w:instrText xml:space="preserve"> REF _Ref197941736 \h </w:instrText>
      </w:r>
      <w:r w:rsidR="00E77933">
        <w:rPr>
          <w:b/>
          <w:bCs/>
        </w:rPr>
        <w:instrText xml:space="preserve"> \* MERGEFORMAT </w:instrText>
      </w:r>
      <w:r w:rsidR="002766D1" w:rsidRPr="00E77933">
        <w:rPr>
          <w:b/>
          <w:bCs/>
        </w:rPr>
      </w:r>
      <w:r w:rsidR="002766D1" w:rsidRPr="00E77933">
        <w:rPr>
          <w:b/>
          <w:bCs/>
        </w:rPr>
        <w:fldChar w:fldCharType="separate"/>
      </w:r>
      <w:r w:rsidR="00BF7E93" w:rsidRPr="00BF7E93">
        <w:rPr>
          <w:b/>
          <w:bCs/>
        </w:rPr>
        <w:t xml:space="preserve">Figure </w:t>
      </w:r>
      <w:r w:rsidR="00BF7E93" w:rsidRPr="00BF7E93">
        <w:rPr>
          <w:b/>
          <w:bCs/>
          <w:noProof/>
        </w:rPr>
        <w:t>4.24</w:t>
      </w:r>
      <w:r w:rsidR="002766D1" w:rsidRPr="00E77933">
        <w:rPr>
          <w:b/>
          <w:bCs/>
        </w:rPr>
        <w:fldChar w:fldCharType="end"/>
      </w:r>
      <w:r w:rsidR="002766D1">
        <w:t xml:space="preserve"> demonstrates that an initial fill gas pressure of 0.5 </w:t>
      </w:r>
      <w:r w:rsidR="002766D1">
        <w:lastRenderedPageBreak/>
        <w:t>MPa is sufficient to mitigate the effects of FGR within 80 GWd/MTU with a 1000</w:t>
      </w:r>
      <w:r w:rsidR="002766D1" w:rsidRPr="008C04B3">
        <w:rPr>
          <w:rFonts w:ascii="Calibri" w:hAnsi="Calibri" w:cs="Calibri"/>
          <w:color w:val="000000"/>
        </w:rPr>
        <w:t>°</w:t>
      </w:r>
      <w:r w:rsidR="002766D1">
        <w:t xml:space="preserve">C target temperature. </w:t>
      </w:r>
      <w:r>
        <w:t xml:space="preserve"> </w:t>
      </w:r>
      <w:r w:rsidR="002766D1" w:rsidRPr="00E77933">
        <w:rPr>
          <w:b/>
          <w:bCs/>
        </w:rPr>
        <w:fldChar w:fldCharType="begin"/>
      </w:r>
      <w:r w:rsidR="002766D1" w:rsidRPr="00E77933">
        <w:rPr>
          <w:b/>
          <w:bCs/>
        </w:rPr>
        <w:instrText xml:space="preserve"> REF _Ref197941881 \h </w:instrText>
      </w:r>
      <w:r w:rsidR="00E77933">
        <w:rPr>
          <w:b/>
          <w:bCs/>
        </w:rPr>
        <w:instrText xml:space="preserve"> \* MERGEFORMAT </w:instrText>
      </w:r>
      <w:r w:rsidR="002766D1" w:rsidRPr="00E77933">
        <w:rPr>
          <w:b/>
          <w:bCs/>
        </w:rPr>
      </w:r>
      <w:r w:rsidR="002766D1" w:rsidRPr="00E77933">
        <w:rPr>
          <w:b/>
          <w:bCs/>
        </w:rPr>
        <w:fldChar w:fldCharType="separate"/>
      </w:r>
      <w:r w:rsidR="00BF7E93" w:rsidRPr="00BF7E93">
        <w:rPr>
          <w:b/>
          <w:bCs/>
        </w:rPr>
        <w:t xml:space="preserve">Figure </w:t>
      </w:r>
      <w:r w:rsidR="00BF7E93" w:rsidRPr="00BF7E93">
        <w:rPr>
          <w:b/>
          <w:bCs/>
          <w:noProof/>
        </w:rPr>
        <w:t>4.27</w:t>
      </w:r>
      <w:r w:rsidR="002766D1" w:rsidRPr="00E77933">
        <w:rPr>
          <w:b/>
          <w:bCs/>
        </w:rPr>
        <w:fldChar w:fldCharType="end"/>
      </w:r>
      <w:r w:rsidR="002766D1">
        <w:t xml:space="preserve"> and </w:t>
      </w:r>
      <w:r w:rsidR="002766D1" w:rsidRPr="00E77933">
        <w:rPr>
          <w:b/>
          <w:bCs/>
        </w:rPr>
        <w:fldChar w:fldCharType="begin"/>
      </w:r>
      <w:r w:rsidR="002766D1" w:rsidRPr="00E77933">
        <w:rPr>
          <w:b/>
          <w:bCs/>
        </w:rPr>
        <w:instrText xml:space="preserve"> REF _Ref197941892 \h </w:instrText>
      </w:r>
      <w:r w:rsidR="00E77933">
        <w:rPr>
          <w:b/>
          <w:bCs/>
        </w:rPr>
        <w:instrText xml:space="preserve"> \* MERGEFORMAT </w:instrText>
      </w:r>
      <w:r w:rsidR="002766D1" w:rsidRPr="00E77933">
        <w:rPr>
          <w:b/>
          <w:bCs/>
        </w:rPr>
      </w:r>
      <w:r w:rsidR="002766D1" w:rsidRPr="00E77933">
        <w:rPr>
          <w:b/>
          <w:bCs/>
        </w:rPr>
        <w:fldChar w:fldCharType="separate"/>
      </w:r>
      <w:r w:rsidR="00BF7E93" w:rsidRPr="00BF7E93">
        <w:rPr>
          <w:b/>
          <w:bCs/>
        </w:rPr>
        <w:t xml:space="preserve">Figure </w:t>
      </w:r>
      <w:r w:rsidR="00BF7E93" w:rsidRPr="00BF7E93">
        <w:rPr>
          <w:b/>
          <w:bCs/>
          <w:noProof/>
        </w:rPr>
        <w:t>4.28</w:t>
      </w:r>
      <w:r w:rsidR="002766D1" w:rsidRPr="00E77933">
        <w:rPr>
          <w:b/>
          <w:bCs/>
        </w:rPr>
        <w:fldChar w:fldCharType="end"/>
      </w:r>
      <w:r w:rsidR="002766D1">
        <w:t xml:space="preserve"> demonstrate that an initial fill gas pressure of 0.5 MPa is also sufficient to reduce the jump distance uncertainty across several correlations for both Mo and UO</w:t>
      </w:r>
      <w:r w:rsidR="002766D1">
        <w:rPr>
          <w:vertAlign w:val="subscript"/>
        </w:rPr>
        <w:t>2</w:t>
      </w:r>
      <w:r w:rsidR="002766D1">
        <w:t xml:space="preserve"> interfaces.  </w:t>
      </w:r>
    </w:p>
    <w:p w14:paraId="7C45E774" w14:textId="16DEC492" w:rsidR="00A706A8" w:rsidRDefault="00B359A0" w:rsidP="00F22A75">
      <w:r>
        <w:t>The current ANSYS calculation method assumes 0 W/m</w:t>
      </w:r>
      <w:r w:rsidRPr="00723CFA">
        <w:rPr>
          <w:vertAlign w:val="superscript"/>
        </w:rPr>
        <w:t>2</w:t>
      </w:r>
      <w:r>
        <w:t>-</w:t>
      </w:r>
      <w:r w:rsidRPr="008C04B3">
        <w:rPr>
          <w:rFonts w:ascii="Calibri" w:hAnsi="Calibri" w:cs="Calibri"/>
          <w:color w:val="000000"/>
        </w:rPr>
        <w:t>°</w:t>
      </w:r>
      <w:r>
        <w:t xml:space="preserve">C solid spot conductance, given no contact pressure between the fuel and dish, and ~0.1 MPa initial gas pressure, corresponding to 1 atm. </w:t>
      </w:r>
      <w:r w:rsidR="00087305">
        <w:t>T</w:t>
      </w:r>
      <w:r>
        <w:t xml:space="preserve">he solid spot conductance is not 0 in reality, but since the real value of contact pressure is unknown, the uncertainty in solid spot conductance is anywhere between 0 and ideal heat transfer. </w:t>
      </w:r>
      <w:r w:rsidR="00AC1965">
        <w:t>By addressing</w:t>
      </w:r>
      <w:r>
        <w:t xml:space="preserve"> the minimum value of </w:t>
      </w:r>
      <w:r w:rsidR="00185233">
        <w:t>SSC</w:t>
      </w:r>
      <w:r w:rsidR="006672C7">
        <w:t>,</w:t>
      </w:r>
      <w:r>
        <w:t xml:space="preserve"> </w:t>
      </w:r>
      <w:r w:rsidR="00AC1965">
        <w:t>the minimum heat transfer case can be improved</w:t>
      </w:r>
      <w:r w:rsidR="000D17EF">
        <w:t xml:space="preserve">. </w:t>
      </w:r>
      <w:r w:rsidR="002766D1" w:rsidRPr="00E77933">
        <w:rPr>
          <w:b/>
          <w:bCs/>
        </w:rPr>
        <w:fldChar w:fldCharType="begin"/>
      </w:r>
      <w:r w:rsidR="002766D1" w:rsidRPr="00E77933">
        <w:rPr>
          <w:b/>
          <w:bCs/>
        </w:rPr>
        <w:instrText xml:space="preserve"> REF _Ref197941736 \h </w:instrText>
      </w:r>
      <w:r w:rsidR="00E77933">
        <w:rPr>
          <w:b/>
          <w:bCs/>
        </w:rPr>
        <w:instrText xml:space="preserve"> \* MERGEFORMAT </w:instrText>
      </w:r>
      <w:r w:rsidR="002766D1" w:rsidRPr="00E77933">
        <w:rPr>
          <w:b/>
          <w:bCs/>
        </w:rPr>
      </w:r>
      <w:r w:rsidR="002766D1" w:rsidRPr="00E77933">
        <w:rPr>
          <w:b/>
          <w:bCs/>
        </w:rPr>
        <w:fldChar w:fldCharType="separate"/>
      </w:r>
      <w:r w:rsidR="00BF7E93" w:rsidRPr="00BF7E93">
        <w:rPr>
          <w:b/>
          <w:bCs/>
        </w:rPr>
        <w:t xml:space="preserve">Figure </w:t>
      </w:r>
      <w:r w:rsidR="00BF7E93" w:rsidRPr="00BF7E93">
        <w:rPr>
          <w:b/>
          <w:bCs/>
          <w:noProof/>
        </w:rPr>
        <w:t>4.24</w:t>
      </w:r>
      <w:r w:rsidR="002766D1" w:rsidRPr="00E77933">
        <w:rPr>
          <w:b/>
          <w:bCs/>
        </w:rPr>
        <w:fldChar w:fldCharType="end"/>
      </w:r>
      <w:r w:rsidR="002766D1">
        <w:t xml:space="preserve"> demonstrates that a </w:t>
      </w:r>
      <w:r w:rsidR="00F06C52">
        <w:t xml:space="preserve">minimum </w:t>
      </w:r>
      <w:r w:rsidR="002766D1">
        <w:t xml:space="preserve">solid spot conductance of </w:t>
      </w:r>
      <w:r w:rsidR="002766D1" w:rsidRPr="002766D1">
        <w:t>~1</w:t>
      </w:r>
      <w:r w:rsidR="002766D1" w:rsidRPr="002766D1">
        <w:sym w:font="Symbol" w:char="F0B4"/>
      </w:r>
      <w:r w:rsidR="002766D1" w:rsidRPr="002766D1">
        <w:t>10</w:t>
      </w:r>
      <w:r w:rsidR="002766D1" w:rsidRPr="002766D1">
        <w:rPr>
          <w:vertAlign w:val="superscript"/>
        </w:rPr>
        <w:t>4</w:t>
      </w:r>
      <w:r w:rsidR="00F06C52">
        <w:t xml:space="preserve"> W/m</w:t>
      </w:r>
      <w:r w:rsidR="00F06C52" w:rsidRPr="00723CFA">
        <w:rPr>
          <w:vertAlign w:val="superscript"/>
        </w:rPr>
        <w:t>2</w:t>
      </w:r>
      <w:r w:rsidR="00F06C52">
        <w:t>-</w:t>
      </w:r>
      <w:r w:rsidR="00F06C52" w:rsidRPr="008C04B3">
        <w:rPr>
          <w:rFonts w:ascii="Calibri" w:hAnsi="Calibri" w:cs="Calibri"/>
          <w:color w:val="000000"/>
        </w:rPr>
        <w:t>°</w:t>
      </w:r>
      <w:r w:rsidR="00F06C52">
        <w:t xml:space="preserve">C can keep the interface temperature within </w:t>
      </w:r>
      <w:r w:rsidR="001C0936">
        <w:t>1000</w:t>
      </w:r>
      <w:r w:rsidR="001C0936" w:rsidRPr="008C04B3">
        <w:rPr>
          <w:rFonts w:ascii="Calibri" w:hAnsi="Calibri" w:cs="Calibri"/>
          <w:color w:val="000000"/>
        </w:rPr>
        <w:t>°</w:t>
      </w:r>
      <w:r w:rsidR="001C0936">
        <w:t>C</w:t>
      </w:r>
      <w:r w:rsidR="00024E11">
        <w:t xml:space="preserve"> </w:t>
      </w:r>
      <w:r w:rsidR="00185233">
        <w:t xml:space="preserve">even </w:t>
      </w:r>
      <w:r w:rsidR="00024E11">
        <w:t>under vacuum conditions. This is</w:t>
      </w:r>
      <w:r w:rsidR="001C0936">
        <w:t xml:space="preserve"> </w:t>
      </w:r>
      <w:r w:rsidR="00F06C52">
        <w:t xml:space="preserve">the </w:t>
      </w:r>
      <w:r w:rsidR="001C0936">
        <w:t xml:space="preserve">peak temperature demonstrated for </w:t>
      </w:r>
      <w:r w:rsidR="00024E11">
        <w:t>a 1000</w:t>
      </w:r>
      <w:r w:rsidR="00024E11" w:rsidRPr="008C04B3">
        <w:rPr>
          <w:rFonts w:ascii="Calibri" w:hAnsi="Calibri" w:cs="Calibri"/>
          <w:color w:val="000000"/>
        </w:rPr>
        <w:t>°</w:t>
      </w:r>
      <w:r w:rsidR="00024E11">
        <w:t>C target temperature RB subcapsule at 80 GWd/MTU assuming ~0.1 MPa initial fill gas pressure. Although vacuum conditions within the subcapsule can only be achieved through intentional experimental design, this offers a method to maintain the current uncertainty margins</w:t>
      </w:r>
      <w:r w:rsidR="00185233">
        <w:t xml:space="preserve"> with the option of</w:t>
      </w:r>
      <w:r w:rsidR="00024E11">
        <w:t xml:space="preserve"> vacuum and will</w:t>
      </w:r>
      <w:r w:rsidR="00185233">
        <w:t xml:space="preserve"> also</w:t>
      </w:r>
      <w:r w:rsidR="00024E11">
        <w:t xml:space="preserve"> work toward reducing the uncertainty of the nominal design conditions.</w:t>
      </w:r>
    </w:p>
    <w:p w14:paraId="57D10A2D" w14:textId="7B123DDA" w:rsidR="00155AC4" w:rsidRPr="00F06C52" w:rsidRDefault="00155AC4" w:rsidP="00F22A75">
      <w:r>
        <w:t>Applying these recommendations to the previously developed ANSYS models reduced the uncertainty range for average fuel temperature predictions from 99</w:t>
      </w:r>
      <w:r w:rsidRPr="008C04B3">
        <w:rPr>
          <w:rFonts w:ascii="Calibri" w:hAnsi="Calibri" w:cs="Calibri"/>
          <w:color w:val="000000"/>
        </w:rPr>
        <w:t>°</w:t>
      </w:r>
      <w:r>
        <w:t>C to 78</w:t>
      </w:r>
      <w:r w:rsidRPr="008C04B3">
        <w:rPr>
          <w:rFonts w:ascii="Calibri" w:hAnsi="Calibri" w:cs="Calibri"/>
          <w:color w:val="000000"/>
        </w:rPr>
        <w:t>°</w:t>
      </w:r>
      <w:r>
        <w:t>C in VXF, a 21% reduction, and from 231</w:t>
      </w:r>
      <w:r w:rsidRPr="008C04B3">
        <w:rPr>
          <w:rFonts w:ascii="Calibri" w:hAnsi="Calibri" w:cs="Calibri"/>
          <w:color w:val="000000"/>
        </w:rPr>
        <w:t>°</w:t>
      </w:r>
      <w:r>
        <w:t>C to 155</w:t>
      </w:r>
      <w:r w:rsidRPr="008C04B3">
        <w:rPr>
          <w:rFonts w:ascii="Calibri" w:hAnsi="Calibri" w:cs="Calibri"/>
          <w:color w:val="000000"/>
        </w:rPr>
        <w:t>°</w:t>
      </w:r>
      <w:r>
        <w:t xml:space="preserve">C in RB, a 33% reduction. Assuming the ±2σ uncertainties determined in the previous work decrease by the same amount, </w:t>
      </w:r>
      <w:r>
        <w:lastRenderedPageBreak/>
        <w:t>implementing the design changes suggested in this work would reduce the fuel temperature uncertainty in VXF and RB MiniFuel experiments from ±40</w:t>
      </w:r>
      <w:r w:rsidRPr="008C04B3">
        <w:rPr>
          <w:rFonts w:ascii="Calibri" w:hAnsi="Calibri" w:cs="Calibri"/>
          <w:color w:val="000000"/>
        </w:rPr>
        <w:t>°</w:t>
      </w:r>
      <w:r>
        <w:t>C and ±80</w:t>
      </w:r>
      <w:r w:rsidRPr="008C04B3">
        <w:rPr>
          <w:rFonts w:ascii="Calibri" w:hAnsi="Calibri" w:cs="Calibri"/>
          <w:color w:val="000000"/>
        </w:rPr>
        <w:t>°</w:t>
      </w:r>
      <w:r>
        <w:t>C to ±32</w:t>
      </w:r>
      <w:r w:rsidRPr="008C04B3">
        <w:rPr>
          <w:rFonts w:ascii="Calibri" w:hAnsi="Calibri" w:cs="Calibri"/>
          <w:color w:val="000000"/>
        </w:rPr>
        <w:t>°</w:t>
      </w:r>
      <w:r>
        <w:t>C and ±53</w:t>
      </w:r>
      <w:r w:rsidRPr="008C04B3">
        <w:rPr>
          <w:rFonts w:ascii="Calibri" w:hAnsi="Calibri" w:cs="Calibri"/>
          <w:color w:val="000000"/>
        </w:rPr>
        <w:t>°</w:t>
      </w:r>
      <w:r>
        <w:t>C, respectively. The maximum temperature gradient across the fuel-dish interface also decreased from ~65</w:t>
      </w:r>
      <w:r w:rsidRPr="0074556C">
        <w:t>°C</w:t>
      </w:r>
      <w:r>
        <w:t xml:space="preserve"> to ~15</w:t>
      </w:r>
      <w:r w:rsidRPr="0074556C">
        <w:t>°C</w:t>
      </w:r>
      <w:r>
        <w:t xml:space="preserve"> in RB and from ~20</w:t>
      </w:r>
      <w:r w:rsidRPr="0074556C">
        <w:t>°C</w:t>
      </w:r>
      <w:r>
        <w:t xml:space="preserve"> to ~5</w:t>
      </w:r>
      <w:r w:rsidRPr="0074556C">
        <w:t>°C</w:t>
      </w:r>
      <w:r>
        <w:t xml:space="preserve"> in VXF.  </w:t>
      </w:r>
    </w:p>
    <w:p w14:paraId="20D9953E" w14:textId="69A03D0B" w:rsidR="00937044" w:rsidRDefault="00937044" w:rsidP="00F22A75">
      <w:pPr>
        <w:pStyle w:val="Heading2"/>
      </w:pPr>
      <w:bookmarkStart w:id="267" w:name="_Toc202957509"/>
      <w:r>
        <w:t>Unique Contributions</w:t>
      </w:r>
      <w:bookmarkEnd w:id="267"/>
    </w:p>
    <w:p w14:paraId="3B7C0BB3" w14:textId="292D8FB9" w:rsidR="00937044" w:rsidRDefault="002704FA" w:rsidP="00F22A75">
      <w:r>
        <w:t xml:space="preserve">This dissertation provides an assessment of computational modeling capabilities for two reactor safety applications: transient boiling heat transfer and critical heat flux, and thermal contact conductance. </w:t>
      </w:r>
      <w:r w:rsidR="00382350">
        <w:t>The significant contributions</w:t>
      </w:r>
      <w:r w:rsidR="003D59F6">
        <w:t xml:space="preserve"> of this work are as follows</w:t>
      </w:r>
      <w:r w:rsidR="00382350">
        <w:t xml:space="preserve">: </w:t>
      </w:r>
    </w:p>
    <w:p w14:paraId="53EF6C7F" w14:textId="205ED9D1" w:rsidR="00A24367" w:rsidRDefault="00A24367" w:rsidP="00F22A75">
      <w:pPr>
        <w:pStyle w:val="ListParagraph"/>
      </w:pPr>
      <w:r>
        <w:t xml:space="preserve">Utilized sensitivity analysis to identify parameters of high model uncertainty and sensitivity to inform design of separate effects tests for reactor safety applications. </w:t>
      </w:r>
    </w:p>
    <w:p w14:paraId="56365356" w14:textId="7306B870" w:rsidR="00447B0A" w:rsidRDefault="00447B0A" w:rsidP="00F22A75">
      <w:pPr>
        <w:pStyle w:val="ListParagraph"/>
      </w:pPr>
      <w:r>
        <w:t>Developed a model of the TRTL facility within RELAP5-3D which can be used for experimental comparison to flow boiling CHF tests.</w:t>
      </w:r>
    </w:p>
    <w:p w14:paraId="38BC461D" w14:textId="77777777" w:rsidR="00447B0A" w:rsidRDefault="00447B0A" w:rsidP="00F22A75">
      <w:pPr>
        <w:pStyle w:val="ListParagraph"/>
      </w:pPr>
      <w:r>
        <w:t>Performed an experimental comparison of the UNM pool boiling facility to a RELAP5-3D model with an implemented empirical pool boiling CHF correlation.</w:t>
      </w:r>
    </w:p>
    <w:p w14:paraId="1D32964A" w14:textId="17349240" w:rsidR="00447B0A" w:rsidRDefault="00447B0A" w:rsidP="00F22A75">
      <w:pPr>
        <w:pStyle w:val="ListParagraph"/>
      </w:pPr>
      <w:r>
        <w:t>Performed an experimental comparison of the TREAT CHF-SERTTA capsule to a RELAP5-3D model with an implemented empirical pool boiling CHF correlation.</w:t>
      </w:r>
    </w:p>
    <w:p w14:paraId="56DB6F2D" w14:textId="2DD3A7E0" w:rsidR="00F47488" w:rsidRDefault="00F47488" w:rsidP="00F22A75">
      <w:pPr>
        <w:pStyle w:val="ListParagraph"/>
      </w:pPr>
      <w:r>
        <w:t>Identified that implementation of empirical correlations of CHF from the literature are not sufficient for capturing transient boiling heat transfer phenomena.</w:t>
      </w:r>
    </w:p>
    <w:p w14:paraId="14FA5509" w14:textId="4C921231" w:rsidR="00190C05" w:rsidRDefault="00CA351D" w:rsidP="00F22A75">
      <w:pPr>
        <w:pStyle w:val="ListParagraph"/>
      </w:pPr>
      <w:r>
        <w:lastRenderedPageBreak/>
        <w:t>Demonstration of modeling gaps within the transient heat transfer models within RELAP5-3D for pre- and post- CHF transient boiling heat transfer.</w:t>
      </w:r>
    </w:p>
    <w:p w14:paraId="24D2C11B" w14:textId="21FB4C61" w:rsidR="00CA351D" w:rsidRDefault="00CA351D" w:rsidP="00F22A75">
      <w:pPr>
        <w:pStyle w:val="ListParagraph"/>
      </w:pPr>
      <w:r>
        <w:t>Development of an experimental test matrix which can work toward addressing modeling gaps in transient boiling heat transfer models.</w:t>
      </w:r>
    </w:p>
    <w:p w14:paraId="4C82AF19" w14:textId="77777777" w:rsidR="00E72C6A" w:rsidRDefault="00E72C6A" w:rsidP="00F22A75">
      <w:pPr>
        <w:pStyle w:val="ListParagraph"/>
      </w:pPr>
      <w:r>
        <w:t>Developed a standardized MiniFuel model repository for use in sensitivity analysis.</w:t>
      </w:r>
    </w:p>
    <w:p w14:paraId="40ADDF9C" w14:textId="79B20851" w:rsidR="00E72C6A" w:rsidRDefault="00E72C6A" w:rsidP="00F22A75">
      <w:pPr>
        <w:pStyle w:val="ListParagraph"/>
      </w:pPr>
      <w:r>
        <w:t>Developed a reduced order model for MiniFuel that includes a fission gas model within BISON.</w:t>
      </w:r>
    </w:p>
    <w:p w14:paraId="1200737E" w14:textId="0033B6AC" w:rsidR="00E72C6A" w:rsidRDefault="00C872CC" w:rsidP="00F22A75">
      <w:pPr>
        <w:pStyle w:val="ListParagraph"/>
      </w:pPr>
      <w:r>
        <w:t>Proposed methods for reducing temperature uncertainty in MiniFuel irradiation tests.</w:t>
      </w:r>
    </w:p>
    <w:p w14:paraId="5AF38706" w14:textId="6AEBFBDC" w:rsidR="00E72C6A" w:rsidRDefault="00E72C6A" w:rsidP="00F22A75">
      <w:pPr>
        <w:pStyle w:val="ListParagraph"/>
      </w:pPr>
      <w:r>
        <w:t>Identified correlations for thermal accommodation and solid spot conductance as sources of uncertainty within gap heat transfer modeling.</w:t>
      </w:r>
    </w:p>
    <w:p w14:paraId="267529F4" w14:textId="179AEF40" w:rsidR="00A950C0" w:rsidRDefault="00A950C0" w:rsidP="00F22A75">
      <w:pPr>
        <w:pStyle w:val="ListParagraph"/>
      </w:pPr>
      <w:r>
        <w:t>Established design recommendations that can reduce the fuel temperature prediction uncertainty in MiniFuel targets by ~21% in VXF and ~33% in RB.</w:t>
      </w:r>
    </w:p>
    <w:p w14:paraId="517A1114" w14:textId="28399BA6" w:rsidR="00937044" w:rsidRDefault="00937044" w:rsidP="00F22A75">
      <w:pPr>
        <w:pStyle w:val="Heading2"/>
      </w:pPr>
      <w:bookmarkStart w:id="268" w:name="_Toc202957510"/>
      <w:r>
        <w:t>Suggested Future Work</w:t>
      </w:r>
      <w:bookmarkEnd w:id="268"/>
    </w:p>
    <w:p w14:paraId="089ABB62" w14:textId="056F68ED" w:rsidR="003E72B2" w:rsidRDefault="009564F6" w:rsidP="00F22A75">
      <w:pPr>
        <w:rPr>
          <w:lang w:eastAsia="ko-KR"/>
        </w:rPr>
      </w:pPr>
      <w:r>
        <w:rPr>
          <w:lang w:eastAsia="ko-KR"/>
        </w:rPr>
        <w:t>This work</w:t>
      </w:r>
      <w:r w:rsidR="00946DD7">
        <w:rPr>
          <w:lang w:eastAsia="ko-KR"/>
        </w:rPr>
        <w:t xml:space="preserve"> demonstrates a method for </w:t>
      </w:r>
      <w:r w:rsidR="00EA7480">
        <w:rPr>
          <w:lang w:eastAsia="ko-KR"/>
        </w:rPr>
        <w:t>utilizing sensitivity analysis to inform the design of separate effects tests</w:t>
      </w:r>
      <w:r w:rsidR="003E72B2">
        <w:rPr>
          <w:lang w:eastAsia="ko-KR"/>
        </w:rPr>
        <w:t xml:space="preserve"> to accelerate the nuclear fuel qualification process</w:t>
      </w:r>
      <w:r w:rsidR="00EA7480">
        <w:rPr>
          <w:lang w:eastAsia="ko-KR"/>
        </w:rPr>
        <w:t>.</w:t>
      </w:r>
      <w:r w:rsidR="003E72B2">
        <w:rPr>
          <w:lang w:eastAsia="ko-KR"/>
        </w:rPr>
        <w:t xml:space="preserve"> </w:t>
      </w:r>
      <w:r w:rsidR="00B61BFF">
        <w:rPr>
          <w:lang w:eastAsia="ko-KR"/>
        </w:rPr>
        <w:t>C</w:t>
      </w:r>
      <w:r w:rsidR="00E9542F">
        <w:rPr>
          <w:lang w:eastAsia="ko-KR"/>
        </w:rPr>
        <w:t xml:space="preserve">omplications with documenting the fuel qualification process </w:t>
      </w:r>
      <w:r w:rsidR="00D27759">
        <w:rPr>
          <w:lang w:eastAsia="ko-KR"/>
        </w:rPr>
        <w:t>included</w:t>
      </w:r>
      <w:r w:rsidR="00E9542F">
        <w:rPr>
          <w:lang w:eastAsia="ko-KR"/>
        </w:rPr>
        <w:t xml:space="preserve"> </w:t>
      </w:r>
      <w:r w:rsidR="00D27759">
        <w:rPr>
          <w:lang w:eastAsia="ko-KR"/>
        </w:rPr>
        <w:t>a</w:t>
      </w:r>
      <w:r w:rsidR="00E9542F">
        <w:rPr>
          <w:lang w:eastAsia="ko-KR"/>
        </w:rPr>
        <w:t xml:space="preserve"> lack of </w:t>
      </w:r>
      <w:r w:rsidR="00B61BFF">
        <w:rPr>
          <w:lang w:eastAsia="ko-KR"/>
        </w:rPr>
        <w:t>established procedures and justification</w:t>
      </w:r>
      <w:r w:rsidR="00D27759">
        <w:rPr>
          <w:lang w:eastAsia="ko-KR"/>
        </w:rPr>
        <w:t xml:space="preserve">. </w:t>
      </w:r>
      <w:r w:rsidR="003E72B2">
        <w:rPr>
          <w:lang w:eastAsia="ko-KR"/>
        </w:rPr>
        <w:t xml:space="preserve">A clear next step for future work would be to </w:t>
      </w:r>
      <w:r w:rsidR="00D27759">
        <w:rPr>
          <w:lang w:eastAsia="ko-KR"/>
        </w:rPr>
        <w:t xml:space="preserve">thoroughly </w:t>
      </w:r>
      <w:r w:rsidR="003E72B2">
        <w:rPr>
          <w:lang w:eastAsia="ko-KR"/>
        </w:rPr>
        <w:t>document the use of th</w:t>
      </w:r>
      <w:r w:rsidR="00D27759">
        <w:rPr>
          <w:lang w:eastAsia="ko-KR"/>
        </w:rPr>
        <w:t>e</w:t>
      </w:r>
      <w:r w:rsidR="003E72B2">
        <w:rPr>
          <w:lang w:eastAsia="ko-KR"/>
        </w:rPr>
        <w:t xml:space="preserve"> </w:t>
      </w:r>
      <w:r w:rsidR="00D27759">
        <w:rPr>
          <w:lang w:eastAsia="ko-KR"/>
        </w:rPr>
        <w:t xml:space="preserve">accelerated </w:t>
      </w:r>
      <w:r w:rsidR="003E72B2">
        <w:rPr>
          <w:lang w:eastAsia="ko-KR"/>
        </w:rPr>
        <w:t xml:space="preserve">workflow to qualify a new fuel form. </w:t>
      </w:r>
      <w:r w:rsidR="00D27759">
        <w:rPr>
          <w:lang w:eastAsia="ko-KR"/>
        </w:rPr>
        <w:t xml:space="preserve">This would provide a preliminary quantification of the time necessary to qualify a new form and would provide </w:t>
      </w:r>
      <w:r w:rsidR="00D27759">
        <w:rPr>
          <w:lang w:eastAsia="ko-KR"/>
        </w:rPr>
        <w:lastRenderedPageBreak/>
        <w:t>future fuel qualification ventures a process to reference.</w:t>
      </w:r>
      <w:r w:rsidR="008B0257">
        <w:rPr>
          <w:lang w:eastAsia="ko-KR"/>
        </w:rPr>
        <w:t xml:space="preserve"> Of course</w:t>
      </w:r>
      <w:r w:rsidR="00A83878">
        <w:rPr>
          <w:lang w:eastAsia="ko-KR"/>
        </w:rPr>
        <w:t>,</w:t>
      </w:r>
      <w:r w:rsidR="008B0257">
        <w:rPr>
          <w:lang w:eastAsia="ko-KR"/>
        </w:rPr>
        <w:t xml:space="preserve"> this process and timeline would be subject to change based on the technology readiness level of the fuel form, but a well-documented reference would be a great benefit as literature on fuel qualification is sparse.</w:t>
      </w:r>
    </w:p>
    <w:p w14:paraId="4E51AE5D" w14:textId="40CE5302" w:rsidR="008F2A6C" w:rsidRPr="00654010" w:rsidRDefault="00C67231" w:rsidP="00F22A75">
      <w:pPr>
        <w:rPr>
          <w:lang w:eastAsia="ko-KR"/>
        </w:rPr>
      </w:pPr>
      <w:r>
        <w:rPr>
          <w:lang w:eastAsia="ko-KR"/>
        </w:rPr>
        <w:br w:type="page"/>
      </w:r>
    </w:p>
    <w:p w14:paraId="36CB77BC" w14:textId="0875FB47" w:rsidR="00236E6D" w:rsidRPr="00F22A75" w:rsidRDefault="00236E6D" w:rsidP="00F22A75">
      <w:pPr>
        <w:pStyle w:val="AltHeading1"/>
        <w:spacing w:line="480" w:lineRule="auto"/>
      </w:pPr>
      <w:bookmarkStart w:id="269" w:name="_Toc427156483"/>
      <w:bookmarkStart w:id="270" w:name="_Toc202957511"/>
      <w:r w:rsidRPr="00E551D3">
        <w:lastRenderedPageBreak/>
        <w:t>L</w:t>
      </w:r>
      <w:r w:rsidR="00E91931" w:rsidRPr="00E551D3">
        <w:t xml:space="preserve">ist of </w:t>
      </w:r>
      <w:r w:rsidR="00E91931" w:rsidRPr="00F22A75">
        <w:t>References</w:t>
      </w:r>
      <w:bookmarkEnd w:id="262"/>
      <w:bookmarkEnd w:id="263"/>
      <w:bookmarkEnd w:id="269"/>
      <w:bookmarkEnd w:id="270"/>
    </w:p>
    <w:p w14:paraId="00AF5C1F" w14:textId="77777777" w:rsidR="00D623B1" w:rsidRPr="00F22A75" w:rsidRDefault="004942CD" w:rsidP="00F22A75">
      <w:pPr>
        <w:pStyle w:val="EndNoteBibliography"/>
        <w:spacing w:line="480" w:lineRule="auto"/>
        <w:rPr>
          <w:rFonts w:ascii="Times New Roman" w:hAnsi="Times New Roman" w:cs="Times New Roman"/>
          <w:noProof/>
        </w:rPr>
      </w:pPr>
      <w:r w:rsidRPr="00F22A75">
        <w:rPr>
          <w:rFonts w:ascii="Times New Roman" w:hAnsi="Times New Roman" w:cs="Times New Roman"/>
        </w:rPr>
        <w:fldChar w:fldCharType="begin"/>
      </w:r>
      <w:r w:rsidRPr="00F22A75">
        <w:rPr>
          <w:rFonts w:ascii="Times New Roman" w:hAnsi="Times New Roman" w:cs="Times New Roman"/>
        </w:rPr>
        <w:instrText xml:space="preserve"> ADDIN EN.REFLIST </w:instrText>
      </w:r>
      <w:r w:rsidRPr="00F22A75">
        <w:rPr>
          <w:rFonts w:ascii="Times New Roman" w:hAnsi="Times New Roman" w:cs="Times New Roman"/>
        </w:rPr>
        <w:fldChar w:fldCharType="separate"/>
      </w:r>
      <w:r w:rsidR="00D623B1" w:rsidRPr="00F22A75">
        <w:rPr>
          <w:rFonts w:ascii="Times New Roman" w:hAnsi="Times New Roman" w:cs="Times New Roman"/>
          <w:noProof/>
        </w:rPr>
        <w:t>[1] D. S. SIQUEIRA, et al., “Current perspectives on nuclear energy as a global climate change mitigation option,” Mitigation and Adaptation Strategies for Global Change, 24, 5, (2019); 10.1007/s11027-018-9829-5.</w:t>
      </w:r>
    </w:p>
    <w:p w14:paraId="3A506D92" w14:textId="77777777" w:rsidR="00D623B1" w:rsidRPr="00F22A75" w:rsidRDefault="00D623B1" w:rsidP="00F22A75">
      <w:pPr>
        <w:pStyle w:val="EndNoteBibliography"/>
        <w:spacing w:line="480" w:lineRule="auto"/>
        <w:rPr>
          <w:rFonts w:ascii="Times New Roman" w:hAnsi="Times New Roman" w:cs="Times New Roman"/>
          <w:noProof/>
        </w:rPr>
      </w:pPr>
      <w:r w:rsidRPr="00F22A75">
        <w:rPr>
          <w:rFonts w:ascii="Times New Roman" w:hAnsi="Times New Roman" w:cs="Times New Roman"/>
          <w:noProof/>
        </w:rPr>
        <w:t xml:space="preserve">[2] D. A. AROSTEGUI and M. HOLT, “Advanced nuclear reactors: technology overview and current issues,” Congressional Research Service Report for Congress, Washington, DC, Report, </w:t>
      </w:r>
    </w:p>
    <w:p w14:paraId="2072D966" w14:textId="77777777" w:rsidR="00D623B1" w:rsidRPr="00F22A75" w:rsidRDefault="00D623B1" w:rsidP="00F22A75">
      <w:pPr>
        <w:pStyle w:val="EndNoteBibliography"/>
        <w:spacing w:line="480" w:lineRule="auto"/>
        <w:rPr>
          <w:rFonts w:ascii="Times New Roman" w:hAnsi="Times New Roman" w:cs="Times New Roman"/>
          <w:noProof/>
        </w:rPr>
      </w:pPr>
      <w:r w:rsidRPr="00F22A75">
        <w:rPr>
          <w:rFonts w:ascii="Times New Roman" w:hAnsi="Times New Roman" w:cs="Times New Roman"/>
          <w:noProof/>
        </w:rPr>
        <w:t xml:space="preserve">[3] Z. CHEN, et al., “Review of Operating License Extension of Nuclear Power Plants,” 2022 29th International Conference on Nuclear Engineering, </w:t>
      </w:r>
    </w:p>
    <w:p w14:paraId="0C131F12" w14:textId="2CFF92B7" w:rsidR="00D623B1" w:rsidRPr="00F22A75" w:rsidRDefault="00D623B1" w:rsidP="00F22A75">
      <w:pPr>
        <w:pStyle w:val="EndNoteBibliography"/>
        <w:spacing w:line="480" w:lineRule="auto"/>
        <w:rPr>
          <w:rFonts w:ascii="Times New Roman" w:hAnsi="Times New Roman" w:cs="Times New Roman"/>
          <w:noProof/>
        </w:rPr>
      </w:pPr>
      <w:r w:rsidRPr="00F22A75">
        <w:rPr>
          <w:rFonts w:ascii="Times New Roman" w:hAnsi="Times New Roman" w:cs="Times New Roman"/>
          <w:noProof/>
        </w:rPr>
        <w:t xml:space="preserve">[4] J. P. GORTON, C. M. PETRIE and A. T. NELSON, “A review of neutronics and thermal hydraulics–based screening methods applied to accelerated nuclear fuel qualification,” Progress in Nuclear Energy, 162, (2023); </w:t>
      </w:r>
      <w:hyperlink r:id="rId78" w:history="1">
        <w:r w:rsidRPr="00F22A75">
          <w:rPr>
            <w:rStyle w:val="Hyperlink"/>
            <w:rFonts w:ascii="Times New Roman" w:hAnsi="Times New Roman" w:cs="Times New Roman"/>
            <w:noProof/>
          </w:rPr>
          <w:t>https://doi.org/10.1016/j.pnucene.2023.104737</w:t>
        </w:r>
      </w:hyperlink>
      <w:r w:rsidRPr="00F22A75">
        <w:rPr>
          <w:rFonts w:ascii="Times New Roman" w:hAnsi="Times New Roman" w:cs="Times New Roman"/>
          <w:noProof/>
        </w:rPr>
        <w:t>.</w:t>
      </w:r>
    </w:p>
    <w:p w14:paraId="74B258F9" w14:textId="77777777" w:rsidR="00D623B1" w:rsidRPr="00F22A75" w:rsidRDefault="00D623B1" w:rsidP="00F22A75">
      <w:pPr>
        <w:pStyle w:val="EndNoteBibliography"/>
        <w:spacing w:line="480" w:lineRule="auto"/>
        <w:rPr>
          <w:rFonts w:ascii="Times New Roman" w:hAnsi="Times New Roman" w:cs="Times New Roman"/>
          <w:noProof/>
        </w:rPr>
      </w:pPr>
      <w:r w:rsidRPr="00F22A75">
        <w:rPr>
          <w:rFonts w:ascii="Times New Roman" w:hAnsi="Times New Roman" w:cs="Times New Roman"/>
          <w:noProof/>
        </w:rPr>
        <w:t>[5] L. T. KNIGHTON, et al., “Energy Arbitrage: Comparison of Options for use with LWR Nuclear Power Plants,” (2021-09-01 2021).</w:t>
      </w:r>
    </w:p>
    <w:p w14:paraId="79607E16" w14:textId="77777777" w:rsidR="00D623B1" w:rsidRPr="00F22A75" w:rsidRDefault="00D623B1" w:rsidP="00F22A75">
      <w:pPr>
        <w:pStyle w:val="EndNoteBibliography"/>
        <w:spacing w:line="480" w:lineRule="auto"/>
        <w:rPr>
          <w:rFonts w:ascii="Times New Roman" w:hAnsi="Times New Roman" w:cs="Times New Roman"/>
          <w:noProof/>
        </w:rPr>
      </w:pPr>
      <w:r w:rsidRPr="00F22A75">
        <w:rPr>
          <w:rFonts w:ascii="Times New Roman" w:hAnsi="Times New Roman" w:cs="Times New Roman"/>
          <w:noProof/>
        </w:rPr>
        <w:t>[6] F. J. GOLDNER, et al., “The U.S. Accident Tolerant Fuels Program — Update on a National Initiative,” United States, 2021-10-01.</w:t>
      </w:r>
    </w:p>
    <w:p w14:paraId="65368F53" w14:textId="77777777" w:rsidR="00D623B1" w:rsidRPr="00F22A75" w:rsidRDefault="00D623B1" w:rsidP="00F22A75">
      <w:pPr>
        <w:pStyle w:val="EndNoteBibliography"/>
        <w:spacing w:line="480" w:lineRule="auto"/>
        <w:rPr>
          <w:rFonts w:ascii="Times New Roman" w:hAnsi="Times New Roman" w:cs="Times New Roman"/>
          <w:noProof/>
        </w:rPr>
      </w:pPr>
      <w:r w:rsidRPr="00F22A75">
        <w:rPr>
          <w:rFonts w:ascii="Times New Roman" w:hAnsi="Times New Roman" w:cs="Times New Roman"/>
          <w:noProof/>
        </w:rPr>
        <w:t>[7] K. PASAMEHMETOGLU, “Advanced Fuels Campaign Execution Plan,” (2010-10-01 2010).</w:t>
      </w:r>
    </w:p>
    <w:p w14:paraId="3655181D" w14:textId="77777777" w:rsidR="00D623B1" w:rsidRPr="00F22A75" w:rsidRDefault="00D623B1" w:rsidP="00F22A75">
      <w:pPr>
        <w:pStyle w:val="EndNoteBibliography"/>
        <w:spacing w:line="480" w:lineRule="auto"/>
        <w:rPr>
          <w:rFonts w:ascii="Times New Roman" w:hAnsi="Times New Roman" w:cs="Times New Roman"/>
          <w:noProof/>
        </w:rPr>
      </w:pPr>
      <w:r w:rsidRPr="00F22A75">
        <w:rPr>
          <w:rFonts w:ascii="Times New Roman" w:hAnsi="Times New Roman" w:cs="Times New Roman"/>
          <w:noProof/>
        </w:rPr>
        <w:lastRenderedPageBreak/>
        <w:t>[8] J. CARMACK, et al., “Overview of the U.S. DOE Accident Tolerant Fuel Development Program,” presented at Conference: Top Fuel 2013,Charlotte, NC,09/15/2013,09/19/2013, United States, 2013.</w:t>
      </w:r>
    </w:p>
    <w:p w14:paraId="62CC8558" w14:textId="788F3835" w:rsidR="00D623B1" w:rsidRPr="00F22A75" w:rsidRDefault="00D623B1" w:rsidP="00F22A75">
      <w:pPr>
        <w:pStyle w:val="EndNoteBibliography"/>
        <w:spacing w:line="480" w:lineRule="auto"/>
        <w:rPr>
          <w:rFonts w:ascii="Times New Roman" w:hAnsi="Times New Roman" w:cs="Times New Roman"/>
          <w:noProof/>
        </w:rPr>
      </w:pPr>
      <w:r w:rsidRPr="00F22A75">
        <w:rPr>
          <w:rFonts w:ascii="Times New Roman" w:hAnsi="Times New Roman" w:cs="Times New Roman"/>
          <w:noProof/>
        </w:rPr>
        <w:t xml:space="preserve">[9] D. C. CRAWFORD, et al., “An approach to fuel development and qualification,” Journal of Nuclear Materials, 371, 1, (2007); </w:t>
      </w:r>
      <w:hyperlink r:id="rId79" w:history="1">
        <w:r w:rsidRPr="00F22A75">
          <w:rPr>
            <w:rStyle w:val="Hyperlink"/>
            <w:rFonts w:ascii="Times New Roman" w:hAnsi="Times New Roman" w:cs="Times New Roman"/>
            <w:noProof/>
          </w:rPr>
          <w:t>https://doi.org/10.1016/j.jnucmat.2007.05.029</w:t>
        </w:r>
      </w:hyperlink>
      <w:r w:rsidRPr="00F22A75">
        <w:rPr>
          <w:rFonts w:ascii="Times New Roman" w:hAnsi="Times New Roman" w:cs="Times New Roman"/>
          <w:noProof/>
        </w:rPr>
        <w:t>.</w:t>
      </w:r>
    </w:p>
    <w:p w14:paraId="1AE0950B" w14:textId="3DEFFC27" w:rsidR="00D623B1" w:rsidRPr="00F22A75" w:rsidRDefault="00D623B1" w:rsidP="00F22A75">
      <w:pPr>
        <w:pStyle w:val="EndNoteBibliography"/>
        <w:spacing w:line="480" w:lineRule="auto"/>
        <w:rPr>
          <w:rFonts w:ascii="Times New Roman" w:hAnsi="Times New Roman" w:cs="Times New Roman"/>
          <w:noProof/>
        </w:rPr>
      </w:pPr>
      <w:r w:rsidRPr="00F22A75">
        <w:rPr>
          <w:rFonts w:ascii="Times New Roman" w:hAnsi="Times New Roman" w:cs="Times New Roman"/>
          <w:noProof/>
        </w:rPr>
        <w:t xml:space="preserve">[10] K. A. TERRANI, et al., “Accelerating nuclear fuel development and qualification: Modeling and simulation integrated with separate-effects testing,” Journal of Nuclear Materials, 539, (2020); </w:t>
      </w:r>
      <w:hyperlink r:id="rId80" w:history="1">
        <w:r w:rsidRPr="00F22A75">
          <w:rPr>
            <w:rStyle w:val="Hyperlink"/>
            <w:rFonts w:ascii="Times New Roman" w:hAnsi="Times New Roman" w:cs="Times New Roman"/>
            <w:noProof/>
          </w:rPr>
          <w:t>https://doi.org/10.1016/j.jnucmat.2020.152267</w:t>
        </w:r>
      </w:hyperlink>
      <w:r w:rsidRPr="00F22A75">
        <w:rPr>
          <w:rFonts w:ascii="Times New Roman" w:hAnsi="Times New Roman" w:cs="Times New Roman"/>
          <w:noProof/>
        </w:rPr>
        <w:t>.</w:t>
      </w:r>
    </w:p>
    <w:p w14:paraId="083420F7" w14:textId="79022B42" w:rsidR="00D623B1" w:rsidRPr="00F22A75" w:rsidRDefault="00D623B1" w:rsidP="00F22A75">
      <w:pPr>
        <w:pStyle w:val="EndNoteBibliography"/>
        <w:spacing w:line="480" w:lineRule="auto"/>
        <w:rPr>
          <w:rFonts w:ascii="Times New Roman" w:hAnsi="Times New Roman" w:cs="Times New Roman"/>
          <w:noProof/>
        </w:rPr>
      </w:pPr>
      <w:r w:rsidRPr="00F22A75">
        <w:rPr>
          <w:rFonts w:ascii="Times New Roman" w:hAnsi="Times New Roman" w:cs="Times New Roman"/>
          <w:noProof/>
        </w:rPr>
        <w:t xml:space="preserve">[11] D. FRAEDRICH and A. GOLDBERG, “A methodological framework for the validation of predictive simulations,” European Journal of Operational Research, 124, 1, (2000); </w:t>
      </w:r>
      <w:hyperlink r:id="rId81" w:history="1">
        <w:r w:rsidRPr="00F22A75">
          <w:rPr>
            <w:rStyle w:val="Hyperlink"/>
            <w:rFonts w:ascii="Times New Roman" w:hAnsi="Times New Roman" w:cs="Times New Roman"/>
            <w:noProof/>
          </w:rPr>
          <w:t>https://doi.org/10.1016/S0377-2217(99)00117-4</w:t>
        </w:r>
      </w:hyperlink>
      <w:r w:rsidRPr="00F22A75">
        <w:rPr>
          <w:rFonts w:ascii="Times New Roman" w:hAnsi="Times New Roman" w:cs="Times New Roman"/>
          <w:noProof/>
        </w:rPr>
        <w:t>.</w:t>
      </w:r>
    </w:p>
    <w:p w14:paraId="5220AFD3" w14:textId="77777777" w:rsidR="00D623B1" w:rsidRPr="00F22A75" w:rsidRDefault="00D623B1" w:rsidP="00F22A75">
      <w:pPr>
        <w:pStyle w:val="EndNoteBibliography"/>
        <w:spacing w:line="480" w:lineRule="auto"/>
        <w:rPr>
          <w:rFonts w:ascii="Times New Roman" w:hAnsi="Times New Roman" w:cs="Times New Roman"/>
          <w:noProof/>
        </w:rPr>
      </w:pPr>
      <w:r w:rsidRPr="00F22A75">
        <w:rPr>
          <w:rFonts w:ascii="Times New Roman" w:hAnsi="Times New Roman" w:cs="Times New Roman"/>
          <w:noProof/>
        </w:rPr>
        <w:t xml:space="preserve">[12] N. GABER, et al., “Guidance on the Development,Evaluation, and Application of Environmental Models,” EPA/100/K-09/003, (2009); </w:t>
      </w:r>
    </w:p>
    <w:p w14:paraId="44DC30F3" w14:textId="77777777" w:rsidR="00D623B1" w:rsidRPr="00F22A75" w:rsidRDefault="00D623B1" w:rsidP="00F22A75">
      <w:pPr>
        <w:pStyle w:val="EndNoteBibliography"/>
        <w:spacing w:line="480" w:lineRule="auto"/>
        <w:rPr>
          <w:rFonts w:ascii="Times New Roman" w:hAnsi="Times New Roman" w:cs="Times New Roman"/>
          <w:noProof/>
        </w:rPr>
      </w:pPr>
      <w:r w:rsidRPr="00F22A75">
        <w:rPr>
          <w:rFonts w:ascii="Times New Roman" w:hAnsi="Times New Roman" w:cs="Times New Roman"/>
          <w:noProof/>
        </w:rPr>
        <w:t xml:space="preserve">[13] NICE, “Guide to the methods of technology appraisal 2013,” PMG9, (2013); </w:t>
      </w:r>
    </w:p>
    <w:p w14:paraId="025D4724" w14:textId="77777777" w:rsidR="00D623B1" w:rsidRPr="00F22A75" w:rsidRDefault="00D623B1" w:rsidP="00F22A75">
      <w:pPr>
        <w:pStyle w:val="EndNoteBibliography"/>
        <w:spacing w:line="480" w:lineRule="auto"/>
        <w:rPr>
          <w:rFonts w:ascii="Times New Roman" w:hAnsi="Times New Roman" w:cs="Times New Roman"/>
          <w:noProof/>
        </w:rPr>
      </w:pPr>
      <w:r w:rsidRPr="00F22A75">
        <w:rPr>
          <w:rFonts w:ascii="Times New Roman" w:hAnsi="Times New Roman" w:cs="Times New Roman"/>
          <w:noProof/>
        </w:rPr>
        <w:t xml:space="preserve">[14] A. GILBERTSON, “An Approach for Using Probabilistic Risk Assessment in Risk-Informed Decisions on Plant-Specific Changes to The Licensing Basis,” REGULATORY GUIDE 1.174, Revision 3, (2018); </w:t>
      </w:r>
    </w:p>
    <w:p w14:paraId="3CD70AD4" w14:textId="77777777" w:rsidR="00D623B1" w:rsidRPr="00F22A75" w:rsidRDefault="00D623B1" w:rsidP="00F22A75">
      <w:pPr>
        <w:pStyle w:val="EndNoteBibliography"/>
        <w:spacing w:line="480" w:lineRule="auto"/>
        <w:rPr>
          <w:rFonts w:ascii="Times New Roman" w:hAnsi="Times New Roman" w:cs="Times New Roman"/>
          <w:noProof/>
        </w:rPr>
      </w:pPr>
      <w:r w:rsidRPr="00F22A75">
        <w:rPr>
          <w:rFonts w:ascii="Times New Roman" w:hAnsi="Times New Roman" w:cs="Times New Roman"/>
          <w:noProof/>
        </w:rPr>
        <w:t>[15] I. BANERJEE and M. G. IERAPETRITOU, “Design Optimization under Parameter Uncertainty for General Black-Box Models,” Industrial &amp; Engineering Chemistry Research, 41, 26, (2002); 10.1021/ie0202726.</w:t>
      </w:r>
    </w:p>
    <w:p w14:paraId="179F9CC4" w14:textId="69CD3E80" w:rsidR="00D623B1" w:rsidRPr="00F22A75" w:rsidRDefault="00D623B1" w:rsidP="00F22A75">
      <w:pPr>
        <w:pStyle w:val="EndNoteBibliography"/>
        <w:spacing w:line="480" w:lineRule="auto"/>
        <w:rPr>
          <w:rFonts w:ascii="Times New Roman" w:hAnsi="Times New Roman" w:cs="Times New Roman"/>
          <w:noProof/>
        </w:rPr>
      </w:pPr>
      <w:r w:rsidRPr="00F22A75">
        <w:rPr>
          <w:rFonts w:ascii="Times New Roman" w:hAnsi="Times New Roman" w:cs="Times New Roman"/>
          <w:noProof/>
        </w:rPr>
        <w:lastRenderedPageBreak/>
        <w:t xml:space="preserve">[16] E. BORGONOVO, et al., “Making the most out of a hydrological model data set: Sensitivity analyses to open the model black-box,” Water Resources Research, 53, 9, (2017); </w:t>
      </w:r>
      <w:hyperlink r:id="rId82" w:history="1">
        <w:r w:rsidRPr="00F22A75">
          <w:rPr>
            <w:rStyle w:val="Hyperlink"/>
            <w:rFonts w:ascii="Times New Roman" w:hAnsi="Times New Roman" w:cs="Times New Roman"/>
            <w:noProof/>
          </w:rPr>
          <w:t>https://doi.org/10.1002/2017WR020767</w:t>
        </w:r>
      </w:hyperlink>
      <w:r w:rsidRPr="00F22A75">
        <w:rPr>
          <w:rFonts w:ascii="Times New Roman" w:hAnsi="Times New Roman" w:cs="Times New Roman"/>
          <w:noProof/>
        </w:rPr>
        <w:t>.</w:t>
      </w:r>
    </w:p>
    <w:p w14:paraId="6A626EF0" w14:textId="038870F5" w:rsidR="00D623B1" w:rsidRPr="00F22A75" w:rsidRDefault="00D623B1" w:rsidP="00F22A75">
      <w:pPr>
        <w:pStyle w:val="EndNoteBibliography"/>
        <w:spacing w:line="480" w:lineRule="auto"/>
        <w:rPr>
          <w:rFonts w:ascii="Times New Roman" w:hAnsi="Times New Roman" w:cs="Times New Roman"/>
          <w:noProof/>
        </w:rPr>
      </w:pPr>
      <w:r w:rsidRPr="00F22A75">
        <w:rPr>
          <w:rFonts w:ascii="Times New Roman" w:hAnsi="Times New Roman" w:cs="Times New Roman"/>
          <w:noProof/>
        </w:rPr>
        <w:t xml:space="preserve">[17] A. LYE, et al., “Robust optimization of a dynamic Black-box system under severe uncertainty: A distribution-free framework,” Mechanical Systems and Signal Processing, 167, (2022); </w:t>
      </w:r>
      <w:hyperlink r:id="rId83" w:history="1">
        <w:r w:rsidRPr="00F22A75">
          <w:rPr>
            <w:rStyle w:val="Hyperlink"/>
            <w:rFonts w:ascii="Times New Roman" w:hAnsi="Times New Roman" w:cs="Times New Roman"/>
            <w:noProof/>
          </w:rPr>
          <w:t>https://doi.org/10.1016/j.ymssp.2021.108522</w:t>
        </w:r>
      </w:hyperlink>
      <w:r w:rsidRPr="00F22A75">
        <w:rPr>
          <w:rFonts w:ascii="Times New Roman" w:hAnsi="Times New Roman" w:cs="Times New Roman"/>
          <w:noProof/>
        </w:rPr>
        <w:t>.</w:t>
      </w:r>
    </w:p>
    <w:p w14:paraId="344E52D3" w14:textId="66077593" w:rsidR="00D623B1" w:rsidRPr="00F22A75" w:rsidRDefault="00D623B1" w:rsidP="00F22A75">
      <w:pPr>
        <w:pStyle w:val="EndNoteBibliography"/>
        <w:spacing w:line="480" w:lineRule="auto"/>
        <w:rPr>
          <w:rFonts w:ascii="Times New Roman" w:hAnsi="Times New Roman" w:cs="Times New Roman"/>
          <w:noProof/>
        </w:rPr>
      </w:pPr>
      <w:r w:rsidRPr="00F22A75">
        <w:rPr>
          <w:rFonts w:ascii="Times New Roman" w:hAnsi="Times New Roman" w:cs="Times New Roman"/>
          <w:noProof/>
        </w:rPr>
        <w:t xml:space="preserve">[18] R. HERNANDEZ, et al., “Sensitivity analysis of in-pile CHF experiments in the TREAT facility: Characterization of impacts of fuel system thermal properties,” Annals of Nuclear Energy, 165, (2022); </w:t>
      </w:r>
      <w:hyperlink r:id="rId84" w:history="1">
        <w:r w:rsidRPr="00F22A75">
          <w:rPr>
            <w:rStyle w:val="Hyperlink"/>
            <w:rFonts w:ascii="Times New Roman" w:hAnsi="Times New Roman" w:cs="Times New Roman"/>
            <w:noProof/>
          </w:rPr>
          <w:t>https://doi.org/10.1016/j.anucene.2021.108645</w:t>
        </w:r>
      </w:hyperlink>
      <w:r w:rsidRPr="00F22A75">
        <w:rPr>
          <w:rFonts w:ascii="Times New Roman" w:hAnsi="Times New Roman" w:cs="Times New Roman"/>
          <w:noProof/>
        </w:rPr>
        <w:t>.</w:t>
      </w:r>
    </w:p>
    <w:p w14:paraId="1ADE6E41" w14:textId="77777777" w:rsidR="00D623B1" w:rsidRPr="00F22A75" w:rsidRDefault="00D623B1" w:rsidP="00F22A75">
      <w:pPr>
        <w:pStyle w:val="EndNoteBibliography"/>
        <w:spacing w:line="480" w:lineRule="auto"/>
        <w:rPr>
          <w:rFonts w:ascii="Times New Roman" w:hAnsi="Times New Roman" w:cs="Times New Roman"/>
          <w:noProof/>
        </w:rPr>
      </w:pPr>
      <w:r w:rsidRPr="00F22A75">
        <w:rPr>
          <w:rFonts w:ascii="Times New Roman" w:hAnsi="Times New Roman" w:cs="Times New Roman"/>
          <w:noProof/>
        </w:rPr>
        <w:t>[19] W. MARCUM, et al., “Developing Separate Effects Transient Test Experiments Using an Out-of-Pile Flowing Water Loop,” Nuclear Technology, 206, 6, (2020); 10.1080/00295450.2020.1720559.</w:t>
      </w:r>
    </w:p>
    <w:p w14:paraId="073B2C27" w14:textId="77777777" w:rsidR="00D623B1" w:rsidRPr="00F22A75" w:rsidRDefault="00D623B1" w:rsidP="00F22A75">
      <w:pPr>
        <w:pStyle w:val="EndNoteBibliography"/>
        <w:spacing w:line="480" w:lineRule="auto"/>
        <w:rPr>
          <w:rFonts w:ascii="Times New Roman" w:hAnsi="Times New Roman" w:cs="Times New Roman"/>
          <w:noProof/>
        </w:rPr>
      </w:pPr>
      <w:r w:rsidRPr="00F22A75">
        <w:rPr>
          <w:rFonts w:ascii="Times New Roman" w:hAnsi="Times New Roman" w:cs="Times New Roman"/>
          <w:noProof/>
        </w:rPr>
        <w:t>[20] N. WOOLSTENHULME, et al., “Development of Irradiation Test Devices for Transient Testing,” Nuclear Technology, 205, 10, (2019); 10.1080/00295450.2019.1590072.</w:t>
      </w:r>
    </w:p>
    <w:p w14:paraId="758D0978" w14:textId="5BEFEFCC" w:rsidR="00D623B1" w:rsidRPr="00F22A75" w:rsidRDefault="00D623B1" w:rsidP="00F22A75">
      <w:pPr>
        <w:pStyle w:val="EndNoteBibliography"/>
        <w:spacing w:line="480" w:lineRule="auto"/>
        <w:rPr>
          <w:rFonts w:ascii="Times New Roman" w:hAnsi="Times New Roman" w:cs="Times New Roman"/>
          <w:noProof/>
        </w:rPr>
      </w:pPr>
      <w:r w:rsidRPr="00F22A75">
        <w:rPr>
          <w:rFonts w:ascii="Times New Roman" w:hAnsi="Times New Roman" w:cs="Times New Roman"/>
          <w:noProof/>
        </w:rPr>
        <w:t xml:space="preserve">[21] M. HE and M. CHEN, “Steady-state and power transient critical heat flux experiments of FeCrAl and Zircaloy claddings under saturated pool boiling,” Nuclear Engineering and Design, 410, (2023); </w:t>
      </w:r>
      <w:hyperlink r:id="rId85" w:history="1">
        <w:r w:rsidRPr="00F22A75">
          <w:rPr>
            <w:rStyle w:val="Hyperlink"/>
            <w:rFonts w:ascii="Times New Roman" w:hAnsi="Times New Roman" w:cs="Times New Roman"/>
            <w:noProof/>
          </w:rPr>
          <w:t>https://doi.org/10.1016/j.nucengdes.2023.112374</w:t>
        </w:r>
      </w:hyperlink>
      <w:r w:rsidRPr="00F22A75">
        <w:rPr>
          <w:rFonts w:ascii="Times New Roman" w:hAnsi="Times New Roman" w:cs="Times New Roman"/>
          <w:noProof/>
        </w:rPr>
        <w:t>.</w:t>
      </w:r>
    </w:p>
    <w:p w14:paraId="30D62672" w14:textId="71CFB417" w:rsidR="00D623B1" w:rsidRPr="00F22A75" w:rsidRDefault="00D623B1" w:rsidP="00F22A75">
      <w:pPr>
        <w:pStyle w:val="EndNoteBibliography"/>
        <w:spacing w:line="480" w:lineRule="auto"/>
        <w:rPr>
          <w:rFonts w:ascii="Times New Roman" w:hAnsi="Times New Roman" w:cs="Times New Roman"/>
          <w:noProof/>
        </w:rPr>
      </w:pPr>
      <w:r w:rsidRPr="00F22A75">
        <w:rPr>
          <w:rFonts w:ascii="Times New Roman" w:hAnsi="Times New Roman" w:cs="Times New Roman"/>
          <w:noProof/>
        </w:rPr>
        <w:t xml:space="preserve">[22] C. M. PETRIE, et al., “Separate effects irradiation testing of miniature fuel specimens,” Journal of Nuclear Materials, 526, (2019); </w:t>
      </w:r>
      <w:hyperlink r:id="rId86" w:history="1">
        <w:r w:rsidRPr="00F22A75">
          <w:rPr>
            <w:rStyle w:val="Hyperlink"/>
            <w:rFonts w:ascii="Times New Roman" w:hAnsi="Times New Roman" w:cs="Times New Roman"/>
            <w:noProof/>
          </w:rPr>
          <w:t>https://doi.org/10.1016/j.jnucmat.2019.151783</w:t>
        </w:r>
      </w:hyperlink>
      <w:r w:rsidRPr="00F22A75">
        <w:rPr>
          <w:rFonts w:ascii="Times New Roman" w:hAnsi="Times New Roman" w:cs="Times New Roman"/>
          <w:noProof/>
        </w:rPr>
        <w:t>.</w:t>
      </w:r>
    </w:p>
    <w:p w14:paraId="3E57C611" w14:textId="354FA78D" w:rsidR="00D623B1" w:rsidRPr="00F22A75" w:rsidRDefault="00D623B1" w:rsidP="00F22A75">
      <w:pPr>
        <w:pStyle w:val="EndNoteBibliography"/>
        <w:spacing w:line="480" w:lineRule="auto"/>
        <w:rPr>
          <w:rFonts w:ascii="Times New Roman" w:hAnsi="Times New Roman" w:cs="Times New Roman"/>
          <w:noProof/>
        </w:rPr>
      </w:pPr>
      <w:r w:rsidRPr="00F22A75">
        <w:rPr>
          <w:rFonts w:ascii="Times New Roman" w:hAnsi="Times New Roman" w:cs="Times New Roman"/>
          <w:noProof/>
        </w:rPr>
        <w:lastRenderedPageBreak/>
        <w:t xml:space="preserve">[23] N. A. MEEHAN, et al., “Sensitivity Analysis of Transient Critical Heat Flux by RIA Under High-Pressure Flow Boiling Conditions in TRTL,” Nuclear Technology, (2023); </w:t>
      </w:r>
      <w:hyperlink r:id="rId87" w:history="1">
        <w:r w:rsidRPr="00F22A75">
          <w:rPr>
            <w:rStyle w:val="Hyperlink"/>
            <w:rFonts w:ascii="Times New Roman" w:hAnsi="Times New Roman" w:cs="Times New Roman"/>
            <w:noProof/>
          </w:rPr>
          <w:t>https://doi.org/10.1080/00295450.2023.2195355</w:t>
        </w:r>
      </w:hyperlink>
      <w:r w:rsidRPr="00F22A75">
        <w:rPr>
          <w:rFonts w:ascii="Times New Roman" w:hAnsi="Times New Roman" w:cs="Times New Roman"/>
          <w:noProof/>
        </w:rPr>
        <w:t>.</w:t>
      </w:r>
    </w:p>
    <w:p w14:paraId="6154AFD5" w14:textId="24253BBA" w:rsidR="00D623B1" w:rsidRPr="00F22A75" w:rsidRDefault="00D623B1" w:rsidP="00F22A75">
      <w:pPr>
        <w:pStyle w:val="EndNoteBibliography"/>
        <w:spacing w:line="480" w:lineRule="auto"/>
        <w:rPr>
          <w:rFonts w:ascii="Times New Roman" w:hAnsi="Times New Roman" w:cs="Times New Roman"/>
          <w:noProof/>
        </w:rPr>
      </w:pPr>
      <w:r w:rsidRPr="00F22A75">
        <w:rPr>
          <w:rFonts w:ascii="Times New Roman" w:hAnsi="Times New Roman" w:cs="Times New Roman"/>
          <w:noProof/>
        </w:rPr>
        <w:t xml:space="preserve">[24] N. A. MEEHAN, C. P. FOLSOM and N. R. BROWN, “A knowledge gap analysis for transient CHF prediction within RELAP5-3D,” Nuclear Engineering and Design, 422, (2024); </w:t>
      </w:r>
      <w:hyperlink r:id="rId88" w:history="1">
        <w:r w:rsidRPr="00F22A75">
          <w:rPr>
            <w:rStyle w:val="Hyperlink"/>
            <w:rFonts w:ascii="Times New Roman" w:hAnsi="Times New Roman" w:cs="Times New Roman"/>
            <w:noProof/>
          </w:rPr>
          <w:t>https://doi.org/10.1016/j.nucengdes.2024.113171</w:t>
        </w:r>
      </w:hyperlink>
      <w:r w:rsidRPr="00F22A75">
        <w:rPr>
          <w:rFonts w:ascii="Times New Roman" w:hAnsi="Times New Roman" w:cs="Times New Roman"/>
          <w:noProof/>
        </w:rPr>
        <w:t>.</w:t>
      </w:r>
    </w:p>
    <w:p w14:paraId="34D15ADD" w14:textId="452EE229" w:rsidR="00D623B1" w:rsidRPr="00F22A75" w:rsidRDefault="00D623B1" w:rsidP="00F22A75">
      <w:pPr>
        <w:pStyle w:val="EndNoteBibliography"/>
        <w:spacing w:line="480" w:lineRule="auto"/>
        <w:rPr>
          <w:rFonts w:ascii="Times New Roman" w:hAnsi="Times New Roman" w:cs="Times New Roman"/>
          <w:noProof/>
        </w:rPr>
      </w:pPr>
      <w:r w:rsidRPr="00F22A75">
        <w:rPr>
          <w:rFonts w:ascii="Times New Roman" w:hAnsi="Times New Roman" w:cs="Times New Roman"/>
          <w:noProof/>
        </w:rPr>
        <w:t xml:space="preserve">[25] N. A. MEEHAN, et al., “Identifying high-impact and high-uncertainty parameters in MiniFuel model predictions,” Journal of Nuclear Materials, 609, (2025); </w:t>
      </w:r>
      <w:hyperlink r:id="rId89" w:history="1">
        <w:r w:rsidRPr="00F22A75">
          <w:rPr>
            <w:rStyle w:val="Hyperlink"/>
            <w:rFonts w:ascii="Times New Roman" w:hAnsi="Times New Roman" w:cs="Times New Roman"/>
            <w:noProof/>
          </w:rPr>
          <w:t>https://doi.org/10.1016/j.jnucmat.2025.155745</w:t>
        </w:r>
      </w:hyperlink>
      <w:r w:rsidRPr="00F22A75">
        <w:rPr>
          <w:rFonts w:ascii="Times New Roman" w:hAnsi="Times New Roman" w:cs="Times New Roman"/>
          <w:noProof/>
        </w:rPr>
        <w:t>.</w:t>
      </w:r>
    </w:p>
    <w:p w14:paraId="0A51D506" w14:textId="77777777" w:rsidR="00D623B1" w:rsidRPr="00F22A75" w:rsidRDefault="00D623B1" w:rsidP="00F22A75">
      <w:pPr>
        <w:pStyle w:val="EndNoteBibliography"/>
        <w:spacing w:line="480" w:lineRule="auto"/>
        <w:rPr>
          <w:rFonts w:ascii="Times New Roman" w:hAnsi="Times New Roman" w:cs="Times New Roman"/>
          <w:noProof/>
        </w:rPr>
      </w:pPr>
      <w:r w:rsidRPr="00F22A75">
        <w:rPr>
          <w:rFonts w:ascii="Times New Roman" w:hAnsi="Times New Roman" w:cs="Times New Roman"/>
          <w:noProof/>
        </w:rPr>
        <w:t xml:space="preserve">[26] N. A. MEEHAN, et al., “Sensitivity Analysis of Thermal Contact Conductance Modeling to Inform MiniFuel Irradiation Capsule Designs for Minimizing Fuel Temperature Variance,” To be submitted for publication, (2025); </w:t>
      </w:r>
    </w:p>
    <w:p w14:paraId="181770C8" w14:textId="2C5DB7D2" w:rsidR="00D623B1" w:rsidRPr="00F22A75" w:rsidRDefault="00D623B1" w:rsidP="00F22A75">
      <w:pPr>
        <w:pStyle w:val="EndNoteBibliography"/>
        <w:spacing w:line="480" w:lineRule="auto"/>
        <w:rPr>
          <w:rFonts w:ascii="Times New Roman" w:hAnsi="Times New Roman" w:cs="Times New Roman"/>
          <w:noProof/>
        </w:rPr>
      </w:pPr>
      <w:r w:rsidRPr="00F22A75">
        <w:rPr>
          <w:rFonts w:ascii="Times New Roman" w:hAnsi="Times New Roman" w:cs="Times New Roman"/>
          <w:noProof/>
        </w:rPr>
        <w:t xml:space="preserve">[27] M. MIKA, A. PROBERT and A. AITKALIYEVA, “Nuclear fuel qualification: History, current state, and future,” Progress in Nuclear Energy, 177, (2024); </w:t>
      </w:r>
      <w:hyperlink r:id="rId90" w:history="1">
        <w:r w:rsidRPr="00F22A75">
          <w:rPr>
            <w:rStyle w:val="Hyperlink"/>
            <w:rFonts w:ascii="Times New Roman" w:hAnsi="Times New Roman" w:cs="Times New Roman"/>
            <w:noProof/>
          </w:rPr>
          <w:t>https://doi.org/10.1016/j.pnucene.2024.105460</w:t>
        </w:r>
      </w:hyperlink>
      <w:r w:rsidRPr="00F22A75">
        <w:rPr>
          <w:rFonts w:ascii="Times New Roman" w:hAnsi="Times New Roman" w:cs="Times New Roman"/>
          <w:noProof/>
        </w:rPr>
        <w:t>.</w:t>
      </w:r>
    </w:p>
    <w:p w14:paraId="27B65985" w14:textId="5672FE25" w:rsidR="00D623B1" w:rsidRPr="00F22A75" w:rsidRDefault="00D623B1" w:rsidP="00F22A75">
      <w:pPr>
        <w:pStyle w:val="EndNoteBibliography"/>
        <w:spacing w:line="480" w:lineRule="auto"/>
        <w:rPr>
          <w:rFonts w:ascii="Times New Roman" w:hAnsi="Times New Roman" w:cs="Times New Roman"/>
          <w:noProof/>
        </w:rPr>
      </w:pPr>
      <w:r w:rsidRPr="00F22A75">
        <w:rPr>
          <w:rFonts w:ascii="Times New Roman" w:hAnsi="Times New Roman" w:cs="Times New Roman"/>
          <w:noProof/>
        </w:rPr>
        <w:t xml:space="preserve">[28] T. DRZEWIECKI, SCHMIDT, J., VANWERT, C., CLIFFORD, P., HOELLMAN, J., “Fuel Qualification for Advanced Reactors,” Nuclear Regulatory Commission, Office of Nuclear Reactor Regulation, NUREG-2246, (2022); </w:t>
      </w:r>
      <w:hyperlink r:id="rId91" w:history="1">
        <w:r w:rsidRPr="00F22A75">
          <w:rPr>
            <w:rStyle w:val="Hyperlink"/>
            <w:rFonts w:ascii="Times New Roman" w:hAnsi="Times New Roman" w:cs="Times New Roman"/>
            <w:noProof/>
          </w:rPr>
          <w:t>https://www.nrc.gov/docs/ML2206/ML22063A131.pdf</w:t>
        </w:r>
      </w:hyperlink>
      <w:r w:rsidRPr="00F22A75">
        <w:rPr>
          <w:rFonts w:ascii="Times New Roman" w:hAnsi="Times New Roman" w:cs="Times New Roman"/>
          <w:noProof/>
        </w:rPr>
        <w:t>.</w:t>
      </w:r>
    </w:p>
    <w:p w14:paraId="0772A5E1" w14:textId="7FD5CA08" w:rsidR="00D623B1" w:rsidRPr="00F22A75" w:rsidRDefault="00D623B1" w:rsidP="00F22A75">
      <w:pPr>
        <w:pStyle w:val="EndNoteBibliography"/>
        <w:spacing w:line="480" w:lineRule="auto"/>
        <w:rPr>
          <w:rFonts w:ascii="Times New Roman" w:hAnsi="Times New Roman" w:cs="Times New Roman"/>
          <w:noProof/>
        </w:rPr>
      </w:pPr>
      <w:r w:rsidRPr="00F22A75">
        <w:rPr>
          <w:rFonts w:ascii="Times New Roman" w:hAnsi="Times New Roman" w:cs="Times New Roman"/>
          <w:noProof/>
        </w:rPr>
        <w:t xml:space="preserve">[29] T. ALLEN, et al., “Materials challenges for nuclear systems,” Materials Today, 13, 12, (2010); </w:t>
      </w:r>
      <w:hyperlink r:id="rId92" w:history="1">
        <w:r w:rsidRPr="00F22A75">
          <w:rPr>
            <w:rStyle w:val="Hyperlink"/>
            <w:rFonts w:ascii="Times New Roman" w:hAnsi="Times New Roman" w:cs="Times New Roman"/>
            <w:noProof/>
          </w:rPr>
          <w:t>https://doi.org/10.1016/S1369-7021(10)70220-0</w:t>
        </w:r>
      </w:hyperlink>
      <w:r w:rsidRPr="00F22A75">
        <w:rPr>
          <w:rFonts w:ascii="Times New Roman" w:hAnsi="Times New Roman" w:cs="Times New Roman"/>
          <w:noProof/>
        </w:rPr>
        <w:t>.</w:t>
      </w:r>
    </w:p>
    <w:p w14:paraId="7139C231" w14:textId="74FF6D80" w:rsidR="00D623B1" w:rsidRPr="00F22A75" w:rsidRDefault="00D623B1" w:rsidP="00F22A75">
      <w:pPr>
        <w:pStyle w:val="EndNoteBibliography"/>
        <w:spacing w:line="480" w:lineRule="auto"/>
        <w:rPr>
          <w:rFonts w:ascii="Times New Roman" w:hAnsi="Times New Roman" w:cs="Times New Roman"/>
          <w:noProof/>
        </w:rPr>
      </w:pPr>
      <w:r w:rsidRPr="00F22A75">
        <w:rPr>
          <w:rFonts w:ascii="Times New Roman" w:hAnsi="Times New Roman" w:cs="Times New Roman"/>
          <w:noProof/>
        </w:rPr>
        <w:lastRenderedPageBreak/>
        <w:t xml:space="preserve">[30] D. OLANDER, “Nuclear fuels – Present and future,” Journal of Nuclear Materials, 389, 1, (2009); </w:t>
      </w:r>
      <w:hyperlink r:id="rId93" w:history="1">
        <w:r w:rsidRPr="00F22A75">
          <w:rPr>
            <w:rStyle w:val="Hyperlink"/>
            <w:rFonts w:ascii="Times New Roman" w:hAnsi="Times New Roman" w:cs="Times New Roman"/>
            <w:noProof/>
          </w:rPr>
          <w:t>https://doi.org/10.1016/j.jnucmat.2009.01.297</w:t>
        </w:r>
      </w:hyperlink>
      <w:r w:rsidRPr="00F22A75">
        <w:rPr>
          <w:rFonts w:ascii="Times New Roman" w:hAnsi="Times New Roman" w:cs="Times New Roman"/>
          <w:noProof/>
        </w:rPr>
        <w:t>.</w:t>
      </w:r>
    </w:p>
    <w:p w14:paraId="3AECB1F6" w14:textId="4C6CDA44" w:rsidR="00D623B1" w:rsidRPr="00F22A75" w:rsidRDefault="00D623B1" w:rsidP="00F22A75">
      <w:pPr>
        <w:pStyle w:val="EndNoteBibliography"/>
        <w:spacing w:line="480" w:lineRule="auto"/>
        <w:rPr>
          <w:rFonts w:ascii="Times New Roman" w:hAnsi="Times New Roman" w:cs="Times New Roman"/>
          <w:noProof/>
        </w:rPr>
      </w:pPr>
      <w:r w:rsidRPr="00F22A75">
        <w:rPr>
          <w:rFonts w:ascii="Times New Roman" w:hAnsi="Times New Roman" w:cs="Times New Roman"/>
          <w:noProof/>
        </w:rPr>
        <w:t xml:space="preserve">[31] C. R. F. AZEVEDO, “Selection of fuel cladding material for nuclear fission reactors,” Engineering Failure Analysis, 18, 8, (2011); </w:t>
      </w:r>
      <w:hyperlink r:id="rId94" w:history="1">
        <w:r w:rsidRPr="00F22A75">
          <w:rPr>
            <w:rStyle w:val="Hyperlink"/>
            <w:rFonts w:ascii="Times New Roman" w:hAnsi="Times New Roman" w:cs="Times New Roman"/>
            <w:noProof/>
          </w:rPr>
          <w:t>https://doi.org/10.1016/j.engfailanal.2011.06.010</w:t>
        </w:r>
      </w:hyperlink>
      <w:r w:rsidRPr="00F22A75">
        <w:rPr>
          <w:rFonts w:ascii="Times New Roman" w:hAnsi="Times New Roman" w:cs="Times New Roman"/>
          <w:noProof/>
        </w:rPr>
        <w:t>.</w:t>
      </w:r>
    </w:p>
    <w:p w14:paraId="0BBE3231" w14:textId="77777777" w:rsidR="00D623B1" w:rsidRPr="00F22A75" w:rsidRDefault="00D623B1" w:rsidP="00F22A75">
      <w:pPr>
        <w:pStyle w:val="EndNoteBibliography"/>
        <w:spacing w:line="480" w:lineRule="auto"/>
        <w:rPr>
          <w:rFonts w:ascii="Times New Roman" w:hAnsi="Times New Roman" w:cs="Times New Roman"/>
          <w:noProof/>
        </w:rPr>
      </w:pPr>
      <w:r w:rsidRPr="00F22A75">
        <w:rPr>
          <w:rFonts w:ascii="Times New Roman" w:hAnsi="Times New Roman" w:cs="Times New Roman"/>
          <w:noProof/>
        </w:rPr>
        <w:t>[32] B. W. SPENCER, et al., “Separate-effects validation experiments for models of fracture in ceramic nuclear fuel,” Idaho National Lab.(INL), Idaho Falls, ID (United States) 2019).</w:t>
      </w:r>
    </w:p>
    <w:p w14:paraId="41405CE0" w14:textId="7ED47B23" w:rsidR="00D623B1" w:rsidRPr="00F22A75" w:rsidRDefault="00D623B1" w:rsidP="00F22A75">
      <w:pPr>
        <w:pStyle w:val="EndNoteBibliography"/>
        <w:spacing w:line="480" w:lineRule="auto"/>
        <w:rPr>
          <w:rFonts w:ascii="Times New Roman" w:hAnsi="Times New Roman" w:cs="Times New Roman"/>
          <w:noProof/>
        </w:rPr>
      </w:pPr>
      <w:r w:rsidRPr="00F22A75">
        <w:rPr>
          <w:rFonts w:ascii="Times New Roman" w:hAnsi="Times New Roman" w:cs="Times New Roman"/>
          <w:noProof/>
        </w:rPr>
        <w:t xml:space="preserve">[33] E. BORGONOVO and E. PLISCHKE, “Sensitivity analysis: A review of recent advances,” European Journal of Operational Research, 248, 3, (2016); </w:t>
      </w:r>
      <w:hyperlink r:id="rId95" w:history="1">
        <w:r w:rsidRPr="00F22A75">
          <w:rPr>
            <w:rStyle w:val="Hyperlink"/>
            <w:rFonts w:ascii="Times New Roman" w:hAnsi="Times New Roman" w:cs="Times New Roman"/>
            <w:noProof/>
          </w:rPr>
          <w:t>https://doi.org/10.1016/j.ejor.2015.06.032</w:t>
        </w:r>
      </w:hyperlink>
      <w:r w:rsidRPr="00F22A75">
        <w:rPr>
          <w:rFonts w:ascii="Times New Roman" w:hAnsi="Times New Roman" w:cs="Times New Roman"/>
          <w:noProof/>
        </w:rPr>
        <w:t>.</w:t>
      </w:r>
    </w:p>
    <w:p w14:paraId="3A2D0E43" w14:textId="77777777" w:rsidR="00D623B1" w:rsidRPr="00F22A75" w:rsidRDefault="00D623B1" w:rsidP="00F22A75">
      <w:pPr>
        <w:pStyle w:val="EndNoteBibliography"/>
        <w:spacing w:line="480" w:lineRule="auto"/>
        <w:rPr>
          <w:rFonts w:ascii="Times New Roman" w:hAnsi="Times New Roman" w:cs="Times New Roman"/>
          <w:noProof/>
        </w:rPr>
      </w:pPr>
      <w:r w:rsidRPr="00F22A75">
        <w:rPr>
          <w:rFonts w:ascii="Times New Roman" w:hAnsi="Times New Roman" w:cs="Times New Roman"/>
          <w:noProof/>
        </w:rPr>
        <w:t xml:space="preserve">[34] A. SALTELLI and T. HOMMA, “Sensitivity analysis for model output: performance of black box techniques on three international benchmark exercises,” Computational statistics &amp; data analysis, 13, 1, (1992); </w:t>
      </w:r>
    </w:p>
    <w:p w14:paraId="3C2EBA28" w14:textId="77777777" w:rsidR="00D623B1" w:rsidRPr="00F22A75" w:rsidRDefault="00D623B1" w:rsidP="00F22A75">
      <w:pPr>
        <w:pStyle w:val="EndNoteBibliography"/>
        <w:spacing w:line="480" w:lineRule="auto"/>
        <w:rPr>
          <w:rFonts w:ascii="Times New Roman" w:hAnsi="Times New Roman" w:cs="Times New Roman"/>
          <w:noProof/>
        </w:rPr>
      </w:pPr>
      <w:r w:rsidRPr="00F22A75">
        <w:rPr>
          <w:rFonts w:ascii="Times New Roman" w:hAnsi="Times New Roman" w:cs="Times New Roman"/>
          <w:noProof/>
        </w:rPr>
        <w:t>[35] M. D. MORRIS, “Factorial Sampling Plans for Preliminary Computational Experiments,” Technometrics, 33, 2, (1991); 10.1080/00401706.1991.10484804.</w:t>
      </w:r>
    </w:p>
    <w:p w14:paraId="2FAD9AD8" w14:textId="0C4D718B" w:rsidR="00D623B1" w:rsidRPr="00F22A75" w:rsidRDefault="00D623B1" w:rsidP="00F22A75">
      <w:pPr>
        <w:pStyle w:val="EndNoteBibliography"/>
        <w:spacing w:line="480" w:lineRule="auto"/>
        <w:rPr>
          <w:rFonts w:ascii="Times New Roman" w:hAnsi="Times New Roman" w:cs="Times New Roman"/>
          <w:noProof/>
        </w:rPr>
      </w:pPr>
      <w:r w:rsidRPr="00F22A75">
        <w:rPr>
          <w:rFonts w:ascii="Times New Roman" w:hAnsi="Times New Roman" w:cs="Times New Roman"/>
          <w:noProof/>
        </w:rPr>
        <w:t xml:space="preserve">[36] F. CAMPOLONGO, J. CARIBONI and A. SALTELLI, “An effective screening design for sensitivity analysis of large models,” Environmental Modelling &amp; Software, 22, 10, (2007); </w:t>
      </w:r>
      <w:hyperlink r:id="rId96" w:history="1">
        <w:r w:rsidRPr="00F22A75">
          <w:rPr>
            <w:rStyle w:val="Hyperlink"/>
            <w:rFonts w:ascii="Times New Roman" w:hAnsi="Times New Roman" w:cs="Times New Roman"/>
            <w:noProof/>
          </w:rPr>
          <w:t>https://doi.org/10.1016/j.envsoft.2006.10.004</w:t>
        </w:r>
      </w:hyperlink>
      <w:r w:rsidRPr="00F22A75">
        <w:rPr>
          <w:rFonts w:ascii="Times New Roman" w:hAnsi="Times New Roman" w:cs="Times New Roman"/>
          <w:noProof/>
        </w:rPr>
        <w:t>.</w:t>
      </w:r>
    </w:p>
    <w:p w14:paraId="511D32B8" w14:textId="4F0BB480" w:rsidR="00D623B1" w:rsidRPr="00F22A75" w:rsidRDefault="00D623B1" w:rsidP="00F22A75">
      <w:pPr>
        <w:pStyle w:val="EndNoteBibliography"/>
        <w:spacing w:line="480" w:lineRule="auto"/>
        <w:rPr>
          <w:rFonts w:ascii="Times New Roman" w:hAnsi="Times New Roman" w:cs="Times New Roman"/>
          <w:noProof/>
        </w:rPr>
      </w:pPr>
      <w:r w:rsidRPr="00F22A75">
        <w:rPr>
          <w:rFonts w:ascii="Times New Roman" w:hAnsi="Times New Roman" w:cs="Times New Roman"/>
          <w:noProof/>
        </w:rPr>
        <w:lastRenderedPageBreak/>
        <w:t xml:space="preserve">[37] M. V. RUANO, et al., “An improved sampling strategy based on trajectory design for application of the Morris method to systems with many input factors,” Environmental Modelling &amp; Software, 37, (2012); </w:t>
      </w:r>
      <w:hyperlink r:id="rId97" w:history="1">
        <w:r w:rsidRPr="00F22A75">
          <w:rPr>
            <w:rStyle w:val="Hyperlink"/>
            <w:rFonts w:ascii="Times New Roman" w:hAnsi="Times New Roman" w:cs="Times New Roman"/>
            <w:noProof/>
          </w:rPr>
          <w:t>https://doi.org/10.1016/j.envsoft.2012.03.008</w:t>
        </w:r>
      </w:hyperlink>
      <w:r w:rsidRPr="00F22A75">
        <w:rPr>
          <w:rFonts w:ascii="Times New Roman" w:hAnsi="Times New Roman" w:cs="Times New Roman"/>
          <w:noProof/>
        </w:rPr>
        <w:t>.</w:t>
      </w:r>
    </w:p>
    <w:p w14:paraId="14ABD062" w14:textId="77777777" w:rsidR="00D623B1" w:rsidRPr="00F22A75" w:rsidRDefault="00D623B1" w:rsidP="00F22A75">
      <w:pPr>
        <w:pStyle w:val="EndNoteBibliography"/>
        <w:spacing w:line="480" w:lineRule="auto"/>
        <w:rPr>
          <w:rFonts w:ascii="Times New Roman" w:hAnsi="Times New Roman" w:cs="Times New Roman"/>
          <w:noProof/>
        </w:rPr>
      </w:pPr>
      <w:r w:rsidRPr="00F22A75">
        <w:rPr>
          <w:rFonts w:ascii="Times New Roman" w:hAnsi="Times New Roman" w:cs="Times New Roman"/>
          <w:noProof/>
        </w:rPr>
        <w:t>[38] K. PEARSON, On further methods of determining correlation, 16, Dulau and Company, (1907).</w:t>
      </w:r>
    </w:p>
    <w:p w14:paraId="48BDB157" w14:textId="0708D936" w:rsidR="00D623B1" w:rsidRPr="00F22A75" w:rsidRDefault="00D623B1" w:rsidP="00F22A75">
      <w:pPr>
        <w:pStyle w:val="EndNoteBibliography"/>
        <w:spacing w:line="480" w:lineRule="auto"/>
        <w:rPr>
          <w:rFonts w:ascii="Times New Roman" w:hAnsi="Times New Roman" w:cs="Times New Roman"/>
          <w:noProof/>
        </w:rPr>
      </w:pPr>
      <w:r w:rsidRPr="00F22A75">
        <w:rPr>
          <w:rFonts w:ascii="Times New Roman" w:hAnsi="Times New Roman" w:cs="Times New Roman"/>
          <w:noProof/>
        </w:rPr>
        <w:t xml:space="preserve">[39] P. SCHOBER, C. BOER and L. A. SCHWARTE, “Correlation Coefficients: Appropriate Use and Interpretation,” Anesthesia &amp; Analgesia, 126, 5, (2018); </w:t>
      </w:r>
      <w:hyperlink r:id="rId98" w:history="1">
        <w:r w:rsidRPr="00F22A75">
          <w:rPr>
            <w:rStyle w:val="Hyperlink"/>
            <w:rFonts w:ascii="Times New Roman" w:hAnsi="Times New Roman" w:cs="Times New Roman"/>
            <w:noProof/>
          </w:rPr>
          <w:t>https://doi.org/10.1213/ANE.0000000000002864</w:t>
        </w:r>
      </w:hyperlink>
      <w:r w:rsidRPr="00F22A75">
        <w:rPr>
          <w:rFonts w:ascii="Times New Roman" w:hAnsi="Times New Roman" w:cs="Times New Roman"/>
          <w:noProof/>
        </w:rPr>
        <w:t>.</w:t>
      </w:r>
    </w:p>
    <w:p w14:paraId="14E7B5D9" w14:textId="625140D8" w:rsidR="00D623B1" w:rsidRPr="00F22A75" w:rsidRDefault="00D623B1" w:rsidP="00F22A75">
      <w:pPr>
        <w:pStyle w:val="EndNoteBibliography"/>
        <w:spacing w:line="480" w:lineRule="auto"/>
        <w:rPr>
          <w:rFonts w:ascii="Times New Roman" w:hAnsi="Times New Roman" w:cs="Times New Roman"/>
          <w:noProof/>
        </w:rPr>
      </w:pPr>
      <w:r w:rsidRPr="00F22A75">
        <w:rPr>
          <w:rFonts w:ascii="Times New Roman" w:hAnsi="Times New Roman" w:cs="Times New Roman"/>
          <w:noProof/>
        </w:rPr>
        <w:t xml:space="preserve">[40] M.-T. PUTH, M. NEUHÄUSER and G. D. RUXTON, “Effective use of Pearson's product–moment correlation coefficient,” Animal Behaviour, 93, (2014); </w:t>
      </w:r>
      <w:hyperlink r:id="rId99" w:history="1">
        <w:r w:rsidRPr="00F22A75">
          <w:rPr>
            <w:rStyle w:val="Hyperlink"/>
            <w:rFonts w:ascii="Times New Roman" w:hAnsi="Times New Roman" w:cs="Times New Roman"/>
            <w:noProof/>
          </w:rPr>
          <w:t>https://doi.org/10.1016/j.anbehav.2014.05.003</w:t>
        </w:r>
      </w:hyperlink>
      <w:r w:rsidRPr="00F22A75">
        <w:rPr>
          <w:rFonts w:ascii="Times New Roman" w:hAnsi="Times New Roman" w:cs="Times New Roman"/>
          <w:noProof/>
        </w:rPr>
        <w:t>.</w:t>
      </w:r>
    </w:p>
    <w:p w14:paraId="006FBD21" w14:textId="77777777" w:rsidR="00D623B1" w:rsidRPr="00F22A75" w:rsidRDefault="00D623B1" w:rsidP="00F22A75">
      <w:pPr>
        <w:pStyle w:val="EndNoteBibliography"/>
        <w:spacing w:line="480" w:lineRule="auto"/>
        <w:rPr>
          <w:rFonts w:ascii="Times New Roman" w:hAnsi="Times New Roman" w:cs="Times New Roman"/>
          <w:noProof/>
        </w:rPr>
      </w:pPr>
      <w:r w:rsidRPr="00F22A75">
        <w:rPr>
          <w:rFonts w:ascii="Times New Roman" w:hAnsi="Times New Roman" w:cs="Times New Roman"/>
          <w:noProof/>
        </w:rPr>
        <w:t xml:space="preserve">[41] I. M. SOBOL, “Sensitivity Estimates for Nonlinear Mathematical Models,” Mathematical Modelling and Computational Experiments, 4, 407 (1993); </w:t>
      </w:r>
    </w:p>
    <w:p w14:paraId="67DFA1B0" w14:textId="695DBB3B" w:rsidR="00D623B1" w:rsidRPr="00F22A75" w:rsidRDefault="00D623B1" w:rsidP="00F22A75">
      <w:pPr>
        <w:pStyle w:val="EndNoteBibliography"/>
        <w:spacing w:line="480" w:lineRule="auto"/>
        <w:rPr>
          <w:rFonts w:ascii="Times New Roman" w:hAnsi="Times New Roman" w:cs="Times New Roman"/>
          <w:noProof/>
        </w:rPr>
      </w:pPr>
      <w:r w:rsidRPr="00F22A75">
        <w:rPr>
          <w:rFonts w:ascii="Times New Roman" w:hAnsi="Times New Roman" w:cs="Times New Roman"/>
          <w:noProof/>
        </w:rPr>
        <w:t xml:space="preserve">[42] T. IKONEN, “Comparison of global sensitivity analysis methods – Application to fuel behavior modeling,” Nuclear Engineering and Design, 297, (2016); </w:t>
      </w:r>
      <w:hyperlink r:id="rId100" w:history="1">
        <w:r w:rsidRPr="00F22A75">
          <w:rPr>
            <w:rStyle w:val="Hyperlink"/>
            <w:rFonts w:ascii="Times New Roman" w:hAnsi="Times New Roman" w:cs="Times New Roman"/>
            <w:noProof/>
          </w:rPr>
          <w:t>https://doi.org/10.1016/j.nucengdes.2015.11.025</w:t>
        </w:r>
      </w:hyperlink>
      <w:r w:rsidRPr="00F22A75">
        <w:rPr>
          <w:rFonts w:ascii="Times New Roman" w:hAnsi="Times New Roman" w:cs="Times New Roman"/>
          <w:noProof/>
        </w:rPr>
        <w:t>.</w:t>
      </w:r>
    </w:p>
    <w:p w14:paraId="44C36778" w14:textId="77777777" w:rsidR="00D623B1" w:rsidRPr="00F22A75" w:rsidRDefault="00D623B1" w:rsidP="00F22A75">
      <w:pPr>
        <w:pStyle w:val="EndNoteBibliography"/>
        <w:spacing w:line="480" w:lineRule="auto"/>
        <w:rPr>
          <w:rFonts w:ascii="Times New Roman" w:hAnsi="Times New Roman" w:cs="Times New Roman"/>
          <w:noProof/>
        </w:rPr>
      </w:pPr>
      <w:r w:rsidRPr="00F22A75">
        <w:rPr>
          <w:rFonts w:ascii="Times New Roman" w:hAnsi="Times New Roman" w:cs="Times New Roman"/>
          <w:noProof/>
        </w:rPr>
        <w:t>[43] J. P. C. KLEIJNEN, “Sensitivity analysis and related analyses: A review of some statistical techniques,” Journal of Statistical Computation and Simulation, 57, 1-4, (1997); 10.1080/00949659708811805.</w:t>
      </w:r>
    </w:p>
    <w:p w14:paraId="7D8A54B2" w14:textId="77777777" w:rsidR="00D623B1" w:rsidRPr="00F22A75" w:rsidRDefault="00D623B1" w:rsidP="00F22A75">
      <w:pPr>
        <w:pStyle w:val="EndNoteBibliography"/>
        <w:spacing w:line="480" w:lineRule="auto"/>
        <w:rPr>
          <w:rFonts w:ascii="Times New Roman" w:hAnsi="Times New Roman" w:cs="Times New Roman"/>
          <w:noProof/>
        </w:rPr>
      </w:pPr>
      <w:r w:rsidRPr="00F22A75">
        <w:rPr>
          <w:rFonts w:ascii="Times New Roman" w:hAnsi="Times New Roman" w:cs="Times New Roman"/>
          <w:noProof/>
        </w:rPr>
        <w:lastRenderedPageBreak/>
        <w:t xml:space="preserve">[44] J. HART and P. A. GREMAUD, “An approximation theoretic perspective of Sobol'indices with dependent variables,” International Journal for Uncertainty Quantification, 8, 6, (2018); </w:t>
      </w:r>
    </w:p>
    <w:p w14:paraId="3511C85B" w14:textId="36AA7F4D" w:rsidR="00D623B1" w:rsidRPr="00F22A75" w:rsidRDefault="00D623B1" w:rsidP="00F22A75">
      <w:pPr>
        <w:pStyle w:val="EndNoteBibliography"/>
        <w:spacing w:line="480" w:lineRule="auto"/>
        <w:rPr>
          <w:rFonts w:ascii="Times New Roman" w:hAnsi="Times New Roman" w:cs="Times New Roman"/>
          <w:noProof/>
        </w:rPr>
      </w:pPr>
      <w:r w:rsidRPr="00F22A75">
        <w:rPr>
          <w:rFonts w:ascii="Times New Roman" w:hAnsi="Times New Roman" w:cs="Times New Roman"/>
          <w:noProof/>
        </w:rPr>
        <w:t xml:space="preserve">[45] C. P. FOLSOM, et al., “Design of separate-effects In-Pile transient boiling experiments at the TREAT Facility,” Nuclear Engineering and Design, 397, (2022); </w:t>
      </w:r>
      <w:hyperlink r:id="rId101" w:history="1">
        <w:r w:rsidRPr="00F22A75">
          <w:rPr>
            <w:rStyle w:val="Hyperlink"/>
            <w:rFonts w:ascii="Times New Roman" w:hAnsi="Times New Roman" w:cs="Times New Roman"/>
            <w:noProof/>
          </w:rPr>
          <w:t>https://doi.org/10.1016/j.nucengdes.2022.111919</w:t>
        </w:r>
      </w:hyperlink>
      <w:r w:rsidRPr="00F22A75">
        <w:rPr>
          <w:rFonts w:ascii="Times New Roman" w:hAnsi="Times New Roman" w:cs="Times New Roman"/>
          <w:noProof/>
        </w:rPr>
        <w:t>.</w:t>
      </w:r>
    </w:p>
    <w:p w14:paraId="671C0E7B" w14:textId="77777777" w:rsidR="00D623B1" w:rsidRPr="00F22A75" w:rsidRDefault="00D623B1" w:rsidP="00F22A75">
      <w:pPr>
        <w:pStyle w:val="EndNoteBibliography"/>
        <w:spacing w:line="480" w:lineRule="auto"/>
        <w:rPr>
          <w:rFonts w:ascii="Times New Roman" w:hAnsi="Times New Roman" w:cs="Times New Roman"/>
          <w:noProof/>
        </w:rPr>
      </w:pPr>
      <w:r w:rsidRPr="00F22A75">
        <w:rPr>
          <w:rFonts w:ascii="Times New Roman" w:hAnsi="Times New Roman" w:cs="Times New Roman"/>
          <w:noProof/>
        </w:rPr>
        <w:t>[46] N. ZUBER, “Hydrodynamic Aspects Of Boiling Heat Transfer,” Thesis, Univ. of California, Los Angeles, (May 1959).</w:t>
      </w:r>
    </w:p>
    <w:p w14:paraId="1CEAE08A" w14:textId="77777777" w:rsidR="00D623B1" w:rsidRPr="00F22A75" w:rsidRDefault="00D623B1" w:rsidP="00F22A75">
      <w:pPr>
        <w:pStyle w:val="EndNoteBibliography"/>
        <w:spacing w:line="480" w:lineRule="auto"/>
        <w:rPr>
          <w:rFonts w:ascii="Times New Roman" w:hAnsi="Times New Roman" w:cs="Times New Roman"/>
          <w:noProof/>
        </w:rPr>
      </w:pPr>
      <w:r w:rsidRPr="00F22A75">
        <w:rPr>
          <w:rFonts w:ascii="Times New Roman" w:hAnsi="Times New Roman" w:cs="Times New Roman"/>
          <w:noProof/>
        </w:rPr>
        <w:t>[47] S. S. KUTATELADZE, “HYDROMECHANICAL MODEL OF A CRITICAL STATE IN THE HEAT TRANSMISSION IN A BOILING LIQUID, FOR THE CASE OF FREE CONVECTION,” Vol: 20, (1950); Journal Name: Zhur. Tekh. Fiz.; Journal Volume: Vol: 20; Other Information: Orig. Receipt Date: 31-DEC-51.</w:t>
      </w:r>
    </w:p>
    <w:p w14:paraId="5E912F95" w14:textId="04E36F8B" w:rsidR="00D623B1" w:rsidRPr="00F22A75" w:rsidRDefault="00D623B1" w:rsidP="00F22A75">
      <w:pPr>
        <w:pStyle w:val="EndNoteBibliography"/>
        <w:spacing w:line="480" w:lineRule="auto"/>
        <w:rPr>
          <w:rFonts w:ascii="Times New Roman" w:hAnsi="Times New Roman" w:cs="Times New Roman"/>
          <w:noProof/>
        </w:rPr>
      </w:pPr>
      <w:r w:rsidRPr="00F22A75">
        <w:rPr>
          <w:rFonts w:ascii="Times New Roman" w:hAnsi="Times New Roman" w:cs="Times New Roman"/>
          <w:noProof/>
        </w:rPr>
        <w:t xml:space="preserve">[48] A. INOUE, et al., “Studies on a cooling of high heat flux surface in fusion reactor by impinging planar jet flow,” Fusion Engineering and Design, 51-52, (2000); </w:t>
      </w:r>
      <w:hyperlink r:id="rId102" w:history="1">
        <w:r w:rsidRPr="00F22A75">
          <w:rPr>
            <w:rStyle w:val="Hyperlink"/>
            <w:rFonts w:ascii="Times New Roman" w:hAnsi="Times New Roman" w:cs="Times New Roman"/>
            <w:noProof/>
          </w:rPr>
          <w:t>https://doi.org/10.1016/S0920-3796(00)00178-2</w:t>
        </w:r>
      </w:hyperlink>
      <w:r w:rsidRPr="00F22A75">
        <w:rPr>
          <w:rFonts w:ascii="Times New Roman" w:hAnsi="Times New Roman" w:cs="Times New Roman"/>
          <w:noProof/>
        </w:rPr>
        <w:t>.</w:t>
      </w:r>
    </w:p>
    <w:p w14:paraId="1AB2B215" w14:textId="77777777" w:rsidR="00D623B1" w:rsidRPr="00F22A75" w:rsidRDefault="00D623B1" w:rsidP="00F22A75">
      <w:pPr>
        <w:pStyle w:val="EndNoteBibliography"/>
        <w:spacing w:line="480" w:lineRule="auto"/>
        <w:rPr>
          <w:rFonts w:ascii="Times New Roman" w:hAnsi="Times New Roman" w:cs="Times New Roman"/>
          <w:noProof/>
        </w:rPr>
      </w:pPr>
      <w:r w:rsidRPr="00F22A75">
        <w:rPr>
          <w:rFonts w:ascii="Times New Roman" w:hAnsi="Times New Roman" w:cs="Times New Roman"/>
          <w:noProof/>
        </w:rPr>
        <w:t>[49] V. BESSIRON, T. SUGIYAMA and T. FUKETA, “Clad-to-Coolant Heat Transfer in NSRR Experiments,” Journal of Nuclear Science and Technology, 44, 5, (2007); 10.1080/18811248.2007.9711861.</w:t>
      </w:r>
    </w:p>
    <w:p w14:paraId="4CAD7FDE" w14:textId="1C776A23" w:rsidR="00D623B1" w:rsidRPr="00F22A75" w:rsidRDefault="00D623B1" w:rsidP="00F22A75">
      <w:pPr>
        <w:pStyle w:val="EndNoteBibliography"/>
        <w:spacing w:line="480" w:lineRule="auto"/>
        <w:rPr>
          <w:rFonts w:ascii="Times New Roman" w:hAnsi="Times New Roman" w:cs="Times New Roman"/>
          <w:noProof/>
        </w:rPr>
      </w:pPr>
      <w:r w:rsidRPr="00F22A75">
        <w:rPr>
          <w:rFonts w:ascii="Times New Roman" w:hAnsi="Times New Roman" w:cs="Times New Roman"/>
          <w:noProof/>
        </w:rPr>
        <w:t xml:space="preserve">[50] A. SAKURAI, “Mechanisms of transitions to film boiling at CHFs in subcooled and pressurized liquids due to steady and increasing heat inputs,” Nuclear Engineering and Design, 197, 3, (2000); </w:t>
      </w:r>
      <w:hyperlink r:id="rId103" w:history="1">
        <w:r w:rsidRPr="00F22A75">
          <w:rPr>
            <w:rStyle w:val="Hyperlink"/>
            <w:rFonts w:ascii="Times New Roman" w:hAnsi="Times New Roman" w:cs="Times New Roman"/>
            <w:noProof/>
          </w:rPr>
          <w:t>https://doi.org/10.1016/S0029-5493(99)00314-3</w:t>
        </w:r>
      </w:hyperlink>
      <w:r w:rsidRPr="00F22A75">
        <w:rPr>
          <w:rFonts w:ascii="Times New Roman" w:hAnsi="Times New Roman" w:cs="Times New Roman"/>
          <w:noProof/>
        </w:rPr>
        <w:t>.</w:t>
      </w:r>
    </w:p>
    <w:p w14:paraId="42B94EF6" w14:textId="77777777" w:rsidR="00D623B1" w:rsidRPr="00F22A75" w:rsidRDefault="00D623B1" w:rsidP="00F22A75">
      <w:pPr>
        <w:pStyle w:val="EndNoteBibliography"/>
        <w:spacing w:line="480" w:lineRule="auto"/>
        <w:rPr>
          <w:rFonts w:ascii="Times New Roman" w:hAnsi="Times New Roman" w:cs="Times New Roman"/>
          <w:noProof/>
        </w:rPr>
      </w:pPr>
      <w:r w:rsidRPr="00F22A75">
        <w:rPr>
          <w:rFonts w:ascii="Times New Roman" w:hAnsi="Times New Roman" w:cs="Times New Roman"/>
          <w:noProof/>
        </w:rPr>
        <w:lastRenderedPageBreak/>
        <w:t>[51] A. KOSSOLAPOV, “Transient flow boiling CHF under exponentially escalating heat inputs,” Thesis, Massachusetts Institute of Technology, Department of Nuclear Science and Engineering (November 2018).</w:t>
      </w:r>
    </w:p>
    <w:p w14:paraId="3F0F76B2" w14:textId="0C44A026" w:rsidR="00D623B1" w:rsidRPr="00F22A75" w:rsidRDefault="00D623B1" w:rsidP="00F22A75">
      <w:pPr>
        <w:pStyle w:val="EndNoteBibliography"/>
        <w:spacing w:line="480" w:lineRule="auto"/>
        <w:rPr>
          <w:rFonts w:ascii="Times New Roman" w:hAnsi="Times New Roman" w:cs="Times New Roman"/>
          <w:noProof/>
        </w:rPr>
      </w:pPr>
      <w:r w:rsidRPr="00F22A75">
        <w:rPr>
          <w:rFonts w:ascii="Times New Roman" w:hAnsi="Times New Roman" w:cs="Times New Roman"/>
          <w:noProof/>
        </w:rPr>
        <w:t xml:space="preserve">[52] S. SAITO, et al., “Development of In-Reactor Fuel Behavior Observation System,” Journal of Nuclear Science and Technology, 18, 6, (1981); </w:t>
      </w:r>
      <w:hyperlink r:id="rId104" w:history="1">
        <w:r w:rsidRPr="00F22A75">
          <w:rPr>
            <w:rStyle w:val="Hyperlink"/>
            <w:rFonts w:ascii="Times New Roman" w:hAnsi="Times New Roman" w:cs="Times New Roman"/>
            <w:noProof/>
          </w:rPr>
          <w:t>https://doi.org/10.1080/18811248.1981.9733275</w:t>
        </w:r>
      </w:hyperlink>
      <w:r w:rsidRPr="00F22A75">
        <w:rPr>
          <w:rFonts w:ascii="Times New Roman" w:hAnsi="Times New Roman" w:cs="Times New Roman"/>
          <w:noProof/>
        </w:rPr>
        <w:t>.</w:t>
      </w:r>
    </w:p>
    <w:p w14:paraId="50884496" w14:textId="5C79A68F" w:rsidR="00D623B1" w:rsidRPr="00F22A75" w:rsidRDefault="00D623B1" w:rsidP="00F22A75">
      <w:pPr>
        <w:pStyle w:val="EndNoteBibliography"/>
        <w:spacing w:line="480" w:lineRule="auto"/>
        <w:rPr>
          <w:rFonts w:ascii="Times New Roman" w:hAnsi="Times New Roman" w:cs="Times New Roman"/>
          <w:noProof/>
        </w:rPr>
      </w:pPr>
      <w:r w:rsidRPr="00F22A75">
        <w:rPr>
          <w:rFonts w:ascii="Times New Roman" w:hAnsi="Times New Roman" w:cs="Times New Roman"/>
          <w:noProof/>
        </w:rPr>
        <w:t xml:space="preserve">[53] F. BERTOCCHI, I. J. V. DE KOCK and C. A. VEGA, “Predicting Critical Heat Flux in Rectangular Channels: Which Correlation to Trust?,” Nuclear Engineering and Design, 418, (2024); </w:t>
      </w:r>
      <w:hyperlink r:id="rId105" w:history="1">
        <w:r w:rsidRPr="00F22A75">
          <w:rPr>
            <w:rStyle w:val="Hyperlink"/>
            <w:rFonts w:ascii="Times New Roman" w:hAnsi="Times New Roman" w:cs="Times New Roman"/>
            <w:noProof/>
          </w:rPr>
          <w:t>https://doi.org/10.1016/j.nucengdes.2024.112900</w:t>
        </w:r>
      </w:hyperlink>
      <w:r w:rsidRPr="00F22A75">
        <w:rPr>
          <w:rFonts w:ascii="Times New Roman" w:hAnsi="Times New Roman" w:cs="Times New Roman"/>
          <w:noProof/>
        </w:rPr>
        <w:t>.</w:t>
      </w:r>
    </w:p>
    <w:p w14:paraId="40BACAAC" w14:textId="5F7F809D" w:rsidR="00D623B1" w:rsidRPr="00F22A75" w:rsidRDefault="00D623B1" w:rsidP="00F22A75">
      <w:pPr>
        <w:pStyle w:val="EndNoteBibliography"/>
        <w:spacing w:line="480" w:lineRule="auto"/>
        <w:rPr>
          <w:rFonts w:ascii="Times New Roman" w:hAnsi="Times New Roman" w:cs="Times New Roman"/>
          <w:noProof/>
        </w:rPr>
      </w:pPr>
      <w:r w:rsidRPr="00F22A75">
        <w:rPr>
          <w:rFonts w:ascii="Times New Roman" w:hAnsi="Times New Roman" w:cs="Times New Roman"/>
          <w:noProof/>
        </w:rPr>
        <w:t xml:space="preserve">[54] G. ZHU, Z. WANG and H. XIE, “Prediction of critical heat flux in non-uniform heated rod bundle based on modified CHF empirical correlations,” Nuclear Engineering and Design, 417, (2024); </w:t>
      </w:r>
      <w:hyperlink r:id="rId106" w:history="1">
        <w:r w:rsidRPr="00F22A75">
          <w:rPr>
            <w:rStyle w:val="Hyperlink"/>
            <w:rFonts w:ascii="Times New Roman" w:hAnsi="Times New Roman" w:cs="Times New Roman"/>
            <w:noProof/>
          </w:rPr>
          <w:t>https://doi.org/10.1016/j.nucengdes.2023.112875</w:t>
        </w:r>
      </w:hyperlink>
      <w:r w:rsidRPr="00F22A75">
        <w:rPr>
          <w:rFonts w:ascii="Times New Roman" w:hAnsi="Times New Roman" w:cs="Times New Roman"/>
          <w:noProof/>
        </w:rPr>
        <w:t>.</w:t>
      </w:r>
    </w:p>
    <w:p w14:paraId="39940C4E" w14:textId="2CD92575" w:rsidR="00D623B1" w:rsidRPr="00F22A75" w:rsidRDefault="00D623B1" w:rsidP="00F22A75">
      <w:pPr>
        <w:pStyle w:val="EndNoteBibliography"/>
        <w:spacing w:line="480" w:lineRule="auto"/>
        <w:rPr>
          <w:rFonts w:ascii="Times New Roman" w:hAnsi="Times New Roman" w:cs="Times New Roman"/>
          <w:noProof/>
        </w:rPr>
      </w:pPr>
      <w:r w:rsidRPr="00F22A75">
        <w:rPr>
          <w:rFonts w:ascii="Times New Roman" w:hAnsi="Times New Roman" w:cs="Times New Roman"/>
          <w:noProof/>
        </w:rPr>
        <w:t xml:space="preserve">[55] R. HERNANDEZ, et al., “Review of pool boiling critical heat flux (CHF) and heater rod design for CHF experiments in TREAT,” Progress in Nuclear Energy, 123, (2020); </w:t>
      </w:r>
      <w:hyperlink r:id="rId107" w:history="1">
        <w:r w:rsidRPr="00F22A75">
          <w:rPr>
            <w:rStyle w:val="Hyperlink"/>
            <w:rFonts w:ascii="Times New Roman" w:hAnsi="Times New Roman" w:cs="Times New Roman"/>
            <w:noProof/>
          </w:rPr>
          <w:t>https://doi.org/10.1016/j.pnucene.2020.103303</w:t>
        </w:r>
      </w:hyperlink>
      <w:r w:rsidRPr="00F22A75">
        <w:rPr>
          <w:rFonts w:ascii="Times New Roman" w:hAnsi="Times New Roman" w:cs="Times New Roman"/>
          <w:noProof/>
        </w:rPr>
        <w:t>.</w:t>
      </w:r>
    </w:p>
    <w:p w14:paraId="507E247B" w14:textId="169717F2" w:rsidR="00D623B1" w:rsidRPr="00F22A75" w:rsidRDefault="00D623B1" w:rsidP="00F22A75">
      <w:pPr>
        <w:pStyle w:val="EndNoteBibliography"/>
        <w:spacing w:line="480" w:lineRule="auto"/>
        <w:rPr>
          <w:rFonts w:ascii="Times New Roman" w:hAnsi="Times New Roman" w:cs="Times New Roman"/>
          <w:noProof/>
        </w:rPr>
      </w:pPr>
      <w:r w:rsidRPr="00F22A75">
        <w:rPr>
          <w:rFonts w:ascii="Times New Roman" w:hAnsi="Times New Roman" w:cs="Times New Roman"/>
          <w:noProof/>
        </w:rPr>
        <w:t xml:space="preserve">[56] A. SESHADRI, E. C. FORREST and K. SHIRVAN, “Why ionizing radiation enhances surface wettability,” Applied Surface Science, 514, (2020); </w:t>
      </w:r>
      <w:hyperlink r:id="rId108" w:history="1">
        <w:r w:rsidRPr="00F22A75">
          <w:rPr>
            <w:rStyle w:val="Hyperlink"/>
            <w:rFonts w:ascii="Times New Roman" w:hAnsi="Times New Roman" w:cs="Times New Roman"/>
            <w:noProof/>
          </w:rPr>
          <w:t>https://doi.org/10.1016/j.apsusc.2020.145935</w:t>
        </w:r>
      </w:hyperlink>
      <w:r w:rsidRPr="00F22A75">
        <w:rPr>
          <w:rFonts w:ascii="Times New Roman" w:hAnsi="Times New Roman" w:cs="Times New Roman"/>
          <w:noProof/>
        </w:rPr>
        <w:t>.</w:t>
      </w:r>
    </w:p>
    <w:p w14:paraId="463ACD72" w14:textId="27839F84" w:rsidR="00D623B1" w:rsidRPr="00F22A75" w:rsidRDefault="00D623B1" w:rsidP="00F22A75">
      <w:pPr>
        <w:pStyle w:val="EndNoteBibliography"/>
        <w:spacing w:line="480" w:lineRule="auto"/>
        <w:rPr>
          <w:rFonts w:ascii="Times New Roman" w:hAnsi="Times New Roman" w:cs="Times New Roman"/>
          <w:noProof/>
        </w:rPr>
      </w:pPr>
      <w:r w:rsidRPr="00F22A75">
        <w:rPr>
          <w:rFonts w:ascii="Times New Roman" w:hAnsi="Times New Roman" w:cs="Times New Roman"/>
          <w:noProof/>
        </w:rPr>
        <w:t xml:space="preserve">[57] S. KANO, et al., “Investigation of radiation-induced surface activation effect in austenitic stainless steel under ultraviolet and γ-ray irradiations,” Journal of Nuclear Science and Technology, 56, 3, (2019); </w:t>
      </w:r>
      <w:hyperlink r:id="rId109" w:history="1">
        <w:r w:rsidRPr="00F22A75">
          <w:rPr>
            <w:rStyle w:val="Hyperlink"/>
            <w:rFonts w:ascii="Times New Roman" w:hAnsi="Times New Roman" w:cs="Times New Roman"/>
            <w:noProof/>
          </w:rPr>
          <w:t>https://doi.org/10.1080/00223131.2019.1571451</w:t>
        </w:r>
      </w:hyperlink>
      <w:r w:rsidRPr="00F22A75">
        <w:rPr>
          <w:rFonts w:ascii="Times New Roman" w:hAnsi="Times New Roman" w:cs="Times New Roman"/>
          <w:noProof/>
        </w:rPr>
        <w:t>.</w:t>
      </w:r>
    </w:p>
    <w:p w14:paraId="28C8AAAB" w14:textId="77777777" w:rsidR="00D623B1" w:rsidRPr="00F22A75" w:rsidRDefault="00D623B1" w:rsidP="00F22A75">
      <w:pPr>
        <w:pStyle w:val="EndNoteBibliography"/>
        <w:spacing w:line="480" w:lineRule="auto"/>
        <w:rPr>
          <w:rFonts w:ascii="Times New Roman" w:hAnsi="Times New Roman" w:cs="Times New Roman"/>
          <w:noProof/>
        </w:rPr>
      </w:pPr>
      <w:r w:rsidRPr="00F22A75">
        <w:rPr>
          <w:rFonts w:ascii="Times New Roman" w:hAnsi="Times New Roman" w:cs="Times New Roman"/>
          <w:noProof/>
        </w:rPr>
        <w:lastRenderedPageBreak/>
        <w:t>[58] S. G. KANDLIKAR, “A Theoretical Model to Predict Pool Boiling CHF Incorporating Effects of Contact Angle and Orientation,” Journal of Heat Transfer, 123, 6, (2001); 10.1115/1.1409265.</w:t>
      </w:r>
    </w:p>
    <w:p w14:paraId="2F6D7B53" w14:textId="77777777" w:rsidR="00D623B1" w:rsidRPr="00F22A75" w:rsidRDefault="00D623B1" w:rsidP="00F22A75">
      <w:pPr>
        <w:pStyle w:val="EndNoteBibliography"/>
        <w:spacing w:line="480" w:lineRule="auto"/>
        <w:rPr>
          <w:rFonts w:ascii="Times New Roman" w:hAnsi="Times New Roman" w:cs="Times New Roman"/>
          <w:noProof/>
        </w:rPr>
      </w:pPr>
      <w:r w:rsidRPr="00F22A75">
        <w:rPr>
          <w:rFonts w:ascii="Times New Roman" w:hAnsi="Times New Roman" w:cs="Times New Roman"/>
          <w:noProof/>
        </w:rPr>
        <w:t>[59] H. O'HANLEY, et al., “Separate effects of surface roughness, wettability, and porosity on the boiling critical heat flux,” Applied Physics Letters, 103, 2, (2013); 10.1063/1.4813450.</w:t>
      </w:r>
    </w:p>
    <w:p w14:paraId="455EE748" w14:textId="0C851696" w:rsidR="00D623B1" w:rsidRPr="00F22A75" w:rsidRDefault="00D623B1" w:rsidP="00F22A75">
      <w:pPr>
        <w:pStyle w:val="EndNoteBibliography"/>
        <w:spacing w:line="480" w:lineRule="auto"/>
        <w:rPr>
          <w:rFonts w:ascii="Times New Roman" w:hAnsi="Times New Roman" w:cs="Times New Roman"/>
          <w:noProof/>
        </w:rPr>
      </w:pPr>
      <w:r w:rsidRPr="00F22A75">
        <w:rPr>
          <w:rFonts w:ascii="Times New Roman" w:hAnsi="Times New Roman" w:cs="Times New Roman"/>
          <w:noProof/>
        </w:rPr>
        <w:t xml:space="preserve">[60] E. BROWN, Y. YAN and W. R. MARCUM, “A Novel Method for Predicting Power Transient CHF via the Heterogeneous Spontaneous Nucleation Trigger Mechanism,” Nuclear Technology, 206, 9, (2020); </w:t>
      </w:r>
      <w:hyperlink r:id="rId110" w:history="1">
        <w:r w:rsidRPr="00F22A75">
          <w:rPr>
            <w:rStyle w:val="Hyperlink"/>
            <w:rFonts w:ascii="Times New Roman" w:hAnsi="Times New Roman" w:cs="Times New Roman"/>
            <w:noProof/>
          </w:rPr>
          <w:t>https://doi.org/10.1080/00295450.2020.1724730</w:t>
        </w:r>
      </w:hyperlink>
      <w:r w:rsidRPr="00F22A75">
        <w:rPr>
          <w:rFonts w:ascii="Times New Roman" w:hAnsi="Times New Roman" w:cs="Times New Roman"/>
          <w:noProof/>
        </w:rPr>
        <w:t>.</w:t>
      </w:r>
    </w:p>
    <w:p w14:paraId="0CA731F9" w14:textId="77777777" w:rsidR="00D623B1" w:rsidRPr="00F22A75" w:rsidRDefault="00D623B1" w:rsidP="00F22A75">
      <w:pPr>
        <w:pStyle w:val="EndNoteBibliography"/>
        <w:spacing w:line="480" w:lineRule="auto"/>
        <w:rPr>
          <w:rFonts w:ascii="Times New Roman" w:hAnsi="Times New Roman" w:cs="Times New Roman"/>
          <w:noProof/>
        </w:rPr>
      </w:pPr>
      <w:r w:rsidRPr="00F22A75">
        <w:rPr>
          <w:rFonts w:ascii="Times New Roman" w:hAnsi="Times New Roman" w:cs="Times New Roman"/>
          <w:noProof/>
        </w:rPr>
        <w:t>[61] K. O. PASAMEHMETOGLU and R. A. NELSON, “Investigation of the quasi-steady approach used in transient two-phase flow analysis,” presented at American Nuclear Society National Heat Transfer Conference, Houston, TX, July 24, 1988.</w:t>
      </w:r>
    </w:p>
    <w:p w14:paraId="7374B1DC" w14:textId="007BB538" w:rsidR="00D623B1" w:rsidRPr="00F22A75" w:rsidRDefault="00D623B1" w:rsidP="00F22A75">
      <w:pPr>
        <w:pStyle w:val="EndNoteBibliography"/>
        <w:spacing w:line="480" w:lineRule="auto"/>
        <w:rPr>
          <w:rFonts w:ascii="Times New Roman" w:hAnsi="Times New Roman" w:cs="Times New Roman"/>
          <w:noProof/>
        </w:rPr>
      </w:pPr>
      <w:r w:rsidRPr="00F22A75">
        <w:rPr>
          <w:rFonts w:ascii="Times New Roman" w:hAnsi="Times New Roman" w:cs="Times New Roman"/>
          <w:noProof/>
        </w:rPr>
        <w:t xml:space="preserve">[62] H. UMEKAWA, et al., “Scaling parameter of CHF under oscillatory flow conditions,” Heat Transfer, 28, 6, (1999); </w:t>
      </w:r>
      <w:hyperlink r:id="rId111" w:history="1">
        <w:r w:rsidRPr="00F22A75">
          <w:rPr>
            <w:rStyle w:val="Hyperlink"/>
            <w:rFonts w:ascii="Times New Roman" w:hAnsi="Times New Roman" w:cs="Times New Roman"/>
            <w:noProof/>
          </w:rPr>
          <w:t>https://doi.org/10.1002/(SICI)1523-1496(1999)28:6</w:t>
        </w:r>
      </w:hyperlink>
      <w:r w:rsidRPr="00F22A75">
        <w:rPr>
          <w:rFonts w:ascii="Times New Roman" w:hAnsi="Times New Roman" w:cs="Times New Roman"/>
          <w:noProof/>
        </w:rPr>
        <w:t>&lt;541::AID-HTJ10&gt;3.0.CO;2-E.</w:t>
      </w:r>
    </w:p>
    <w:p w14:paraId="3735E578" w14:textId="49F29296" w:rsidR="00D623B1" w:rsidRPr="00F22A75" w:rsidRDefault="00D623B1" w:rsidP="00F22A75">
      <w:pPr>
        <w:pStyle w:val="EndNoteBibliography"/>
        <w:spacing w:line="480" w:lineRule="auto"/>
        <w:rPr>
          <w:rFonts w:ascii="Times New Roman" w:hAnsi="Times New Roman" w:cs="Times New Roman"/>
          <w:noProof/>
        </w:rPr>
      </w:pPr>
      <w:r w:rsidRPr="00F22A75">
        <w:rPr>
          <w:rFonts w:ascii="Times New Roman" w:hAnsi="Times New Roman" w:cs="Times New Roman"/>
          <w:noProof/>
        </w:rPr>
        <w:t xml:space="preserve">[63] G.-Y. SU, et al., “Transient boiling of water under exponentially escalating heat inputs. Part II: Flow boiling,” International journal of heat and mass transfer, 96, (2016); </w:t>
      </w:r>
      <w:hyperlink r:id="rId112" w:history="1">
        <w:r w:rsidRPr="00F22A75">
          <w:rPr>
            <w:rStyle w:val="Hyperlink"/>
            <w:rFonts w:ascii="Times New Roman" w:hAnsi="Times New Roman" w:cs="Times New Roman"/>
            <w:noProof/>
          </w:rPr>
          <w:t>https://doi.org/10.1016/j.ijheatmasstransfer.2016.01.031</w:t>
        </w:r>
      </w:hyperlink>
      <w:r w:rsidRPr="00F22A75">
        <w:rPr>
          <w:rFonts w:ascii="Times New Roman" w:hAnsi="Times New Roman" w:cs="Times New Roman"/>
          <w:noProof/>
        </w:rPr>
        <w:t>.</w:t>
      </w:r>
    </w:p>
    <w:p w14:paraId="7312C4F3" w14:textId="77777777" w:rsidR="00D623B1" w:rsidRPr="00F22A75" w:rsidRDefault="00D623B1" w:rsidP="00F22A75">
      <w:pPr>
        <w:pStyle w:val="EndNoteBibliography"/>
        <w:spacing w:line="480" w:lineRule="auto"/>
        <w:rPr>
          <w:rFonts w:ascii="Times New Roman" w:hAnsi="Times New Roman" w:cs="Times New Roman"/>
          <w:noProof/>
        </w:rPr>
      </w:pPr>
      <w:r w:rsidRPr="00F22A75">
        <w:rPr>
          <w:rFonts w:ascii="Times New Roman" w:hAnsi="Times New Roman" w:cs="Times New Roman"/>
          <w:noProof/>
        </w:rPr>
        <w:lastRenderedPageBreak/>
        <w:t>[64] K. HATA, M. SHIOTSU and N. NODA, “Influence of Heating Rate on Subcooled Flow Boiling Critical Heat Flux in a Short Vertical Tube,” JSME International Journal Series B Fluids and Thermal Engineering, 49, 2, (2006); 10.1299/jsmeb.49.309.</w:t>
      </w:r>
    </w:p>
    <w:p w14:paraId="70C61D15" w14:textId="648BDEAB" w:rsidR="00D623B1" w:rsidRPr="00F22A75" w:rsidRDefault="00D623B1" w:rsidP="00F22A75">
      <w:pPr>
        <w:pStyle w:val="EndNoteBibliography"/>
        <w:spacing w:line="480" w:lineRule="auto"/>
        <w:rPr>
          <w:rFonts w:ascii="Times New Roman" w:hAnsi="Times New Roman" w:cs="Times New Roman"/>
          <w:noProof/>
        </w:rPr>
      </w:pPr>
      <w:r w:rsidRPr="00F22A75">
        <w:rPr>
          <w:rFonts w:ascii="Times New Roman" w:hAnsi="Times New Roman" w:cs="Times New Roman"/>
          <w:noProof/>
        </w:rPr>
        <w:t xml:space="preserve">[65] K. HATA and S. MASUZAKI, “Influence of heat input waveform on transient critical heat flux of subcooled water flow boiling in a short vertical tube,” Nuclear Engineering and Design, 240, 2, (2010); </w:t>
      </w:r>
      <w:hyperlink r:id="rId113" w:history="1">
        <w:r w:rsidRPr="00F22A75">
          <w:rPr>
            <w:rStyle w:val="Hyperlink"/>
            <w:rFonts w:ascii="Times New Roman" w:hAnsi="Times New Roman" w:cs="Times New Roman"/>
            <w:noProof/>
          </w:rPr>
          <w:t>https://doi.org/10.1016/j.nucengdes.2008.12.001</w:t>
        </w:r>
      </w:hyperlink>
      <w:r w:rsidRPr="00F22A75">
        <w:rPr>
          <w:rFonts w:ascii="Times New Roman" w:hAnsi="Times New Roman" w:cs="Times New Roman"/>
          <w:noProof/>
        </w:rPr>
        <w:t>.</w:t>
      </w:r>
    </w:p>
    <w:p w14:paraId="67713B36" w14:textId="0D7EDFF1" w:rsidR="00D623B1" w:rsidRPr="00F22A75" w:rsidRDefault="00D623B1" w:rsidP="00F22A75">
      <w:pPr>
        <w:pStyle w:val="EndNoteBibliography"/>
        <w:spacing w:line="480" w:lineRule="auto"/>
        <w:rPr>
          <w:rFonts w:ascii="Times New Roman" w:hAnsi="Times New Roman" w:cs="Times New Roman"/>
          <w:noProof/>
        </w:rPr>
      </w:pPr>
      <w:r w:rsidRPr="00F22A75">
        <w:rPr>
          <w:rFonts w:ascii="Times New Roman" w:hAnsi="Times New Roman" w:cs="Times New Roman"/>
          <w:noProof/>
        </w:rPr>
        <w:t xml:space="preserve">[66] K. HATA and N. NODA, “Transient Critical Heat Fluxes of Subcooled Water Flow Boiling in a Short Vertical Tube Caused by Exponentially Increasing Heat Inputs,” Journal of Heat Transfer, 130, 5, (2008); </w:t>
      </w:r>
      <w:hyperlink r:id="rId114" w:history="1">
        <w:r w:rsidRPr="00F22A75">
          <w:rPr>
            <w:rStyle w:val="Hyperlink"/>
            <w:rFonts w:ascii="Times New Roman" w:hAnsi="Times New Roman" w:cs="Times New Roman"/>
            <w:noProof/>
          </w:rPr>
          <w:t>https://doi.org/10.1115/1.2887850</w:t>
        </w:r>
      </w:hyperlink>
      <w:r w:rsidRPr="00F22A75">
        <w:rPr>
          <w:rFonts w:ascii="Times New Roman" w:hAnsi="Times New Roman" w:cs="Times New Roman"/>
          <w:noProof/>
        </w:rPr>
        <w:t>.</w:t>
      </w:r>
    </w:p>
    <w:p w14:paraId="65437FA9" w14:textId="77777777" w:rsidR="00D623B1" w:rsidRPr="00F22A75" w:rsidRDefault="00D623B1" w:rsidP="00F22A75">
      <w:pPr>
        <w:pStyle w:val="EndNoteBibliography"/>
        <w:spacing w:line="480" w:lineRule="auto"/>
        <w:rPr>
          <w:rFonts w:ascii="Times New Roman" w:hAnsi="Times New Roman" w:cs="Times New Roman"/>
          <w:noProof/>
        </w:rPr>
      </w:pPr>
      <w:r w:rsidRPr="00F22A75">
        <w:rPr>
          <w:rFonts w:ascii="Times New Roman" w:hAnsi="Times New Roman" w:cs="Times New Roman"/>
          <w:noProof/>
        </w:rPr>
        <w:t>[67] J.-D. PARK, K. FUKUDA and Q. LIU, “Transient CHF phenomena due to exponentially increasing heat inputs,” Nuclear Engineering and Technology, 41, (2009); 10.5516/NET.2009.41.9.1205.</w:t>
      </w:r>
    </w:p>
    <w:p w14:paraId="4CEE01C0" w14:textId="77777777" w:rsidR="00D623B1" w:rsidRPr="00F22A75" w:rsidRDefault="00D623B1" w:rsidP="00F22A75">
      <w:pPr>
        <w:pStyle w:val="EndNoteBibliography"/>
        <w:spacing w:line="480" w:lineRule="auto"/>
        <w:rPr>
          <w:rFonts w:ascii="Times New Roman" w:hAnsi="Times New Roman" w:cs="Times New Roman"/>
          <w:noProof/>
        </w:rPr>
      </w:pPr>
      <w:r w:rsidRPr="00F22A75">
        <w:rPr>
          <w:rFonts w:ascii="Times New Roman" w:hAnsi="Times New Roman" w:cs="Times New Roman"/>
          <w:noProof/>
        </w:rPr>
        <w:t>[68] D.-H. HWANG, et al., “Transient CHF in Rod Bundle under SMR Conditions,” presented at Proceedings of the KNS 2017 Fall Meeting, Republic of Korea, 2017.</w:t>
      </w:r>
    </w:p>
    <w:p w14:paraId="7F9CEE24" w14:textId="77777777" w:rsidR="00D623B1" w:rsidRPr="00F22A75" w:rsidRDefault="00D623B1" w:rsidP="00F22A75">
      <w:pPr>
        <w:pStyle w:val="EndNoteBibliography"/>
        <w:spacing w:line="480" w:lineRule="auto"/>
        <w:rPr>
          <w:rFonts w:ascii="Times New Roman" w:hAnsi="Times New Roman" w:cs="Times New Roman"/>
          <w:noProof/>
        </w:rPr>
      </w:pPr>
      <w:r w:rsidRPr="00F22A75">
        <w:rPr>
          <w:rFonts w:ascii="Times New Roman" w:hAnsi="Times New Roman" w:cs="Times New Roman"/>
          <w:noProof/>
        </w:rPr>
        <w:t>[69] M. SHIBAHARA, et al., “Boiling heat transfer and CHF for subcooled water flowing in a narrow channel due to power transients,” Experimental Heat Transfer, 33, 1, (2020); 10.1080/08916152.2019.1570984.</w:t>
      </w:r>
    </w:p>
    <w:p w14:paraId="2370F5C1" w14:textId="204EDB5F" w:rsidR="00D623B1" w:rsidRPr="00F22A75" w:rsidRDefault="00D623B1" w:rsidP="00F22A75">
      <w:pPr>
        <w:pStyle w:val="EndNoteBibliography"/>
        <w:spacing w:line="480" w:lineRule="auto"/>
        <w:rPr>
          <w:rFonts w:ascii="Times New Roman" w:hAnsi="Times New Roman" w:cs="Times New Roman"/>
          <w:noProof/>
        </w:rPr>
      </w:pPr>
      <w:r w:rsidRPr="00F22A75">
        <w:rPr>
          <w:rFonts w:ascii="Times New Roman" w:hAnsi="Times New Roman" w:cs="Times New Roman"/>
          <w:noProof/>
        </w:rPr>
        <w:t xml:space="preserve">[70] A. SERIZAWA, “Theoretical prediction of maximum heat flux in power transients,” International journal of heat and mass transfer, 26, 6, (1983); </w:t>
      </w:r>
      <w:hyperlink r:id="rId115" w:history="1">
        <w:r w:rsidRPr="00F22A75">
          <w:rPr>
            <w:rStyle w:val="Hyperlink"/>
            <w:rFonts w:ascii="Times New Roman" w:hAnsi="Times New Roman" w:cs="Times New Roman"/>
            <w:noProof/>
          </w:rPr>
          <w:t>https://doi.org/10.1016/S0017-9310(83)80116-1</w:t>
        </w:r>
      </w:hyperlink>
      <w:r w:rsidRPr="00F22A75">
        <w:rPr>
          <w:rFonts w:ascii="Times New Roman" w:hAnsi="Times New Roman" w:cs="Times New Roman"/>
          <w:noProof/>
        </w:rPr>
        <w:t>.</w:t>
      </w:r>
    </w:p>
    <w:p w14:paraId="2DE2EAB2" w14:textId="27FE8FEF" w:rsidR="00D623B1" w:rsidRPr="00F22A75" w:rsidRDefault="00D623B1" w:rsidP="00F22A75">
      <w:pPr>
        <w:pStyle w:val="EndNoteBibliography"/>
        <w:spacing w:line="480" w:lineRule="auto"/>
        <w:rPr>
          <w:rFonts w:ascii="Times New Roman" w:hAnsi="Times New Roman" w:cs="Times New Roman"/>
          <w:noProof/>
        </w:rPr>
      </w:pPr>
      <w:r w:rsidRPr="00F22A75">
        <w:rPr>
          <w:rFonts w:ascii="Times New Roman" w:hAnsi="Times New Roman" w:cs="Times New Roman"/>
          <w:noProof/>
        </w:rPr>
        <w:lastRenderedPageBreak/>
        <w:t xml:space="preserve">[71] S. H. CHANG, K. W. LEE and D. C. GROENEVELD, “Transient-Effects modeling of critical heat flux,” Nuclear Engineering and Design, 113, 1, (1989); </w:t>
      </w:r>
      <w:hyperlink r:id="rId116" w:history="1">
        <w:r w:rsidRPr="00F22A75">
          <w:rPr>
            <w:rStyle w:val="Hyperlink"/>
            <w:rFonts w:ascii="Times New Roman" w:hAnsi="Times New Roman" w:cs="Times New Roman"/>
            <w:noProof/>
          </w:rPr>
          <w:t>https://doi.org/10.1016/0029-5493(89)90295-1</w:t>
        </w:r>
      </w:hyperlink>
      <w:r w:rsidRPr="00F22A75">
        <w:rPr>
          <w:rFonts w:ascii="Times New Roman" w:hAnsi="Times New Roman" w:cs="Times New Roman"/>
          <w:noProof/>
        </w:rPr>
        <w:t>.</w:t>
      </w:r>
    </w:p>
    <w:p w14:paraId="35E748A0" w14:textId="3D5634DF" w:rsidR="00D623B1" w:rsidRPr="00F22A75" w:rsidRDefault="00D623B1" w:rsidP="00F22A75">
      <w:pPr>
        <w:pStyle w:val="EndNoteBibliography"/>
        <w:spacing w:line="480" w:lineRule="auto"/>
        <w:rPr>
          <w:rFonts w:ascii="Times New Roman" w:hAnsi="Times New Roman" w:cs="Times New Roman"/>
          <w:noProof/>
        </w:rPr>
      </w:pPr>
      <w:r w:rsidRPr="00F22A75">
        <w:rPr>
          <w:rFonts w:ascii="Times New Roman" w:hAnsi="Times New Roman" w:cs="Times New Roman"/>
          <w:noProof/>
        </w:rPr>
        <w:t xml:space="preserve">[72] S. B. SEO, et al., “Sensitivity analysis of in-pile critical heat flux experiments in TREAT for characterization of RIA power-transient effects,” Annals of Nuclear Energy, 161, (2021); </w:t>
      </w:r>
      <w:hyperlink r:id="rId117" w:history="1">
        <w:r w:rsidRPr="00F22A75">
          <w:rPr>
            <w:rStyle w:val="Hyperlink"/>
            <w:rFonts w:ascii="Times New Roman" w:hAnsi="Times New Roman" w:cs="Times New Roman"/>
            <w:noProof/>
          </w:rPr>
          <w:t>https://doi.org/10.1016/j.anucene.2021.108448</w:t>
        </w:r>
      </w:hyperlink>
      <w:r w:rsidRPr="00F22A75">
        <w:rPr>
          <w:rFonts w:ascii="Times New Roman" w:hAnsi="Times New Roman" w:cs="Times New Roman"/>
          <w:noProof/>
        </w:rPr>
        <w:t>.</w:t>
      </w:r>
    </w:p>
    <w:p w14:paraId="600EF552" w14:textId="419841F1" w:rsidR="00D623B1" w:rsidRPr="00F22A75" w:rsidRDefault="00D623B1" w:rsidP="00F22A75">
      <w:pPr>
        <w:pStyle w:val="EndNoteBibliography"/>
        <w:spacing w:line="480" w:lineRule="auto"/>
        <w:rPr>
          <w:rFonts w:ascii="Times New Roman" w:hAnsi="Times New Roman" w:cs="Times New Roman"/>
          <w:noProof/>
        </w:rPr>
      </w:pPr>
      <w:r w:rsidRPr="00F22A75">
        <w:rPr>
          <w:rFonts w:ascii="Times New Roman" w:hAnsi="Times New Roman" w:cs="Times New Roman"/>
          <w:noProof/>
        </w:rPr>
        <w:t xml:space="preserve">[73] S. K. LEE and N. R. BROWN, “Flow boiling transient critical heat flux tests with stainless steel and FeCrAl: Transient correlation implementation, model calibration, and sensitivity analysis,” International journal of heat and mass transfer, 179, (2021); </w:t>
      </w:r>
      <w:hyperlink r:id="rId118" w:history="1">
        <w:r w:rsidRPr="00F22A75">
          <w:rPr>
            <w:rStyle w:val="Hyperlink"/>
            <w:rFonts w:ascii="Times New Roman" w:hAnsi="Times New Roman" w:cs="Times New Roman"/>
            <w:noProof/>
          </w:rPr>
          <w:t>https://doi.org/10.1016/j.ijheatmasstransfer.2021.121730</w:t>
        </w:r>
      </w:hyperlink>
      <w:r w:rsidRPr="00F22A75">
        <w:rPr>
          <w:rFonts w:ascii="Times New Roman" w:hAnsi="Times New Roman" w:cs="Times New Roman"/>
          <w:noProof/>
        </w:rPr>
        <w:t>.</w:t>
      </w:r>
    </w:p>
    <w:p w14:paraId="7439D691" w14:textId="6027B818" w:rsidR="00D623B1" w:rsidRPr="00F22A75" w:rsidRDefault="00D623B1" w:rsidP="00F22A75">
      <w:pPr>
        <w:pStyle w:val="EndNoteBibliography"/>
        <w:spacing w:line="480" w:lineRule="auto"/>
        <w:rPr>
          <w:rFonts w:ascii="Times New Roman" w:hAnsi="Times New Roman" w:cs="Times New Roman"/>
          <w:noProof/>
        </w:rPr>
      </w:pPr>
      <w:r w:rsidRPr="00F22A75">
        <w:rPr>
          <w:rFonts w:ascii="Times New Roman" w:hAnsi="Times New Roman" w:cs="Times New Roman"/>
          <w:noProof/>
        </w:rPr>
        <w:t xml:space="preserve">[74] F. TACHIBANA, M. AKIYAMA and H. KAWAMURA, “Non-Hydrodynamic Aspects of Pool Boiling Burnout,” Journal of Nuclear Science and Technology, 4, 3, (1967); </w:t>
      </w:r>
      <w:hyperlink r:id="rId119" w:history="1">
        <w:r w:rsidRPr="00F22A75">
          <w:rPr>
            <w:rStyle w:val="Hyperlink"/>
            <w:rFonts w:ascii="Times New Roman" w:hAnsi="Times New Roman" w:cs="Times New Roman"/>
            <w:noProof/>
          </w:rPr>
          <w:t>https://doi.org/10.1080/18811248.1967.9732708</w:t>
        </w:r>
      </w:hyperlink>
      <w:r w:rsidRPr="00F22A75">
        <w:rPr>
          <w:rFonts w:ascii="Times New Roman" w:hAnsi="Times New Roman" w:cs="Times New Roman"/>
          <w:noProof/>
        </w:rPr>
        <w:t>.</w:t>
      </w:r>
    </w:p>
    <w:p w14:paraId="30CD74CD" w14:textId="33B2B110" w:rsidR="00D623B1" w:rsidRPr="00F22A75" w:rsidRDefault="00D623B1" w:rsidP="00F22A75">
      <w:pPr>
        <w:pStyle w:val="EndNoteBibliography"/>
        <w:spacing w:line="480" w:lineRule="auto"/>
        <w:rPr>
          <w:rFonts w:ascii="Times New Roman" w:hAnsi="Times New Roman" w:cs="Times New Roman"/>
          <w:noProof/>
        </w:rPr>
      </w:pPr>
      <w:r w:rsidRPr="00F22A75">
        <w:rPr>
          <w:rFonts w:ascii="Times New Roman" w:hAnsi="Times New Roman" w:cs="Times New Roman"/>
          <w:noProof/>
        </w:rPr>
        <w:t xml:space="preserve">[75] C. UNAL, V. DAW and R. A. NELSON, “Unifying the Controlling Mechanisms for the Critical Heat Flux and Quenching: The Ability of Liquid to Contact the Hot Surface,” Journal of Heat Transfer, 114, 4, (1992); </w:t>
      </w:r>
      <w:hyperlink r:id="rId120" w:history="1">
        <w:r w:rsidRPr="00F22A75">
          <w:rPr>
            <w:rStyle w:val="Hyperlink"/>
            <w:rFonts w:ascii="Times New Roman" w:hAnsi="Times New Roman" w:cs="Times New Roman"/>
            <w:noProof/>
          </w:rPr>
          <w:t>https://doi.org/10.1115/1.2911909</w:t>
        </w:r>
      </w:hyperlink>
      <w:r w:rsidRPr="00F22A75">
        <w:rPr>
          <w:rFonts w:ascii="Times New Roman" w:hAnsi="Times New Roman" w:cs="Times New Roman"/>
          <w:noProof/>
        </w:rPr>
        <w:t>.</w:t>
      </w:r>
    </w:p>
    <w:p w14:paraId="10C848B0" w14:textId="438427EB" w:rsidR="00D623B1" w:rsidRPr="00F22A75" w:rsidRDefault="00D623B1" w:rsidP="00F22A75">
      <w:pPr>
        <w:pStyle w:val="EndNoteBibliography"/>
        <w:spacing w:line="480" w:lineRule="auto"/>
        <w:rPr>
          <w:rFonts w:ascii="Times New Roman" w:hAnsi="Times New Roman" w:cs="Times New Roman"/>
          <w:noProof/>
        </w:rPr>
      </w:pPr>
      <w:r w:rsidRPr="00F22A75">
        <w:rPr>
          <w:rFonts w:ascii="Times New Roman" w:hAnsi="Times New Roman" w:cs="Times New Roman"/>
          <w:noProof/>
        </w:rPr>
        <w:t xml:space="preserve">[76] I. GOLOBIČ and A. E. BERGLES, “Effects of heater-side factors on the saturated pool boiling critical heat flux,” Experimental Thermal and Fluid Science, 15, 1, (1997); </w:t>
      </w:r>
      <w:hyperlink r:id="rId121" w:history="1">
        <w:r w:rsidRPr="00F22A75">
          <w:rPr>
            <w:rStyle w:val="Hyperlink"/>
            <w:rFonts w:ascii="Times New Roman" w:hAnsi="Times New Roman" w:cs="Times New Roman"/>
            <w:noProof/>
          </w:rPr>
          <w:t>https://doi.org/10.1016/S0894-1777(96)00170-7</w:t>
        </w:r>
      </w:hyperlink>
      <w:r w:rsidRPr="00F22A75">
        <w:rPr>
          <w:rFonts w:ascii="Times New Roman" w:hAnsi="Times New Roman" w:cs="Times New Roman"/>
          <w:noProof/>
        </w:rPr>
        <w:t>.</w:t>
      </w:r>
    </w:p>
    <w:p w14:paraId="118B2CF3" w14:textId="2D34F95A" w:rsidR="00D623B1" w:rsidRPr="00F22A75" w:rsidRDefault="00D623B1" w:rsidP="00F22A75">
      <w:pPr>
        <w:pStyle w:val="EndNoteBibliography"/>
        <w:spacing w:line="480" w:lineRule="auto"/>
        <w:rPr>
          <w:rFonts w:ascii="Times New Roman" w:hAnsi="Times New Roman" w:cs="Times New Roman"/>
          <w:noProof/>
        </w:rPr>
      </w:pPr>
      <w:r w:rsidRPr="00F22A75">
        <w:rPr>
          <w:rFonts w:ascii="Times New Roman" w:hAnsi="Times New Roman" w:cs="Times New Roman"/>
          <w:noProof/>
        </w:rPr>
        <w:lastRenderedPageBreak/>
        <w:t xml:space="preserve">[77] P. A. RAGHUPATHI and S. G. KANDLIKAR, “Effect of Thermophysical Properties of the Heater Substrate on Critical Heat Flux in Pool Boiling,” Journal of Heat Transfer, 139, 11, (2017); </w:t>
      </w:r>
      <w:hyperlink r:id="rId122" w:history="1">
        <w:r w:rsidRPr="00F22A75">
          <w:rPr>
            <w:rStyle w:val="Hyperlink"/>
            <w:rFonts w:ascii="Times New Roman" w:hAnsi="Times New Roman" w:cs="Times New Roman"/>
            <w:noProof/>
          </w:rPr>
          <w:t>https://doi.org/10.1115/1.4036653</w:t>
        </w:r>
      </w:hyperlink>
      <w:r w:rsidRPr="00F22A75">
        <w:rPr>
          <w:rFonts w:ascii="Times New Roman" w:hAnsi="Times New Roman" w:cs="Times New Roman"/>
          <w:noProof/>
        </w:rPr>
        <w:t>.</w:t>
      </w:r>
    </w:p>
    <w:p w14:paraId="5413BC95" w14:textId="7F847CDF" w:rsidR="00D623B1" w:rsidRPr="00F22A75" w:rsidRDefault="00D623B1" w:rsidP="00F22A75">
      <w:pPr>
        <w:pStyle w:val="EndNoteBibliography"/>
        <w:spacing w:line="480" w:lineRule="auto"/>
        <w:rPr>
          <w:rFonts w:ascii="Times New Roman" w:hAnsi="Times New Roman" w:cs="Times New Roman"/>
          <w:noProof/>
        </w:rPr>
      </w:pPr>
      <w:r w:rsidRPr="00F22A75">
        <w:rPr>
          <w:rFonts w:ascii="Times New Roman" w:hAnsi="Times New Roman" w:cs="Times New Roman"/>
          <w:noProof/>
        </w:rPr>
        <w:t xml:space="preserve">[78] C. STASZEL and A. L. YARIN, “Exponential vaporization fronts and critical heat flux in pool boiling,” International Communications in Heat and Mass Transfer, 98, (2018); </w:t>
      </w:r>
      <w:hyperlink r:id="rId123" w:history="1">
        <w:r w:rsidRPr="00F22A75">
          <w:rPr>
            <w:rStyle w:val="Hyperlink"/>
            <w:rFonts w:ascii="Times New Roman" w:hAnsi="Times New Roman" w:cs="Times New Roman"/>
            <w:noProof/>
          </w:rPr>
          <w:t>https://doi.org/10.1016/j.icheatmasstransfer.2018.08.019</w:t>
        </w:r>
      </w:hyperlink>
      <w:r w:rsidRPr="00F22A75">
        <w:rPr>
          <w:rFonts w:ascii="Times New Roman" w:hAnsi="Times New Roman" w:cs="Times New Roman"/>
          <w:noProof/>
        </w:rPr>
        <w:t>.</w:t>
      </w:r>
    </w:p>
    <w:p w14:paraId="622EAE67" w14:textId="77777777" w:rsidR="00D623B1" w:rsidRPr="00F22A75" w:rsidRDefault="00D623B1" w:rsidP="00F22A75">
      <w:pPr>
        <w:pStyle w:val="EndNoteBibliography"/>
        <w:spacing w:line="480" w:lineRule="auto"/>
        <w:rPr>
          <w:rFonts w:ascii="Times New Roman" w:hAnsi="Times New Roman" w:cs="Times New Roman"/>
          <w:noProof/>
        </w:rPr>
      </w:pPr>
      <w:r w:rsidRPr="00F22A75">
        <w:rPr>
          <w:rFonts w:ascii="Times New Roman" w:hAnsi="Times New Roman" w:cs="Times New Roman"/>
          <w:noProof/>
        </w:rPr>
        <w:t>[79] J. R. SAYLOR, “An experimental study of the size effect in pool boiling critical heat flux on square surfaces,” Thesis, University of Minnesota, (n/a 1989).</w:t>
      </w:r>
    </w:p>
    <w:p w14:paraId="1BEA39BB" w14:textId="4CF64AC6" w:rsidR="00D623B1" w:rsidRPr="00F22A75" w:rsidRDefault="00D623B1" w:rsidP="00F22A75">
      <w:pPr>
        <w:pStyle w:val="EndNoteBibliography"/>
        <w:spacing w:line="480" w:lineRule="auto"/>
        <w:rPr>
          <w:rFonts w:ascii="Times New Roman" w:hAnsi="Times New Roman" w:cs="Times New Roman"/>
          <w:noProof/>
        </w:rPr>
      </w:pPr>
      <w:r w:rsidRPr="00F22A75">
        <w:rPr>
          <w:rFonts w:ascii="Times New Roman" w:hAnsi="Times New Roman" w:cs="Times New Roman"/>
          <w:noProof/>
        </w:rPr>
        <w:t xml:space="preserve">[80] M. ARIK and A. BAR-COHEN, “Effusivity-based correlation of surface property effects in pool boiling CHF of dielectric liquids,” International journal of heat and mass transfer, 46, 20, (2003); </w:t>
      </w:r>
      <w:hyperlink r:id="rId124" w:history="1">
        <w:r w:rsidRPr="00F22A75">
          <w:rPr>
            <w:rStyle w:val="Hyperlink"/>
            <w:rFonts w:ascii="Times New Roman" w:hAnsi="Times New Roman" w:cs="Times New Roman"/>
            <w:noProof/>
          </w:rPr>
          <w:t>https://doi.org/10.1016/S0017-9310(03)00215-1</w:t>
        </w:r>
      </w:hyperlink>
      <w:r w:rsidRPr="00F22A75">
        <w:rPr>
          <w:rFonts w:ascii="Times New Roman" w:hAnsi="Times New Roman" w:cs="Times New Roman"/>
          <w:noProof/>
        </w:rPr>
        <w:t>.</w:t>
      </w:r>
    </w:p>
    <w:p w14:paraId="71B0AD59" w14:textId="1C8C76A3" w:rsidR="00D623B1" w:rsidRPr="00F22A75" w:rsidRDefault="00D623B1" w:rsidP="00F22A75">
      <w:pPr>
        <w:pStyle w:val="EndNoteBibliography"/>
        <w:spacing w:line="480" w:lineRule="auto"/>
        <w:rPr>
          <w:rFonts w:ascii="Times New Roman" w:hAnsi="Times New Roman" w:cs="Times New Roman"/>
          <w:noProof/>
        </w:rPr>
      </w:pPr>
      <w:r w:rsidRPr="00F22A75">
        <w:rPr>
          <w:rFonts w:ascii="Times New Roman" w:hAnsi="Times New Roman" w:cs="Times New Roman"/>
          <w:noProof/>
        </w:rPr>
        <w:t xml:space="preserve">[81] M. H. LEE, H. HEO and I. C. BANG, “Effect of thermal activity on critical heat flux enhancement in downward-hemispherical surface using graphene oxide coating,” International journal of heat and mass transfer, 127, (2018); </w:t>
      </w:r>
      <w:hyperlink r:id="rId125" w:history="1">
        <w:r w:rsidRPr="00F22A75">
          <w:rPr>
            <w:rStyle w:val="Hyperlink"/>
            <w:rFonts w:ascii="Times New Roman" w:hAnsi="Times New Roman" w:cs="Times New Roman"/>
            <w:noProof/>
          </w:rPr>
          <w:t>https://doi.org/10.1016/j.ijheatmasstransfer.2018.07.151</w:t>
        </w:r>
      </w:hyperlink>
      <w:r w:rsidRPr="00F22A75">
        <w:rPr>
          <w:rFonts w:ascii="Times New Roman" w:hAnsi="Times New Roman" w:cs="Times New Roman"/>
          <w:noProof/>
        </w:rPr>
        <w:t>.</w:t>
      </w:r>
    </w:p>
    <w:p w14:paraId="6E8D7647" w14:textId="36928C45" w:rsidR="00D623B1" w:rsidRPr="00F22A75" w:rsidRDefault="00D623B1" w:rsidP="00F22A75">
      <w:pPr>
        <w:pStyle w:val="EndNoteBibliography"/>
        <w:spacing w:line="480" w:lineRule="auto"/>
        <w:rPr>
          <w:rFonts w:ascii="Times New Roman" w:hAnsi="Times New Roman" w:cs="Times New Roman"/>
          <w:noProof/>
        </w:rPr>
      </w:pPr>
      <w:r w:rsidRPr="00F22A75">
        <w:rPr>
          <w:rFonts w:ascii="Times New Roman" w:hAnsi="Times New Roman" w:cs="Times New Roman"/>
          <w:noProof/>
        </w:rPr>
        <w:t xml:space="preserve">[82] J. Y. HO, K. K. WONG and K. C. LEONG, “Saturated pool boiling of FC-72 from enhanced surfaces produced by Selective Laser Melting,” International journal of heat and mass transfer, 99, (2016); </w:t>
      </w:r>
      <w:hyperlink r:id="rId126" w:history="1">
        <w:r w:rsidRPr="00F22A75">
          <w:rPr>
            <w:rStyle w:val="Hyperlink"/>
            <w:rFonts w:ascii="Times New Roman" w:hAnsi="Times New Roman" w:cs="Times New Roman"/>
            <w:noProof/>
          </w:rPr>
          <w:t>https://doi.org/10.1016/j.ijheatmasstransfer.2016.03.073</w:t>
        </w:r>
      </w:hyperlink>
      <w:r w:rsidRPr="00F22A75">
        <w:rPr>
          <w:rFonts w:ascii="Times New Roman" w:hAnsi="Times New Roman" w:cs="Times New Roman"/>
          <w:noProof/>
        </w:rPr>
        <w:t>.</w:t>
      </w:r>
    </w:p>
    <w:p w14:paraId="4CD4F67D" w14:textId="3AE7C8D8" w:rsidR="00D623B1" w:rsidRPr="00F22A75" w:rsidRDefault="00D623B1" w:rsidP="00F22A75">
      <w:pPr>
        <w:pStyle w:val="EndNoteBibliography"/>
        <w:spacing w:line="480" w:lineRule="auto"/>
        <w:rPr>
          <w:rFonts w:ascii="Times New Roman" w:hAnsi="Times New Roman" w:cs="Times New Roman"/>
          <w:noProof/>
        </w:rPr>
      </w:pPr>
      <w:r w:rsidRPr="00F22A75">
        <w:rPr>
          <w:rFonts w:ascii="Times New Roman" w:hAnsi="Times New Roman" w:cs="Times New Roman"/>
          <w:noProof/>
        </w:rPr>
        <w:t xml:space="preserve">[83] K. SVANHOLM, et al., “Halden reactors IFA-511.2 and IFA-54x: Experimental series under adverse core cooling conditions,” Experimental Thermal and Fluid Science, 11, 1, (1995); </w:t>
      </w:r>
      <w:hyperlink r:id="rId127" w:history="1">
        <w:r w:rsidRPr="00F22A75">
          <w:rPr>
            <w:rStyle w:val="Hyperlink"/>
            <w:rFonts w:ascii="Times New Roman" w:hAnsi="Times New Roman" w:cs="Times New Roman"/>
            <w:noProof/>
          </w:rPr>
          <w:t>https://doi.org/10.1016/0894-1777(94)00138-X</w:t>
        </w:r>
      </w:hyperlink>
      <w:r w:rsidRPr="00F22A75">
        <w:rPr>
          <w:rFonts w:ascii="Times New Roman" w:hAnsi="Times New Roman" w:cs="Times New Roman"/>
          <w:noProof/>
        </w:rPr>
        <w:t>.</w:t>
      </w:r>
    </w:p>
    <w:p w14:paraId="3F1B91EB" w14:textId="77777777" w:rsidR="00D623B1" w:rsidRPr="00F22A75" w:rsidRDefault="00D623B1" w:rsidP="00F22A75">
      <w:pPr>
        <w:pStyle w:val="EndNoteBibliography"/>
        <w:spacing w:line="480" w:lineRule="auto"/>
        <w:rPr>
          <w:rFonts w:ascii="Times New Roman" w:hAnsi="Times New Roman" w:cs="Times New Roman"/>
          <w:noProof/>
        </w:rPr>
      </w:pPr>
      <w:r w:rsidRPr="00F22A75">
        <w:rPr>
          <w:rFonts w:ascii="Times New Roman" w:hAnsi="Times New Roman" w:cs="Times New Roman"/>
          <w:noProof/>
        </w:rPr>
        <w:lastRenderedPageBreak/>
        <w:t>[84] Y. IMAI, et al., “Radiation Induced Surface Activity Phenomenon: 1st Report — Surface Wettability on Metal Oxides,” presented at 10th International Conference on Nuclear Engineering, March 4, 2009.</w:t>
      </w:r>
    </w:p>
    <w:p w14:paraId="7DBCD38D" w14:textId="77777777" w:rsidR="00D623B1" w:rsidRPr="00F22A75" w:rsidRDefault="00D623B1" w:rsidP="00F22A75">
      <w:pPr>
        <w:pStyle w:val="EndNoteBibliography"/>
        <w:spacing w:line="480" w:lineRule="auto"/>
        <w:rPr>
          <w:rFonts w:ascii="Times New Roman" w:hAnsi="Times New Roman" w:cs="Times New Roman"/>
          <w:noProof/>
        </w:rPr>
      </w:pPr>
      <w:r w:rsidRPr="00F22A75">
        <w:rPr>
          <w:rFonts w:ascii="Times New Roman" w:hAnsi="Times New Roman" w:cs="Times New Roman"/>
          <w:noProof/>
        </w:rPr>
        <w:t>[85] T. KOGA, et al., “Radiation Induced Surface Activity Phenomenon: 2nd Report — Radiation Induced Boiling Enhancement,” presented at 10th International Conference on Nuclear Engineering, March 4, 2009.</w:t>
      </w:r>
    </w:p>
    <w:p w14:paraId="404F578F" w14:textId="160DF836" w:rsidR="00D623B1" w:rsidRPr="00F22A75" w:rsidRDefault="00D623B1" w:rsidP="00F22A75">
      <w:pPr>
        <w:pStyle w:val="EndNoteBibliography"/>
        <w:spacing w:line="480" w:lineRule="auto"/>
        <w:rPr>
          <w:rFonts w:ascii="Times New Roman" w:hAnsi="Times New Roman" w:cs="Times New Roman"/>
          <w:noProof/>
        </w:rPr>
      </w:pPr>
      <w:r w:rsidRPr="00F22A75">
        <w:rPr>
          <w:rFonts w:ascii="Times New Roman" w:hAnsi="Times New Roman" w:cs="Times New Roman"/>
          <w:noProof/>
        </w:rPr>
        <w:t xml:space="preserve">[86] T. TAKAMASA, et al., “Radiation induced surface activation on Leidenfrost and quenching phenomena,” Experimental Thermal and Fluid Science, 29, 3, (2005); </w:t>
      </w:r>
      <w:hyperlink r:id="rId128" w:history="1">
        <w:r w:rsidRPr="00F22A75">
          <w:rPr>
            <w:rStyle w:val="Hyperlink"/>
            <w:rFonts w:ascii="Times New Roman" w:hAnsi="Times New Roman" w:cs="Times New Roman"/>
            <w:noProof/>
          </w:rPr>
          <w:t>https://doi.org/10.1016/j.expthermflusci.2004.05.014</w:t>
        </w:r>
      </w:hyperlink>
      <w:r w:rsidRPr="00F22A75">
        <w:rPr>
          <w:rFonts w:ascii="Times New Roman" w:hAnsi="Times New Roman" w:cs="Times New Roman"/>
          <w:noProof/>
        </w:rPr>
        <w:t>.</w:t>
      </w:r>
    </w:p>
    <w:p w14:paraId="0EB72841" w14:textId="53DE7541" w:rsidR="00D623B1" w:rsidRPr="00F22A75" w:rsidRDefault="00D623B1" w:rsidP="00F22A75">
      <w:pPr>
        <w:pStyle w:val="EndNoteBibliography"/>
        <w:spacing w:line="480" w:lineRule="auto"/>
        <w:rPr>
          <w:rFonts w:ascii="Times New Roman" w:hAnsi="Times New Roman" w:cs="Times New Roman"/>
          <w:noProof/>
        </w:rPr>
      </w:pPr>
      <w:r w:rsidRPr="00F22A75">
        <w:rPr>
          <w:rFonts w:ascii="Times New Roman" w:hAnsi="Times New Roman" w:cs="Times New Roman"/>
          <w:noProof/>
        </w:rPr>
        <w:t xml:space="preserve">[87] A. SESHADRI, B. PHILLIPS and K. SHIRVAN, “Towards understanding the effects of irradiation on quenching heat transfer,” International journal of heat and mass transfer, 127, (2018); </w:t>
      </w:r>
      <w:hyperlink r:id="rId129" w:history="1">
        <w:r w:rsidRPr="00F22A75">
          <w:rPr>
            <w:rStyle w:val="Hyperlink"/>
            <w:rFonts w:ascii="Times New Roman" w:hAnsi="Times New Roman" w:cs="Times New Roman"/>
            <w:noProof/>
          </w:rPr>
          <w:t>https://doi.org/10.1016/j.ijheatmasstransfer.2018.07.144</w:t>
        </w:r>
      </w:hyperlink>
      <w:r w:rsidRPr="00F22A75">
        <w:rPr>
          <w:rFonts w:ascii="Times New Roman" w:hAnsi="Times New Roman" w:cs="Times New Roman"/>
          <w:noProof/>
        </w:rPr>
        <w:t>.</w:t>
      </w:r>
    </w:p>
    <w:p w14:paraId="73A699C9" w14:textId="77777777" w:rsidR="00D623B1" w:rsidRPr="00F22A75" w:rsidRDefault="00D623B1" w:rsidP="00F22A75">
      <w:pPr>
        <w:pStyle w:val="EndNoteBibliography"/>
        <w:spacing w:line="480" w:lineRule="auto"/>
        <w:rPr>
          <w:rFonts w:ascii="Times New Roman" w:hAnsi="Times New Roman" w:cs="Times New Roman"/>
          <w:noProof/>
        </w:rPr>
      </w:pPr>
      <w:r w:rsidRPr="00F22A75">
        <w:rPr>
          <w:rFonts w:ascii="Times New Roman" w:hAnsi="Times New Roman" w:cs="Times New Roman"/>
          <w:noProof/>
        </w:rPr>
        <w:t>[88] T. OTSUKA, et al., “On the wettability change of oxidized and gamma irradiated Zircaloy,” presented at Proc. LWR Fuel Performance Meeting, Kyoto, Japan, 2005.</w:t>
      </w:r>
    </w:p>
    <w:p w14:paraId="5392C6A9" w14:textId="77777777" w:rsidR="00D623B1" w:rsidRPr="00F22A75" w:rsidRDefault="00D623B1" w:rsidP="00F22A75">
      <w:pPr>
        <w:pStyle w:val="EndNoteBibliography"/>
        <w:spacing w:line="480" w:lineRule="auto"/>
        <w:rPr>
          <w:rFonts w:ascii="Times New Roman" w:hAnsi="Times New Roman" w:cs="Times New Roman"/>
          <w:noProof/>
        </w:rPr>
      </w:pPr>
      <w:r w:rsidRPr="00F22A75">
        <w:rPr>
          <w:rFonts w:ascii="Times New Roman" w:hAnsi="Times New Roman" w:cs="Times New Roman"/>
          <w:noProof/>
        </w:rPr>
        <w:t>[89] K. OKAMOTO, et al., “Experimental Study on Radiation Induced Boiling Enhancement for Stainless Steel Plate,” presented at ICONE-10, Arlington, Virginia, April 14-18, 2002.</w:t>
      </w:r>
    </w:p>
    <w:p w14:paraId="78FCF5A1" w14:textId="77777777" w:rsidR="00D623B1" w:rsidRPr="00F22A75" w:rsidRDefault="00D623B1" w:rsidP="00F22A75">
      <w:pPr>
        <w:pStyle w:val="EndNoteBibliography"/>
        <w:spacing w:line="480" w:lineRule="auto"/>
        <w:rPr>
          <w:rFonts w:ascii="Times New Roman" w:hAnsi="Times New Roman" w:cs="Times New Roman"/>
          <w:noProof/>
        </w:rPr>
      </w:pPr>
      <w:r w:rsidRPr="00F22A75">
        <w:rPr>
          <w:rFonts w:ascii="Times New Roman" w:hAnsi="Times New Roman" w:cs="Times New Roman"/>
          <w:noProof/>
        </w:rPr>
        <w:t>[90] V. GEORGENTHUM, N. TREGOURES and Y. UDAGAWA, “Synthesis and interpretation of fuel cladding temperature evolution under reactivity initiated accident in NSRR reactor,” presented at Proceedings of 2014 water reactor fuel performance meeting (WRFPM 2014), Sendai, Miyagi, Japan, Sept 14-17, 2014.</w:t>
      </w:r>
    </w:p>
    <w:p w14:paraId="182D8AA5" w14:textId="6E915F9A" w:rsidR="00D623B1" w:rsidRPr="00F22A75" w:rsidRDefault="00D623B1" w:rsidP="00F22A75">
      <w:pPr>
        <w:pStyle w:val="EndNoteBibliography"/>
        <w:spacing w:line="480" w:lineRule="auto"/>
        <w:rPr>
          <w:rFonts w:ascii="Times New Roman" w:hAnsi="Times New Roman" w:cs="Times New Roman"/>
          <w:noProof/>
        </w:rPr>
      </w:pPr>
      <w:r w:rsidRPr="00F22A75">
        <w:rPr>
          <w:rFonts w:ascii="Times New Roman" w:hAnsi="Times New Roman" w:cs="Times New Roman"/>
          <w:noProof/>
        </w:rPr>
        <w:lastRenderedPageBreak/>
        <w:t xml:space="preserve">[91] H. GONG, et al., “Critical heat flux enhancement in downward-facing pool boiling with radiation induced surface activation effect,” International journal of heat and mass transfer, 109, (2017); </w:t>
      </w:r>
      <w:hyperlink r:id="rId130" w:history="1">
        <w:r w:rsidRPr="00F22A75">
          <w:rPr>
            <w:rStyle w:val="Hyperlink"/>
            <w:rFonts w:ascii="Times New Roman" w:hAnsi="Times New Roman" w:cs="Times New Roman"/>
            <w:noProof/>
          </w:rPr>
          <w:t>https://doi.org/10.1016/j.ijheatmasstransfer.2017.01.112</w:t>
        </w:r>
      </w:hyperlink>
      <w:r w:rsidRPr="00F22A75">
        <w:rPr>
          <w:rFonts w:ascii="Times New Roman" w:hAnsi="Times New Roman" w:cs="Times New Roman"/>
          <w:noProof/>
        </w:rPr>
        <w:t>.</w:t>
      </w:r>
    </w:p>
    <w:p w14:paraId="6FFB531A" w14:textId="6C1D9173" w:rsidR="00D623B1" w:rsidRPr="00F22A75" w:rsidRDefault="00D623B1" w:rsidP="00F22A75">
      <w:pPr>
        <w:pStyle w:val="EndNoteBibliography"/>
        <w:spacing w:line="480" w:lineRule="auto"/>
        <w:rPr>
          <w:rFonts w:ascii="Times New Roman" w:hAnsi="Times New Roman" w:cs="Times New Roman"/>
          <w:noProof/>
        </w:rPr>
      </w:pPr>
      <w:r w:rsidRPr="00F22A75">
        <w:rPr>
          <w:rFonts w:ascii="Times New Roman" w:hAnsi="Times New Roman" w:cs="Times New Roman"/>
          <w:noProof/>
        </w:rPr>
        <w:t xml:space="preserve">[92] L. WANG, et al., “Influence of surface wettability increase induced by Gamma-ray irradiation on critical heat flux in downward-facing flow boiling,” Annals of Nuclear Energy, 142, (2020); </w:t>
      </w:r>
      <w:hyperlink r:id="rId131" w:history="1">
        <w:r w:rsidRPr="00F22A75">
          <w:rPr>
            <w:rStyle w:val="Hyperlink"/>
            <w:rFonts w:ascii="Times New Roman" w:hAnsi="Times New Roman" w:cs="Times New Roman"/>
            <w:noProof/>
          </w:rPr>
          <w:t>https://doi.org/10.1016/j.anucene.2020.107420</w:t>
        </w:r>
      </w:hyperlink>
      <w:r w:rsidRPr="00F22A75">
        <w:rPr>
          <w:rFonts w:ascii="Times New Roman" w:hAnsi="Times New Roman" w:cs="Times New Roman"/>
          <w:noProof/>
        </w:rPr>
        <w:t>.</w:t>
      </w:r>
    </w:p>
    <w:p w14:paraId="5607C377" w14:textId="57F99035" w:rsidR="00D623B1" w:rsidRPr="00F22A75" w:rsidRDefault="00D623B1" w:rsidP="00F22A75">
      <w:pPr>
        <w:pStyle w:val="EndNoteBibliography"/>
        <w:spacing w:line="480" w:lineRule="auto"/>
        <w:rPr>
          <w:rFonts w:ascii="Times New Roman" w:hAnsi="Times New Roman" w:cs="Times New Roman"/>
          <w:noProof/>
        </w:rPr>
      </w:pPr>
      <w:r w:rsidRPr="00F22A75">
        <w:rPr>
          <w:rFonts w:ascii="Times New Roman" w:hAnsi="Times New Roman" w:cs="Times New Roman"/>
          <w:noProof/>
        </w:rPr>
        <w:t xml:space="preserve">[93] D. C. GROENEVELD, S. C. CHENG and T. DOAN, “1986 AECL-UO Critical Heat Flux Lookup Table,” Heat Transfer Engineering, 7, 1-2, (1986); </w:t>
      </w:r>
      <w:hyperlink r:id="rId132" w:history="1">
        <w:r w:rsidRPr="00F22A75">
          <w:rPr>
            <w:rStyle w:val="Hyperlink"/>
            <w:rFonts w:ascii="Times New Roman" w:hAnsi="Times New Roman" w:cs="Times New Roman"/>
            <w:noProof/>
          </w:rPr>
          <w:t>https://doi.org/10.1080/01457638608939644</w:t>
        </w:r>
      </w:hyperlink>
      <w:r w:rsidRPr="00F22A75">
        <w:rPr>
          <w:rFonts w:ascii="Times New Roman" w:hAnsi="Times New Roman" w:cs="Times New Roman"/>
          <w:noProof/>
        </w:rPr>
        <w:t>.</w:t>
      </w:r>
    </w:p>
    <w:p w14:paraId="04D33CC0" w14:textId="74993F9F" w:rsidR="00D623B1" w:rsidRPr="00F22A75" w:rsidRDefault="00D623B1" w:rsidP="00F22A75">
      <w:pPr>
        <w:pStyle w:val="EndNoteBibliography"/>
        <w:spacing w:line="480" w:lineRule="auto"/>
        <w:rPr>
          <w:rFonts w:ascii="Times New Roman" w:hAnsi="Times New Roman" w:cs="Times New Roman"/>
          <w:noProof/>
        </w:rPr>
      </w:pPr>
      <w:r w:rsidRPr="00F22A75">
        <w:rPr>
          <w:rFonts w:ascii="Times New Roman" w:hAnsi="Times New Roman" w:cs="Times New Roman"/>
          <w:noProof/>
        </w:rPr>
        <w:t xml:space="preserve">[94] D. C. GROENEVELD, et al., “The 1995 look-up table for critical heat flux in tubes,” Nuclear Engineering and Design, 163, 1, (1996); </w:t>
      </w:r>
      <w:hyperlink r:id="rId133" w:history="1">
        <w:r w:rsidRPr="00F22A75">
          <w:rPr>
            <w:rStyle w:val="Hyperlink"/>
            <w:rFonts w:ascii="Times New Roman" w:hAnsi="Times New Roman" w:cs="Times New Roman"/>
            <w:noProof/>
          </w:rPr>
          <w:t>https://doi.org/10.1016/0029-5493(95)01154-4</w:t>
        </w:r>
      </w:hyperlink>
      <w:r w:rsidRPr="00F22A75">
        <w:rPr>
          <w:rFonts w:ascii="Times New Roman" w:hAnsi="Times New Roman" w:cs="Times New Roman"/>
          <w:noProof/>
        </w:rPr>
        <w:t>.</w:t>
      </w:r>
    </w:p>
    <w:p w14:paraId="20684915" w14:textId="77777777" w:rsidR="00D623B1" w:rsidRPr="00F22A75" w:rsidRDefault="00D623B1" w:rsidP="00F22A75">
      <w:pPr>
        <w:pStyle w:val="EndNoteBibliography"/>
        <w:spacing w:line="480" w:lineRule="auto"/>
        <w:rPr>
          <w:rFonts w:ascii="Times New Roman" w:hAnsi="Times New Roman" w:cs="Times New Roman"/>
          <w:noProof/>
        </w:rPr>
      </w:pPr>
      <w:r w:rsidRPr="00F22A75">
        <w:rPr>
          <w:rFonts w:ascii="Times New Roman" w:hAnsi="Times New Roman" w:cs="Times New Roman"/>
          <w:noProof/>
        </w:rPr>
        <w:t>[95] INL, RELAP5-3D Code Manual, INL/MIS-15-36723 Revision 4.4, Idaho National Laboratory, Idaho Falls, Idaho (2018).</w:t>
      </w:r>
    </w:p>
    <w:p w14:paraId="4B2A592A" w14:textId="77777777" w:rsidR="00D623B1" w:rsidRPr="00F22A75" w:rsidRDefault="00D623B1" w:rsidP="00F22A75">
      <w:pPr>
        <w:pStyle w:val="EndNoteBibliography"/>
        <w:spacing w:line="480" w:lineRule="auto"/>
        <w:rPr>
          <w:rFonts w:ascii="Times New Roman" w:hAnsi="Times New Roman" w:cs="Times New Roman"/>
          <w:noProof/>
        </w:rPr>
      </w:pPr>
      <w:r w:rsidRPr="00F22A75">
        <w:rPr>
          <w:rFonts w:ascii="Times New Roman" w:hAnsi="Times New Roman" w:cs="Times New Roman"/>
          <w:noProof/>
        </w:rPr>
        <w:t>[96] USNRC, TRACE V5.1220 THEORY MANUAL, Office of Nuclear Regulatory Research, Washington, DC (2018).</w:t>
      </w:r>
    </w:p>
    <w:p w14:paraId="78F9116C" w14:textId="77777777" w:rsidR="00D623B1" w:rsidRPr="00F22A75" w:rsidRDefault="00D623B1" w:rsidP="00F22A75">
      <w:pPr>
        <w:pStyle w:val="EndNoteBibliography"/>
        <w:spacing w:line="480" w:lineRule="auto"/>
        <w:rPr>
          <w:rFonts w:ascii="Times New Roman" w:hAnsi="Times New Roman" w:cs="Times New Roman"/>
          <w:noProof/>
        </w:rPr>
      </w:pPr>
      <w:r w:rsidRPr="00F22A75">
        <w:rPr>
          <w:rFonts w:ascii="Times New Roman" w:hAnsi="Times New Roman" w:cs="Times New Roman"/>
          <w:noProof/>
        </w:rPr>
        <w:t>[97] NEA, RIA Fuel Codes Benchmark, 1, 15, OECD Publishing, Paris (2013).</w:t>
      </w:r>
    </w:p>
    <w:p w14:paraId="1C46A76D" w14:textId="77777777" w:rsidR="00D623B1" w:rsidRPr="00F22A75" w:rsidRDefault="00D623B1" w:rsidP="00F22A75">
      <w:pPr>
        <w:pStyle w:val="EndNoteBibliography"/>
        <w:spacing w:line="480" w:lineRule="auto"/>
        <w:rPr>
          <w:rFonts w:ascii="Times New Roman" w:hAnsi="Times New Roman" w:cs="Times New Roman"/>
          <w:noProof/>
        </w:rPr>
      </w:pPr>
      <w:r w:rsidRPr="00F22A75">
        <w:rPr>
          <w:rFonts w:ascii="Times New Roman" w:hAnsi="Times New Roman" w:cs="Times New Roman"/>
          <w:noProof/>
        </w:rPr>
        <w:t>[98] NEA, Reactivity-initiated Accident Fuel-rod-code Benchmark Phase II: Uncertainty and Sensitivity Analyses, 2, 11, OECD Publishing, Paris (2017).</w:t>
      </w:r>
    </w:p>
    <w:p w14:paraId="3CEC2996" w14:textId="77777777" w:rsidR="00D623B1" w:rsidRPr="00F22A75" w:rsidRDefault="00D623B1" w:rsidP="00F22A75">
      <w:pPr>
        <w:pStyle w:val="EndNoteBibliography"/>
        <w:spacing w:line="480" w:lineRule="auto"/>
        <w:rPr>
          <w:rFonts w:ascii="Times New Roman" w:hAnsi="Times New Roman" w:cs="Times New Roman"/>
          <w:noProof/>
        </w:rPr>
      </w:pPr>
      <w:r w:rsidRPr="00F22A75">
        <w:rPr>
          <w:rFonts w:ascii="Times New Roman" w:hAnsi="Times New Roman" w:cs="Times New Roman"/>
          <w:noProof/>
        </w:rPr>
        <w:t>[99] D. LABRIER, A. WEISS and W. MARCUM, “Task 2.2 Summary for IRP-15-8761,” Oregon State University (December 2018).</w:t>
      </w:r>
    </w:p>
    <w:p w14:paraId="7D9F31F6" w14:textId="77777777" w:rsidR="00D623B1" w:rsidRPr="00F22A75" w:rsidRDefault="00D623B1" w:rsidP="00F22A75">
      <w:pPr>
        <w:pStyle w:val="EndNoteBibliography"/>
        <w:spacing w:line="480" w:lineRule="auto"/>
        <w:rPr>
          <w:rFonts w:ascii="Times New Roman" w:hAnsi="Times New Roman" w:cs="Times New Roman"/>
          <w:noProof/>
        </w:rPr>
      </w:pPr>
      <w:r w:rsidRPr="00F22A75">
        <w:rPr>
          <w:rFonts w:ascii="Times New Roman" w:hAnsi="Times New Roman" w:cs="Times New Roman"/>
          <w:noProof/>
        </w:rPr>
        <w:lastRenderedPageBreak/>
        <w:t xml:space="preserve">[100] W. MARCUM, “OSU-TRTL-991000-TECH-003,” (2018); </w:t>
      </w:r>
    </w:p>
    <w:p w14:paraId="646D9A25" w14:textId="77777777" w:rsidR="00D623B1" w:rsidRPr="00F22A75" w:rsidRDefault="00D623B1" w:rsidP="00F22A75">
      <w:pPr>
        <w:pStyle w:val="EndNoteBibliography"/>
        <w:spacing w:line="480" w:lineRule="auto"/>
        <w:rPr>
          <w:rFonts w:ascii="Times New Roman" w:hAnsi="Times New Roman" w:cs="Times New Roman"/>
          <w:noProof/>
        </w:rPr>
      </w:pPr>
      <w:r w:rsidRPr="00F22A75">
        <w:rPr>
          <w:rFonts w:ascii="Times New Roman" w:hAnsi="Times New Roman" w:cs="Times New Roman"/>
          <w:noProof/>
        </w:rPr>
        <w:t xml:space="preserve">[101] D. LABRIER, “On the Performance of the Transient Reactor Test Loop (TRTL),” Trans. Am. Nucl. Soc, 118, (2018); </w:t>
      </w:r>
    </w:p>
    <w:p w14:paraId="7D6ED149" w14:textId="77777777" w:rsidR="00D623B1" w:rsidRPr="00F22A75" w:rsidRDefault="00D623B1" w:rsidP="00F22A75">
      <w:pPr>
        <w:pStyle w:val="EndNoteBibliography"/>
        <w:spacing w:line="480" w:lineRule="auto"/>
        <w:rPr>
          <w:rFonts w:ascii="Times New Roman" w:hAnsi="Times New Roman" w:cs="Times New Roman"/>
          <w:noProof/>
        </w:rPr>
      </w:pPr>
      <w:r w:rsidRPr="00F22A75">
        <w:rPr>
          <w:rFonts w:ascii="Times New Roman" w:hAnsi="Times New Roman" w:cs="Times New Roman"/>
          <w:noProof/>
        </w:rPr>
        <w:t>[102] W. MARCUM, et al., “Benchmark Comparison of Experimental Data with Thermal-Hydraulic Codes RELAP5-3D and TRACE for a RIA Transient Scenario,” Nuclear Technology, 206, (2020); 10.1080/00295450.2020.1713673.</w:t>
      </w:r>
    </w:p>
    <w:p w14:paraId="0F997376" w14:textId="128187DC" w:rsidR="00D623B1" w:rsidRPr="00F22A75" w:rsidRDefault="00D623B1" w:rsidP="00F22A75">
      <w:pPr>
        <w:pStyle w:val="EndNoteBibliography"/>
        <w:spacing w:line="480" w:lineRule="auto"/>
        <w:rPr>
          <w:rFonts w:ascii="Times New Roman" w:hAnsi="Times New Roman" w:cs="Times New Roman"/>
          <w:noProof/>
        </w:rPr>
      </w:pPr>
      <w:r w:rsidRPr="00F22A75">
        <w:rPr>
          <w:rFonts w:ascii="Times New Roman" w:hAnsi="Times New Roman" w:cs="Times New Roman"/>
          <w:noProof/>
        </w:rPr>
        <w:t xml:space="preserve">[103] J. P. GORTON, et al., “Comparison of experimental and simulated critical heat flux tests with various cladding alloys: Sensitivity of iron-chromium-aluminum (FeCrAl) to heat transfer coefficients and material properties,” Nuclear Engineering and Design, 353, (2019); </w:t>
      </w:r>
      <w:hyperlink r:id="rId134" w:history="1">
        <w:r w:rsidRPr="00F22A75">
          <w:rPr>
            <w:rStyle w:val="Hyperlink"/>
            <w:rFonts w:ascii="Times New Roman" w:hAnsi="Times New Roman" w:cs="Times New Roman"/>
            <w:noProof/>
          </w:rPr>
          <w:t>https://doi.org/10.1016/j.nucengdes.2019.110295</w:t>
        </w:r>
      </w:hyperlink>
      <w:r w:rsidRPr="00F22A75">
        <w:rPr>
          <w:rFonts w:ascii="Times New Roman" w:hAnsi="Times New Roman" w:cs="Times New Roman"/>
          <w:noProof/>
        </w:rPr>
        <w:t>.</w:t>
      </w:r>
    </w:p>
    <w:p w14:paraId="3D0C0691" w14:textId="7C54494F" w:rsidR="00D623B1" w:rsidRPr="00F22A75" w:rsidRDefault="00D623B1" w:rsidP="00F22A75">
      <w:pPr>
        <w:pStyle w:val="EndNoteBibliography"/>
        <w:spacing w:line="480" w:lineRule="auto"/>
        <w:rPr>
          <w:rFonts w:ascii="Times New Roman" w:hAnsi="Times New Roman" w:cs="Times New Roman"/>
          <w:noProof/>
        </w:rPr>
      </w:pPr>
      <w:r w:rsidRPr="00F22A75">
        <w:rPr>
          <w:rFonts w:ascii="Times New Roman" w:hAnsi="Times New Roman" w:cs="Times New Roman"/>
          <w:noProof/>
        </w:rPr>
        <w:t xml:space="preserve">[104] S. K. LEE, et al., “Comparison of steady and transient flow boiling critical heat flux for FeCrAl accident tolerant fuel cladding alloy, Zircaloy, and Inconel,” International journal of heat and mass transfer, 132, (2019); </w:t>
      </w:r>
      <w:hyperlink r:id="rId135" w:history="1">
        <w:r w:rsidRPr="00F22A75">
          <w:rPr>
            <w:rStyle w:val="Hyperlink"/>
            <w:rFonts w:ascii="Times New Roman" w:hAnsi="Times New Roman" w:cs="Times New Roman"/>
            <w:noProof/>
          </w:rPr>
          <w:t>https://doi.org/10.1016/j.ijheatmasstransfer.2018.11.141</w:t>
        </w:r>
      </w:hyperlink>
      <w:r w:rsidRPr="00F22A75">
        <w:rPr>
          <w:rFonts w:ascii="Times New Roman" w:hAnsi="Times New Roman" w:cs="Times New Roman"/>
          <w:noProof/>
        </w:rPr>
        <w:t>.</w:t>
      </w:r>
    </w:p>
    <w:p w14:paraId="56DD0F70" w14:textId="77777777" w:rsidR="00D623B1" w:rsidRPr="00F22A75" w:rsidRDefault="00D623B1" w:rsidP="00F22A75">
      <w:pPr>
        <w:pStyle w:val="EndNoteBibliography"/>
        <w:spacing w:line="480" w:lineRule="auto"/>
        <w:rPr>
          <w:rFonts w:ascii="Times New Roman" w:hAnsi="Times New Roman" w:cs="Times New Roman"/>
          <w:noProof/>
        </w:rPr>
      </w:pPr>
      <w:r w:rsidRPr="00F22A75">
        <w:rPr>
          <w:rFonts w:ascii="Times New Roman" w:hAnsi="Times New Roman" w:cs="Times New Roman"/>
          <w:noProof/>
        </w:rPr>
        <w:t xml:space="preserve">[105]  Idaho National Laboratory, RELAP5-3D Code Manuals, Volumes I, II, III, IV, V, Appendix A, Revision 4.3, 98, Idaho National Laboratory, Idaho Falls, ID, 2015 INEEL-EXT., </w:t>
      </w:r>
    </w:p>
    <w:p w14:paraId="295CAA98" w14:textId="77777777" w:rsidR="00D623B1" w:rsidRPr="00F22A75" w:rsidRDefault="00D623B1" w:rsidP="00F22A75">
      <w:pPr>
        <w:pStyle w:val="EndNoteBibliography"/>
        <w:spacing w:line="480" w:lineRule="auto"/>
        <w:rPr>
          <w:rFonts w:ascii="Times New Roman" w:hAnsi="Times New Roman" w:cs="Times New Roman"/>
          <w:noProof/>
        </w:rPr>
      </w:pPr>
      <w:r w:rsidRPr="00F22A75">
        <w:rPr>
          <w:rFonts w:ascii="Times New Roman" w:hAnsi="Times New Roman" w:cs="Times New Roman"/>
          <w:noProof/>
        </w:rPr>
        <w:t>[106] N. MEEHAN and N. R. BROWN, “Sensitivity Analysis of Transient Critical Heat Flux Phenomena Within RELAP5-3D in the Transient Reactor Test Loop,” presented at NURETH 20, Washington, D.C., August 20-25, 2023.</w:t>
      </w:r>
    </w:p>
    <w:p w14:paraId="77DFA280" w14:textId="77777777" w:rsidR="00D623B1" w:rsidRPr="00F22A75" w:rsidRDefault="00D623B1" w:rsidP="00F22A75">
      <w:pPr>
        <w:pStyle w:val="EndNoteBibliography"/>
        <w:spacing w:line="480" w:lineRule="auto"/>
        <w:rPr>
          <w:rFonts w:ascii="Times New Roman" w:hAnsi="Times New Roman" w:cs="Times New Roman"/>
          <w:noProof/>
        </w:rPr>
      </w:pPr>
      <w:r w:rsidRPr="00F22A75">
        <w:rPr>
          <w:rFonts w:ascii="Times New Roman" w:hAnsi="Times New Roman" w:cs="Times New Roman"/>
          <w:noProof/>
        </w:rPr>
        <w:lastRenderedPageBreak/>
        <w:t>[107] C. S. KIM, Thermophysical properties of stainless steels, 1-22, Argonne National Laboratory Chemical Engineering Division, United States (1975).</w:t>
      </w:r>
    </w:p>
    <w:p w14:paraId="4B10778A" w14:textId="42579197" w:rsidR="00D623B1" w:rsidRPr="00F22A75" w:rsidRDefault="00D623B1" w:rsidP="00F22A75">
      <w:pPr>
        <w:pStyle w:val="EndNoteBibliography"/>
        <w:spacing w:line="480" w:lineRule="auto"/>
        <w:rPr>
          <w:rFonts w:ascii="Times New Roman" w:hAnsi="Times New Roman" w:cs="Times New Roman"/>
          <w:noProof/>
        </w:rPr>
      </w:pPr>
      <w:r w:rsidRPr="00F22A75">
        <w:rPr>
          <w:rFonts w:ascii="Times New Roman" w:hAnsi="Times New Roman" w:cs="Times New Roman"/>
          <w:noProof/>
        </w:rPr>
        <w:t xml:space="preserve">[108] J. C. CHEN, “Correlation for Boiling Heat Transfer to Saturated Fluids in Convective Flow,” Industrial &amp; Engineering Chemistry Process Design and Development, 5, 3, (1966); </w:t>
      </w:r>
      <w:hyperlink r:id="rId136" w:history="1">
        <w:r w:rsidRPr="00F22A75">
          <w:rPr>
            <w:rStyle w:val="Hyperlink"/>
            <w:rFonts w:ascii="Times New Roman" w:hAnsi="Times New Roman" w:cs="Times New Roman"/>
            <w:noProof/>
          </w:rPr>
          <w:t>https://doi.org/10.1021/i260019a023</w:t>
        </w:r>
      </w:hyperlink>
      <w:r w:rsidRPr="00F22A75">
        <w:rPr>
          <w:rFonts w:ascii="Times New Roman" w:hAnsi="Times New Roman" w:cs="Times New Roman"/>
          <w:noProof/>
        </w:rPr>
        <w:t>.</w:t>
      </w:r>
    </w:p>
    <w:p w14:paraId="03E9F9B2" w14:textId="77777777" w:rsidR="00D623B1" w:rsidRPr="00F22A75" w:rsidRDefault="00D623B1" w:rsidP="00F22A75">
      <w:pPr>
        <w:pStyle w:val="EndNoteBibliography"/>
        <w:spacing w:line="480" w:lineRule="auto"/>
        <w:rPr>
          <w:rFonts w:ascii="Times New Roman" w:hAnsi="Times New Roman" w:cs="Times New Roman"/>
          <w:noProof/>
        </w:rPr>
      </w:pPr>
      <w:r w:rsidRPr="00F22A75">
        <w:rPr>
          <w:rFonts w:ascii="Times New Roman" w:hAnsi="Times New Roman" w:cs="Times New Roman"/>
          <w:noProof/>
        </w:rPr>
        <w:t>[109] J. C. CHEN, R. K. SUNDARAM and F. T. OZKAYNAK, A phenomenological correlation for post-CHF heat transfer, 1-138, U.S. Nuclear Regulatory Commission, Bethlehem, Pennsylvania (1977).</w:t>
      </w:r>
    </w:p>
    <w:p w14:paraId="68576A2B" w14:textId="77777777" w:rsidR="00D623B1" w:rsidRPr="00F22A75" w:rsidRDefault="00D623B1" w:rsidP="00F22A75">
      <w:pPr>
        <w:pStyle w:val="EndNoteBibliography"/>
        <w:spacing w:line="480" w:lineRule="auto"/>
        <w:rPr>
          <w:rFonts w:ascii="Times New Roman" w:hAnsi="Times New Roman" w:cs="Times New Roman"/>
          <w:noProof/>
        </w:rPr>
      </w:pPr>
      <w:r w:rsidRPr="00F22A75">
        <w:rPr>
          <w:rFonts w:ascii="Times New Roman" w:hAnsi="Times New Roman" w:cs="Times New Roman"/>
          <w:noProof/>
        </w:rPr>
        <w:t>[110] L. A. BROMLEY, Heat Transfer in Stable Film Boiling (UCRL-122), 6-78, USDOE, Berkeley, California (1949).</w:t>
      </w:r>
    </w:p>
    <w:p w14:paraId="021822E9" w14:textId="685C7876" w:rsidR="00D623B1" w:rsidRPr="00F22A75" w:rsidRDefault="00D623B1" w:rsidP="00F22A75">
      <w:pPr>
        <w:pStyle w:val="EndNoteBibliography"/>
        <w:spacing w:line="480" w:lineRule="auto"/>
        <w:rPr>
          <w:rFonts w:ascii="Times New Roman" w:hAnsi="Times New Roman" w:cs="Times New Roman"/>
          <w:noProof/>
        </w:rPr>
      </w:pPr>
      <w:r w:rsidRPr="00F22A75">
        <w:rPr>
          <w:rFonts w:ascii="Times New Roman" w:hAnsi="Times New Roman" w:cs="Times New Roman"/>
          <w:noProof/>
        </w:rPr>
        <w:t xml:space="preserve">[111] V. BESSIRON, “Modelling of Clad-to-Coolant Heat Transfer for RIA Applications,” Journal of Nuclear Science and Technology, 44, 2, (2007); </w:t>
      </w:r>
      <w:hyperlink r:id="rId137" w:history="1">
        <w:r w:rsidRPr="00F22A75">
          <w:rPr>
            <w:rStyle w:val="Hyperlink"/>
            <w:rFonts w:ascii="Times New Roman" w:hAnsi="Times New Roman" w:cs="Times New Roman"/>
            <w:noProof/>
          </w:rPr>
          <w:t>https://doi.org/10.1080/18811248.2007.9711275</w:t>
        </w:r>
      </w:hyperlink>
      <w:r w:rsidRPr="00F22A75">
        <w:rPr>
          <w:rFonts w:ascii="Times New Roman" w:hAnsi="Times New Roman" w:cs="Times New Roman"/>
          <w:noProof/>
        </w:rPr>
        <w:t>.</w:t>
      </w:r>
    </w:p>
    <w:p w14:paraId="634E52DF" w14:textId="77777777" w:rsidR="00D623B1" w:rsidRPr="00F22A75" w:rsidRDefault="00D623B1" w:rsidP="00F22A75">
      <w:pPr>
        <w:pStyle w:val="EndNoteBibliography"/>
        <w:spacing w:line="480" w:lineRule="auto"/>
        <w:rPr>
          <w:rFonts w:ascii="Times New Roman" w:hAnsi="Times New Roman" w:cs="Times New Roman"/>
          <w:noProof/>
        </w:rPr>
      </w:pPr>
      <w:r w:rsidRPr="00F22A75">
        <w:rPr>
          <w:rFonts w:ascii="Times New Roman" w:hAnsi="Times New Roman" w:cs="Times New Roman"/>
          <w:noProof/>
        </w:rPr>
        <w:t>[112] C. RABITI, et al., RAVEN User Manual, 2-586, Idaho National Laboratory, Idaho Falls, Idaho (2019).</w:t>
      </w:r>
    </w:p>
    <w:p w14:paraId="5849E483" w14:textId="41950538" w:rsidR="00D623B1" w:rsidRPr="00F22A75" w:rsidRDefault="00D623B1" w:rsidP="00F22A75">
      <w:pPr>
        <w:pStyle w:val="EndNoteBibliography"/>
        <w:spacing w:line="480" w:lineRule="auto"/>
        <w:rPr>
          <w:rFonts w:ascii="Times New Roman" w:hAnsi="Times New Roman" w:cs="Times New Roman"/>
          <w:noProof/>
        </w:rPr>
      </w:pPr>
      <w:r w:rsidRPr="00F22A75">
        <w:rPr>
          <w:rFonts w:ascii="Times New Roman" w:hAnsi="Times New Roman" w:cs="Times New Roman"/>
          <w:noProof/>
        </w:rPr>
        <w:t xml:space="preserve">[113] J. D. BESS, et al., “Nuclear characterization of a general-purpose instrumentation and materials testing location in TREAT,” Annals of Nuclear Energy, 124, (2019); </w:t>
      </w:r>
      <w:hyperlink r:id="rId138" w:history="1">
        <w:r w:rsidRPr="00F22A75">
          <w:rPr>
            <w:rStyle w:val="Hyperlink"/>
            <w:rFonts w:ascii="Times New Roman" w:hAnsi="Times New Roman" w:cs="Times New Roman"/>
            <w:noProof/>
          </w:rPr>
          <w:t>https://doi.org/10.1016/j.anucene.2018.10.011</w:t>
        </w:r>
      </w:hyperlink>
      <w:r w:rsidRPr="00F22A75">
        <w:rPr>
          <w:rFonts w:ascii="Times New Roman" w:hAnsi="Times New Roman" w:cs="Times New Roman"/>
          <w:noProof/>
        </w:rPr>
        <w:t>.</w:t>
      </w:r>
    </w:p>
    <w:p w14:paraId="3FECE98A" w14:textId="77777777" w:rsidR="00D623B1" w:rsidRPr="00F22A75" w:rsidRDefault="00D623B1" w:rsidP="00F22A75">
      <w:pPr>
        <w:pStyle w:val="EndNoteBibliography"/>
        <w:spacing w:line="480" w:lineRule="auto"/>
        <w:rPr>
          <w:rFonts w:ascii="Times New Roman" w:hAnsi="Times New Roman" w:cs="Times New Roman"/>
          <w:noProof/>
        </w:rPr>
      </w:pPr>
      <w:r w:rsidRPr="00F22A75">
        <w:rPr>
          <w:rFonts w:ascii="Times New Roman" w:hAnsi="Times New Roman" w:cs="Times New Roman"/>
          <w:noProof/>
        </w:rPr>
        <w:t>[114] C. L. POPE, et al., “Transient Reactor Test (TREAT) Facility Design and Experiment Capability,” Nuclear Technology, 205, 10, (2019); 10.1080/00295450.2019.1599615.</w:t>
      </w:r>
    </w:p>
    <w:p w14:paraId="6D7B82F7" w14:textId="431B3F57" w:rsidR="00D623B1" w:rsidRPr="00F22A75" w:rsidRDefault="00D623B1" w:rsidP="00F22A75">
      <w:pPr>
        <w:pStyle w:val="EndNoteBibliography"/>
        <w:spacing w:line="480" w:lineRule="auto"/>
        <w:rPr>
          <w:rFonts w:ascii="Times New Roman" w:hAnsi="Times New Roman" w:cs="Times New Roman"/>
          <w:noProof/>
        </w:rPr>
      </w:pPr>
      <w:r w:rsidRPr="00F22A75">
        <w:rPr>
          <w:rFonts w:ascii="Times New Roman" w:hAnsi="Times New Roman" w:cs="Times New Roman"/>
          <w:noProof/>
        </w:rPr>
        <w:lastRenderedPageBreak/>
        <w:t xml:space="preserve">[115] C. M. HILL, et al., “A non-fueled nuclear-heated rod for in-pile transient boiling studies,” Nuclear Engineering and Design, 414, (2023); </w:t>
      </w:r>
      <w:hyperlink r:id="rId139" w:history="1">
        <w:r w:rsidRPr="00F22A75">
          <w:rPr>
            <w:rStyle w:val="Hyperlink"/>
            <w:rFonts w:ascii="Times New Roman" w:hAnsi="Times New Roman" w:cs="Times New Roman"/>
            <w:noProof/>
          </w:rPr>
          <w:t>https://doi.org/10.1016/j.nucengdes.2023.112508</w:t>
        </w:r>
      </w:hyperlink>
      <w:r w:rsidRPr="00F22A75">
        <w:rPr>
          <w:rFonts w:ascii="Times New Roman" w:hAnsi="Times New Roman" w:cs="Times New Roman"/>
          <w:noProof/>
        </w:rPr>
        <w:t>.</w:t>
      </w:r>
    </w:p>
    <w:p w14:paraId="09B8830F" w14:textId="77777777" w:rsidR="00D623B1" w:rsidRPr="00F22A75" w:rsidRDefault="00D623B1" w:rsidP="00F22A75">
      <w:pPr>
        <w:pStyle w:val="EndNoteBibliography"/>
        <w:spacing w:line="480" w:lineRule="auto"/>
        <w:rPr>
          <w:rFonts w:ascii="Times New Roman" w:hAnsi="Times New Roman" w:cs="Times New Roman"/>
          <w:noProof/>
        </w:rPr>
      </w:pPr>
      <w:r w:rsidRPr="00F22A75">
        <w:rPr>
          <w:rFonts w:ascii="Times New Roman" w:hAnsi="Times New Roman" w:cs="Times New Roman"/>
          <w:noProof/>
        </w:rPr>
        <w:t>[116] R. J. ARMSTRONG, et al., “Results of the CHF-SERTTA In-Pile Transient Boiling Experiments at TREAT,” presented at TopFuel 2021, Santander, Spain, 10/24/2021 - 10/28/2021, 2021.</w:t>
      </w:r>
    </w:p>
    <w:p w14:paraId="12CE6270" w14:textId="6B08201F" w:rsidR="00D623B1" w:rsidRPr="00F22A75" w:rsidRDefault="00D623B1" w:rsidP="00F22A75">
      <w:pPr>
        <w:pStyle w:val="EndNoteBibliography"/>
        <w:spacing w:line="480" w:lineRule="auto"/>
        <w:rPr>
          <w:rFonts w:ascii="Times New Roman" w:hAnsi="Times New Roman" w:cs="Times New Roman"/>
          <w:noProof/>
        </w:rPr>
      </w:pPr>
      <w:r w:rsidRPr="00F22A75">
        <w:rPr>
          <w:rFonts w:ascii="Times New Roman" w:hAnsi="Times New Roman" w:cs="Times New Roman"/>
          <w:noProof/>
        </w:rPr>
        <w:t xml:space="preserve">[117] M. HE, A. F. ALI and M. CHEN, “Steady-state pool boiling heat transfer experimental studies of horizontally-placed tubes,” International journal of heat and mass transfer, 196, (2022); </w:t>
      </w:r>
      <w:hyperlink r:id="rId140" w:history="1">
        <w:r w:rsidRPr="00F22A75">
          <w:rPr>
            <w:rStyle w:val="Hyperlink"/>
            <w:rFonts w:ascii="Times New Roman" w:hAnsi="Times New Roman" w:cs="Times New Roman"/>
            <w:noProof/>
          </w:rPr>
          <w:t>https://doi.org/10.1016/j.ijheatmasstransfer.2022.123270</w:t>
        </w:r>
      </w:hyperlink>
      <w:r w:rsidRPr="00F22A75">
        <w:rPr>
          <w:rFonts w:ascii="Times New Roman" w:hAnsi="Times New Roman" w:cs="Times New Roman"/>
          <w:noProof/>
        </w:rPr>
        <w:t>.</w:t>
      </w:r>
    </w:p>
    <w:p w14:paraId="6932403C" w14:textId="121C527B" w:rsidR="00D623B1" w:rsidRPr="00F22A75" w:rsidRDefault="00D623B1" w:rsidP="00F22A75">
      <w:pPr>
        <w:pStyle w:val="EndNoteBibliography"/>
        <w:spacing w:line="480" w:lineRule="auto"/>
        <w:rPr>
          <w:rFonts w:ascii="Times New Roman" w:hAnsi="Times New Roman" w:cs="Times New Roman"/>
          <w:noProof/>
        </w:rPr>
      </w:pPr>
      <w:r w:rsidRPr="00F22A75">
        <w:rPr>
          <w:rFonts w:ascii="Times New Roman" w:hAnsi="Times New Roman" w:cs="Times New Roman"/>
          <w:noProof/>
        </w:rPr>
        <w:t xml:space="preserve">[118] G. LIANG and I. MUDAWAR, “Pool boiling critical heat flux (CHF) – Part 1: Review of mechanisms, models, and correlations,” International journal of heat and mass transfer, 117, (2018); </w:t>
      </w:r>
      <w:hyperlink r:id="rId141" w:history="1">
        <w:r w:rsidRPr="00F22A75">
          <w:rPr>
            <w:rStyle w:val="Hyperlink"/>
            <w:rFonts w:ascii="Times New Roman" w:hAnsi="Times New Roman" w:cs="Times New Roman"/>
            <w:noProof/>
          </w:rPr>
          <w:t>https://doi.org/10.1016/j.ijheatmasstransfer.2017.09.134</w:t>
        </w:r>
      </w:hyperlink>
      <w:r w:rsidRPr="00F22A75">
        <w:rPr>
          <w:rFonts w:ascii="Times New Roman" w:hAnsi="Times New Roman" w:cs="Times New Roman"/>
          <w:noProof/>
        </w:rPr>
        <w:t>.</w:t>
      </w:r>
    </w:p>
    <w:p w14:paraId="669439B3" w14:textId="386B3F35" w:rsidR="00D623B1" w:rsidRPr="00F22A75" w:rsidRDefault="00D623B1" w:rsidP="00F22A75">
      <w:pPr>
        <w:pStyle w:val="EndNoteBibliography"/>
        <w:spacing w:line="480" w:lineRule="auto"/>
        <w:rPr>
          <w:rFonts w:ascii="Times New Roman" w:hAnsi="Times New Roman" w:cs="Times New Roman"/>
          <w:noProof/>
        </w:rPr>
      </w:pPr>
      <w:r w:rsidRPr="00F22A75">
        <w:rPr>
          <w:rFonts w:ascii="Times New Roman" w:hAnsi="Times New Roman" w:cs="Times New Roman"/>
          <w:noProof/>
        </w:rPr>
        <w:t xml:space="preserve">[119] R. VISENTINI, C. COLIN and P. RUYER, “Experimental investigation of heat transfer in transient boiling,” Experimental Thermal and Fluid Science, 55, (2014); </w:t>
      </w:r>
      <w:hyperlink r:id="rId142" w:history="1">
        <w:r w:rsidRPr="00F22A75">
          <w:rPr>
            <w:rStyle w:val="Hyperlink"/>
            <w:rFonts w:ascii="Times New Roman" w:hAnsi="Times New Roman" w:cs="Times New Roman"/>
            <w:noProof/>
          </w:rPr>
          <w:t>https://doi.org/10.1016/j.expthermflusci.2014.02.026</w:t>
        </w:r>
      </w:hyperlink>
      <w:r w:rsidRPr="00F22A75">
        <w:rPr>
          <w:rFonts w:ascii="Times New Roman" w:hAnsi="Times New Roman" w:cs="Times New Roman"/>
          <w:noProof/>
        </w:rPr>
        <w:t>.</w:t>
      </w:r>
    </w:p>
    <w:p w14:paraId="48BDEF4B" w14:textId="77777777" w:rsidR="00D623B1" w:rsidRPr="00F22A75" w:rsidRDefault="00D623B1" w:rsidP="00F22A75">
      <w:pPr>
        <w:pStyle w:val="EndNoteBibliography"/>
        <w:spacing w:line="480" w:lineRule="auto"/>
        <w:rPr>
          <w:rFonts w:ascii="Times New Roman" w:hAnsi="Times New Roman" w:cs="Times New Roman"/>
          <w:noProof/>
        </w:rPr>
      </w:pPr>
      <w:r w:rsidRPr="00F22A75">
        <w:rPr>
          <w:rFonts w:ascii="Times New Roman" w:hAnsi="Times New Roman" w:cs="Times New Roman"/>
          <w:noProof/>
        </w:rPr>
        <w:t>[120] R. ARMSTRONG, et al., “Calculation of Critical Heat Flux Using an Inverse Heat Transfer Method to Support TREAT Experiment Analysis,” presented at ICONE28-POWER2020, August 2-6, 2020.</w:t>
      </w:r>
    </w:p>
    <w:p w14:paraId="093ECA91" w14:textId="77777777" w:rsidR="00D623B1" w:rsidRPr="00F22A75" w:rsidRDefault="00D623B1" w:rsidP="00F22A75">
      <w:pPr>
        <w:pStyle w:val="EndNoteBibliography"/>
        <w:spacing w:line="480" w:lineRule="auto"/>
        <w:rPr>
          <w:rFonts w:ascii="Times New Roman" w:hAnsi="Times New Roman" w:cs="Times New Roman"/>
          <w:noProof/>
        </w:rPr>
      </w:pPr>
      <w:r w:rsidRPr="00F22A75">
        <w:rPr>
          <w:rFonts w:ascii="Times New Roman" w:hAnsi="Times New Roman" w:cs="Times New Roman"/>
          <w:noProof/>
        </w:rPr>
        <w:t>[121] C. P. FOLSOM, et al., “Thermal-hydraulic and Fuel Performance Scoping Studies of a Flowing Water Capsule in TREAT,” presented at Conference: TopFuel 2022, Raleigh, NC, 10/09/2022 - 10/13/2022, United States, 2022.</w:t>
      </w:r>
    </w:p>
    <w:p w14:paraId="086A3F8E" w14:textId="38B43259" w:rsidR="00D623B1" w:rsidRPr="00F22A75" w:rsidRDefault="00D623B1" w:rsidP="00F22A75">
      <w:pPr>
        <w:pStyle w:val="EndNoteBibliography"/>
        <w:spacing w:line="480" w:lineRule="auto"/>
        <w:rPr>
          <w:rFonts w:ascii="Times New Roman" w:hAnsi="Times New Roman" w:cs="Times New Roman"/>
          <w:noProof/>
        </w:rPr>
      </w:pPr>
      <w:r w:rsidRPr="00F22A75">
        <w:rPr>
          <w:rFonts w:ascii="Times New Roman" w:hAnsi="Times New Roman" w:cs="Times New Roman"/>
          <w:noProof/>
        </w:rPr>
        <w:lastRenderedPageBreak/>
        <w:t xml:space="preserve">[122] M. CHOI, et al., “Direct observation of rewetting failure mechanism at CHF under different subcooled flows,” International journal of heat and mass transfer, 163, (2020); </w:t>
      </w:r>
      <w:hyperlink r:id="rId143" w:history="1">
        <w:r w:rsidRPr="00F22A75">
          <w:rPr>
            <w:rStyle w:val="Hyperlink"/>
            <w:rFonts w:ascii="Times New Roman" w:hAnsi="Times New Roman" w:cs="Times New Roman"/>
            <w:noProof/>
          </w:rPr>
          <w:t>https://doi.org/10.1016/j.ijheatmasstransfer.2020.120465</w:t>
        </w:r>
      </w:hyperlink>
      <w:r w:rsidRPr="00F22A75">
        <w:rPr>
          <w:rFonts w:ascii="Times New Roman" w:hAnsi="Times New Roman" w:cs="Times New Roman"/>
          <w:noProof/>
        </w:rPr>
        <w:t>.</w:t>
      </w:r>
    </w:p>
    <w:p w14:paraId="0F97B1FA" w14:textId="2217A534" w:rsidR="00D623B1" w:rsidRPr="00F22A75" w:rsidRDefault="00D623B1" w:rsidP="00F22A75">
      <w:pPr>
        <w:pStyle w:val="EndNoteBibliography"/>
        <w:spacing w:line="480" w:lineRule="auto"/>
        <w:rPr>
          <w:rFonts w:ascii="Times New Roman" w:hAnsi="Times New Roman" w:cs="Times New Roman"/>
          <w:noProof/>
        </w:rPr>
      </w:pPr>
      <w:r w:rsidRPr="00F22A75">
        <w:rPr>
          <w:rFonts w:ascii="Times New Roman" w:hAnsi="Times New Roman" w:cs="Times New Roman"/>
          <w:noProof/>
        </w:rPr>
        <w:t xml:space="preserve">[123] A. D. STOJANOVIĆ, et al., “Nucleate pool boiling heat transfer: Review of models and bubble dynamics parameters,” Thermal Science, 26, 1, (2022); </w:t>
      </w:r>
      <w:hyperlink r:id="rId144" w:history="1">
        <w:r w:rsidRPr="00F22A75">
          <w:rPr>
            <w:rStyle w:val="Hyperlink"/>
            <w:rFonts w:ascii="Times New Roman" w:hAnsi="Times New Roman" w:cs="Times New Roman"/>
            <w:noProof/>
          </w:rPr>
          <w:t>https://doi.org/10.2298/TSCI200111069S</w:t>
        </w:r>
      </w:hyperlink>
      <w:r w:rsidRPr="00F22A75">
        <w:rPr>
          <w:rFonts w:ascii="Times New Roman" w:hAnsi="Times New Roman" w:cs="Times New Roman"/>
          <w:noProof/>
        </w:rPr>
        <w:t>.</w:t>
      </w:r>
    </w:p>
    <w:p w14:paraId="3BE7537E" w14:textId="77777777" w:rsidR="00D623B1" w:rsidRPr="00F22A75" w:rsidRDefault="00D623B1" w:rsidP="00F22A75">
      <w:pPr>
        <w:pStyle w:val="EndNoteBibliography"/>
        <w:spacing w:line="480" w:lineRule="auto"/>
        <w:rPr>
          <w:rFonts w:ascii="Times New Roman" w:hAnsi="Times New Roman" w:cs="Times New Roman"/>
          <w:noProof/>
        </w:rPr>
      </w:pPr>
      <w:r w:rsidRPr="00F22A75">
        <w:rPr>
          <w:rFonts w:ascii="Times New Roman" w:hAnsi="Times New Roman" w:cs="Times New Roman"/>
          <w:noProof/>
        </w:rPr>
        <w:t>[124] S. HOLCOMBE, et al., “Nuclear Fuel and Materials Research, Experimental Capabilities, and Continuation of the Halden Reactor Project After the Permanent Shutdown of the Halden Reactor,” (Sept 2018).</w:t>
      </w:r>
    </w:p>
    <w:p w14:paraId="6006B5C8" w14:textId="77777777" w:rsidR="00D623B1" w:rsidRPr="00F22A75" w:rsidRDefault="00D623B1" w:rsidP="00F22A75">
      <w:pPr>
        <w:pStyle w:val="EndNoteBibliography"/>
        <w:spacing w:line="480" w:lineRule="auto"/>
        <w:rPr>
          <w:rFonts w:ascii="Times New Roman" w:hAnsi="Times New Roman" w:cs="Times New Roman"/>
          <w:noProof/>
        </w:rPr>
      </w:pPr>
      <w:r w:rsidRPr="00F22A75">
        <w:rPr>
          <w:rFonts w:ascii="Times New Roman" w:hAnsi="Times New Roman" w:cs="Times New Roman"/>
          <w:noProof/>
        </w:rPr>
        <w:t>[125] M. A. MCGRATH and B. VOLKOV, “Role of Halden Reactor Project for world-wide nuclear energy development,” (2011-07-01 2011).</w:t>
      </w:r>
    </w:p>
    <w:p w14:paraId="3DB266BE" w14:textId="77777777" w:rsidR="00D623B1" w:rsidRPr="00F22A75" w:rsidRDefault="00D623B1" w:rsidP="00F22A75">
      <w:pPr>
        <w:pStyle w:val="EndNoteBibliography"/>
        <w:spacing w:line="480" w:lineRule="auto"/>
        <w:rPr>
          <w:rFonts w:ascii="Times New Roman" w:hAnsi="Times New Roman" w:cs="Times New Roman"/>
          <w:noProof/>
        </w:rPr>
      </w:pPr>
      <w:r w:rsidRPr="00F22A75">
        <w:rPr>
          <w:rFonts w:ascii="Times New Roman" w:hAnsi="Times New Roman" w:cs="Times New Roman"/>
          <w:noProof/>
        </w:rPr>
        <w:t xml:space="preserve">[126] C. VITANZA, “Irradiation and measurement techniques at the Halden reactor project and their application to high burn-up fuel performance studies,” Thermal Performance of High Burn-Up LWR Fuel, (1998); </w:t>
      </w:r>
    </w:p>
    <w:p w14:paraId="5D9CDA5C" w14:textId="5908EECD" w:rsidR="00D623B1" w:rsidRPr="00F22A75" w:rsidRDefault="00D623B1" w:rsidP="00F22A75">
      <w:pPr>
        <w:pStyle w:val="EndNoteBibliography"/>
        <w:spacing w:line="480" w:lineRule="auto"/>
        <w:rPr>
          <w:rFonts w:ascii="Times New Roman" w:hAnsi="Times New Roman" w:cs="Times New Roman"/>
          <w:noProof/>
        </w:rPr>
      </w:pPr>
      <w:r w:rsidRPr="00F22A75">
        <w:rPr>
          <w:rFonts w:ascii="Times New Roman" w:hAnsi="Times New Roman" w:cs="Times New Roman"/>
          <w:noProof/>
        </w:rPr>
        <w:t xml:space="preserve">[127] A. SCOLARO, et al., “Investigation on the effect of eccentricity for fuel disc irradiation tests,” Nuclear Engineering and Technology, 53, 5, (2021); </w:t>
      </w:r>
      <w:hyperlink r:id="rId145" w:history="1">
        <w:r w:rsidRPr="00F22A75">
          <w:rPr>
            <w:rStyle w:val="Hyperlink"/>
            <w:rFonts w:ascii="Times New Roman" w:hAnsi="Times New Roman" w:cs="Times New Roman"/>
            <w:noProof/>
          </w:rPr>
          <w:t>https://doi.org/10.1016/j.net.2020.11.003</w:t>
        </w:r>
      </w:hyperlink>
      <w:r w:rsidRPr="00F22A75">
        <w:rPr>
          <w:rFonts w:ascii="Times New Roman" w:hAnsi="Times New Roman" w:cs="Times New Roman"/>
          <w:noProof/>
        </w:rPr>
        <w:t>.</w:t>
      </w:r>
    </w:p>
    <w:p w14:paraId="39ACB3EB" w14:textId="3CE4B5D8" w:rsidR="00D623B1" w:rsidRPr="00F22A75" w:rsidRDefault="00D623B1" w:rsidP="00F22A75">
      <w:pPr>
        <w:pStyle w:val="EndNoteBibliography"/>
        <w:spacing w:line="480" w:lineRule="auto"/>
        <w:rPr>
          <w:rFonts w:ascii="Times New Roman" w:hAnsi="Times New Roman" w:cs="Times New Roman"/>
          <w:noProof/>
        </w:rPr>
      </w:pPr>
      <w:r w:rsidRPr="00F22A75">
        <w:rPr>
          <w:rFonts w:ascii="Times New Roman" w:hAnsi="Times New Roman" w:cs="Times New Roman"/>
          <w:noProof/>
        </w:rPr>
        <w:t xml:space="preserve">[128] J. NOIROT, et al., “Fission gas release behaviour of a 103GWd/tHM fuel disc during a 1200°C annealing test,” Journal of Nuclear Materials, 446, 1, (2014); </w:t>
      </w:r>
      <w:hyperlink r:id="rId146" w:history="1">
        <w:r w:rsidRPr="00F22A75">
          <w:rPr>
            <w:rStyle w:val="Hyperlink"/>
            <w:rFonts w:ascii="Times New Roman" w:hAnsi="Times New Roman" w:cs="Times New Roman"/>
            <w:noProof/>
          </w:rPr>
          <w:t>https://doi.org/10.1016/j.jnucmat.2013.12.002</w:t>
        </w:r>
      </w:hyperlink>
      <w:r w:rsidRPr="00F22A75">
        <w:rPr>
          <w:rFonts w:ascii="Times New Roman" w:hAnsi="Times New Roman" w:cs="Times New Roman"/>
          <w:noProof/>
        </w:rPr>
        <w:t>.</w:t>
      </w:r>
    </w:p>
    <w:p w14:paraId="6183A78A" w14:textId="77777777" w:rsidR="00D623B1" w:rsidRPr="00F22A75" w:rsidRDefault="00D623B1" w:rsidP="00F22A75">
      <w:pPr>
        <w:pStyle w:val="EndNoteBibliography"/>
        <w:spacing w:line="480" w:lineRule="auto"/>
        <w:rPr>
          <w:rFonts w:ascii="Times New Roman" w:hAnsi="Times New Roman" w:cs="Times New Roman"/>
          <w:noProof/>
        </w:rPr>
      </w:pPr>
      <w:r w:rsidRPr="00F22A75">
        <w:rPr>
          <w:rFonts w:ascii="Times New Roman" w:hAnsi="Times New Roman" w:cs="Times New Roman"/>
          <w:noProof/>
        </w:rPr>
        <w:lastRenderedPageBreak/>
        <w:t>[129] R. V. NIEUWENHOVE and S. SOLSTAD, “In-core fuel performance and material characterization in the Halden reactor,” 2009 1st International Conference on Advancements in Nuclear Instrumentation, Measurement Methods and their Applications, 7-10 June 2009.</w:t>
      </w:r>
    </w:p>
    <w:p w14:paraId="22F7F7A3" w14:textId="77777777" w:rsidR="00D623B1" w:rsidRPr="00F22A75" w:rsidRDefault="00D623B1" w:rsidP="00F22A75">
      <w:pPr>
        <w:pStyle w:val="EndNoteBibliography"/>
        <w:spacing w:line="480" w:lineRule="auto"/>
        <w:rPr>
          <w:rFonts w:ascii="Times New Roman" w:hAnsi="Times New Roman" w:cs="Times New Roman"/>
          <w:noProof/>
        </w:rPr>
      </w:pPr>
      <w:r w:rsidRPr="00F22A75">
        <w:rPr>
          <w:rFonts w:ascii="Times New Roman" w:hAnsi="Times New Roman" w:cs="Times New Roman"/>
          <w:noProof/>
        </w:rPr>
        <w:t>[130] N. E. WOOLSTENHULME, et al., “Pellet Cladding Interaction In-Reactor Ramp Testing in a World without the Halden Boiling Water Reactor,” United States, 2022-10-12.</w:t>
      </w:r>
    </w:p>
    <w:p w14:paraId="3990A40D" w14:textId="6486AF81" w:rsidR="00D623B1" w:rsidRPr="00F22A75" w:rsidRDefault="00D623B1" w:rsidP="00F22A75">
      <w:pPr>
        <w:pStyle w:val="EndNoteBibliography"/>
        <w:spacing w:line="480" w:lineRule="auto"/>
        <w:rPr>
          <w:rFonts w:ascii="Times New Roman" w:hAnsi="Times New Roman" w:cs="Times New Roman"/>
          <w:noProof/>
        </w:rPr>
      </w:pPr>
      <w:r w:rsidRPr="00F22A75">
        <w:rPr>
          <w:rFonts w:ascii="Times New Roman" w:hAnsi="Times New Roman" w:cs="Times New Roman"/>
          <w:noProof/>
        </w:rPr>
        <w:t xml:space="preserve">[131] D. CHANDLER, et al., “Modeling and simulation of a High Flux Isotope Reactor representative core model for updated performance and safety basis assessments,” Nuclear Engineering and Design, 366, (2020); </w:t>
      </w:r>
      <w:hyperlink r:id="rId147" w:history="1">
        <w:r w:rsidRPr="00F22A75">
          <w:rPr>
            <w:rStyle w:val="Hyperlink"/>
            <w:rFonts w:ascii="Times New Roman" w:hAnsi="Times New Roman" w:cs="Times New Roman"/>
            <w:noProof/>
          </w:rPr>
          <w:t>https://doi.org/10.1016/j.nucengdes.2020.110752</w:t>
        </w:r>
      </w:hyperlink>
      <w:r w:rsidRPr="00F22A75">
        <w:rPr>
          <w:rFonts w:ascii="Times New Roman" w:hAnsi="Times New Roman" w:cs="Times New Roman"/>
          <w:noProof/>
        </w:rPr>
        <w:t>.</w:t>
      </w:r>
    </w:p>
    <w:p w14:paraId="7AAB77C1" w14:textId="77777777" w:rsidR="00D623B1" w:rsidRPr="00F22A75" w:rsidRDefault="00D623B1" w:rsidP="00F22A75">
      <w:pPr>
        <w:pStyle w:val="EndNoteBibliography"/>
        <w:spacing w:line="480" w:lineRule="auto"/>
        <w:rPr>
          <w:rFonts w:ascii="Times New Roman" w:hAnsi="Times New Roman" w:cs="Times New Roman"/>
          <w:noProof/>
        </w:rPr>
      </w:pPr>
      <w:r w:rsidRPr="00F22A75">
        <w:rPr>
          <w:rFonts w:ascii="Times New Roman" w:hAnsi="Times New Roman" w:cs="Times New Roman"/>
          <w:noProof/>
        </w:rPr>
        <w:t>[132] ORNL, “High Flux Isotope Reactor (HFIR) USER GUIDE,” Oak Ridge National Laboratory (November 2015).</w:t>
      </w:r>
    </w:p>
    <w:p w14:paraId="5A2E7EB8" w14:textId="77777777" w:rsidR="00D623B1" w:rsidRPr="00F22A75" w:rsidRDefault="00D623B1" w:rsidP="00F22A75">
      <w:pPr>
        <w:pStyle w:val="EndNoteBibliography"/>
        <w:spacing w:line="480" w:lineRule="auto"/>
        <w:rPr>
          <w:rFonts w:ascii="Times New Roman" w:hAnsi="Times New Roman" w:cs="Times New Roman"/>
          <w:noProof/>
        </w:rPr>
      </w:pPr>
      <w:r w:rsidRPr="00F22A75">
        <w:rPr>
          <w:rFonts w:ascii="Times New Roman" w:hAnsi="Times New Roman" w:cs="Times New Roman"/>
          <w:noProof/>
        </w:rPr>
        <w:t xml:space="preserve">[133] J. GORTON, et al., “Separate effects irradiation testing targeting fission gas release from Cr-doped UO2,” Nuclear Engineering and Design, In Review, (2024); </w:t>
      </w:r>
    </w:p>
    <w:p w14:paraId="04FBAE22" w14:textId="2A96A0F1" w:rsidR="00D623B1" w:rsidRPr="00F22A75" w:rsidRDefault="00D623B1" w:rsidP="00F22A75">
      <w:pPr>
        <w:pStyle w:val="EndNoteBibliography"/>
        <w:spacing w:line="480" w:lineRule="auto"/>
        <w:rPr>
          <w:rFonts w:ascii="Times New Roman" w:hAnsi="Times New Roman" w:cs="Times New Roman"/>
          <w:noProof/>
        </w:rPr>
      </w:pPr>
      <w:r w:rsidRPr="00F22A75">
        <w:rPr>
          <w:rFonts w:ascii="Times New Roman" w:hAnsi="Times New Roman" w:cs="Times New Roman"/>
          <w:noProof/>
        </w:rPr>
        <w:t xml:space="preserve">[134] K. G. FIELD, et al., “Evaluation of the continuous dilatometer method of silicon carbide thermometry for passive irradiation temperature determination,” Nuclear Instruments and Methods in Physics Research Section B: Beam Interactions with Materials and Atoms, 445, (2019); </w:t>
      </w:r>
      <w:hyperlink r:id="rId148" w:history="1">
        <w:r w:rsidRPr="00F22A75">
          <w:rPr>
            <w:rStyle w:val="Hyperlink"/>
            <w:rFonts w:ascii="Times New Roman" w:hAnsi="Times New Roman" w:cs="Times New Roman"/>
            <w:noProof/>
          </w:rPr>
          <w:t>https://doi.org/10.1016/j.nimb.2019.02.022</w:t>
        </w:r>
      </w:hyperlink>
      <w:r w:rsidRPr="00F22A75">
        <w:rPr>
          <w:rFonts w:ascii="Times New Roman" w:hAnsi="Times New Roman" w:cs="Times New Roman"/>
          <w:noProof/>
        </w:rPr>
        <w:t>.</w:t>
      </w:r>
    </w:p>
    <w:p w14:paraId="16558180" w14:textId="77777777" w:rsidR="00D623B1" w:rsidRPr="00F22A75" w:rsidRDefault="00D623B1" w:rsidP="00F22A75">
      <w:pPr>
        <w:pStyle w:val="EndNoteBibliography"/>
        <w:spacing w:line="480" w:lineRule="auto"/>
        <w:rPr>
          <w:rFonts w:ascii="Times New Roman" w:hAnsi="Times New Roman" w:cs="Times New Roman"/>
          <w:noProof/>
        </w:rPr>
      </w:pPr>
      <w:r w:rsidRPr="00F22A75">
        <w:rPr>
          <w:rFonts w:ascii="Times New Roman" w:hAnsi="Times New Roman" w:cs="Times New Roman"/>
          <w:noProof/>
        </w:rPr>
        <w:t>[135] A. M. RAFTERY, et al., “Development of a characterization methodology for post-irradiation examination of miniature fuel specimens,” (2018-08-01 2018).</w:t>
      </w:r>
    </w:p>
    <w:p w14:paraId="1BEDB314" w14:textId="77777777" w:rsidR="00D623B1" w:rsidRPr="00F22A75" w:rsidRDefault="00D623B1" w:rsidP="00F22A75">
      <w:pPr>
        <w:pStyle w:val="EndNoteBibliography"/>
        <w:spacing w:line="480" w:lineRule="auto"/>
        <w:rPr>
          <w:rFonts w:ascii="Times New Roman" w:hAnsi="Times New Roman" w:cs="Times New Roman"/>
          <w:noProof/>
        </w:rPr>
      </w:pPr>
      <w:r w:rsidRPr="00F22A75">
        <w:rPr>
          <w:rFonts w:ascii="Times New Roman" w:hAnsi="Times New Roman" w:cs="Times New Roman"/>
          <w:noProof/>
        </w:rPr>
        <w:lastRenderedPageBreak/>
        <w:t>[136] B. A. WILSON, et al., “Nuclear fuel irradiation testbed for nuclear security applications,” Frontiers in Nuclear Engineering, 2, (2023); 10.3389/fnuen.2023.1123134.</w:t>
      </w:r>
    </w:p>
    <w:p w14:paraId="689E2906" w14:textId="3B4231AC" w:rsidR="00D623B1" w:rsidRPr="00F22A75" w:rsidRDefault="00D623B1" w:rsidP="00F22A75">
      <w:pPr>
        <w:pStyle w:val="EndNoteBibliography"/>
        <w:spacing w:line="480" w:lineRule="auto"/>
        <w:rPr>
          <w:rFonts w:ascii="Times New Roman" w:hAnsi="Times New Roman" w:cs="Times New Roman"/>
          <w:noProof/>
        </w:rPr>
      </w:pPr>
      <w:r w:rsidRPr="00F22A75">
        <w:rPr>
          <w:rFonts w:ascii="Times New Roman" w:hAnsi="Times New Roman" w:cs="Times New Roman"/>
          <w:noProof/>
        </w:rPr>
        <w:t xml:space="preserve">[137] J. M. HARP, et al., “Postirradiation examination from separate effects irradiation testing of uranium nitride kernels and coated particles,” Journal of Nuclear Materials, 544, (2021); </w:t>
      </w:r>
      <w:hyperlink r:id="rId149" w:history="1">
        <w:r w:rsidRPr="00F22A75">
          <w:rPr>
            <w:rStyle w:val="Hyperlink"/>
            <w:rFonts w:ascii="Times New Roman" w:hAnsi="Times New Roman" w:cs="Times New Roman"/>
            <w:noProof/>
          </w:rPr>
          <w:t>https://doi.org/10.1016/j.jnucmat.2020.152696</w:t>
        </w:r>
      </w:hyperlink>
      <w:r w:rsidRPr="00F22A75">
        <w:rPr>
          <w:rFonts w:ascii="Times New Roman" w:hAnsi="Times New Roman" w:cs="Times New Roman"/>
          <w:noProof/>
        </w:rPr>
        <w:t>.</w:t>
      </w:r>
    </w:p>
    <w:p w14:paraId="23E3319D" w14:textId="77777777" w:rsidR="00D623B1" w:rsidRPr="00F22A75" w:rsidRDefault="00D623B1" w:rsidP="00F22A75">
      <w:pPr>
        <w:pStyle w:val="EndNoteBibliography"/>
        <w:spacing w:line="480" w:lineRule="auto"/>
        <w:rPr>
          <w:rFonts w:ascii="Times New Roman" w:hAnsi="Times New Roman" w:cs="Times New Roman"/>
          <w:noProof/>
        </w:rPr>
      </w:pPr>
      <w:r w:rsidRPr="00F22A75">
        <w:rPr>
          <w:rFonts w:ascii="Times New Roman" w:hAnsi="Times New Roman" w:cs="Times New Roman"/>
          <w:noProof/>
        </w:rPr>
        <w:t>[138] A. LE COQ, et al., “MiniFuel Experimental Capability at Oak Ridge National Laboratory,” Oak Ridge National Lab.(ORNL), Oak Ridge, TN (United States) 2022).</w:t>
      </w:r>
    </w:p>
    <w:p w14:paraId="060BA2AE" w14:textId="77777777" w:rsidR="00D623B1" w:rsidRPr="00F22A75" w:rsidRDefault="00D623B1" w:rsidP="00F22A75">
      <w:pPr>
        <w:pStyle w:val="EndNoteBibliography"/>
        <w:spacing w:line="480" w:lineRule="auto"/>
        <w:rPr>
          <w:rFonts w:ascii="Times New Roman" w:hAnsi="Times New Roman" w:cs="Times New Roman"/>
          <w:noProof/>
        </w:rPr>
      </w:pPr>
      <w:r w:rsidRPr="00F22A75">
        <w:rPr>
          <w:rFonts w:ascii="Times New Roman" w:hAnsi="Times New Roman" w:cs="Times New Roman"/>
          <w:noProof/>
        </w:rPr>
        <w:t>[139] M. D. DEHART, “Capabilities of the Halden Reactor and ATR Modifications to Partially Support Halden’s Former Capabilities,” Idaho National Lab.(INL), Idaho Falls, ID (United States) 2021).</w:t>
      </w:r>
    </w:p>
    <w:p w14:paraId="005A56B7" w14:textId="77777777" w:rsidR="00D623B1" w:rsidRPr="00F22A75" w:rsidRDefault="00D623B1" w:rsidP="00F22A75">
      <w:pPr>
        <w:pStyle w:val="EndNoteBibliography"/>
        <w:spacing w:line="480" w:lineRule="auto"/>
        <w:rPr>
          <w:rFonts w:ascii="Times New Roman" w:hAnsi="Times New Roman" w:cs="Times New Roman"/>
          <w:noProof/>
        </w:rPr>
      </w:pPr>
      <w:r w:rsidRPr="00F22A75">
        <w:rPr>
          <w:rFonts w:ascii="Times New Roman" w:hAnsi="Times New Roman" w:cs="Times New Roman"/>
          <w:noProof/>
        </w:rPr>
        <w:t>[140] P. DOYLE, et al., “Accelerated fission rate irradiation design, pre-irradiation characterization, and adaptation of conventional PIE methods for U-10Mo and U-17Mo,” Frontiers in Nuclear Engineering, Volume 1 - 2022, (2023); 10.3389/fnuen.2022.1054288.</w:t>
      </w:r>
    </w:p>
    <w:p w14:paraId="6F5FD68F" w14:textId="26583B37" w:rsidR="00D623B1" w:rsidRPr="00F22A75" w:rsidRDefault="00D623B1" w:rsidP="00F22A75">
      <w:pPr>
        <w:pStyle w:val="EndNoteBibliography"/>
        <w:spacing w:line="480" w:lineRule="auto"/>
        <w:rPr>
          <w:rFonts w:ascii="Times New Roman" w:hAnsi="Times New Roman" w:cs="Times New Roman"/>
          <w:noProof/>
        </w:rPr>
      </w:pPr>
      <w:r w:rsidRPr="00F22A75">
        <w:rPr>
          <w:rFonts w:ascii="Times New Roman" w:hAnsi="Times New Roman" w:cs="Times New Roman"/>
          <w:noProof/>
        </w:rPr>
        <w:t xml:space="preserve">[141] J. P. GORTON, et al., “Simulation of a TRISO MiniFuel irradiation experiment with data-informed uncertainty quantification,” Nuclear Engineering and Design, 404, (2023); </w:t>
      </w:r>
      <w:hyperlink r:id="rId150" w:history="1">
        <w:r w:rsidRPr="00F22A75">
          <w:rPr>
            <w:rStyle w:val="Hyperlink"/>
            <w:rFonts w:ascii="Times New Roman" w:hAnsi="Times New Roman" w:cs="Times New Roman"/>
            <w:noProof/>
          </w:rPr>
          <w:t>https://doi.org/10.1016/j.nucengdes.2023.112177</w:t>
        </w:r>
      </w:hyperlink>
      <w:r w:rsidRPr="00F22A75">
        <w:rPr>
          <w:rFonts w:ascii="Times New Roman" w:hAnsi="Times New Roman" w:cs="Times New Roman"/>
          <w:noProof/>
        </w:rPr>
        <w:t>.</w:t>
      </w:r>
    </w:p>
    <w:p w14:paraId="6F42900E" w14:textId="77777777" w:rsidR="00D623B1" w:rsidRPr="00F22A75" w:rsidRDefault="00D623B1" w:rsidP="00F22A75">
      <w:pPr>
        <w:pStyle w:val="EndNoteBibliography"/>
        <w:spacing w:line="480" w:lineRule="auto"/>
        <w:rPr>
          <w:rFonts w:ascii="Times New Roman" w:hAnsi="Times New Roman" w:cs="Times New Roman"/>
          <w:noProof/>
        </w:rPr>
      </w:pPr>
      <w:r w:rsidRPr="00F22A75">
        <w:rPr>
          <w:rFonts w:ascii="Times New Roman" w:hAnsi="Times New Roman" w:cs="Times New Roman"/>
          <w:noProof/>
        </w:rPr>
        <w:t>[142] C. M. PETRIE, et al., “Monolithic ATF MiniFuel Sample Capsules Ready for HFIR Insertion,” (2020-01-17 2020).</w:t>
      </w:r>
    </w:p>
    <w:p w14:paraId="07665522" w14:textId="77777777" w:rsidR="00D623B1" w:rsidRPr="00F22A75" w:rsidRDefault="00D623B1" w:rsidP="00F22A75">
      <w:pPr>
        <w:pStyle w:val="EndNoteBibliography"/>
        <w:spacing w:line="480" w:lineRule="auto"/>
        <w:rPr>
          <w:rFonts w:ascii="Times New Roman" w:hAnsi="Times New Roman" w:cs="Times New Roman"/>
          <w:noProof/>
        </w:rPr>
      </w:pPr>
      <w:r w:rsidRPr="00F22A75">
        <w:rPr>
          <w:rFonts w:ascii="Times New Roman" w:hAnsi="Times New Roman" w:cs="Times New Roman"/>
          <w:noProof/>
        </w:rPr>
        <w:lastRenderedPageBreak/>
        <w:t>[143] A. LE COQ, et al., “Irradiation Testing of Fully Ceramic Microencapsulated (FCM) Fuel Compacts in the High Flux Isotope Reactor,” Oak Ridge National Laboratory (ORNL), Oak Ridge, TN (United States) 2023).</w:t>
      </w:r>
    </w:p>
    <w:p w14:paraId="3782276B" w14:textId="77777777" w:rsidR="00D623B1" w:rsidRPr="00F22A75" w:rsidRDefault="00D623B1" w:rsidP="00F22A75">
      <w:pPr>
        <w:pStyle w:val="EndNoteBibliography"/>
        <w:spacing w:line="480" w:lineRule="auto"/>
        <w:rPr>
          <w:rFonts w:ascii="Times New Roman" w:hAnsi="Times New Roman" w:cs="Times New Roman"/>
          <w:noProof/>
        </w:rPr>
      </w:pPr>
      <w:r w:rsidRPr="00F22A75">
        <w:rPr>
          <w:rFonts w:ascii="Times New Roman" w:hAnsi="Times New Roman" w:cs="Times New Roman"/>
          <w:noProof/>
        </w:rPr>
        <w:t>[144] B. COLLIN, et al., “TRISO Fuel Performance Pre-test Predictions of HFIR MiniFuel High Power Irradiation,” Oak Ridge National Lab.(ORNL), Oak Ridge, TN (United States) 2022).</w:t>
      </w:r>
    </w:p>
    <w:p w14:paraId="03087279" w14:textId="77777777" w:rsidR="00D623B1" w:rsidRPr="00F22A75" w:rsidRDefault="00D623B1" w:rsidP="00F22A75">
      <w:pPr>
        <w:pStyle w:val="EndNoteBibliography"/>
        <w:spacing w:line="480" w:lineRule="auto"/>
        <w:rPr>
          <w:rFonts w:ascii="Times New Roman" w:hAnsi="Times New Roman" w:cs="Times New Roman"/>
          <w:noProof/>
        </w:rPr>
      </w:pPr>
      <w:r w:rsidRPr="00F22A75">
        <w:rPr>
          <w:rFonts w:ascii="Times New Roman" w:hAnsi="Times New Roman" w:cs="Times New Roman"/>
          <w:noProof/>
        </w:rPr>
        <w:t>[145] A. LE COQ, et al., “UCO TRISO Minifuel FY23 NSUF-Kairos Power Post-Irradiation Examination Status Report,” Oak Ridge National Laboratory (ORNL), Oak Ridge, TN (United States) 2023).</w:t>
      </w:r>
    </w:p>
    <w:p w14:paraId="47D7E17D" w14:textId="77777777" w:rsidR="00D623B1" w:rsidRPr="00F22A75" w:rsidRDefault="00D623B1" w:rsidP="00F22A75">
      <w:pPr>
        <w:pStyle w:val="EndNoteBibliography"/>
        <w:spacing w:line="480" w:lineRule="auto"/>
        <w:rPr>
          <w:rFonts w:ascii="Times New Roman" w:hAnsi="Times New Roman" w:cs="Times New Roman"/>
          <w:noProof/>
        </w:rPr>
      </w:pPr>
      <w:r w:rsidRPr="00F22A75">
        <w:rPr>
          <w:rFonts w:ascii="Times New Roman" w:hAnsi="Times New Roman" w:cs="Times New Roman"/>
          <w:noProof/>
        </w:rPr>
        <w:t>[146] A. LE COQ, et al., “Assembly of MiniFuel Targets for Irradiation of U-Mo Fuel Specimens in the High Flux Isotope Reactor,” Oak Ridge National Lab.(ORNL), Oak Ridge, TN (United States) 2021).</w:t>
      </w:r>
    </w:p>
    <w:p w14:paraId="6BBFDD95" w14:textId="1DC9680C" w:rsidR="00D623B1" w:rsidRPr="00F22A75" w:rsidRDefault="00D623B1" w:rsidP="00F22A75">
      <w:pPr>
        <w:pStyle w:val="EndNoteBibliography"/>
        <w:spacing w:line="480" w:lineRule="auto"/>
        <w:rPr>
          <w:rFonts w:ascii="Times New Roman" w:hAnsi="Times New Roman" w:cs="Times New Roman"/>
          <w:noProof/>
        </w:rPr>
      </w:pPr>
      <w:r w:rsidRPr="00F22A75">
        <w:rPr>
          <w:rFonts w:ascii="Times New Roman" w:hAnsi="Times New Roman" w:cs="Times New Roman"/>
          <w:noProof/>
        </w:rPr>
        <w:t xml:space="preserve">[147] J. P. GORTON, et al., “Modeling and design of a separate effects irradiation test targeting fission gas release from Cr-doped UO2,” Nuclear Engineering and Design, 429, (2024); </w:t>
      </w:r>
      <w:hyperlink r:id="rId151" w:history="1">
        <w:r w:rsidRPr="00F22A75">
          <w:rPr>
            <w:rStyle w:val="Hyperlink"/>
            <w:rFonts w:ascii="Times New Roman" w:hAnsi="Times New Roman" w:cs="Times New Roman"/>
            <w:noProof/>
          </w:rPr>
          <w:t>https://doi.org/10.1016/j.nucengdes.2024.113571</w:t>
        </w:r>
      </w:hyperlink>
      <w:r w:rsidRPr="00F22A75">
        <w:rPr>
          <w:rFonts w:ascii="Times New Roman" w:hAnsi="Times New Roman" w:cs="Times New Roman"/>
          <w:noProof/>
        </w:rPr>
        <w:t>.</w:t>
      </w:r>
    </w:p>
    <w:p w14:paraId="634D76B1" w14:textId="77777777" w:rsidR="00D623B1" w:rsidRPr="00F22A75" w:rsidRDefault="00D623B1" w:rsidP="00F22A75">
      <w:pPr>
        <w:pStyle w:val="EndNoteBibliography"/>
        <w:spacing w:line="480" w:lineRule="auto"/>
        <w:rPr>
          <w:rFonts w:ascii="Times New Roman" w:hAnsi="Times New Roman" w:cs="Times New Roman"/>
          <w:noProof/>
        </w:rPr>
      </w:pPr>
      <w:r w:rsidRPr="00F22A75">
        <w:rPr>
          <w:rFonts w:ascii="Times New Roman" w:hAnsi="Times New Roman" w:cs="Times New Roman"/>
          <w:noProof/>
        </w:rPr>
        <w:t>[148] Y. S. TOULOUKIAN, et al., “Thermophysical properties of matter - the TPRC data series. Volume 2. Thermal conductivity - nonmetallic solids. (Reannouncement). Data book,” (1971-01-01 1971).</w:t>
      </w:r>
    </w:p>
    <w:p w14:paraId="068F0EB7" w14:textId="77777777" w:rsidR="00D623B1" w:rsidRPr="00F22A75" w:rsidRDefault="00D623B1" w:rsidP="00F22A75">
      <w:pPr>
        <w:pStyle w:val="EndNoteBibliography"/>
        <w:spacing w:line="480" w:lineRule="auto"/>
        <w:rPr>
          <w:rFonts w:ascii="Times New Roman" w:hAnsi="Times New Roman" w:cs="Times New Roman"/>
          <w:noProof/>
        </w:rPr>
      </w:pPr>
      <w:r w:rsidRPr="00F22A75">
        <w:rPr>
          <w:rFonts w:ascii="Times New Roman" w:hAnsi="Times New Roman" w:cs="Times New Roman"/>
          <w:noProof/>
        </w:rPr>
        <w:t>[149] C. E. BEYER and D. D. LANNING, “Review of fuel thermal conductivity data and models,” NEA, 1999-12-31.</w:t>
      </w:r>
    </w:p>
    <w:p w14:paraId="56B20573" w14:textId="77777777" w:rsidR="00D623B1" w:rsidRPr="00F22A75" w:rsidRDefault="00D623B1" w:rsidP="00F22A75">
      <w:pPr>
        <w:pStyle w:val="EndNoteBibliography"/>
        <w:spacing w:line="480" w:lineRule="auto"/>
        <w:rPr>
          <w:rFonts w:ascii="Times New Roman" w:hAnsi="Times New Roman" w:cs="Times New Roman"/>
          <w:noProof/>
        </w:rPr>
      </w:pPr>
      <w:r w:rsidRPr="00F22A75">
        <w:rPr>
          <w:rFonts w:ascii="Times New Roman" w:hAnsi="Times New Roman" w:cs="Times New Roman"/>
          <w:noProof/>
        </w:rPr>
        <w:t>[150] C. DAILY, et al., “HFIRCON Version 1.0.5 User Guide,” (2020-10-01 2020).</w:t>
      </w:r>
    </w:p>
    <w:p w14:paraId="291C90C0" w14:textId="77777777" w:rsidR="00D623B1" w:rsidRPr="00F22A75" w:rsidRDefault="00D623B1" w:rsidP="00F22A75">
      <w:pPr>
        <w:pStyle w:val="EndNoteBibliography"/>
        <w:spacing w:line="480" w:lineRule="auto"/>
        <w:rPr>
          <w:rFonts w:ascii="Times New Roman" w:hAnsi="Times New Roman" w:cs="Times New Roman"/>
          <w:noProof/>
        </w:rPr>
      </w:pPr>
      <w:r w:rsidRPr="00F22A75">
        <w:rPr>
          <w:rFonts w:ascii="Times New Roman" w:hAnsi="Times New Roman" w:cs="Times New Roman"/>
          <w:noProof/>
        </w:rPr>
        <w:lastRenderedPageBreak/>
        <w:t>[151] D. CHANDLER and C. DAILY, “Deployment of the HFIRCON Transport and Depletion Tool for Plutonium-238 Production Studies,” Oak Ridge National Lab.(ORNL), Oak Ridge, TN (United States) 2022).</w:t>
      </w:r>
    </w:p>
    <w:p w14:paraId="41696580" w14:textId="14EA66F8" w:rsidR="00D623B1" w:rsidRPr="00F22A75" w:rsidRDefault="00D623B1" w:rsidP="00F22A75">
      <w:pPr>
        <w:pStyle w:val="EndNoteBibliography"/>
        <w:spacing w:line="480" w:lineRule="auto"/>
        <w:rPr>
          <w:rFonts w:ascii="Times New Roman" w:hAnsi="Times New Roman" w:cs="Times New Roman"/>
          <w:noProof/>
        </w:rPr>
      </w:pPr>
      <w:r w:rsidRPr="00F22A75">
        <w:rPr>
          <w:rFonts w:ascii="Times New Roman" w:hAnsi="Times New Roman" w:cs="Times New Roman"/>
          <w:noProof/>
        </w:rPr>
        <w:t xml:space="preserve">[152] D. CHANDLER, et al., “Fuel cycle depletion validation and code-to-code verification studies for High Flux Isotope Reactor highly and low-enriched uranium fuel designs,” Annals of Nuclear Energy, 190, (2023); </w:t>
      </w:r>
      <w:hyperlink r:id="rId152" w:history="1">
        <w:r w:rsidRPr="00F22A75">
          <w:rPr>
            <w:rStyle w:val="Hyperlink"/>
            <w:rFonts w:ascii="Times New Roman" w:hAnsi="Times New Roman" w:cs="Times New Roman"/>
            <w:noProof/>
          </w:rPr>
          <w:t>https://doi.org/10.1016/j.anucene.2023.109895</w:t>
        </w:r>
      </w:hyperlink>
      <w:r w:rsidRPr="00F22A75">
        <w:rPr>
          <w:rFonts w:ascii="Times New Roman" w:hAnsi="Times New Roman" w:cs="Times New Roman"/>
          <w:noProof/>
        </w:rPr>
        <w:t>.</w:t>
      </w:r>
    </w:p>
    <w:p w14:paraId="03369C50" w14:textId="77777777" w:rsidR="00D623B1" w:rsidRPr="00F22A75" w:rsidRDefault="00D623B1" w:rsidP="00F22A75">
      <w:pPr>
        <w:pStyle w:val="EndNoteBibliography"/>
        <w:spacing w:line="480" w:lineRule="auto"/>
        <w:rPr>
          <w:rFonts w:ascii="Times New Roman" w:hAnsi="Times New Roman" w:cs="Times New Roman"/>
          <w:noProof/>
        </w:rPr>
      </w:pPr>
      <w:r w:rsidRPr="00F22A75">
        <w:rPr>
          <w:rFonts w:ascii="Times New Roman" w:hAnsi="Times New Roman" w:cs="Times New Roman"/>
          <w:noProof/>
        </w:rPr>
        <w:t>[153] J. L. MCDUFFEE, “Heat Transfer Through Small Moveable Gas Gaps in a Multi-Body System Using the ANSYS Finite Element Software,” presented at ASME 2013 Heat Transfer Summer Conference, 2013.</w:t>
      </w:r>
    </w:p>
    <w:p w14:paraId="03D29CCE" w14:textId="77777777" w:rsidR="00D623B1" w:rsidRPr="00F22A75" w:rsidRDefault="00D623B1" w:rsidP="00F22A75">
      <w:pPr>
        <w:pStyle w:val="EndNoteBibliography"/>
        <w:spacing w:line="480" w:lineRule="auto"/>
        <w:rPr>
          <w:rFonts w:ascii="Times New Roman" w:hAnsi="Times New Roman" w:cs="Times New Roman"/>
          <w:noProof/>
        </w:rPr>
      </w:pPr>
      <w:r w:rsidRPr="00F22A75">
        <w:rPr>
          <w:rFonts w:ascii="Times New Roman" w:hAnsi="Times New Roman" w:cs="Times New Roman"/>
          <w:noProof/>
        </w:rPr>
        <w:t>[154] SGLCARBON, “Flexible graphite foils and sheets for high temperature applications,” (March 2022).</w:t>
      </w:r>
    </w:p>
    <w:p w14:paraId="55129E5C" w14:textId="77777777" w:rsidR="00D623B1" w:rsidRPr="00F22A75" w:rsidRDefault="00D623B1" w:rsidP="00F22A75">
      <w:pPr>
        <w:pStyle w:val="EndNoteBibliography"/>
        <w:spacing w:line="480" w:lineRule="auto"/>
        <w:rPr>
          <w:rFonts w:ascii="Times New Roman" w:hAnsi="Times New Roman" w:cs="Times New Roman"/>
          <w:noProof/>
        </w:rPr>
      </w:pPr>
      <w:r w:rsidRPr="00F22A75">
        <w:rPr>
          <w:rFonts w:ascii="Times New Roman" w:hAnsi="Times New Roman" w:cs="Times New Roman"/>
          <w:noProof/>
        </w:rPr>
        <w:t>[155] G. STRYDOM, “IAEA Coordinated Research Project on HTGR Physics, Thermal-Hydraulics, and Depletion Uncertainty Analysis Prismatic HTGR Benchmark Specification: Phase II,” (2018-04-01 2018).</w:t>
      </w:r>
    </w:p>
    <w:p w14:paraId="0000E8DA" w14:textId="77777777" w:rsidR="00D623B1" w:rsidRPr="00F22A75" w:rsidRDefault="00D623B1" w:rsidP="00F22A75">
      <w:pPr>
        <w:pStyle w:val="EndNoteBibliography"/>
        <w:spacing w:line="480" w:lineRule="auto"/>
        <w:rPr>
          <w:rFonts w:ascii="Times New Roman" w:hAnsi="Times New Roman" w:cs="Times New Roman"/>
          <w:noProof/>
        </w:rPr>
      </w:pPr>
      <w:r w:rsidRPr="00F22A75">
        <w:rPr>
          <w:rFonts w:ascii="Times New Roman" w:hAnsi="Times New Roman" w:cs="Times New Roman"/>
          <w:noProof/>
        </w:rPr>
        <w:t>[156] CINDAS, “global benchmark for critically evaluated materials properties</w:t>
      </w:r>
    </w:p>
    <w:p w14:paraId="78F5F8C7" w14:textId="2239DAF2" w:rsidR="00D623B1" w:rsidRPr="00F22A75" w:rsidRDefault="00D623B1" w:rsidP="00F22A75">
      <w:pPr>
        <w:pStyle w:val="EndNoteBibliography"/>
        <w:spacing w:line="480" w:lineRule="auto"/>
        <w:rPr>
          <w:rFonts w:ascii="Times New Roman" w:hAnsi="Times New Roman" w:cs="Times New Roman"/>
          <w:noProof/>
        </w:rPr>
      </w:pPr>
      <w:r w:rsidRPr="00F22A75">
        <w:rPr>
          <w:rFonts w:ascii="Times New Roman" w:hAnsi="Times New Roman" w:cs="Times New Roman"/>
          <w:noProof/>
        </w:rPr>
        <w:t xml:space="preserve">data,” (2016); </w:t>
      </w:r>
      <w:hyperlink r:id="rId153" w:history="1">
        <w:r w:rsidRPr="00F22A75">
          <w:rPr>
            <w:rStyle w:val="Hyperlink"/>
            <w:rFonts w:ascii="Times New Roman" w:hAnsi="Times New Roman" w:cs="Times New Roman"/>
            <w:noProof/>
          </w:rPr>
          <w:t>http://cindasdata.com</w:t>
        </w:r>
      </w:hyperlink>
      <w:r w:rsidRPr="00F22A75">
        <w:rPr>
          <w:rFonts w:ascii="Times New Roman" w:hAnsi="Times New Roman" w:cs="Times New Roman"/>
          <w:noProof/>
        </w:rPr>
        <w:t>.</w:t>
      </w:r>
    </w:p>
    <w:p w14:paraId="6D03A80A" w14:textId="1BF5CDEE" w:rsidR="00D623B1" w:rsidRPr="00F22A75" w:rsidRDefault="00D623B1" w:rsidP="00F22A75">
      <w:pPr>
        <w:pStyle w:val="EndNoteBibliography"/>
        <w:spacing w:line="480" w:lineRule="auto"/>
        <w:rPr>
          <w:rFonts w:ascii="Times New Roman" w:hAnsi="Times New Roman" w:cs="Times New Roman"/>
          <w:noProof/>
        </w:rPr>
      </w:pPr>
      <w:r w:rsidRPr="00F22A75">
        <w:rPr>
          <w:rFonts w:ascii="Times New Roman" w:hAnsi="Times New Roman" w:cs="Times New Roman"/>
          <w:noProof/>
        </w:rPr>
        <w:t xml:space="preserve">[157] “Grafoil Engineering Manual,” second ed., (2002); </w:t>
      </w:r>
      <w:hyperlink r:id="rId154" w:history="1">
        <w:r w:rsidRPr="00F22A75">
          <w:rPr>
            <w:rStyle w:val="Hyperlink"/>
            <w:rFonts w:ascii="Times New Roman" w:hAnsi="Times New Roman" w:cs="Times New Roman"/>
            <w:noProof/>
          </w:rPr>
          <w:t>http://www.graftech.com/wp-content/uploads/2014/12/GRAFOIL-Engineering-Manual-2nd-Ed.pdf</w:t>
        </w:r>
      </w:hyperlink>
      <w:r w:rsidRPr="00F22A75">
        <w:rPr>
          <w:rFonts w:ascii="Times New Roman" w:hAnsi="Times New Roman" w:cs="Times New Roman"/>
          <w:noProof/>
        </w:rPr>
        <w:t>.</w:t>
      </w:r>
    </w:p>
    <w:p w14:paraId="426F14E6" w14:textId="77777777" w:rsidR="00D623B1" w:rsidRPr="00F22A75" w:rsidRDefault="00D623B1" w:rsidP="00F22A75">
      <w:pPr>
        <w:pStyle w:val="EndNoteBibliography"/>
        <w:spacing w:line="480" w:lineRule="auto"/>
        <w:rPr>
          <w:rFonts w:ascii="Times New Roman" w:hAnsi="Times New Roman" w:cs="Times New Roman"/>
          <w:noProof/>
        </w:rPr>
      </w:pPr>
      <w:r w:rsidRPr="00F22A75">
        <w:rPr>
          <w:rFonts w:ascii="Times New Roman" w:hAnsi="Times New Roman" w:cs="Times New Roman"/>
          <w:noProof/>
        </w:rPr>
        <w:lastRenderedPageBreak/>
        <w:t>[158] G. NEUER and G. JAROMA-WEILAND, “Spectral and Total Emissivity of High-Temperature Materials,” International Journal of Thermophysics, 19, 3, (1998); 10.1023/A:1022607426413.</w:t>
      </w:r>
    </w:p>
    <w:p w14:paraId="212CDC35" w14:textId="77777777" w:rsidR="00D623B1" w:rsidRPr="00F22A75" w:rsidRDefault="00D623B1" w:rsidP="00F22A75">
      <w:pPr>
        <w:pStyle w:val="EndNoteBibliography"/>
        <w:spacing w:line="480" w:lineRule="auto"/>
        <w:rPr>
          <w:rFonts w:ascii="Times New Roman" w:hAnsi="Times New Roman" w:cs="Times New Roman"/>
          <w:noProof/>
        </w:rPr>
      </w:pPr>
      <w:r w:rsidRPr="00F22A75">
        <w:rPr>
          <w:rFonts w:ascii="Times New Roman" w:hAnsi="Times New Roman" w:cs="Times New Roman"/>
          <w:noProof/>
        </w:rPr>
        <w:t>[159] Y. S. TOULOUKIAN and D. P. DEWITT, “Thermophysical properties of matter - the TPRC data series. Volume 7. Thermal radiative properties - metallic elements and alloys. (Reannouncement). Data book,” (1970-01-01 1970).</w:t>
      </w:r>
    </w:p>
    <w:p w14:paraId="77E023D2" w14:textId="77777777" w:rsidR="00D623B1" w:rsidRPr="00F22A75" w:rsidRDefault="00D623B1" w:rsidP="00F22A75">
      <w:pPr>
        <w:pStyle w:val="EndNoteBibliography"/>
        <w:spacing w:line="480" w:lineRule="auto"/>
        <w:rPr>
          <w:rFonts w:ascii="Times New Roman" w:hAnsi="Times New Roman" w:cs="Times New Roman"/>
          <w:noProof/>
        </w:rPr>
      </w:pPr>
      <w:r w:rsidRPr="00F22A75">
        <w:rPr>
          <w:rFonts w:ascii="Times New Roman" w:hAnsi="Times New Roman" w:cs="Times New Roman"/>
          <w:noProof/>
        </w:rPr>
        <w:t>[160] D. T. HAGRMAN, C. M. ALLISON and G. A. BERNA, “SCDAP/RELAP5/MOD 3.1 code manual: MATPRO, A library of materials properties for Light-Water-Reactor accident analysis. Volume 4,” (1995-06-01 1995).</w:t>
      </w:r>
    </w:p>
    <w:p w14:paraId="4A45C262" w14:textId="72BC6EF0" w:rsidR="00D623B1" w:rsidRPr="00F22A75" w:rsidRDefault="00D623B1" w:rsidP="00F22A75">
      <w:pPr>
        <w:pStyle w:val="EndNoteBibliography"/>
        <w:spacing w:line="480" w:lineRule="auto"/>
        <w:rPr>
          <w:rFonts w:ascii="Times New Roman" w:hAnsi="Times New Roman" w:cs="Times New Roman"/>
          <w:noProof/>
        </w:rPr>
      </w:pPr>
      <w:r w:rsidRPr="00F22A75">
        <w:rPr>
          <w:rFonts w:ascii="Times New Roman" w:hAnsi="Times New Roman" w:cs="Times New Roman"/>
          <w:noProof/>
        </w:rPr>
        <w:t xml:space="preserve">[161] L. L. SNEAD, et al., “Handbook of SiC properties for fuel performance modeling,” Journal of Nuclear Materials, 371, 1, (2007); </w:t>
      </w:r>
      <w:hyperlink r:id="rId155" w:history="1">
        <w:r w:rsidRPr="00F22A75">
          <w:rPr>
            <w:rStyle w:val="Hyperlink"/>
            <w:rFonts w:ascii="Times New Roman" w:hAnsi="Times New Roman" w:cs="Times New Roman"/>
            <w:noProof/>
          </w:rPr>
          <w:t>https://doi.org/10.1016/j.jnucmat.2007.05.016</w:t>
        </w:r>
      </w:hyperlink>
      <w:r w:rsidRPr="00F22A75">
        <w:rPr>
          <w:rFonts w:ascii="Times New Roman" w:hAnsi="Times New Roman" w:cs="Times New Roman"/>
          <w:noProof/>
        </w:rPr>
        <w:t>.</w:t>
      </w:r>
    </w:p>
    <w:p w14:paraId="76BF6C9D" w14:textId="77777777" w:rsidR="00D623B1" w:rsidRPr="00F22A75" w:rsidRDefault="00D623B1" w:rsidP="00F22A75">
      <w:pPr>
        <w:pStyle w:val="EndNoteBibliography"/>
        <w:spacing w:line="480" w:lineRule="auto"/>
        <w:rPr>
          <w:rFonts w:ascii="Times New Roman" w:hAnsi="Times New Roman" w:cs="Times New Roman"/>
          <w:noProof/>
        </w:rPr>
      </w:pPr>
      <w:r w:rsidRPr="00F22A75">
        <w:rPr>
          <w:rFonts w:ascii="Times New Roman" w:hAnsi="Times New Roman" w:cs="Times New Roman"/>
          <w:noProof/>
        </w:rPr>
        <w:t>[162] Y. S. TOULOUKIAN, et al., “Thermophysical properties of matter - the TPRC data series. Volume 12. Thermal expansion metallic elements and alloys. (Reannouncement). Data book,” (1975-01-01 1975).</w:t>
      </w:r>
    </w:p>
    <w:p w14:paraId="1351F57E" w14:textId="77777777" w:rsidR="00D623B1" w:rsidRPr="00F22A75" w:rsidRDefault="00D623B1" w:rsidP="00F22A75">
      <w:pPr>
        <w:pStyle w:val="EndNoteBibliography"/>
        <w:spacing w:line="480" w:lineRule="auto"/>
        <w:rPr>
          <w:rFonts w:ascii="Times New Roman" w:hAnsi="Times New Roman" w:cs="Times New Roman"/>
          <w:noProof/>
        </w:rPr>
      </w:pPr>
      <w:r w:rsidRPr="00F22A75">
        <w:rPr>
          <w:rFonts w:ascii="Times New Roman" w:hAnsi="Times New Roman" w:cs="Times New Roman"/>
          <w:noProof/>
        </w:rPr>
        <w:t>[163] D. LANNING, C. BEYER and K. GEELHOOD, Frapcon-3 updates, including mixed-oxide fuel properties, NUREG/CR-6534, Vol. 4, U.S. Nuclear Regulatory Commission, (1997).</w:t>
      </w:r>
    </w:p>
    <w:p w14:paraId="44ED6108" w14:textId="1D4557D7" w:rsidR="00D623B1" w:rsidRPr="00F22A75" w:rsidRDefault="00D623B1" w:rsidP="00F22A75">
      <w:pPr>
        <w:pStyle w:val="EndNoteBibliography"/>
        <w:spacing w:line="480" w:lineRule="auto"/>
        <w:rPr>
          <w:rFonts w:ascii="Times New Roman" w:hAnsi="Times New Roman" w:cs="Times New Roman"/>
          <w:noProof/>
        </w:rPr>
      </w:pPr>
      <w:r w:rsidRPr="00F22A75">
        <w:rPr>
          <w:rFonts w:ascii="Times New Roman" w:hAnsi="Times New Roman" w:cs="Times New Roman"/>
          <w:noProof/>
        </w:rPr>
        <w:t xml:space="preserve">[164] JON HERMAN and W. USHER, “SALib: An open-source Python library for sensitivity analysis. Journal of Open Source Software,” The Journal of Open Source Software, 2, (2017); </w:t>
      </w:r>
      <w:hyperlink r:id="rId156" w:history="1">
        <w:r w:rsidRPr="00F22A75">
          <w:rPr>
            <w:rStyle w:val="Hyperlink"/>
            <w:rFonts w:ascii="Times New Roman" w:hAnsi="Times New Roman" w:cs="Times New Roman"/>
            <w:noProof/>
          </w:rPr>
          <w:t>https://doi.org/10.21105/joss.00097</w:t>
        </w:r>
      </w:hyperlink>
      <w:r w:rsidRPr="00F22A75">
        <w:rPr>
          <w:rFonts w:ascii="Times New Roman" w:hAnsi="Times New Roman" w:cs="Times New Roman"/>
          <w:noProof/>
        </w:rPr>
        <w:t>.</w:t>
      </w:r>
    </w:p>
    <w:p w14:paraId="0D546556" w14:textId="38CCDB1F" w:rsidR="00D623B1" w:rsidRPr="00F22A75" w:rsidRDefault="00D623B1" w:rsidP="00F22A75">
      <w:pPr>
        <w:pStyle w:val="EndNoteBibliography"/>
        <w:spacing w:line="480" w:lineRule="auto"/>
        <w:rPr>
          <w:rFonts w:ascii="Times New Roman" w:hAnsi="Times New Roman" w:cs="Times New Roman"/>
          <w:noProof/>
        </w:rPr>
      </w:pPr>
      <w:r w:rsidRPr="00F22A75">
        <w:rPr>
          <w:rFonts w:ascii="Times New Roman" w:hAnsi="Times New Roman" w:cs="Times New Roman"/>
          <w:noProof/>
        </w:rPr>
        <w:lastRenderedPageBreak/>
        <w:t xml:space="preserve">[165] TAKUYA IWANAGA, WILLIAM USHER and J. HERMAN, “Toward SALib 2.0: Advancing the accessibility and interpretability of global sensitivity analyses,” Socio-Environmental Systems Modelling, 4, (2022); </w:t>
      </w:r>
      <w:hyperlink r:id="rId157" w:history="1">
        <w:r w:rsidRPr="00F22A75">
          <w:rPr>
            <w:rStyle w:val="Hyperlink"/>
            <w:rFonts w:ascii="Times New Roman" w:hAnsi="Times New Roman" w:cs="Times New Roman"/>
            <w:noProof/>
          </w:rPr>
          <w:t>https://doi.org/10.18174/sesmo.18155</w:t>
        </w:r>
      </w:hyperlink>
      <w:r w:rsidRPr="00F22A75">
        <w:rPr>
          <w:rFonts w:ascii="Times New Roman" w:hAnsi="Times New Roman" w:cs="Times New Roman"/>
          <w:noProof/>
        </w:rPr>
        <w:t>.</w:t>
      </w:r>
    </w:p>
    <w:p w14:paraId="5F613CF7" w14:textId="6A8B9CE8" w:rsidR="00D623B1" w:rsidRPr="00F22A75" w:rsidRDefault="00D623B1" w:rsidP="00F22A75">
      <w:pPr>
        <w:pStyle w:val="EndNoteBibliography"/>
        <w:spacing w:line="480" w:lineRule="auto"/>
        <w:rPr>
          <w:rFonts w:ascii="Times New Roman" w:hAnsi="Times New Roman" w:cs="Times New Roman"/>
          <w:noProof/>
        </w:rPr>
      </w:pPr>
      <w:r w:rsidRPr="00F22A75">
        <w:rPr>
          <w:rFonts w:ascii="Times New Roman" w:hAnsi="Times New Roman" w:cs="Times New Roman"/>
          <w:noProof/>
        </w:rPr>
        <w:t xml:space="preserve">[166] J. YANG, “Convergence and uncertainty analyses in Monte-Carlo based sensitivity analysis,” Environmental Modelling &amp; Software, 26, 4, (2011); </w:t>
      </w:r>
      <w:hyperlink r:id="rId158" w:history="1">
        <w:r w:rsidRPr="00F22A75">
          <w:rPr>
            <w:rStyle w:val="Hyperlink"/>
            <w:rFonts w:ascii="Times New Roman" w:hAnsi="Times New Roman" w:cs="Times New Roman"/>
            <w:noProof/>
          </w:rPr>
          <w:t>https://doi.org/10.1016/j.envsoft.2010.10.007</w:t>
        </w:r>
      </w:hyperlink>
      <w:r w:rsidRPr="00F22A75">
        <w:rPr>
          <w:rFonts w:ascii="Times New Roman" w:hAnsi="Times New Roman" w:cs="Times New Roman"/>
          <w:noProof/>
        </w:rPr>
        <w:t>.</w:t>
      </w:r>
    </w:p>
    <w:p w14:paraId="215F3953" w14:textId="687F94DD" w:rsidR="00D623B1" w:rsidRPr="00F22A75" w:rsidRDefault="00D623B1" w:rsidP="00F22A75">
      <w:pPr>
        <w:pStyle w:val="EndNoteBibliography"/>
        <w:spacing w:line="480" w:lineRule="auto"/>
        <w:rPr>
          <w:rFonts w:ascii="Times New Roman" w:hAnsi="Times New Roman" w:cs="Times New Roman"/>
          <w:noProof/>
        </w:rPr>
      </w:pPr>
      <w:r w:rsidRPr="00F22A75">
        <w:rPr>
          <w:rFonts w:ascii="Times New Roman" w:hAnsi="Times New Roman" w:cs="Times New Roman"/>
          <w:noProof/>
        </w:rPr>
        <w:t xml:space="preserve">[167] E. VANUYTRECHT, D. RAES and P. WILLEMS, “Global sensitivity analysis of yield output from the water productivity model,” Environmental Modelling &amp; Software, 51, (2014); </w:t>
      </w:r>
      <w:hyperlink r:id="rId159" w:history="1">
        <w:r w:rsidRPr="00F22A75">
          <w:rPr>
            <w:rStyle w:val="Hyperlink"/>
            <w:rFonts w:ascii="Times New Roman" w:hAnsi="Times New Roman" w:cs="Times New Roman"/>
            <w:noProof/>
          </w:rPr>
          <w:t>https://doi.org/10.1016/j.envsoft.2013.10.017</w:t>
        </w:r>
      </w:hyperlink>
      <w:r w:rsidRPr="00F22A75">
        <w:rPr>
          <w:rFonts w:ascii="Times New Roman" w:hAnsi="Times New Roman" w:cs="Times New Roman"/>
          <w:noProof/>
        </w:rPr>
        <w:t>.</w:t>
      </w:r>
    </w:p>
    <w:p w14:paraId="13461D50" w14:textId="244CC70A" w:rsidR="00D623B1" w:rsidRPr="00F22A75" w:rsidRDefault="00D623B1" w:rsidP="00F22A75">
      <w:pPr>
        <w:pStyle w:val="EndNoteBibliography"/>
        <w:spacing w:line="480" w:lineRule="auto"/>
        <w:rPr>
          <w:rFonts w:ascii="Times New Roman" w:hAnsi="Times New Roman" w:cs="Times New Roman"/>
          <w:noProof/>
        </w:rPr>
      </w:pPr>
      <w:r w:rsidRPr="00F22A75">
        <w:rPr>
          <w:rFonts w:ascii="Times New Roman" w:hAnsi="Times New Roman" w:cs="Times New Roman"/>
          <w:noProof/>
        </w:rPr>
        <w:t xml:space="preserve">[168] P. A. VANROLLEGHEM, et al., “Global sensitivity analysis for urban water quality modelling: Terminology, convergence and comparison of different methods,” Journal of Hydrology, 522, (2015); </w:t>
      </w:r>
      <w:hyperlink r:id="rId160" w:history="1">
        <w:r w:rsidRPr="00F22A75">
          <w:rPr>
            <w:rStyle w:val="Hyperlink"/>
            <w:rFonts w:ascii="Times New Roman" w:hAnsi="Times New Roman" w:cs="Times New Roman"/>
            <w:noProof/>
          </w:rPr>
          <w:t>https://doi.org/10.1016/j.jhydrol.2014.12.056</w:t>
        </w:r>
      </w:hyperlink>
      <w:r w:rsidRPr="00F22A75">
        <w:rPr>
          <w:rFonts w:ascii="Times New Roman" w:hAnsi="Times New Roman" w:cs="Times New Roman"/>
          <w:noProof/>
        </w:rPr>
        <w:t>.</w:t>
      </w:r>
    </w:p>
    <w:p w14:paraId="31B20043" w14:textId="550CE8CD" w:rsidR="00D623B1" w:rsidRPr="00F22A75" w:rsidRDefault="00D623B1" w:rsidP="00F22A75">
      <w:pPr>
        <w:pStyle w:val="EndNoteBibliography"/>
        <w:spacing w:line="480" w:lineRule="auto"/>
        <w:rPr>
          <w:rFonts w:ascii="Times New Roman" w:hAnsi="Times New Roman" w:cs="Times New Roman"/>
          <w:noProof/>
        </w:rPr>
      </w:pPr>
      <w:r w:rsidRPr="00F22A75">
        <w:rPr>
          <w:rFonts w:ascii="Times New Roman" w:hAnsi="Times New Roman" w:cs="Times New Roman"/>
          <w:noProof/>
        </w:rPr>
        <w:t xml:space="preserve">[169] F. SARRAZIN, F. PIANOSI and T. WAGENER, “Global Sensitivity Analysis of environmental models: Convergence and validation,” Environmental Modelling &amp; Software, 79, (2016); </w:t>
      </w:r>
      <w:hyperlink r:id="rId161" w:history="1">
        <w:r w:rsidRPr="00F22A75">
          <w:rPr>
            <w:rStyle w:val="Hyperlink"/>
            <w:rFonts w:ascii="Times New Roman" w:hAnsi="Times New Roman" w:cs="Times New Roman"/>
            <w:noProof/>
          </w:rPr>
          <w:t>https://doi.org/10.1016/j.envsoft.2016.02.005</w:t>
        </w:r>
      </w:hyperlink>
      <w:r w:rsidRPr="00F22A75">
        <w:rPr>
          <w:rFonts w:ascii="Times New Roman" w:hAnsi="Times New Roman" w:cs="Times New Roman"/>
          <w:noProof/>
        </w:rPr>
        <w:t>.</w:t>
      </w:r>
    </w:p>
    <w:p w14:paraId="5163BA1A" w14:textId="282919A0" w:rsidR="00D623B1" w:rsidRPr="00F22A75" w:rsidRDefault="00D623B1" w:rsidP="00F22A75">
      <w:pPr>
        <w:pStyle w:val="EndNoteBibliography"/>
        <w:spacing w:line="480" w:lineRule="auto"/>
        <w:rPr>
          <w:rFonts w:ascii="Times New Roman" w:hAnsi="Times New Roman" w:cs="Times New Roman"/>
          <w:noProof/>
        </w:rPr>
      </w:pPr>
      <w:r w:rsidRPr="00F22A75">
        <w:rPr>
          <w:rFonts w:ascii="Times New Roman" w:hAnsi="Times New Roman" w:cs="Times New Roman"/>
          <w:noProof/>
        </w:rPr>
        <w:t xml:space="preserve">[170] K. MENBERG, Y. HEO and R. CHOUDHARY, “Sensitivity analysis methods for building energy models: Comparing computational costs and extractable information,” Energy and Buildings, 133, (2016); </w:t>
      </w:r>
      <w:hyperlink r:id="rId162" w:history="1">
        <w:r w:rsidRPr="00F22A75">
          <w:rPr>
            <w:rStyle w:val="Hyperlink"/>
            <w:rFonts w:ascii="Times New Roman" w:hAnsi="Times New Roman" w:cs="Times New Roman"/>
            <w:noProof/>
          </w:rPr>
          <w:t>https://doi.org/10.1016/j.enbuild.2016.10.005</w:t>
        </w:r>
      </w:hyperlink>
      <w:r w:rsidRPr="00F22A75">
        <w:rPr>
          <w:rFonts w:ascii="Times New Roman" w:hAnsi="Times New Roman" w:cs="Times New Roman"/>
          <w:noProof/>
        </w:rPr>
        <w:t>.</w:t>
      </w:r>
    </w:p>
    <w:p w14:paraId="51EF72D8" w14:textId="77777777" w:rsidR="00D623B1" w:rsidRPr="00F22A75" w:rsidRDefault="00D623B1" w:rsidP="00F22A75">
      <w:pPr>
        <w:pStyle w:val="EndNoteBibliography"/>
        <w:spacing w:line="480" w:lineRule="auto"/>
        <w:rPr>
          <w:rFonts w:ascii="Times New Roman" w:hAnsi="Times New Roman" w:cs="Times New Roman"/>
          <w:noProof/>
        </w:rPr>
      </w:pPr>
      <w:r w:rsidRPr="00F22A75">
        <w:rPr>
          <w:rFonts w:ascii="Times New Roman" w:hAnsi="Times New Roman" w:cs="Times New Roman"/>
          <w:noProof/>
        </w:rPr>
        <w:lastRenderedPageBreak/>
        <w:t>[171] J. LI, et al., “Assessing parameter importance of the Common Land Model based on qualitative and quantitative sensitivity analysis,” Hydrol. Earth Syst. Sci., 17, 8, (2013); 10.5194/hess-17-3279-2013.</w:t>
      </w:r>
    </w:p>
    <w:p w14:paraId="27544306" w14:textId="0B23E54A" w:rsidR="00D623B1" w:rsidRPr="00F22A75" w:rsidRDefault="00D623B1" w:rsidP="00F22A75">
      <w:pPr>
        <w:pStyle w:val="EndNoteBibliography"/>
        <w:spacing w:line="480" w:lineRule="auto"/>
        <w:rPr>
          <w:rFonts w:ascii="Times New Roman" w:hAnsi="Times New Roman" w:cs="Times New Roman"/>
          <w:noProof/>
        </w:rPr>
      </w:pPr>
      <w:r w:rsidRPr="00F22A75">
        <w:rPr>
          <w:rFonts w:ascii="Times New Roman" w:hAnsi="Times New Roman" w:cs="Times New Roman"/>
          <w:noProof/>
        </w:rPr>
        <w:t xml:space="preserve">[172] X. YI, R. ZOU and H. GUO, “Global sensitivity analysis of a three-dimensional nutrients-algae dynamic model for a large shallow lake,” Ecological Modelling, 327, (2016); </w:t>
      </w:r>
      <w:hyperlink r:id="rId163" w:history="1">
        <w:r w:rsidRPr="00F22A75">
          <w:rPr>
            <w:rStyle w:val="Hyperlink"/>
            <w:rFonts w:ascii="Times New Roman" w:hAnsi="Times New Roman" w:cs="Times New Roman"/>
            <w:noProof/>
          </w:rPr>
          <w:t>https://doi.org/10.1016/j.ecolmodel.2016.01.005</w:t>
        </w:r>
      </w:hyperlink>
      <w:r w:rsidRPr="00F22A75">
        <w:rPr>
          <w:rFonts w:ascii="Times New Roman" w:hAnsi="Times New Roman" w:cs="Times New Roman"/>
          <w:noProof/>
        </w:rPr>
        <w:t>.</w:t>
      </w:r>
    </w:p>
    <w:p w14:paraId="0EB49B4D" w14:textId="42DC1309" w:rsidR="00D623B1" w:rsidRPr="00F22A75" w:rsidRDefault="00D623B1" w:rsidP="00F22A75">
      <w:pPr>
        <w:pStyle w:val="EndNoteBibliography"/>
        <w:spacing w:line="480" w:lineRule="auto"/>
        <w:rPr>
          <w:rFonts w:ascii="Times New Roman" w:hAnsi="Times New Roman" w:cs="Times New Roman"/>
          <w:noProof/>
        </w:rPr>
      </w:pPr>
      <w:r w:rsidRPr="00F22A75">
        <w:rPr>
          <w:rFonts w:ascii="Times New Roman" w:hAnsi="Times New Roman" w:cs="Times New Roman"/>
          <w:noProof/>
        </w:rPr>
        <w:t xml:space="preserve">[173] C. CIRIC, P. CIFFROY and S. CHARLES, “Use of sensitivity analysis to identify influential and non-influential parameters within an aquatic ecosystem model,” Ecological Modelling, 246, (2012); </w:t>
      </w:r>
      <w:hyperlink r:id="rId164" w:history="1">
        <w:r w:rsidRPr="00F22A75">
          <w:rPr>
            <w:rStyle w:val="Hyperlink"/>
            <w:rFonts w:ascii="Times New Roman" w:hAnsi="Times New Roman" w:cs="Times New Roman"/>
            <w:noProof/>
          </w:rPr>
          <w:t>https://doi.org/10.1016/j.ecolmodel.2012.06.024</w:t>
        </w:r>
      </w:hyperlink>
      <w:r w:rsidRPr="00F22A75">
        <w:rPr>
          <w:rFonts w:ascii="Times New Roman" w:hAnsi="Times New Roman" w:cs="Times New Roman"/>
          <w:noProof/>
        </w:rPr>
        <w:t>.</w:t>
      </w:r>
    </w:p>
    <w:p w14:paraId="40D1D99E" w14:textId="77777777" w:rsidR="00D623B1" w:rsidRPr="00F22A75" w:rsidRDefault="00D623B1" w:rsidP="00F22A75">
      <w:pPr>
        <w:pStyle w:val="EndNoteBibliography"/>
        <w:spacing w:line="480" w:lineRule="auto"/>
        <w:rPr>
          <w:rFonts w:ascii="Times New Roman" w:hAnsi="Times New Roman" w:cs="Times New Roman"/>
          <w:noProof/>
        </w:rPr>
      </w:pPr>
      <w:r w:rsidRPr="00F22A75">
        <w:rPr>
          <w:rFonts w:ascii="Times New Roman" w:hAnsi="Times New Roman" w:cs="Times New Roman"/>
          <w:noProof/>
        </w:rPr>
        <w:t>[174] R. J. L. RUTJENS, et al., “Elementary effects for models with dimensional inputs of arbitrary type and range: Scaling and trajectory generation,” PLOS ONE, 18, 10, (2023); 10.1371/journal.pone.0293344.</w:t>
      </w:r>
    </w:p>
    <w:p w14:paraId="1977C333" w14:textId="77777777" w:rsidR="00D623B1" w:rsidRPr="00F22A75" w:rsidRDefault="00D623B1" w:rsidP="00F22A75">
      <w:pPr>
        <w:pStyle w:val="EndNoteBibliography"/>
        <w:spacing w:line="480" w:lineRule="auto"/>
        <w:rPr>
          <w:rFonts w:ascii="Times New Roman" w:hAnsi="Times New Roman" w:cs="Times New Roman"/>
          <w:noProof/>
        </w:rPr>
      </w:pPr>
      <w:r w:rsidRPr="00F22A75">
        <w:rPr>
          <w:rFonts w:ascii="Times New Roman" w:hAnsi="Times New Roman" w:cs="Times New Roman"/>
          <w:noProof/>
        </w:rPr>
        <w:t>[175] T. L. BERGMAN, Fundamentals of heat and mass transfer, John Wiley &amp; Sons, (2011).</w:t>
      </w:r>
    </w:p>
    <w:p w14:paraId="27391A4D" w14:textId="55074B7F" w:rsidR="00D623B1" w:rsidRPr="00F22A75" w:rsidRDefault="00D623B1" w:rsidP="00F22A75">
      <w:pPr>
        <w:pStyle w:val="EndNoteBibliography"/>
        <w:spacing w:line="480" w:lineRule="auto"/>
        <w:rPr>
          <w:rFonts w:ascii="Times New Roman" w:hAnsi="Times New Roman" w:cs="Times New Roman"/>
          <w:noProof/>
        </w:rPr>
      </w:pPr>
      <w:r w:rsidRPr="00F22A75">
        <w:rPr>
          <w:rFonts w:ascii="Times New Roman" w:hAnsi="Times New Roman" w:cs="Times New Roman"/>
          <w:noProof/>
        </w:rPr>
        <w:t xml:space="preserve">[176] S. M. S. WAHID and C. V. MADHUSUDANA, “Gap conductance in contact heat transfer,” International journal of heat and mass transfer, 43, 24, (2000); </w:t>
      </w:r>
      <w:hyperlink r:id="rId165" w:history="1">
        <w:r w:rsidRPr="00F22A75">
          <w:rPr>
            <w:rStyle w:val="Hyperlink"/>
            <w:rFonts w:ascii="Times New Roman" w:hAnsi="Times New Roman" w:cs="Times New Roman"/>
            <w:noProof/>
          </w:rPr>
          <w:t>https://doi.org/10.1016/S0017-9310(00)00071-5</w:t>
        </w:r>
      </w:hyperlink>
      <w:r w:rsidRPr="00F22A75">
        <w:rPr>
          <w:rFonts w:ascii="Times New Roman" w:hAnsi="Times New Roman" w:cs="Times New Roman"/>
          <w:noProof/>
        </w:rPr>
        <w:t>.</w:t>
      </w:r>
    </w:p>
    <w:p w14:paraId="673AF25A" w14:textId="77777777" w:rsidR="00D623B1" w:rsidRPr="00F22A75" w:rsidRDefault="00D623B1" w:rsidP="00F22A75">
      <w:pPr>
        <w:pStyle w:val="EndNoteBibliography"/>
        <w:spacing w:line="480" w:lineRule="auto"/>
        <w:rPr>
          <w:rFonts w:ascii="Times New Roman" w:hAnsi="Times New Roman" w:cs="Times New Roman"/>
          <w:noProof/>
        </w:rPr>
      </w:pPr>
      <w:r w:rsidRPr="00F22A75">
        <w:rPr>
          <w:rFonts w:ascii="Times New Roman" w:hAnsi="Times New Roman" w:cs="Times New Roman"/>
          <w:noProof/>
        </w:rPr>
        <w:t>[177] M. BAHRAMI, R. CULHAM and M. YOVANOVICH, “Thermal resistances of gaseous gap for conforming rough contacts,” 42nd AIAA Aerospace Sciences Meeting and Exhibit, 2004.</w:t>
      </w:r>
    </w:p>
    <w:p w14:paraId="6D2883CD" w14:textId="7E6F25AB" w:rsidR="00D623B1" w:rsidRPr="00F22A75" w:rsidRDefault="00D623B1" w:rsidP="00F22A75">
      <w:pPr>
        <w:pStyle w:val="EndNoteBibliography"/>
        <w:spacing w:line="480" w:lineRule="auto"/>
        <w:rPr>
          <w:rFonts w:ascii="Times New Roman" w:hAnsi="Times New Roman" w:cs="Times New Roman"/>
          <w:noProof/>
        </w:rPr>
      </w:pPr>
      <w:r w:rsidRPr="00F22A75">
        <w:rPr>
          <w:rFonts w:ascii="Times New Roman" w:hAnsi="Times New Roman" w:cs="Times New Roman"/>
          <w:noProof/>
        </w:rPr>
        <w:lastRenderedPageBreak/>
        <w:t xml:space="preserve">[178] T. R. STEINER, “High temperature steady-state experiment for computational radiative heat transfer validation using COMSOL and ANSYS,” Results in Engineering, 13, (2022); </w:t>
      </w:r>
      <w:hyperlink r:id="rId166" w:history="1">
        <w:r w:rsidRPr="00F22A75">
          <w:rPr>
            <w:rStyle w:val="Hyperlink"/>
            <w:rFonts w:ascii="Times New Roman" w:hAnsi="Times New Roman" w:cs="Times New Roman"/>
            <w:noProof/>
          </w:rPr>
          <w:t>https://doi.org/10.1016/j.rineng.2022.100354</w:t>
        </w:r>
      </w:hyperlink>
      <w:r w:rsidRPr="00F22A75">
        <w:rPr>
          <w:rFonts w:ascii="Times New Roman" w:hAnsi="Times New Roman" w:cs="Times New Roman"/>
          <w:noProof/>
        </w:rPr>
        <w:t>.</w:t>
      </w:r>
    </w:p>
    <w:p w14:paraId="0AEC8F55" w14:textId="77777777" w:rsidR="00D623B1" w:rsidRPr="00F22A75" w:rsidRDefault="00D623B1" w:rsidP="00F22A75">
      <w:pPr>
        <w:pStyle w:val="EndNoteBibliography"/>
        <w:spacing w:line="480" w:lineRule="auto"/>
        <w:rPr>
          <w:rFonts w:ascii="Times New Roman" w:hAnsi="Times New Roman" w:cs="Times New Roman"/>
          <w:noProof/>
        </w:rPr>
      </w:pPr>
      <w:r w:rsidRPr="00F22A75">
        <w:rPr>
          <w:rFonts w:ascii="Times New Roman" w:hAnsi="Times New Roman" w:cs="Times New Roman"/>
          <w:noProof/>
        </w:rPr>
        <w:t>[179] H. YÜNCÜ, “Thermal contact conductance of nominaly flat surfaces,” Heat and Mass Transfer, 43, 1, (2006); 10.1007/s00231-006-0087-9.</w:t>
      </w:r>
    </w:p>
    <w:p w14:paraId="249DA7DA" w14:textId="77777777" w:rsidR="00D623B1" w:rsidRPr="00F22A75" w:rsidRDefault="00D623B1" w:rsidP="00F22A75">
      <w:pPr>
        <w:pStyle w:val="EndNoteBibliography"/>
        <w:spacing w:line="480" w:lineRule="auto"/>
        <w:rPr>
          <w:rFonts w:ascii="Times New Roman" w:hAnsi="Times New Roman" w:cs="Times New Roman"/>
          <w:noProof/>
        </w:rPr>
      </w:pPr>
      <w:r w:rsidRPr="00F22A75">
        <w:rPr>
          <w:rFonts w:ascii="Times New Roman" w:hAnsi="Times New Roman" w:cs="Times New Roman"/>
          <w:noProof/>
        </w:rPr>
        <w:t>[180] M. GARCIA-POULIN and M. BAHRAMI, “Thermal Contact Resistance at Rough Ceramic–Metallic Joints,” Journal of Thermophysics and Heat Transfer, 33, 4, (2019); 10.2514/1.T5684.</w:t>
      </w:r>
    </w:p>
    <w:p w14:paraId="278B9B85" w14:textId="470BA573" w:rsidR="00D623B1" w:rsidRPr="00F22A75" w:rsidRDefault="00D623B1" w:rsidP="00F22A75">
      <w:pPr>
        <w:pStyle w:val="EndNoteBibliography"/>
        <w:spacing w:line="480" w:lineRule="auto"/>
        <w:rPr>
          <w:rFonts w:ascii="Times New Roman" w:hAnsi="Times New Roman" w:cs="Times New Roman"/>
          <w:noProof/>
        </w:rPr>
      </w:pPr>
      <w:r w:rsidRPr="00F22A75">
        <w:rPr>
          <w:rFonts w:ascii="Times New Roman" w:hAnsi="Times New Roman" w:cs="Times New Roman"/>
          <w:noProof/>
        </w:rPr>
        <w:t xml:space="preserve">[181] A. TOPTAN, D. J. KROPACZEK and M. N. AVRAMOVA, “Gap conductance modeling I: Theoretical considerations for single- and multi-component gases in curvilinear coordinates,” Nuclear Engineering and Design, 353, (2019); </w:t>
      </w:r>
      <w:hyperlink r:id="rId167" w:history="1">
        <w:r w:rsidRPr="00F22A75">
          <w:rPr>
            <w:rStyle w:val="Hyperlink"/>
            <w:rFonts w:ascii="Times New Roman" w:hAnsi="Times New Roman" w:cs="Times New Roman"/>
            <w:noProof/>
          </w:rPr>
          <w:t>https://doi.org/10.1016/j.nucengdes.2019.110283</w:t>
        </w:r>
      </w:hyperlink>
      <w:r w:rsidRPr="00F22A75">
        <w:rPr>
          <w:rFonts w:ascii="Times New Roman" w:hAnsi="Times New Roman" w:cs="Times New Roman"/>
          <w:noProof/>
        </w:rPr>
        <w:t>.</w:t>
      </w:r>
    </w:p>
    <w:p w14:paraId="15BD1675" w14:textId="4BFF2957" w:rsidR="00D623B1" w:rsidRPr="00F22A75" w:rsidRDefault="00D623B1" w:rsidP="00F22A75">
      <w:pPr>
        <w:pStyle w:val="EndNoteBibliography"/>
        <w:spacing w:line="480" w:lineRule="auto"/>
        <w:rPr>
          <w:rFonts w:ascii="Times New Roman" w:hAnsi="Times New Roman" w:cs="Times New Roman"/>
          <w:noProof/>
        </w:rPr>
      </w:pPr>
      <w:r w:rsidRPr="00F22A75">
        <w:rPr>
          <w:rFonts w:ascii="Times New Roman" w:hAnsi="Times New Roman" w:cs="Times New Roman"/>
          <w:noProof/>
        </w:rPr>
        <w:t xml:space="preserve">[182] J. REST, et al., “Fission gas release from UO2 nuclear fuel: A review,” Journal of Nuclear Materials, 513, (2019); </w:t>
      </w:r>
      <w:hyperlink r:id="rId168" w:history="1">
        <w:r w:rsidRPr="00F22A75">
          <w:rPr>
            <w:rStyle w:val="Hyperlink"/>
            <w:rFonts w:ascii="Times New Roman" w:hAnsi="Times New Roman" w:cs="Times New Roman"/>
            <w:noProof/>
          </w:rPr>
          <w:t>https://doi.org/10.1016/j.jnucmat.2018.08.019</w:t>
        </w:r>
      </w:hyperlink>
      <w:r w:rsidRPr="00F22A75">
        <w:rPr>
          <w:rFonts w:ascii="Times New Roman" w:hAnsi="Times New Roman" w:cs="Times New Roman"/>
          <w:noProof/>
        </w:rPr>
        <w:t>.</w:t>
      </w:r>
    </w:p>
    <w:p w14:paraId="0B091D41" w14:textId="77777777" w:rsidR="00D623B1" w:rsidRPr="00F22A75" w:rsidRDefault="00D623B1" w:rsidP="00F22A75">
      <w:pPr>
        <w:pStyle w:val="EndNoteBibliography"/>
        <w:spacing w:line="480" w:lineRule="auto"/>
        <w:rPr>
          <w:rFonts w:ascii="Times New Roman" w:hAnsi="Times New Roman" w:cs="Times New Roman"/>
          <w:noProof/>
        </w:rPr>
      </w:pPr>
      <w:r w:rsidRPr="00F22A75">
        <w:rPr>
          <w:rFonts w:ascii="Times New Roman" w:hAnsi="Times New Roman" w:cs="Times New Roman"/>
          <w:noProof/>
        </w:rPr>
        <w:t>[183] D. CHANDLER, et al., “Modeling and Depletion Simulations for a High Flux Isotope Reactor Cycle with a Representative Experiment Loading,” (01 2016).</w:t>
      </w:r>
    </w:p>
    <w:p w14:paraId="50AA7DB7" w14:textId="77777777" w:rsidR="00D623B1" w:rsidRPr="00F22A75" w:rsidRDefault="00D623B1" w:rsidP="00F22A75">
      <w:pPr>
        <w:pStyle w:val="EndNoteBibliography"/>
        <w:spacing w:line="480" w:lineRule="auto"/>
        <w:rPr>
          <w:rFonts w:ascii="Times New Roman" w:hAnsi="Times New Roman" w:cs="Times New Roman"/>
          <w:noProof/>
        </w:rPr>
      </w:pPr>
      <w:r w:rsidRPr="00F22A75">
        <w:rPr>
          <w:rFonts w:ascii="Times New Roman" w:hAnsi="Times New Roman" w:cs="Times New Roman"/>
          <w:noProof/>
        </w:rPr>
        <w:t>[184] C. V. MADHUSUDANA, Thermal Contact Conductance, Springer Cham, Springer International Publishing Switzerland (2014).</w:t>
      </w:r>
    </w:p>
    <w:p w14:paraId="74EDB9A0" w14:textId="3F7F3ACA" w:rsidR="00D623B1" w:rsidRPr="00F22A75" w:rsidRDefault="00D623B1" w:rsidP="00F22A75">
      <w:pPr>
        <w:pStyle w:val="EndNoteBibliography"/>
        <w:spacing w:line="480" w:lineRule="auto"/>
        <w:rPr>
          <w:rFonts w:ascii="Times New Roman" w:hAnsi="Times New Roman" w:cs="Times New Roman"/>
          <w:noProof/>
        </w:rPr>
      </w:pPr>
      <w:r w:rsidRPr="00F22A75">
        <w:rPr>
          <w:rFonts w:ascii="Times New Roman" w:hAnsi="Times New Roman" w:cs="Times New Roman"/>
          <w:noProof/>
        </w:rPr>
        <w:t xml:space="preserve">[185] A. CHENIOUR, et al., “Application of BISON to UO2 MiniFuel fission gas release analysis,” Journal of Nuclear Materials, 565, (2022); </w:t>
      </w:r>
      <w:hyperlink r:id="rId169" w:history="1">
        <w:r w:rsidRPr="00F22A75">
          <w:rPr>
            <w:rStyle w:val="Hyperlink"/>
            <w:rFonts w:ascii="Times New Roman" w:hAnsi="Times New Roman" w:cs="Times New Roman"/>
            <w:noProof/>
          </w:rPr>
          <w:t>https://doi.org/10.1016/j.jnucmat.2022.153686</w:t>
        </w:r>
      </w:hyperlink>
      <w:r w:rsidRPr="00F22A75">
        <w:rPr>
          <w:rFonts w:ascii="Times New Roman" w:hAnsi="Times New Roman" w:cs="Times New Roman"/>
          <w:noProof/>
        </w:rPr>
        <w:t>.</w:t>
      </w:r>
    </w:p>
    <w:p w14:paraId="20B04DA7" w14:textId="13D03A40" w:rsidR="00D623B1" w:rsidRPr="00F22A75" w:rsidRDefault="00D623B1" w:rsidP="00F22A75">
      <w:pPr>
        <w:pStyle w:val="EndNoteBibliography"/>
        <w:spacing w:line="480" w:lineRule="auto"/>
        <w:rPr>
          <w:rFonts w:ascii="Times New Roman" w:hAnsi="Times New Roman" w:cs="Times New Roman"/>
          <w:noProof/>
        </w:rPr>
      </w:pPr>
      <w:r w:rsidRPr="00F22A75">
        <w:rPr>
          <w:rFonts w:ascii="Times New Roman" w:hAnsi="Times New Roman" w:cs="Times New Roman"/>
          <w:noProof/>
        </w:rPr>
        <w:lastRenderedPageBreak/>
        <w:t xml:space="preserve">[186] M. TONKS, et al., “Unit mechanisms of fission gas release: Current understanding and future needs,” Journal of Nuclear Materials, 504, (2018); </w:t>
      </w:r>
      <w:hyperlink r:id="rId170" w:history="1">
        <w:r w:rsidRPr="00F22A75">
          <w:rPr>
            <w:rStyle w:val="Hyperlink"/>
            <w:rFonts w:ascii="Times New Roman" w:hAnsi="Times New Roman" w:cs="Times New Roman"/>
            <w:noProof/>
          </w:rPr>
          <w:t>https://doi.org/10.1016/j.jnucmat.2018.03.016</w:t>
        </w:r>
      </w:hyperlink>
      <w:r w:rsidRPr="00F22A75">
        <w:rPr>
          <w:rFonts w:ascii="Times New Roman" w:hAnsi="Times New Roman" w:cs="Times New Roman"/>
          <w:noProof/>
        </w:rPr>
        <w:t>.</w:t>
      </w:r>
    </w:p>
    <w:p w14:paraId="34EFDC05" w14:textId="24580040" w:rsidR="00D623B1" w:rsidRPr="00F22A75" w:rsidRDefault="00D623B1" w:rsidP="00F22A75">
      <w:pPr>
        <w:pStyle w:val="EndNoteBibliography"/>
        <w:spacing w:line="480" w:lineRule="auto"/>
        <w:rPr>
          <w:rFonts w:ascii="Times New Roman" w:hAnsi="Times New Roman" w:cs="Times New Roman"/>
          <w:noProof/>
        </w:rPr>
      </w:pPr>
      <w:r w:rsidRPr="00F22A75">
        <w:rPr>
          <w:rFonts w:ascii="Times New Roman" w:hAnsi="Times New Roman" w:cs="Times New Roman"/>
          <w:noProof/>
        </w:rPr>
        <w:t xml:space="preserve">[187] I. M. SOBOL′, “Global sensitivity indices for nonlinear mathematical models and their Monte Carlo estimates,” Mathematics and Computers in Simulation, 55, 1, (2001); </w:t>
      </w:r>
      <w:hyperlink r:id="rId171" w:history="1">
        <w:r w:rsidRPr="00F22A75">
          <w:rPr>
            <w:rStyle w:val="Hyperlink"/>
            <w:rFonts w:ascii="Times New Roman" w:hAnsi="Times New Roman" w:cs="Times New Roman"/>
            <w:noProof/>
          </w:rPr>
          <w:t>https://doi.org/10.1016/S0378-4754(00)00270-6</w:t>
        </w:r>
      </w:hyperlink>
      <w:r w:rsidRPr="00F22A75">
        <w:rPr>
          <w:rFonts w:ascii="Times New Roman" w:hAnsi="Times New Roman" w:cs="Times New Roman"/>
          <w:noProof/>
        </w:rPr>
        <w:t>.</w:t>
      </w:r>
    </w:p>
    <w:p w14:paraId="3ED6E0D5" w14:textId="77777777" w:rsidR="00D623B1" w:rsidRPr="00F22A75" w:rsidRDefault="00D623B1" w:rsidP="00F22A75">
      <w:pPr>
        <w:pStyle w:val="EndNoteBibliography"/>
        <w:spacing w:line="480" w:lineRule="auto"/>
        <w:rPr>
          <w:rFonts w:ascii="Times New Roman" w:hAnsi="Times New Roman" w:cs="Times New Roman"/>
          <w:noProof/>
        </w:rPr>
      </w:pPr>
      <w:r w:rsidRPr="00F22A75">
        <w:rPr>
          <w:rFonts w:ascii="Times New Roman" w:hAnsi="Times New Roman" w:cs="Times New Roman"/>
          <w:noProof/>
        </w:rPr>
        <w:t>[188] R. FARRARO and R. B. MCLELLAN, “Temperature dependence of the Young’s modulus and shear modulus of pure nickel, platinum, and molybdenum,” Metallurgical Transactions A, 8, 10, (1977); 10.1007/BF02644859.</w:t>
      </w:r>
    </w:p>
    <w:p w14:paraId="10672E2F" w14:textId="77777777" w:rsidR="00D623B1" w:rsidRPr="00F22A75" w:rsidRDefault="00D623B1" w:rsidP="00F22A75">
      <w:pPr>
        <w:pStyle w:val="EndNoteBibliography"/>
        <w:spacing w:line="480" w:lineRule="auto"/>
        <w:rPr>
          <w:rFonts w:ascii="Times New Roman" w:hAnsi="Times New Roman" w:cs="Times New Roman"/>
          <w:noProof/>
        </w:rPr>
      </w:pPr>
      <w:r w:rsidRPr="00F22A75">
        <w:rPr>
          <w:rFonts w:ascii="Times New Roman" w:hAnsi="Times New Roman" w:cs="Times New Roman"/>
          <w:noProof/>
        </w:rPr>
        <w:t>[189] M. BHOWMIK, R. DADHICH and I. SINGH, “The effect of annealing on micro-hardness of molybdenum single crystals,” Physica Scripta, 99, 7, (2024); 10.1088/1402-4896/ad5796.</w:t>
      </w:r>
    </w:p>
    <w:p w14:paraId="2962ED41" w14:textId="46509089" w:rsidR="00D623B1" w:rsidRPr="00F22A75" w:rsidRDefault="00D623B1" w:rsidP="00F22A75">
      <w:pPr>
        <w:pStyle w:val="EndNoteBibliography"/>
        <w:spacing w:line="480" w:lineRule="auto"/>
        <w:rPr>
          <w:rFonts w:ascii="Times New Roman" w:hAnsi="Times New Roman" w:cs="Times New Roman"/>
          <w:noProof/>
        </w:rPr>
      </w:pPr>
      <w:r w:rsidRPr="00F22A75">
        <w:rPr>
          <w:rFonts w:ascii="Times New Roman" w:hAnsi="Times New Roman" w:cs="Times New Roman"/>
          <w:noProof/>
        </w:rPr>
        <w:t xml:space="preserve">[190] R. L. WILLIAMSON, et al., “Multidimensional multiphysics simulation of nuclear fuel behavior,” Journal of Nuclear Materials, 423, 1, (2012); </w:t>
      </w:r>
      <w:hyperlink r:id="rId172" w:history="1">
        <w:r w:rsidRPr="00F22A75">
          <w:rPr>
            <w:rStyle w:val="Hyperlink"/>
            <w:rFonts w:ascii="Times New Roman" w:hAnsi="Times New Roman" w:cs="Times New Roman"/>
            <w:noProof/>
          </w:rPr>
          <w:t>https://doi.org/10.1016/j.jnucmat.2012.01.012</w:t>
        </w:r>
      </w:hyperlink>
      <w:r w:rsidRPr="00F22A75">
        <w:rPr>
          <w:rFonts w:ascii="Times New Roman" w:hAnsi="Times New Roman" w:cs="Times New Roman"/>
          <w:noProof/>
        </w:rPr>
        <w:t>.</w:t>
      </w:r>
    </w:p>
    <w:p w14:paraId="547E763F" w14:textId="77777777" w:rsidR="00D623B1" w:rsidRPr="00F22A75" w:rsidRDefault="00D623B1" w:rsidP="00F22A75">
      <w:pPr>
        <w:pStyle w:val="EndNoteBibliography"/>
        <w:spacing w:line="480" w:lineRule="auto"/>
        <w:rPr>
          <w:rFonts w:ascii="Times New Roman" w:hAnsi="Times New Roman" w:cs="Times New Roman"/>
          <w:noProof/>
        </w:rPr>
      </w:pPr>
      <w:r w:rsidRPr="00F22A75">
        <w:rPr>
          <w:rFonts w:ascii="Times New Roman" w:hAnsi="Times New Roman" w:cs="Times New Roman"/>
          <w:noProof/>
        </w:rPr>
        <w:t>[191] J. TURNBULL, R. WHITE and C. WISE, “The diffusion coefficient for fission gas atoms in uranium dioxide,” presented at Technical committee on water reactor fuel element computer modelling in steady state, transient and accident conditions., Preston, UK, September 1988, 1989.</w:t>
      </w:r>
    </w:p>
    <w:p w14:paraId="61D0476E" w14:textId="2D4D92CA" w:rsidR="00D623B1" w:rsidRPr="00F22A75" w:rsidRDefault="00D623B1" w:rsidP="00F22A75">
      <w:pPr>
        <w:pStyle w:val="EndNoteBibliography"/>
        <w:spacing w:line="480" w:lineRule="auto"/>
        <w:rPr>
          <w:rFonts w:ascii="Times New Roman" w:hAnsi="Times New Roman" w:cs="Times New Roman"/>
          <w:noProof/>
        </w:rPr>
      </w:pPr>
      <w:r w:rsidRPr="00F22A75">
        <w:rPr>
          <w:rFonts w:ascii="Times New Roman" w:hAnsi="Times New Roman" w:cs="Times New Roman"/>
          <w:noProof/>
        </w:rPr>
        <w:lastRenderedPageBreak/>
        <w:t xml:space="preserve">[192] J. A. TURNBULL, et al., “The diffusion coefficients of gaseous and volatile species during the irradiation of uranium dioxide,” Journal of Nuclear Materials, 107, 2, (1982); </w:t>
      </w:r>
      <w:hyperlink r:id="rId173" w:history="1">
        <w:r w:rsidRPr="00F22A75">
          <w:rPr>
            <w:rStyle w:val="Hyperlink"/>
            <w:rFonts w:ascii="Times New Roman" w:hAnsi="Times New Roman" w:cs="Times New Roman"/>
            <w:noProof/>
          </w:rPr>
          <w:t>https://doi.org/10.1016/0022-3115(82)90419-6</w:t>
        </w:r>
      </w:hyperlink>
      <w:r w:rsidRPr="00F22A75">
        <w:rPr>
          <w:rFonts w:ascii="Times New Roman" w:hAnsi="Times New Roman" w:cs="Times New Roman"/>
          <w:noProof/>
        </w:rPr>
        <w:t>.</w:t>
      </w:r>
    </w:p>
    <w:p w14:paraId="5D8BC5C2" w14:textId="77777777" w:rsidR="00D623B1" w:rsidRPr="00F22A75" w:rsidRDefault="00D623B1" w:rsidP="00F22A75">
      <w:pPr>
        <w:pStyle w:val="EndNoteBibliography"/>
        <w:spacing w:line="480" w:lineRule="auto"/>
        <w:rPr>
          <w:rFonts w:ascii="Times New Roman" w:hAnsi="Times New Roman" w:cs="Times New Roman"/>
          <w:noProof/>
        </w:rPr>
      </w:pPr>
      <w:r w:rsidRPr="00F22A75">
        <w:rPr>
          <w:rFonts w:ascii="Times New Roman" w:hAnsi="Times New Roman" w:cs="Times New Roman"/>
          <w:noProof/>
        </w:rPr>
        <w:t>[193] E. H. KENNARD, Kinetic theory of gases, 483, McGraw-hill New York, (1938).</w:t>
      </w:r>
    </w:p>
    <w:p w14:paraId="39F5C69D" w14:textId="77777777" w:rsidR="00D623B1" w:rsidRPr="00F22A75" w:rsidRDefault="00D623B1" w:rsidP="00F22A75">
      <w:pPr>
        <w:pStyle w:val="EndNoteBibliography"/>
        <w:spacing w:line="480" w:lineRule="auto"/>
        <w:rPr>
          <w:rFonts w:ascii="Times New Roman" w:hAnsi="Times New Roman" w:cs="Times New Roman"/>
          <w:noProof/>
        </w:rPr>
      </w:pPr>
      <w:r w:rsidRPr="00F22A75">
        <w:rPr>
          <w:rFonts w:ascii="Times New Roman" w:hAnsi="Times New Roman" w:cs="Times New Roman"/>
          <w:noProof/>
        </w:rPr>
        <w:t xml:space="preserve">[194] S. SONG and M. YOVANOVICH, “Correlation of thermal accommodation coefficient for engineering surfaces,” -1, (1987); </w:t>
      </w:r>
    </w:p>
    <w:p w14:paraId="5745E667" w14:textId="41D9FB42" w:rsidR="00D623B1" w:rsidRPr="00F22A75" w:rsidRDefault="00D623B1" w:rsidP="00F22A75">
      <w:pPr>
        <w:pStyle w:val="EndNoteBibliography"/>
        <w:spacing w:line="480" w:lineRule="auto"/>
        <w:rPr>
          <w:rFonts w:ascii="Times New Roman" w:hAnsi="Times New Roman" w:cs="Times New Roman"/>
          <w:noProof/>
        </w:rPr>
      </w:pPr>
      <w:r w:rsidRPr="00F22A75">
        <w:rPr>
          <w:rFonts w:ascii="Times New Roman" w:hAnsi="Times New Roman" w:cs="Times New Roman"/>
          <w:noProof/>
        </w:rPr>
        <w:t xml:space="preserve">[195] D. C. BARROS, L. LARCHEVÊQUE and P. DUPONT, “A model of heat transfer from a cylinder in high-speed slip flow and determination of temperature jump coefficients using hot-wires,” International Journal of Heat and Fluid Flow, 110, (2024); </w:t>
      </w:r>
      <w:hyperlink r:id="rId174" w:history="1">
        <w:r w:rsidRPr="00F22A75">
          <w:rPr>
            <w:rStyle w:val="Hyperlink"/>
            <w:rFonts w:ascii="Times New Roman" w:hAnsi="Times New Roman" w:cs="Times New Roman"/>
            <w:noProof/>
          </w:rPr>
          <w:t>https://doi.org/10.1016/j.ijheatfluidflow.2024.109623</w:t>
        </w:r>
      </w:hyperlink>
      <w:r w:rsidRPr="00F22A75">
        <w:rPr>
          <w:rFonts w:ascii="Times New Roman" w:hAnsi="Times New Roman" w:cs="Times New Roman"/>
          <w:noProof/>
        </w:rPr>
        <w:t>.</w:t>
      </w:r>
    </w:p>
    <w:p w14:paraId="59582EED" w14:textId="22596224" w:rsidR="00D623B1" w:rsidRPr="00F22A75" w:rsidRDefault="00D623B1" w:rsidP="00F22A75">
      <w:pPr>
        <w:pStyle w:val="EndNoteBibliography"/>
        <w:spacing w:line="480" w:lineRule="auto"/>
        <w:rPr>
          <w:rFonts w:ascii="Times New Roman" w:hAnsi="Times New Roman" w:cs="Times New Roman"/>
          <w:noProof/>
        </w:rPr>
      </w:pPr>
      <w:r w:rsidRPr="00F22A75">
        <w:rPr>
          <w:rFonts w:ascii="Times New Roman" w:hAnsi="Times New Roman" w:cs="Times New Roman"/>
          <w:noProof/>
        </w:rPr>
        <w:t xml:space="preserve">[196] R. O. A. HALL and D. G. MARTIN, “The evaluation of temperature jump distances and thermal accommodation coefficients from measurements of the thermal conductivity of UO2 packed sphere beds,” Nuclear Engineering and Design, 101, 3, (1987); </w:t>
      </w:r>
      <w:hyperlink r:id="rId175" w:history="1">
        <w:r w:rsidRPr="00F22A75">
          <w:rPr>
            <w:rStyle w:val="Hyperlink"/>
            <w:rFonts w:ascii="Times New Roman" w:hAnsi="Times New Roman" w:cs="Times New Roman"/>
            <w:noProof/>
          </w:rPr>
          <w:t>https://doi.org/10.1016/0029-5493(87)90053-7</w:t>
        </w:r>
      </w:hyperlink>
      <w:r w:rsidRPr="00F22A75">
        <w:rPr>
          <w:rFonts w:ascii="Times New Roman" w:hAnsi="Times New Roman" w:cs="Times New Roman"/>
          <w:noProof/>
        </w:rPr>
        <w:t>.</w:t>
      </w:r>
    </w:p>
    <w:p w14:paraId="12B38974" w14:textId="77777777" w:rsidR="00D623B1" w:rsidRPr="00F22A75" w:rsidRDefault="00D623B1" w:rsidP="00F22A75">
      <w:pPr>
        <w:pStyle w:val="EndNoteBibliography"/>
        <w:spacing w:line="480" w:lineRule="auto"/>
        <w:rPr>
          <w:rFonts w:ascii="Times New Roman" w:hAnsi="Times New Roman" w:cs="Times New Roman"/>
          <w:noProof/>
        </w:rPr>
      </w:pPr>
      <w:r w:rsidRPr="00F22A75">
        <w:rPr>
          <w:rFonts w:ascii="Times New Roman" w:hAnsi="Times New Roman" w:cs="Times New Roman"/>
          <w:noProof/>
        </w:rPr>
        <w:t xml:space="preserve">[197] D. LANNING and C. HANN, “Review of methods applicable to the calculation of gap conductance in Zircaloy-clad UO2 fuel rods,” Battelle Pacific Northwest Labs., Richland, WA (United States), No. BNWL-1894, (1975); </w:t>
      </w:r>
    </w:p>
    <w:p w14:paraId="78D21D84" w14:textId="25EEF6C6" w:rsidR="00D623B1" w:rsidRPr="00F22A75" w:rsidRDefault="00D623B1" w:rsidP="00F22A75">
      <w:pPr>
        <w:pStyle w:val="EndNoteBibliography"/>
        <w:spacing w:line="480" w:lineRule="auto"/>
        <w:rPr>
          <w:rFonts w:ascii="Times New Roman" w:hAnsi="Times New Roman" w:cs="Times New Roman"/>
          <w:noProof/>
        </w:rPr>
      </w:pPr>
      <w:r w:rsidRPr="00F22A75">
        <w:rPr>
          <w:rFonts w:ascii="Times New Roman" w:hAnsi="Times New Roman" w:cs="Times New Roman"/>
          <w:noProof/>
        </w:rPr>
        <w:t xml:space="preserve">[198] S. VANAPALLI, et al., “A Passive, Adaptive and Autonomous Gas Gap heat Switch,” Physics Procedia, 67, (2015); </w:t>
      </w:r>
      <w:hyperlink r:id="rId176" w:history="1">
        <w:r w:rsidRPr="00F22A75">
          <w:rPr>
            <w:rStyle w:val="Hyperlink"/>
            <w:rFonts w:ascii="Times New Roman" w:hAnsi="Times New Roman" w:cs="Times New Roman"/>
            <w:noProof/>
          </w:rPr>
          <w:t>https://doi.org/10.1016/j.phpro.2015.06.191</w:t>
        </w:r>
      </w:hyperlink>
      <w:r w:rsidRPr="00F22A75">
        <w:rPr>
          <w:rFonts w:ascii="Times New Roman" w:hAnsi="Times New Roman" w:cs="Times New Roman"/>
          <w:noProof/>
        </w:rPr>
        <w:t>.</w:t>
      </w:r>
    </w:p>
    <w:p w14:paraId="6F2AAA06" w14:textId="77777777" w:rsidR="00D623B1" w:rsidRPr="00F22A75" w:rsidRDefault="00D623B1" w:rsidP="00F22A75">
      <w:pPr>
        <w:pStyle w:val="EndNoteBibliography"/>
        <w:spacing w:line="480" w:lineRule="auto"/>
        <w:rPr>
          <w:rFonts w:ascii="Times New Roman" w:hAnsi="Times New Roman" w:cs="Times New Roman"/>
          <w:noProof/>
        </w:rPr>
      </w:pPr>
      <w:r w:rsidRPr="00F22A75">
        <w:rPr>
          <w:rFonts w:ascii="Times New Roman" w:hAnsi="Times New Roman" w:cs="Times New Roman"/>
          <w:noProof/>
        </w:rPr>
        <w:t xml:space="preserve">[199] F. O. GOODMAN and H. Y. WACHMAN, “Formula for thermal accommodation coefficients,” Journal of Chemical Physics, 46, 6, (1967); </w:t>
      </w:r>
    </w:p>
    <w:p w14:paraId="3B59E2E3" w14:textId="77777777" w:rsidR="00D623B1" w:rsidRPr="00F22A75" w:rsidRDefault="00D623B1" w:rsidP="00F22A75">
      <w:pPr>
        <w:pStyle w:val="EndNoteBibliography"/>
        <w:spacing w:line="480" w:lineRule="auto"/>
        <w:rPr>
          <w:rFonts w:ascii="Times New Roman" w:hAnsi="Times New Roman" w:cs="Times New Roman"/>
          <w:noProof/>
        </w:rPr>
      </w:pPr>
      <w:r w:rsidRPr="00F22A75">
        <w:rPr>
          <w:rFonts w:ascii="Times New Roman" w:hAnsi="Times New Roman" w:cs="Times New Roman"/>
          <w:noProof/>
        </w:rPr>
        <w:lastRenderedPageBreak/>
        <w:t xml:space="preserve">[200] K. NEGUS and M. YOVANOVICH, “Correlation of the gap conductancg integral for conforming rough surf aces,” Journal of Thermophysics and Heat Transfer, 2, 3, (1988); </w:t>
      </w:r>
    </w:p>
    <w:p w14:paraId="7FF9029D" w14:textId="58C67827" w:rsidR="00D623B1" w:rsidRPr="00F22A75" w:rsidRDefault="00D623B1" w:rsidP="00F22A75">
      <w:pPr>
        <w:pStyle w:val="EndNoteBibliography"/>
        <w:spacing w:line="480" w:lineRule="auto"/>
        <w:rPr>
          <w:rFonts w:ascii="Times New Roman" w:hAnsi="Times New Roman" w:cs="Times New Roman"/>
          <w:noProof/>
        </w:rPr>
      </w:pPr>
      <w:r w:rsidRPr="00F22A75">
        <w:rPr>
          <w:rFonts w:ascii="Times New Roman" w:hAnsi="Times New Roman" w:cs="Times New Roman"/>
          <w:noProof/>
        </w:rPr>
        <w:t xml:space="preserve">[201] B. B. MIKIĆ, “Thermal contact conductance; theoretical considerations,” International journal of heat and mass transfer, 17, 2, (1974); </w:t>
      </w:r>
      <w:hyperlink r:id="rId177" w:history="1">
        <w:r w:rsidRPr="00F22A75">
          <w:rPr>
            <w:rStyle w:val="Hyperlink"/>
            <w:rFonts w:ascii="Times New Roman" w:hAnsi="Times New Roman" w:cs="Times New Roman"/>
            <w:noProof/>
          </w:rPr>
          <w:t>https://doi.org/10.1016/0017-9310(74)90082-9</w:t>
        </w:r>
      </w:hyperlink>
      <w:r w:rsidRPr="00F22A75">
        <w:rPr>
          <w:rFonts w:ascii="Times New Roman" w:hAnsi="Times New Roman" w:cs="Times New Roman"/>
          <w:noProof/>
        </w:rPr>
        <w:t>.</w:t>
      </w:r>
    </w:p>
    <w:p w14:paraId="6021B6CF" w14:textId="77777777" w:rsidR="00D623B1" w:rsidRPr="00F22A75" w:rsidRDefault="00D623B1" w:rsidP="00F22A75">
      <w:pPr>
        <w:pStyle w:val="EndNoteBibliography"/>
        <w:spacing w:line="480" w:lineRule="auto"/>
        <w:rPr>
          <w:rFonts w:ascii="Times New Roman" w:hAnsi="Times New Roman" w:cs="Times New Roman"/>
          <w:noProof/>
        </w:rPr>
      </w:pPr>
      <w:r w:rsidRPr="00F22A75">
        <w:rPr>
          <w:rFonts w:ascii="Times New Roman" w:hAnsi="Times New Roman" w:cs="Times New Roman"/>
          <w:noProof/>
        </w:rPr>
        <w:t>[202] G. JACOBS and N. TODREAS, “Thermal Contact Conductance in Reactor Fuel Elements,” Nuclear Science and Engineering, 50, 3, (1973); 10.13182/NSE73-A28981.</w:t>
      </w:r>
    </w:p>
    <w:p w14:paraId="4E41CA3B" w14:textId="1A7EAADC" w:rsidR="00D623B1" w:rsidRPr="00F22A75" w:rsidRDefault="00D623B1" w:rsidP="00F22A75">
      <w:pPr>
        <w:pStyle w:val="EndNoteBibliography"/>
        <w:spacing w:line="480" w:lineRule="auto"/>
        <w:rPr>
          <w:rFonts w:ascii="Times New Roman" w:hAnsi="Times New Roman" w:cs="Times New Roman"/>
          <w:noProof/>
        </w:rPr>
      </w:pPr>
      <w:r w:rsidRPr="00F22A75">
        <w:rPr>
          <w:rFonts w:ascii="Times New Roman" w:hAnsi="Times New Roman" w:cs="Times New Roman"/>
          <w:noProof/>
        </w:rPr>
        <w:t xml:space="preserve">[203] A. TOPTAN, D. J. KROPACZEK and M. N. AVRAMOVA, “Gap conductance modeling II: Optimized model for UO2-Zircaloy interfaces,” Nuclear Engineering and Design, 355, (2019); </w:t>
      </w:r>
      <w:hyperlink r:id="rId178" w:history="1">
        <w:r w:rsidRPr="00F22A75">
          <w:rPr>
            <w:rStyle w:val="Hyperlink"/>
            <w:rFonts w:ascii="Times New Roman" w:hAnsi="Times New Roman" w:cs="Times New Roman"/>
            <w:noProof/>
          </w:rPr>
          <w:t>https://doi.org/10.1016/j.nucengdes.2019.110289</w:t>
        </w:r>
      </w:hyperlink>
      <w:r w:rsidRPr="00F22A75">
        <w:rPr>
          <w:rFonts w:ascii="Times New Roman" w:hAnsi="Times New Roman" w:cs="Times New Roman"/>
          <w:noProof/>
        </w:rPr>
        <w:t>.</w:t>
      </w:r>
    </w:p>
    <w:p w14:paraId="74A5604A" w14:textId="198D764E" w:rsidR="00D623B1" w:rsidRPr="00F22A75" w:rsidRDefault="00D623B1" w:rsidP="00F22A75">
      <w:pPr>
        <w:pStyle w:val="EndNoteBibliography"/>
        <w:spacing w:line="480" w:lineRule="auto"/>
        <w:rPr>
          <w:rFonts w:ascii="Times New Roman" w:hAnsi="Times New Roman" w:cs="Times New Roman"/>
          <w:noProof/>
        </w:rPr>
      </w:pPr>
      <w:r w:rsidRPr="00F22A75">
        <w:rPr>
          <w:rFonts w:ascii="Times New Roman" w:hAnsi="Times New Roman" w:cs="Times New Roman"/>
          <w:noProof/>
        </w:rPr>
        <w:t xml:space="preserve">[204] L. E. HERRANZ and A. TIGERAS, “Solid-solid conductance in nuclear fuel: An assessment of it in-code models performance,” Progress in Nuclear Energy, 52, 4, (2010); </w:t>
      </w:r>
      <w:hyperlink r:id="rId179" w:history="1">
        <w:r w:rsidRPr="00F22A75">
          <w:rPr>
            <w:rStyle w:val="Hyperlink"/>
            <w:rFonts w:ascii="Times New Roman" w:hAnsi="Times New Roman" w:cs="Times New Roman"/>
            <w:noProof/>
          </w:rPr>
          <w:t>https://doi.org/10.1016/j.pnucene.2009.09.018</w:t>
        </w:r>
      </w:hyperlink>
      <w:r w:rsidRPr="00F22A75">
        <w:rPr>
          <w:rFonts w:ascii="Times New Roman" w:hAnsi="Times New Roman" w:cs="Times New Roman"/>
          <w:noProof/>
        </w:rPr>
        <w:t>.</w:t>
      </w:r>
    </w:p>
    <w:p w14:paraId="089511A5" w14:textId="658684E6" w:rsidR="00C67231" w:rsidRPr="00F22A75" w:rsidRDefault="004942CD" w:rsidP="00F22A75">
      <w:pPr>
        <w:rPr>
          <w:rFonts w:cs="Times New Roman"/>
        </w:rPr>
      </w:pPr>
      <w:r w:rsidRPr="00F22A75">
        <w:rPr>
          <w:rFonts w:cs="Times New Roman"/>
        </w:rPr>
        <w:fldChar w:fldCharType="end"/>
      </w:r>
      <w:bookmarkStart w:id="271" w:name="_Toc420995912"/>
      <w:bookmarkStart w:id="272" w:name="_Toc422997499"/>
    </w:p>
    <w:p w14:paraId="5E4C0B37" w14:textId="522DBC0B" w:rsidR="008F2A6C" w:rsidRPr="009D2AA9" w:rsidRDefault="00C67231" w:rsidP="00846AEB">
      <w:pPr>
        <w:rPr>
          <w:rFonts w:cs="Times New Roman"/>
        </w:rPr>
      </w:pPr>
      <w:r>
        <w:rPr>
          <w:rFonts w:cs="Times New Roman"/>
        </w:rPr>
        <w:br w:type="page"/>
      </w:r>
    </w:p>
    <w:p w14:paraId="220D8FE2" w14:textId="4C3BE890" w:rsidR="00C67231" w:rsidRDefault="00C67231" w:rsidP="00C67231">
      <w:pPr>
        <w:pStyle w:val="AltHeading1"/>
      </w:pPr>
      <w:bookmarkStart w:id="273" w:name="_Toc202957512"/>
      <w:bookmarkStart w:id="274" w:name="_Toc427156484"/>
      <w:r w:rsidRPr="0074556C">
        <w:lastRenderedPageBreak/>
        <w:t>Appendix</w:t>
      </w:r>
      <w:bookmarkEnd w:id="273"/>
    </w:p>
    <w:p w14:paraId="7D559163" w14:textId="77777777" w:rsidR="00C67231" w:rsidRDefault="00C67231" w:rsidP="00324644">
      <w:pPr>
        <w:pStyle w:val="Heading2"/>
      </w:pPr>
      <w:bookmarkStart w:id="275" w:name="_Toc202957513"/>
      <w:r>
        <w:t>Full Subcapsule Analysis</w:t>
      </w:r>
      <w:bookmarkEnd w:id="275"/>
    </w:p>
    <w:p w14:paraId="73B35D83" w14:textId="78E2D916" w:rsidR="00C67231" w:rsidRPr="0074556C" w:rsidRDefault="00C67231" w:rsidP="00874CBB">
      <w:pPr>
        <w:pStyle w:val="Caption"/>
      </w:pPr>
      <w:bookmarkStart w:id="276" w:name="_Toc202957530"/>
      <w:r w:rsidRPr="009D2AA9">
        <w:t xml:space="preserve">Table </w:t>
      </w:r>
      <w:fldSimple w:instr=" SEQ Table \* ARABIC \s 1 ">
        <w:r w:rsidR="00BF7E93">
          <w:rPr>
            <w:noProof/>
          </w:rPr>
          <w:t>1</w:t>
        </w:r>
      </w:fldSimple>
      <w:r w:rsidRPr="0074556C">
        <w:t>. Abbreviations</w:t>
      </w:r>
      <w:bookmarkEnd w:id="276"/>
    </w:p>
    <w:tbl>
      <w:tblPr>
        <w:tblW w:w="6754" w:type="dxa"/>
        <w:tblInd w:w="1251" w:type="dxa"/>
        <w:tblLayout w:type="fixed"/>
        <w:tblLook w:val="04A0" w:firstRow="1" w:lastRow="0" w:firstColumn="1" w:lastColumn="0" w:noHBand="0" w:noVBand="1"/>
      </w:tblPr>
      <w:tblGrid>
        <w:gridCol w:w="2254"/>
        <w:gridCol w:w="2970"/>
        <w:gridCol w:w="1530"/>
      </w:tblGrid>
      <w:tr w:rsidR="00C67231" w:rsidRPr="0074556C" w14:paraId="59FDAB69" w14:textId="77777777" w:rsidTr="00AE2101">
        <w:trPr>
          <w:trHeight w:val="300"/>
        </w:trPr>
        <w:tc>
          <w:tcPr>
            <w:tcW w:w="2254" w:type="dxa"/>
            <w:tcBorders>
              <w:top w:val="single" w:sz="4" w:space="0" w:color="auto"/>
              <w:left w:val="single" w:sz="4" w:space="0" w:color="auto"/>
              <w:bottom w:val="single" w:sz="4" w:space="0" w:color="auto"/>
              <w:right w:val="single" w:sz="4" w:space="0" w:color="auto"/>
            </w:tcBorders>
          </w:tcPr>
          <w:p w14:paraId="4317633A" w14:textId="77777777" w:rsidR="00C67231" w:rsidRPr="0074556C" w:rsidRDefault="00C67231" w:rsidP="007336CA">
            <w:pPr>
              <w:pStyle w:val="TableText"/>
            </w:pPr>
            <w:r w:rsidRPr="0074556C">
              <w:t>Category</w:t>
            </w:r>
          </w:p>
        </w:tc>
        <w:tc>
          <w:tcPr>
            <w:tcW w:w="29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346838E" w14:textId="77777777" w:rsidR="00C67231" w:rsidRPr="0074556C" w:rsidRDefault="00C67231" w:rsidP="007336CA">
            <w:pPr>
              <w:pStyle w:val="TableText"/>
            </w:pPr>
            <w:r w:rsidRPr="0074556C">
              <w:t>Name</w:t>
            </w:r>
          </w:p>
        </w:tc>
        <w:tc>
          <w:tcPr>
            <w:tcW w:w="1530" w:type="dxa"/>
            <w:tcBorders>
              <w:top w:val="single" w:sz="4" w:space="0" w:color="auto"/>
              <w:left w:val="nil"/>
              <w:bottom w:val="single" w:sz="4" w:space="0" w:color="auto"/>
              <w:right w:val="single" w:sz="4" w:space="0" w:color="auto"/>
            </w:tcBorders>
          </w:tcPr>
          <w:p w14:paraId="7331D678" w14:textId="77777777" w:rsidR="00C67231" w:rsidRPr="0074556C" w:rsidRDefault="00C67231" w:rsidP="007336CA">
            <w:pPr>
              <w:pStyle w:val="TableText"/>
            </w:pPr>
            <w:r w:rsidRPr="0074556C">
              <w:t>Symbol</w:t>
            </w:r>
          </w:p>
        </w:tc>
      </w:tr>
      <w:tr w:rsidR="00C67231" w:rsidRPr="0074556C" w14:paraId="786A9B57" w14:textId="77777777" w:rsidTr="00AE2101">
        <w:trPr>
          <w:trHeight w:val="300"/>
        </w:trPr>
        <w:tc>
          <w:tcPr>
            <w:tcW w:w="2254" w:type="dxa"/>
            <w:vMerge w:val="restart"/>
            <w:tcBorders>
              <w:top w:val="single" w:sz="4" w:space="0" w:color="auto"/>
              <w:left w:val="single" w:sz="4" w:space="0" w:color="auto"/>
              <w:bottom w:val="single" w:sz="4" w:space="0" w:color="auto"/>
              <w:right w:val="single" w:sz="4" w:space="0" w:color="auto"/>
            </w:tcBorders>
            <w:vAlign w:val="center"/>
          </w:tcPr>
          <w:p w14:paraId="73A5B1AF" w14:textId="77777777" w:rsidR="00C67231" w:rsidRPr="0074556C" w:rsidRDefault="00C67231" w:rsidP="007336CA">
            <w:pPr>
              <w:pStyle w:val="TableText"/>
            </w:pPr>
            <w:r w:rsidRPr="0074556C">
              <w:t>Geometry</w:t>
            </w:r>
          </w:p>
        </w:tc>
        <w:tc>
          <w:tcPr>
            <w:tcW w:w="2970" w:type="dxa"/>
            <w:tcBorders>
              <w:top w:val="single" w:sz="4" w:space="0" w:color="auto"/>
              <w:left w:val="single" w:sz="4" w:space="0" w:color="auto"/>
              <w:bottom w:val="nil"/>
              <w:right w:val="single" w:sz="4" w:space="0" w:color="auto"/>
            </w:tcBorders>
            <w:shd w:val="clear" w:color="auto" w:fill="auto"/>
            <w:noWrap/>
            <w:vAlign w:val="bottom"/>
            <w:hideMark/>
          </w:tcPr>
          <w:p w14:paraId="369E7EE9" w14:textId="77777777" w:rsidR="00C67231" w:rsidRPr="0074556C" w:rsidRDefault="00C67231" w:rsidP="007336CA">
            <w:pPr>
              <w:pStyle w:val="TableText"/>
            </w:pPr>
            <w:r w:rsidRPr="0074556C">
              <w:t>Radius</w:t>
            </w:r>
          </w:p>
        </w:tc>
        <w:tc>
          <w:tcPr>
            <w:tcW w:w="1530" w:type="dxa"/>
            <w:tcBorders>
              <w:top w:val="single" w:sz="4" w:space="0" w:color="auto"/>
              <w:left w:val="single" w:sz="4" w:space="0" w:color="auto"/>
              <w:bottom w:val="nil"/>
              <w:right w:val="single" w:sz="4" w:space="0" w:color="auto"/>
            </w:tcBorders>
          </w:tcPr>
          <w:p w14:paraId="79777FB1" w14:textId="77777777" w:rsidR="00C67231" w:rsidRPr="0074556C" w:rsidRDefault="00C67231" w:rsidP="007336CA">
            <w:pPr>
              <w:pStyle w:val="TableText"/>
              <w:rPr>
                <w:rFonts w:ascii="Cambria Math" w:hAnsi="Cambria Math"/>
              </w:rPr>
            </w:pPr>
            <w:r w:rsidRPr="0074556C">
              <w:rPr>
                <w:rFonts w:ascii="Cambria Math" w:hAnsi="Cambria Math"/>
              </w:rPr>
              <w:t>R</w:t>
            </w:r>
          </w:p>
        </w:tc>
      </w:tr>
      <w:tr w:rsidR="00C67231" w:rsidRPr="0074556C" w14:paraId="725BA191" w14:textId="77777777" w:rsidTr="00AE2101">
        <w:trPr>
          <w:trHeight w:val="300"/>
        </w:trPr>
        <w:tc>
          <w:tcPr>
            <w:tcW w:w="2254" w:type="dxa"/>
            <w:vMerge/>
            <w:tcBorders>
              <w:left w:val="single" w:sz="4" w:space="0" w:color="auto"/>
              <w:bottom w:val="single" w:sz="4" w:space="0" w:color="auto"/>
              <w:right w:val="single" w:sz="4" w:space="0" w:color="auto"/>
            </w:tcBorders>
          </w:tcPr>
          <w:p w14:paraId="2CD64421" w14:textId="77777777" w:rsidR="00C67231" w:rsidRPr="0074556C" w:rsidRDefault="00C67231" w:rsidP="007336CA">
            <w:pPr>
              <w:pStyle w:val="TableText"/>
            </w:pPr>
          </w:p>
        </w:tc>
        <w:tc>
          <w:tcPr>
            <w:tcW w:w="2970" w:type="dxa"/>
            <w:tcBorders>
              <w:top w:val="nil"/>
              <w:left w:val="single" w:sz="4" w:space="0" w:color="auto"/>
              <w:bottom w:val="nil"/>
              <w:right w:val="single" w:sz="4" w:space="0" w:color="auto"/>
            </w:tcBorders>
            <w:shd w:val="clear" w:color="auto" w:fill="auto"/>
            <w:noWrap/>
            <w:vAlign w:val="bottom"/>
            <w:hideMark/>
          </w:tcPr>
          <w:p w14:paraId="330072A4" w14:textId="77777777" w:rsidR="00C67231" w:rsidRPr="0074556C" w:rsidRDefault="00C67231" w:rsidP="007336CA">
            <w:pPr>
              <w:pStyle w:val="TableText"/>
            </w:pPr>
            <w:r w:rsidRPr="0074556C">
              <w:t>Height</w:t>
            </w:r>
          </w:p>
        </w:tc>
        <w:tc>
          <w:tcPr>
            <w:tcW w:w="1530" w:type="dxa"/>
            <w:tcBorders>
              <w:top w:val="nil"/>
              <w:left w:val="single" w:sz="4" w:space="0" w:color="auto"/>
              <w:bottom w:val="nil"/>
              <w:right w:val="single" w:sz="4" w:space="0" w:color="auto"/>
            </w:tcBorders>
          </w:tcPr>
          <w:p w14:paraId="333AD073" w14:textId="77777777" w:rsidR="00C67231" w:rsidRPr="0074556C" w:rsidRDefault="00C67231" w:rsidP="007336CA">
            <w:pPr>
              <w:pStyle w:val="TableText"/>
              <w:rPr>
                <w:rFonts w:ascii="Cambria Math" w:hAnsi="Cambria Math"/>
              </w:rPr>
            </w:pPr>
            <w:r w:rsidRPr="0074556C">
              <w:rPr>
                <w:rFonts w:ascii="Cambria Math" w:hAnsi="Cambria Math"/>
              </w:rPr>
              <w:t>H</w:t>
            </w:r>
          </w:p>
        </w:tc>
      </w:tr>
      <w:tr w:rsidR="00C67231" w:rsidRPr="0074556C" w14:paraId="499BA8C4" w14:textId="77777777" w:rsidTr="00AE2101">
        <w:trPr>
          <w:trHeight w:val="300"/>
        </w:trPr>
        <w:tc>
          <w:tcPr>
            <w:tcW w:w="2254" w:type="dxa"/>
            <w:vMerge/>
            <w:tcBorders>
              <w:left w:val="single" w:sz="4" w:space="0" w:color="auto"/>
              <w:bottom w:val="single" w:sz="4" w:space="0" w:color="auto"/>
              <w:right w:val="single" w:sz="4" w:space="0" w:color="auto"/>
            </w:tcBorders>
          </w:tcPr>
          <w:p w14:paraId="4052370E" w14:textId="77777777" w:rsidR="00C67231" w:rsidRPr="0074556C" w:rsidRDefault="00C67231" w:rsidP="007336CA">
            <w:pPr>
              <w:pStyle w:val="TableText"/>
            </w:pPr>
          </w:p>
        </w:tc>
        <w:tc>
          <w:tcPr>
            <w:tcW w:w="2970" w:type="dxa"/>
            <w:tcBorders>
              <w:top w:val="nil"/>
              <w:left w:val="single" w:sz="4" w:space="0" w:color="auto"/>
              <w:bottom w:val="nil"/>
              <w:right w:val="single" w:sz="4" w:space="0" w:color="auto"/>
            </w:tcBorders>
            <w:shd w:val="clear" w:color="auto" w:fill="auto"/>
            <w:noWrap/>
            <w:vAlign w:val="bottom"/>
            <w:hideMark/>
          </w:tcPr>
          <w:p w14:paraId="2D16E5D6" w14:textId="77777777" w:rsidR="00C67231" w:rsidRPr="0074556C" w:rsidRDefault="00C67231" w:rsidP="007336CA">
            <w:pPr>
              <w:pStyle w:val="TableText"/>
            </w:pPr>
            <w:r w:rsidRPr="0074556C">
              <w:t>Inner</w:t>
            </w:r>
          </w:p>
        </w:tc>
        <w:tc>
          <w:tcPr>
            <w:tcW w:w="1530" w:type="dxa"/>
            <w:tcBorders>
              <w:top w:val="nil"/>
              <w:left w:val="single" w:sz="4" w:space="0" w:color="auto"/>
              <w:bottom w:val="nil"/>
              <w:right w:val="single" w:sz="4" w:space="0" w:color="auto"/>
            </w:tcBorders>
          </w:tcPr>
          <w:p w14:paraId="627BFCBC" w14:textId="77777777" w:rsidR="00C67231" w:rsidRPr="0074556C" w:rsidRDefault="00C67231" w:rsidP="007336CA">
            <w:pPr>
              <w:pStyle w:val="TableText"/>
              <w:rPr>
                <w:rFonts w:ascii="Cambria Math" w:hAnsi="Cambria Math"/>
              </w:rPr>
            </w:pPr>
            <w:r w:rsidRPr="0074556C">
              <w:rPr>
                <w:rFonts w:ascii="Cambria Math" w:hAnsi="Cambria Math"/>
              </w:rPr>
              <w:t>I</w:t>
            </w:r>
          </w:p>
        </w:tc>
      </w:tr>
      <w:tr w:rsidR="00C67231" w:rsidRPr="0074556C" w14:paraId="3FC3A394" w14:textId="77777777" w:rsidTr="00AE2101">
        <w:trPr>
          <w:trHeight w:val="300"/>
        </w:trPr>
        <w:tc>
          <w:tcPr>
            <w:tcW w:w="2254" w:type="dxa"/>
            <w:vMerge/>
            <w:tcBorders>
              <w:left w:val="single" w:sz="4" w:space="0" w:color="auto"/>
              <w:bottom w:val="single" w:sz="4" w:space="0" w:color="auto"/>
              <w:right w:val="single" w:sz="4" w:space="0" w:color="auto"/>
            </w:tcBorders>
          </w:tcPr>
          <w:p w14:paraId="73A63354" w14:textId="77777777" w:rsidR="00C67231" w:rsidRPr="0074556C" w:rsidRDefault="00C67231" w:rsidP="007336CA">
            <w:pPr>
              <w:pStyle w:val="TableText"/>
            </w:pPr>
          </w:p>
        </w:tc>
        <w:tc>
          <w:tcPr>
            <w:tcW w:w="2970" w:type="dxa"/>
            <w:tcBorders>
              <w:top w:val="nil"/>
              <w:left w:val="single" w:sz="4" w:space="0" w:color="auto"/>
              <w:bottom w:val="single" w:sz="4" w:space="0" w:color="auto"/>
              <w:right w:val="single" w:sz="4" w:space="0" w:color="auto"/>
            </w:tcBorders>
            <w:shd w:val="clear" w:color="auto" w:fill="auto"/>
            <w:noWrap/>
            <w:vAlign w:val="bottom"/>
            <w:hideMark/>
          </w:tcPr>
          <w:p w14:paraId="4A0C0C56" w14:textId="77777777" w:rsidR="00C67231" w:rsidRPr="0074556C" w:rsidRDefault="00C67231" w:rsidP="007336CA">
            <w:pPr>
              <w:pStyle w:val="TableText"/>
            </w:pPr>
            <w:r w:rsidRPr="0074556C">
              <w:t>Outer</w:t>
            </w:r>
          </w:p>
        </w:tc>
        <w:tc>
          <w:tcPr>
            <w:tcW w:w="1530" w:type="dxa"/>
            <w:tcBorders>
              <w:top w:val="nil"/>
              <w:left w:val="single" w:sz="4" w:space="0" w:color="auto"/>
              <w:bottom w:val="single" w:sz="4" w:space="0" w:color="auto"/>
              <w:right w:val="single" w:sz="4" w:space="0" w:color="auto"/>
            </w:tcBorders>
          </w:tcPr>
          <w:p w14:paraId="4B420B98" w14:textId="77777777" w:rsidR="00C67231" w:rsidRPr="0074556C" w:rsidRDefault="00C67231" w:rsidP="007336CA">
            <w:pPr>
              <w:pStyle w:val="TableText"/>
              <w:rPr>
                <w:rFonts w:ascii="Cambria Math" w:hAnsi="Cambria Math"/>
              </w:rPr>
            </w:pPr>
            <w:r w:rsidRPr="0074556C">
              <w:rPr>
                <w:rFonts w:ascii="Cambria Math" w:hAnsi="Cambria Math"/>
              </w:rPr>
              <w:t>O</w:t>
            </w:r>
          </w:p>
        </w:tc>
      </w:tr>
      <w:tr w:rsidR="00C67231" w:rsidRPr="0074556C" w14:paraId="0D578E4A" w14:textId="77777777" w:rsidTr="00AE2101">
        <w:trPr>
          <w:trHeight w:val="300"/>
        </w:trPr>
        <w:tc>
          <w:tcPr>
            <w:tcW w:w="2254" w:type="dxa"/>
            <w:vMerge w:val="restart"/>
            <w:tcBorders>
              <w:top w:val="single" w:sz="4" w:space="0" w:color="auto"/>
              <w:left w:val="single" w:sz="4" w:space="0" w:color="auto"/>
              <w:right w:val="single" w:sz="4" w:space="0" w:color="auto"/>
            </w:tcBorders>
            <w:vAlign w:val="center"/>
          </w:tcPr>
          <w:p w14:paraId="4F674B0B" w14:textId="77777777" w:rsidR="00C67231" w:rsidRPr="0074556C" w:rsidRDefault="00C67231" w:rsidP="007336CA">
            <w:pPr>
              <w:pStyle w:val="TableText"/>
            </w:pPr>
            <w:r w:rsidRPr="0074556C">
              <w:t>Material Properties</w:t>
            </w:r>
          </w:p>
        </w:tc>
        <w:tc>
          <w:tcPr>
            <w:tcW w:w="2970" w:type="dxa"/>
            <w:tcBorders>
              <w:top w:val="single" w:sz="4" w:space="0" w:color="auto"/>
              <w:left w:val="single" w:sz="4" w:space="0" w:color="auto"/>
              <w:bottom w:val="nil"/>
              <w:right w:val="single" w:sz="4" w:space="0" w:color="auto"/>
            </w:tcBorders>
            <w:shd w:val="clear" w:color="auto" w:fill="auto"/>
            <w:noWrap/>
            <w:vAlign w:val="bottom"/>
            <w:hideMark/>
          </w:tcPr>
          <w:p w14:paraId="48B6BC83" w14:textId="77777777" w:rsidR="00C67231" w:rsidRPr="0074556C" w:rsidRDefault="00C67231" w:rsidP="007336CA">
            <w:pPr>
              <w:pStyle w:val="TableText"/>
            </w:pPr>
            <w:r w:rsidRPr="0074556C">
              <w:t>Thermal Conductivity</w:t>
            </w:r>
          </w:p>
        </w:tc>
        <w:tc>
          <w:tcPr>
            <w:tcW w:w="1530" w:type="dxa"/>
            <w:tcBorders>
              <w:top w:val="single" w:sz="4" w:space="0" w:color="auto"/>
              <w:left w:val="single" w:sz="4" w:space="0" w:color="auto"/>
              <w:bottom w:val="nil"/>
              <w:right w:val="single" w:sz="4" w:space="0" w:color="auto"/>
            </w:tcBorders>
          </w:tcPr>
          <w:p w14:paraId="256ACD6D" w14:textId="77777777" w:rsidR="00C67231" w:rsidRPr="0074556C" w:rsidRDefault="00C67231" w:rsidP="007336CA">
            <w:pPr>
              <w:pStyle w:val="TableText"/>
              <w:rPr>
                <w:rFonts w:ascii="Cambria Math" w:hAnsi="Cambria Math"/>
              </w:rPr>
            </w:pPr>
            <w:r w:rsidRPr="0074556C">
              <w:rPr>
                <w:rFonts w:ascii="Cambria Math" w:hAnsi="Cambria Math"/>
              </w:rPr>
              <w:t>k</w:t>
            </w:r>
          </w:p>
        </w:tc>
      </w:tr>
      <w:tr w:rsidR="00C67231" w:rsidRPr="0074556C" w14:paraId="0664465C" w14:textId="77777777" w:rsidTr="00AE2101">
        <w:trPr>
          <w:trHeight w:val="300"/>
        </w:trPr>
        <w:tc>
          <w:tcPr>
            <w:tcW w:w="2254" w:type="dxa"/>
            <w:vMerge/>
            <w:tcBorders>
              <w:left w:val="single" w:sz="4" w:space="0" w:color="auto"/>
              <w:right w:val="single" w:sz="4" w:space="0" w:color="auto"/>
            </w:tcBorders>
          </w:tcPr>
          <w:p w14:paraId="72FA6F7E" w14:textId="77777777" w:rsidR="00C67231" w:rsidRPr="0074556C" w:rsidRDefault="00C67231" w:rsidP="007336CA">
            <w:pPr>
              <w:pStyle w:val="TableText"/>
            </w:pPr>
          </w:p>
        </w:tc>
        <w:tc>
          <w:tcPr>
            <w:tcW w:w="2970" w:type="dxa"/>
            <w:tcBorders>
              <w:top w:val="nil"/>
              <w:left w:val="single" w:sz="4" w:space="0" w:color="auto"/>
              <w:bottom w:val="nil"/>
              <w:right w:val="single" w:sz="4" w:space="0" w:color="auto"/>
            </w:tcBorders>
            <w:shd w:val="clear" w:color="auto" w:fill="auto"/>
            <w:noWrap/>
            <w:vAlign w:val="bottom"/>
          </w:tcPr>
          <w:p w14:paraId="0C9420F9" w14:textId="77777777" w:rsidR="00C67231" w:rsidRPr="0074556C" w:rsidRDefault="00C67231" w:rsidP="007336CA">
            <w:pPr>
              <w:pStyle w:val="TableText"/>
            </w:pPr>
            <w:r w:rsidRPr="0074556C">
              <w:t>Emissivity</w:t>
            </w:r>
          </w:p>
        </w:tc>
        <w:tc>
          <w:tcPr>
            <w:tcW w:w="1530" w:type="dxa"/>
            <w:tcBorders>
              <w:top w:val="nil"/>
              <w:left w:val="single" w:sz="4" w:space="0" w:color="auto"/>
              <w:bottom w:val="nil"/>
              <w:right w:val="single" w:sz="4" w:space="0" w:color="auto"/>
            </w:tcBorders>
          </w:tcPr>
          <w:p w14:paraId="29C1AF06" w14:textId="77777777" w:rsidR="00C67231" w:rsidRPr="0074556C" w:rsidRDefault="00C67231" w:rsidP="007336CA">
            <w:pPr>
              <w:pStyle w:val="TableText"/>
              <w:rPr>
                <w:rFonts w:ascii="Cambria Math" w:hAnsi="Cambria Math"/>
              </w:rPr>
            </w:pPr>
            <w:r w:rsidRPr="0074556C">
              <w:rPr>
                <w:rFonts w:ascii="Cambria Math" w:hAnsi="Cambria Math"/>
              </w:rPr>
              <w:sym w:font="Symbol" w:char="F065"/>
            </w:r>
          </w:p>
        </w:tc>
      </w:tr>
      <w:tr w:rsidR="00C67231" w:rsidRPr="0074556C" w14:paraId="3094EB6C" w14:textId="77777777" w:rsidTr="00AE2101">
        <w:trPr>
          <w:trHeight w:val="300"/>
        </w:trPr>
        <w:tc>
          <w:tcPr>
            <w:tcW w:w="2254" w:type="dxa"/>
            <w:vMerge/>
            <w:tcBorders>
              <w:left w:val="single" w:sz="4" w:space="0" w:color="auto"/>
              <w:right w:val="single" w:sz="4" w:space="0" w:color="auto"/>
            </w:tcBorders>
          </w:tcPr>
          <w:p w14:paraId="4FEBEE58" w14:textId="77777777" w:rsidR="00C67231" w:rsidRPr="0074556C" w:rsidRDefault="00C67231" w:rsidP="007336CA">
            <w:pPr>
              <w:pStyle w:val="TableText"/>
            </w:pPr>
          </w:p>
        </w:tc>
        <w:tc>
          <w:tcPr>
            <w:tcW w:w="2970" w:type="dxa"/>
            <w:tcBorders>
              <w:top w:val="nil"/>
              <w:left w:val="single" w:sz="4" w:space="0" w:color="auto"/>
              <w:bottom w:val="nil"/>
              <w:right w:val="single" w:sz="4" w:space="0" w:color="auto"/>
            </w:tcBorders>
            <w:shd w:val="clear" w:color="auto" w:fill="auto"/>
            <w:noWrap/>
            <w:vAlign w:val="bottom"/>
          </w:tcPr>
          <w:p w14:paraId="29238547" w14:textId="77777777" w:rsidR="00C67231" w:rsidRPr="0074556C" w:rsidRDefault="00C67231" w:rsidP="007336CA">
            <w:pPr>
              <w:pStyle w:val="TableText"/>
            </w:pPr>
            <w:r w:rsidRPr="0074556C">
              <w:t>Internal Heat Generation Rate</w:t>
            </w:r>
          </w:p>
        </w:tc>
        <w:tc>
          <w:tcPr>
            <w:tcW w:w="1530" w:type="dxa"/>
            <w:tcBorders>
              <w:top w:val="nil"/>
              <w:left w:val="single" w:sz="4" w:space="0" w:color="auto"/>
              <w:bottom w:val="nil"/>
              <w:right w:val="single" w:sz="4" w:space="0" w:color="auto"/>
            </w:tcBorders>
          </w:tcPr>
          <w:p w14:paraId="52BCD06E" w14:textId="77777777" w:rsidR="00C67231" w:rsidRPr="0074556C" w:rsidRDefault="00C67231" w:rsidP="007336CA">
            <w:pPr>
              <w:pStyle w:val="TableText"/>
              <w:rPr>
                <w:rFonts w:ascii="Cambria Math" w:hAnsi="Cambria Math"/>
              </w:rPr>
            </w:pPr>
            <w:r w:rsidRPr="0074556C">
              <w:rPr>
                <w:rFonts w:ascii="Cambria Math" w:hAnsi="Cambria Math"/>
              </w:rPr>
              <w:t>Q</w:t>
            </w:r>
          </w:p>
        </w:tc>
      </w:tr>
      <w:tr w:rsidR="00C67231" w:rsidRPr="0074556C" w14:paraId="7B987EBC" w14:textId="77777777" w:rsidTr="00AE2101">
        <w:trPr>
          <w:trHeight w:val="300"/>
        </w:trPr>
        <w:tc>
          <w:tcPr>
            <w:tcW w:w="2254" w:type="dxa"/>
            <w:vMerge/>
            <w:tcBorders>
              <w:left w:val="single" w:sz="4" w:space="0" w:color="auto"/>
              <w:right w:val="single" w:sz="4" w:space="0" w:color="auto"/>
            </w:tcBorders>
          </w:tcPr>
          <w:p w14:paraId="5C185172" w14:textId="77777777" w:rsidR="00C67231" w:rsidRPr="0074556C" w:rsidRDefault="00C67231" w:rsidP="007336CA">
            <w:pPr>
              <w:pStyle w:val="TableText"/>
            </w:pPr>
          </w:p>
        </w:tc>
        <w:tc>
          <w:tcPr>
            <w:tcW w:w="2970" w:type="dxa"/>
            <w:tcBorders>
              <w:top w:val="nil"/>
              <w:left w:val="single" w:sz="4" w:space="0" w:color="auto"/>
              <w:bottom w:val="nil"/>
              <w:right w:val="single" w:sz="4" w:space="0" w:color="auto"/>
            </w:tcBorders>
            <w:shd w:val="clear" w:color="auto" w:fill="auto"/>
            <w:noWrap/>
            <w:vAlign w:val="bottom"/>
          </w:tcPr>
          <w:p w14:paraId="2BF959A2" w14:textId="77777777" w:rsidR="00C67231" w:rsidRPr="0074556C" w:rsidRDefault="00C67231" w:rsidP="007336CA">
            <w:pPr>
              <w:pStyle w:val="TableText"/>
            </w:pPr>
            <w:r w:rsidRPr="0074556C">
              <w:t>Burnup</w:t>
            </w:r>
          </w:p>
        </w:tc>
        <w:tc>
          <w:tcPr>
            <w:tcW w:w="1530" w:type="dxa"/>
            <w:tcBorders>
              <w:top w:val="nil"/>
              <w:left w:val="single" w:sz="4" w:space="0" w:color="auto"/>
              <w:bottom w:val="nil"/>
              <w:right w:val="single" w:sz="4" w:space="0" w:color="auto"/>
            </w:tcBorders>
          </w:tcPr>
          <w:p w14:paraId="17F05FD0" w14:textId="77777777" w:rsidR="00C67231" w:rsidRPr="0074556C" w:rsidRDefault="00C67231" w:rsidP="007336CA">
            <w:pPr>
              <w:pStyle w:val="TableText"/>
              <w:rPr>
                <w:rFonts w:ascii="Cambria Math" w:hAnsi="Cambria Math"/>
              </w:rPr>
            </w:pPr>
            <w:r w:rsidRPr="0074556C">
              <w:rPr>
                <w:rFonts w:ascii="Cambria Math" w:hAnsi="Cambria Math"/>
              </w:rPr>
              <w:t>BU</w:t>
            </w:r>
          </w:p>
        </w:tc>
      </w:tr>
      <w:tr w:rsidR="00C67231" w:rsidRPr="0074556C" w14:paraId="6656FF13" w14:textId="77777777" w:rsidTr="00AE2101">
        <w:trPr>
          <w:trHeight w:val="300"/>
        </w:trPr>
        <w:tc>
          <w:tcPr>
            <w:tcW w:w="2254" w:type="dxa"/>
            <w:vMerge/>
            <w:tcBorders>
              <w:left w:val="single" w:sz="4" w:space="0" w:color="auto"/>
              <w:right w:val="single" w:sz="4" w:space="0" w:color="auto"/>
            </w:tcBorders>
          </w:tcPr>
          <w:p w14:paraId="2442D9C6" w14:textId="77777777" w:rsidR="00C67231" w:rsidRPr="0074556C" w:rsidRDefault="00C67231" w:rsidP="007336CA">
            <w:pPr>
              <w:pStyle w:val="TableText"/>
            </w:pPr>
          </w:p>
        </w:tc>
        <w:tc>
          <w:tcPr>
            <w:tcW w:w="2970" w:type="dxa"/>
            <w:tcBorders>
              <w:top w:val="nil"/>
              <w:left w:val="single" w:sz="4" w:space="0" w:color="auto"/>
              <w:bottom w:val="nil"/>
              <w:right w:val="single" w:sz="4" w:space="0" w:color="auto"/>
            </w:tcBorders>
            <w:shd w:val="clear" w:color="auto" w:fill="auto"/>
            <w:noWrap/>
            <w:vAlign w:val="bottom"/>
          </w:tcPr>
          <w:p w14:paraId="33A954ED" w14:textId="77777777" w:rsidR="00C67231" w:rsidRPr="0074556C" w:rsidRDefault="00C67231" w:rsidP="007336CA">
            <w:pPr>
              <w:pStyle w:val="TableText"/>
            </w:pPr>
            <w:r w:rsidRPr="0074556C">
              <w:t>Percent Theoretical Density</w:t>
            </w:r>
          </w:p>
        </w:tc>
        <w:tc>
          <w:tcPr>
            <w:tcW w:w="1530" w:type="dxa"/>
            <w:tcBorders>
              <w:top w:val="nil"/>
              <w:left w:val="single" w:sz="4" w:space="0" w:color="auto"/>
              <w:bottom w:val="nil"/>
              <w:right w:val="single" w:sz="4" w:space="0" w:color="auto"/>
            </w:tcBorders>
          </w:tcPr>
          <w:p w14:paraId="022BD354" w14:textId="77777777" w:rsidR="00C67231" w:rsidRPr="0074556C" w:rsidRDefault="00C67231" w:rsidP="007336CA">
            <w:pPr>
              <w:pStyle w:val="TableText"/>
              <w:rPr>
                <w:rFonts w:ascii="Cambria Math" w:hAnsi="Cambria Math"/>
              </w:rPr>
            </w:pPr>
            <w:r w:rsidRPr="0074556C">
              <w:rPr>
                <w:rFonts w:ascii="Cambria Math" w:hAnsi="Cambria Math"/>
              </w:rPr>
              <w:t>PTD</w:t>
            </w:r>
          </w:p>
        </w:tc>
      </w:tr>
      <w:tr w:rsidR="00C67231" w:rsidRPr="0074556C" w14:paraId="339465DF" w14:textId="77777777" w:rsidTr="00AE2101">
        <w:trPr>
          <w:trHeight w:val="300"/>
        </w:trPr>
        <w:tc>
          <w:tcPr>
            <w:tcW w:w="2254" w:type="dxa"/>
            <w:vMerge/>
            <w:tcBorders>
              <w:left w:val="single" w:sz="4" w:space="0" w:color="auto"/>
              <w:bottom w:val="single" w:sz="4" w:space="0" w:color="auto"/>
              <w:right w:val="single" w:sz="4" w:space="0" w:color="auto"/>
            </w:tcBorders>
          </w:tcPr>
          <w:p w14:paraId="328479A3" w14:textId="77777777" w:rsidR="00C67231" w:rsidRPr="0074556C" w:rsidRDefault="00C67231" w:rsidP="007336CA">
            <w:pPr>
              <w:pStyle w:val="TableText"/>
            </w:pPr>
          </w:p>
        </w:tc>
        <w:tc>
          <w:tcPr>
            <w:tcW w:w="2970" w:type="dxa"/>
            <w:tcBorders>
              <w:top w:val="nil"/>
              <w:left w:val="single" w:sz="4" w:space="0" w:color="auto"/>
              <w:bottom w:val="single" w:sz="4" w:space="0" w:color="auto"/>
              <w:right w:val="single" w:sz="4" w:space="0" w:color="auto"/>
            </w:tcBorders>
            <w:shd w:val="clear" w:color="auto" w:fill="auto"/>
            <w:noWrap/>
            <w:vAlign w:val="bottom"/>
            <w:hideMark/>
          </w:tcPr>
          <w:p w14:paraId="1F3B24C1" w14:textId="77777777" w:rsidR="00C67231" w:rsidRPr="0074556C" w:rsidRDefault="00C67231" w:rsidP="007336CA">
            <w:pPr>
              <w:pStyle w:val="TableText"/>
            </w:pPr>
            <w:r w:rsidRPr="0074556C">
              <w:t>Thermal Contact Conductance</w:t>
            </w:r>
          </w:p>
        </w:tc>
        <w:tc>
          <w:tcPr>
            <w:tcW w:w="1530" w:type="dxa"/>
            <w:tcBorders>
              <w:top w:val="nil"/>
              <w:left w:val="single" w:sz="4" w:space="0" w:color="auto"/>
              <w:bottom w:val="single" w:sz="4" w:space="0" w:color="auto"/>
              <w:right w:val="single" w:sz="4" w:space="0" w:color="auto"/>
            </w:tcBorders>
          </w:tcPr>
          <w:p w14:paraId="3AFDBEFB" w14:textId="77777777" w:rsidR="00C67231" w:rsidRPr="0074556C" w:rsidRDefault="00C67231" w:rsidP="007336CA">
            <w:pPr>
              <w:pStyle w:val="TableText"/>
              <w:rPr>
                <w:rFonts w:ascii="Cambria Math" w:hAnsi="Cambria Math"/>
              </w:rPr>
            </w:pPr>
            <w:r w:rsidRPr="0074556C">
              <w:rPr>
                <w:rFonts w:ascii="Cambria Math" w:hAnsi="Cambria Math"/>
              </w:rPr>
              <w:t>TCC</w:t>
            </w:r>
          </w:p>
        </w:tc>
      </w:tr>
    </w:tbl>
    <w:p w14:paraId="5F14E8D0" w14:textId="77777777" w:rsidR="00C67231" w:rsidRDefault="00C67231" w:rsidP="00874CBB">
      <w:pPr>
        <w:pStyle w:val="Caption"/>
      </w:pPr>
    </w:p>
    <w:p w14:paraId="1A7AE81B" w14:textId="78271FEF" w:rsidR="00C67231" w:rsidRPr="00282F64" w:rsidRDefault="007336CA" w:rsidP="007336CA">
      <w:pPr>
        <w:spacing w:line="240" w:lineRule="auto"/>
      </w:pPr>
      <w:r>
        <w:br w:type="page"/>
      </w:r>
    </w:p>
    <w:p w14:paraId="3C164BC8" w14:textId="6F9E15EC" w:rsidR="00C67231" w:rsidRPr="0074556C" w:rsidRDefault="00C67231" w:rsidP="00874CBB">
      <w:pPr>
        <w:pStyle w:val="Caption"/>
      </w:pPr>
      <w:bookmarkStart w:id="277" w:name="_Ref198117603"/>
      <w:bookmarkStart w:id="278" w:name="_Toc202957531"/>
      <w:r w:rsidRPr="009D2AA9">
        <w:lastRenderedPageBreak/>
        <w:t xml:space="preserve">Table </w:t>
      </w:r>
      <w:fldSimple w:instr=" SEQ Table \* ARABIC \s 1 ">
        <w:r w:rsidR="00BF7E93">
          <w:rPr>
            <w:noProof/>
          </w:rPr>
          <w:t>2</w:t>
        </w:r>
      </w:fldSimple>
      <w:bookmarkEnd w:id="277"/>
      <w:r w:rsidRPr="0074556C">
        <w:t>. Subcapsule geometry parameters for Morris analysis</w:t>
      </w:r>
      <w:bookmarkEnd w:id="278"/>
    </w:p>
    <w:tbl>
      <w:tblPr>
        <w:tblW w:w="6475" w:type="dxa"/>
        <w:tblInd w:w="1251" w:type="dxa"/>
        <w:tblLayout w:type="fixed"/>
        <w:tblLook w:val="04A0" w:firstRow="1" w:lastRow="0" w:firstColumn="1" w:lastColumn="0" w:noHBand="0" w:noVBand="1"/>
      </w:tblPr>
      <w:tblGrid>
        <w:gridCol w:w="440"/>
        <w:gridCol w:w="2795"/>
        <w:gridCol w:w="1075"/>
        <w:gridCol w:w="381"/>
        <w:gridCol w:w="974"/>
        <w:gridCol w:w="810"/>
      </w:tblGrid>
      <w:tr w:rsidR="00C67231" w:rsidRPr="0074556C" w14:paraId="1D6D6E00" w14:textId="77777777" w:rsidTr="00AE2101">
        <w:trPr>
          <w:trHeight w:val="300"/>
        </w:trPr>
        <w:tc>
          <w:tcPr>
            <w:tcW w:w="440" w:type="dxa"/>
            <w:tcBorders>
              <w:top w:val="single" w:sz="4" w:space="0" w:color="auto"/>
              <w:left w:val="single" w:sz="4" w:space="0" w:color="auto"/>
              <w:bottom w:val="nil"/>
              <w:right w:val="single" w:sz="4" w:space="0" w:color="auto"/>
            </w:tcBorders>
            <w:shd w:val="clear" w:color="auto" w:fill="auto"/>
            <w:noWrap/>
            <w:vAlign w:val="center"/>
            <w:hideMark/>
          </w:tcPr>
          <w:p w14:paraId="3E660B47" w14:textId="77777777" w:rsidR="00C67231" w:rsidRPr="0074556C" w:rsidRDefault="00C67231" w:rsidP="00D57B77">
            <w:pPr>
              <w:pStyle w:val="TableText"/>
            </w:pPr>
            <w:r w:rsidRPr="0074556C">
              <w:t>#</w:t>
            </w:r>
          </w:p>
        </w:tc>
        <w:tc>
          <w:tcPr>
            <w:tcW w:w="2795" w:type="dxa"/>
            <w:tcBorders>
              <w:top w:val="single" w:sz="4" w:space="0" w:color="auto"/>
              <w:left w:val="nil"/>
              <w:bottom w:val="nil"/>
              <w:right w:val="single" w:sz="4" w:space="0" w:color="auto"/>
            </w:tcBorders>
            <w:shd w:val="clear" w:color="auto" w:fill="auto"/>
            <w:noWrap/>
            <w:vAlign w:val="bottom"/>
            <w:hideMark/>
          </w:tcPr>
          <w:p w14:paraId="6BCB718A" w14:textId="77777777" w:rsidR="00C67231" w:rsidRPr="0074556C" w:rsidRDefault="00C67231" w:rsidP="00D57B77">
            <w:pPr>
              <w:pStyle w:val="TableText"/>
            </w:pPr>
            <w:r w:rsidRPr="0074556C">
              <w:t>Parameter Name</w:t>
            </w:r>
          </w:p>
        </w:tc>
        <w:tc>
          <w:tcPr>
            <w:tcW w:w="1075" w:type="dxa"/>
            <w:tcBorders>
              <w:top w:val="single" w:sz="4" w:space="0" w:color="auto"/>
              <w:left w:val="nil"/>
              <w:bottom w:val="single" w:sz="4" w:space="0" w:color="auto"/>
              <w:right w:val="single" w:sz="4" w:space="0" w:color="auto"/>
            </w:tcBorders>
          </w:tcPr>
          <w:p w14:paraId="76CFB7A9" w14:textId="77777777" w:rsidR="00C67231" w:rsidRPr="0074556C" w:rsidRDefault="00C67231" w:rsidP="00D57B77">
            <w:pPr>
              <w:pStyle w:val="TableText"/>
            </w:pPr>
            <w:r w:rsidRPr="0074556C">
              <w:t>Base</w:t>
            </w:r>
          </w:p>
        </w:tc>
        <w:tc>
          <w:tcPr>
            <w:tcW w:w="135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C5CA67" w14:textId="77777777" w:rsidR="00C67231" w:rsidRPr="0074556C" w:rsidRDefault="00C67231" w:rsidP="00D57B77">
            <w:pPr>
              <w:pStyle w:val="TableText"/>
            </w:pPr>
            <w:r w:rsidRPr="0074556C">
              <w:t>Uncertainty</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3F29C92" w14:textId="77777777" w:rsidR="00C67231" w:rsidRPr="0074556C" w:rsidRDefault="00C67231" w:rsidP="00D57B77">
            <w:pPr>
              <w:pStyle w:val="TableText"/>
            </w:pPr>
            <w:r w:rsidRPr="0074556C">
              <w:t>Unit</w:t>
            </w:r>
          </w:p>
        </w:tc>
      </w:tr>
      <w:tr w:rsidR="00C67231" w:rsidRPr="0074556C" w14:paraId="37870C57" w14:textId="77777777" w:rsidTr="00AE2101">
        <w:trPr>
          <w:trHeight w:val="300"/>
        </w:trPr>
        <w:tc>
          <w:tcPr>
            <w:tcW w:w="440" w:type="dxa"/>
            <w:tcBorders>
              <w:top w:val="single" w:sz="4" w:space="0" w:color="auto"/>
              <w:left w:val="single" w:sz="4" w:space="0" w:color="auto"/>
              <w:bottom w:val="nil"/>
              <w:right w:val="nil"/>
            </w:tcBorders>
            <w:shd w:val="clear" w:color="auto" w:fill="auto"/>
            <w:noWrap/>
            <w:vAlign w:val="center"/>
            <w:hideMark/>
          </w:tcPr>
          <w:p w14:paraId="0A21AB21" w14:textId="77777777" w:rsidR="00C67231" w:rsidRPr="0074556C" w:rsidRDefault="00C67231" w:rsidP="00D57B77">
            <w:pPr>
              <w:pStyle w:val="TableText"/>
            </w:pPr>
            <w:r w:rsidRPr="0074556C">
              <w:t>1</w:t>
            </w:r>
          </w:p>
        </w:tc>
        <w:tc>
          <w:tcPr>
            <w:tcW w:w="2795" w:type="dxa"/>
            <w:tcBorders>
              <w:top w:val="single" w:sz="4" w:space="0" w:color="auto"/>
              <w:left w:val="single" w:sz="4" w:space="0" w:color="auto"/>
              <w:bottom w:val="nil"/>
              <w:right w:val="single" w:sz="4" w:space="0" w:color="auto"/>
            </w:tcBorders>
            <w:shd w:val="clear" w:color="auto" w:fill="auto"/>
            <w:noWrap/>
            <w:vAlign w:val="bottom"/>
            <w:hideMark/>
          </w:tcPr>
          <w:p w14:paraId="48AEBC26" w14:textId="77777777" w:rsidR="00C67231" w:rsidRPr="0074556C" w:rsidRDefault="00C67231" w:rsidP="00D57B77">
            <w:pPr>
              <w:pStyle w:val="TableText"/>
            </w:pPr>
            <w:r w:rsidRPr="0074556C">
              <w:t>Fuel R</w:t>
            </w:r>
          </w:p>
        </w:tc>
        <w:tc>
          <w:tcPr>
            <w:tcW w:w="1075" w:type="dxa"/>
            <w:tcBorders>
              <w:top w:val="single" w:sz="4" w:space="0" w:color="auto"/>
              <w:left w:val="single" w:sz="4" w:space="0" w:color="auto"/>
              <w:bottom w:val="nil"/>
              <w:right w:val="single" w:sz="4" w:space="0" w:color="auto"/>
            </w:tcBorders>
          </w:tcPr>
          <w:p w14:paraId="7274C941" w14:textId="77777777" w:rsidR="00C67231" w:rsidRPr="0074556C" w:rsidRDefault="00C67231" w:rsidP="00D57B77">
            <w:pPr>
              <w:pStyle w:val="TableText"/>
              <w:rPr>
                <w:rFonts w:ascii="Cambria Math" w:hAnsi="Cambria Math"/>
              </w:rPr>
            </w:pPr>
            <w:r w:rsidRPr="0074556C">
              <w:rPr>
                <w:rFonts w:ascii="Cambria Math" w:hAnsi="Cambria Math"/>
              </w:rPr>
              <w:t>1.435</w:t>
            </w:r>
          </w:p>
        </w:tc>
        <w:tc>
          <w:tcPr>
            <w:tcW w:w="381" w:type="dxa"/>
            <w:tcBorders>
              <w:top w:val="single" w:sz="4" w:space="0" w:color="auto"/>
              <w:left w:val="single" w:sz="4" w:space="0" w:color="auto"/>
              <w:bottom w:val="nil"/>
              <w:right w:val="nil"/>
            </w:tcBorders>
            <w:shd w:val="clear" w:color="auto" w:fill="auto"/>
            <w:noWrap/>
            <w:vAlign w:val="center"/>
            <w:hideMark/>
          </w:tcPr>
          <w:p w14:paraId="0559BF73" w14:textId="77777777" w:rsidR="00C67231" w:rsidRPr="0074556C" w:rsidRDefault="00C67231" w:rsidP="00D57B77">
            <w:pPr>
              <w:pStyle w:val="TableText"/>
              <w:rPr>
                <w:rFonts w:ascii="Cambria Math" w:hAnsi="Cambria Math"/>
              </w:rPr>
            </w:pPr>
            <w:r w:rsidRPr="0074556C">
              <w:rPr>
                <w:rFonts w:ascii="Cambria Math" w:hAnsi="Cambria Math"/>
              </w:rPr>
              <w:t>±</w:t>
            </w:r>
          </w:p>
        </w:tc>
        <w:tc>
          <w:tcPr>
            <w:tcW w:w="974" w:type="dxa"/>
            <w:tcBorders>
              <w:top w:val="single" w:sz="4" w:space="0" w:color="auto"/>
              <w:left w:val="nil"/>
              <w:bottom w:val="nil"/>
              <w:right w:val="single" w:sz="4" w:space="0" w:color="auto"/>
            </w:tcBorders>
            <w:shd w:val="clear" w:color="auto" w:fill="auto"/>
            <w:noWrap/>
            <w:vAlign w:val="bottom"/>
            <w:hideMark/>
          </w:tcPr>
          <w:p w14:paraId="5F124391" w14:textId="77777777" w:rsidR="00C67231" w:rsidRPr="0074556C" w:rsidRDefault="00C67231" w:rsidP="00D57B77">
            <w:pPr>
              <w:pStyle w:val="TableText"/>
            </w:pPr>
            <w:r w:rsidRPr="0074556C">
              <w:t>0.05</w:t>
            </w:r>
          </w:p>
        </w:tc>
        <w:tc>
          <w:tcPr>
            <w:tcW w:w="810" w:type="dxa"/>
            <w:tcBorders>
              <w:top w:val="single" w:sz="4" w:space="0" w:color="auto"/>
              <w:left w:val="single" w:sz="4" w:space="0" w:color="auto"/>
              <w:bottom w:val="nil"/>
              <w:right w:val="single" w:sz="4" w:space="0" w:color="auto"/>
            </w:tcBorders>
            <w:shd w:val="clear" w:color="auto" w:fill="auto"/>
            <w:noWrap/>
            <w:vAlign w:val="center"/>
            <w:hideMark/>
          </w:tcPr>
          <w:p w14:paraId="5AB6F2A2" w14:textId="77777777" w:rsidR="00C67231" w:rsidRPr="0074556C" w:rsidRDefault="00C67231" w:rsidP="00D57B77">
            <w:pPr>
              <w:pStyle w:val="TableText"/>
            </w:pPr>
            <w:r w:rsidRPr="0074556C">
              <w:t>mm</w:t>
            </w:r>
          </w:p>
        </w:tc>
      </w:tr>
      <w:tr w:rsidR="00C67231" w:rsidRPr="0074556C" w14:paraId="3929893C" w14:textId="77777777" w:rsidTr="00AE2101">
        <w:trPr>
          <w:trHeight w:val="300"/>
        </w:trPr>
        <w:tc>
          <w:tcPr>
            <w:tcW w:w="440" w:type="dxa"/>
            <w:tcBorders>
              <w:top w:val="nil"/>
              <w:left w:val="single" w:sz="4" w:space="0" w:color="auto"/>
              <w:bottom w:val="nil"/>
              <w:right w:val="nil"/>
            </w:tcBorders>
            <w:shd w:val="clear" w:color="auto" w:fill="auto"/>
            <w:noWrap/>
            <w:vAlign w:val="center"/>
            <w:hideMark/>
          </w:tcPr>
          <w:p w14:paraId="52F13720" w14:textId="77777777" w:rsidR="00C67231" w:rsidRPr="0074556C" w:rsidRDefault="00C67231" w:rsidP="00D57B77">
            <w:pPr>
              <w:pStyle w:val="TableText"/>
            </w:pPr>
            <w:r w:rsidRPr="0074556C">
              <w:t>2</w:t>
            </w:r>
          </w:p>
        </w:tc>
        <w:tc>
          <w:tcPr>
            <w:tcW w:w="2795" w:type="dxa"/>
            <w:tcBorders>
              <w:top w:val="nil"/>
              <w:left w:val="single" w:sz="4" w:space="0" w:color="auto"/>
              <w:bottom w:val="nil"/>
              <w:right w:val="single" w:sz="4" w:space="0" w:color="auto"/>
            </w:tcBorders>
            <w:shd w:val="clear" w:color="auto" w:fill="auto"/>
            <w:noWrap/>
            <w:vAlign w:val="bottom"/>
            <w:hideMark/>
          </w:tcPr>
          <w:p w14:paraId="0ADCB872" w14:textId="77777777" w:rsidR="00C67231" w:rsidRPr="0074556C" w:rsidRDefault="00C67231" w:rsidP="00D57B77">
            <w:pPr>
              <w:pStyle w:val="TableText"/>
            </w:pPr>
            <w:r w:rsidRPr="0074556C">
              <w:t>Fuel H</w:t>
            </w:r>
          </w:p>
        </w:tc>
        <w:tc>
          <w:tcPr>
            <w:tcW w:w="1075" w:type="dxa"/>
            <w:tcBorders>
              <w:top w:val="nil"/>
              <w:left w:val="single" w:sz="4" w:space="0" w:color="auto"/>
              <w:bottom w:val="nil"/>
              <w:right w:val="single" w:sz="4" w:space="0" w:color="auto"/>
            </w:tcBorders>
          </w:tcPr>
          <w:p w14:paraId="509C9D84" w14:textId="77777777" w:rsidR="00C67231" w:rsidRPr="0074556C" w:rsidRDefault="00C67231" w:rsidP="00D57B77">
            <w:pPr>
              <w:pStyle w:val="TableText"/>
              <w:rPr>
                <w:rFonts w:ascii="Cambria Math" w:hAnsi="Cambria Math"/>
              </w:rPr>
            </w:pPr>
            <w:r w:rsidRPr="0074556C">
              <w:rPr>
                <w:rFonts w:ascii="Cambria Math" w:hAnsi="Cambria Math"/>
              </w:rPr>
              <w:t>0.3</w:t>
            </w:r>
          </w:p>
        </w:tc>
        <w:tc>
          <w:tcPr>
            <w:tcW w:w="381" w:type="dxa"/>
            <w:tcBorders>
              <w:top w:val="nil"/>
              <w:left w:val="single" w:sz="4" w:space="0" w:color="auto"/>
              <w:bottom w:val="nil"/>
              <w:right w:val="nil"/>
            </w:tcBorders>
            <w:shd w:val="clear" w:color="auto" w:fill="auto"/>
            <w:noWrap/>
            <w:vAlign w:val="center"/>
            <w:hideMark/>
          </w:tcPr>
          <w:p w14:paraId="2353C252" w14:textId="77777777" w:rsidR="00C67231" w:rsidRPr="0074556C" w:rsidRDefault="00C67231" w:rsidP="00D57B77">
            <w:pPr>
              <w:pStyle w:val="TableText"/>
              <w:rPr>
                <w:rFonts w:ascii="Cambria Math" w:hAnsi="Cambria Math"/>
              </w:rPr>
            </w:pPr>
            <w:r w:rsidRPr="0074556C">
              <w:rPr>
                <w:rFonts w:ascii="Cambria Math" w:hAnsi="Cambria Math"/>
              </w:rPr>
              <w:t>±</w:t>
            </w:r>
          </w:p>
        </w:tc>
        <w:tc>
          <w:tcPr>
            <w:tcW w:w="974" w:type="dxa"/>
            <w:tcBorders>
              <w:top w:val="nil"/>
              <w:left w:val="nil"/>
              <w:bottom w:val="nil"/>
              <w:right w:val="single" w:sz="4" w:space="0" w:color="auto"/>
            </w:tcBorders>
            <w:shd w:val="clear" w:color="auto" w:fill="auto"/>
            <w:noWrap/>
            <w:vAlign w:val="bottom"/>
            <w:hideMark/>
          </w:tcPr>
          <w:p w14:paraId="5F5296CF" w14:textId="77777777" w:rsidR="00C67231" w:rsidRPr="0074556C" w:rsidRDefault="00C67231" w:rsidP="00D57B77">
            <w:pPr>
              <w:pStyle w:val="TableText"/>
            </w:pPr>
            <w:r w:rsidRPr="0074556C">
              <w:t>0.1</w:t>
            </w:r>
          </w:p>
        </w:tc>
        <w:tc>
          <w:tcPr>
            <w:tcW w:w="810" w:type="dxa"/>
            <w:tcBorders>
              <w:top w:val="nil"/>
              <w:left w:val="single" w:sz="4" w:space="0" w:color="auto"/>
              <w:bottom w:val="nil"/>
              <w:right w:val="single" w:sz="4" w:space="0" w:color="auto"/>
            </w:tcBorders>
            <w:shd w:val="clear" w:color="auto" w:fill="auto"/>
            <w:noWrap/>
            <w:vAlign w:val="center"/>
            <w:hideMark/>
          </w:tcPr>
          <w:p w14:paraId="7E7066ED" w14:textId="77777777" w:rsidR="00C67231" w:rsidRPr="0074556C" w:rsidRDefault="00C67231" w:rsidP="00D57B77">
            <w:pPr>
              <w:pStyle w:val="TableText"/>
            </w:pPr>
            <w:r w:rsidRPr="0074556C">
              <w:t>mm</w:t>
            </w:r>
          </w:p>
        </w:tc>
      </w:tr>
      <w:tr w:rsidR="00C67231" w:rsidRPr="0074556C" w14:paraId="47526F6E" w14:textId="77777777" w:rsidTr="00AE2101">
        <w:trPr>
          <w:trHeight w:val="300"/>
        </w:trPr>
        <w:tc>
          <w:tcPr>
            <w:tcW w:w="440" w:type="dxa"/>
            <w:tcBorders>
              <w:top w:val="nil"/>
              <w:left w:val="single" w:sz="4" w:space="0" w:color="auto"/>
              <w:bottom w:val="nil"/>
              <w:right w:val="nil"/>
            </w:tcBorders>
            <w:shd w:val="clear" w:color="auto" w:fill="auto"/>
            <w:noWrap/>
            <w:vAlign w:val="center"/>
            <w:hideMark/>
          </w:tcPr>
          <w:p w14:paraId="09829572" w14:textId="77777777" w:rsidR="00C67231" w:rsidRPr="0074556C" w:rsidRDefault="00C67231" w:rsidP="00D57B77">
            <w:pPr>
              <w:pStyle w:val="TableText"/>
            </w:pPr>
            <w:r w:rsidRPr="0074556C">
              <w:t>3</w:t>
            </w:r>
          </w:p>
        </w:tc>
        <w:tc>
          <w:tcPr>
            <w:tcW w:w="2795" w:type="dxa"/>
            <w:tcBorders>
              <w:top w:val="nil"/>
              <w:left w:val="single" w:sz="4" w:space="0" w:color="auto"/>
              <w:bottom w:val="nil"/>
              <w:right w:val="single" w:sz="4" w:space="0" w:color="auto"/>
            </w:tcBorders>
            <w:shd w:val="clear" w:color="auto" w:fill="auto"/>
            <w:noWrap/>
            <w:vAlign w:val="bottom"/>
            <w:hideMark/>
          </w:tcPr>
          <w:p w14:paraId="71ABF74D" w14:textId="77777777" w:rsidR="00C67231" w:rsidRPr="0074556C" w:rsidRDefault="00C67231" w:rsidP="00D57B77">
            <w:pPr>
              <w:pStyle w:val="TableText"/>
            </w:pPr>
            <w:r w:rsidRPr="0074556C">
              <w:t>Dish IR</w:t>
            </w:r>
          </w:p>
        </w:tc>
        <w:tc>
          <w:tcPr>
            <w:tcW w:w="1075" w:type="dxa"/>
            <w:tcBorders>
              <w:top w:val="nil"/>
              <w:left w:val="single" w:sz="4" w:space="0" w:color="auto"/>
              <w:bottom w:val="nil"/>
              <w:right w:val="single" w:sz="4" w:space="0" w:color="auto"/>
            </w:tcBorders>
          </w:tcPr>
          <w:p w14:paraId="6D3B2A59" w14:textId="77777777" w:rsidR="00C67231" w:rsidRPr="0074556C" w:rsidRDefault="00C67231" w:rsidP="00D57B77">
            <w:pPr>
              <w:pStyle w:val="TableText"/>
              <w:rPr>
                <w:rFonts w:ascii="Cambria Math" w:hAnsi="Cambria Math"/>
              </w:rPr>
            </w:pPr>
            <w:r w:rsidRPr="0074556C">
              <w:rPr>
                <w:rFonts w:ascii="Cambria Math" w:hAnsi="Cambria Math"/>
              </w:rPr>
              <w:t>2.0</w:t>
            </w:r>
          </w:p>
        </w:tc>
        <w:tc>
          <w:tcPr>
            <w:tcW w:w="381" w:type="dxa"/>
            <w:tcBorders>
              <w:top w:val="nil"/>
              <w:left w:val="single" w:sz="4" w:space="0" w:color="auto"/>
              <w:bottom w:val="nil"/>
              <w:right w:val="nil"/>
            </w:tcBorders>
            <w:shd w:val="clear" w:color="auto" w:fill="auto"/>
            <w:noWrap/>
            <w:vAlign w:val="center"/>
            <w:hideMark/>
          </w:tcPr>
          <w:p w14:paraId="11D48F65" w14:textId="77777777" w:rsidR="00C67231" w:rsidRPr="0074556C" w:rsidRDefault="00C67231" w:rsidP="00D57B77">
            <w:pPr>
              <w:pStyle w:val="TableText"/>
              <w:rPr>
                <w:rFonts w:ascii="Cambria Math" w:hAnsi="Cambria Math"/>
              </w:rPr>
            </w:pPr>
            <w:r w:rsidRPr="0074556C">
              <w:rPr>
                <w:rFonts w:ascii="Cambria Math" w:hAnsi="Cambria Math"/>
              </w:rPr>
              <w:t>±</w:t>
            </w:r>
          </w:p>
        </w:tc>
        <w:tc>
          <w:tcPr>
            <w:tcW w:w="974" w:type="dxa"/>
            <w:tcBorders>
              <w:top w:val="nil"/>
              <w:left w:val="nil"/>
              <w:bottom w:val="nil"/>
              <w:right w:val="single" w:sz="4" w:space="0" w:color="auto"/>
            </w:tcBorders>
            <w:shd w:val="clear" w:color="auto" w:fill="auto"/>
            <w:noWrap/>
            <w:vAlign w:val="bottom"/>
            <w:hideMark/>
          </w:tcPr>
          <w:p w14:paraId="228DE14C" w14:textId="77777777" w:rsidR="00C67231" w:rsidRPr="0074556C" w:rsidRDefault="00C67231" w:rsidP="00D57B77">
            <w:pPr>
              <w:pStyle w:val="TableText"/>
            </w:pPr>
            <w:r w:rsidRPr="0074556C">
              <w:t>0.04</w:t>
            </w:r>
          </w:p>
        </w:tc>
        <w:tc>
          <w:tcPr>
            <w:tcW w:w="810" w:type="dxa"/>
            <w:tcBorders>
              <w:top w:val="nil"/>
              <w:left w:val="single" w:sz="4" w:space="0" w:color="auto"/>
              <w:bottom w:val="nil"/>
              <w:right w:val="single" w:sz="4" w:space="0" w:color="auto"/>
            </w:tcBorders>
            <w:shd w:val="clear" w:color="auto" w:fill="auto"/>
            <w:noWrap/>
            <w:vAlign w:val="center"/>
            <w:hideMark/>
          </w:tcPr>
          <w:p w14:paraId="3808DEA7" w14:textId="77777777" w:rsidR="00C67231" w:rsidRPr="0074556C" w:rsidRDefault="00C67231" w:rsidP="00D57B77">
            <w:pPr>
              <w:pStyle w:val="TableText"/>
            </w:pPr>
            <w:r w:rsidRPr="0074556C">
              <w:t>mm</w:t>
            </w:r>
          </w:p>
        </w:tc>
      </w:tr>
      <w:tr w:rsidR="00C67231" w:rsidRPr="0074556C" w14:paraId="6F5B47C0" w14:textId="77777777" w:rsidTr="00AE2101">
        <w:trPr>
          <w:trHeight w:val="300"/>
        </w:trPr>
        <w:tc>
          <w:tcPr>
            <w:tcW w:w="440" w:type="dxa"/>
            <w:tcBorders>
              <w:top w:val="nil"/>
              <w:left w:val="single" w:sz="4" w:space="0" w:color="auto"/>
              <w:bottom w:val="nil"/>
              <w:right w:val="nil"/>
            </w:tcBorders>
            <w:shd w:val="clear" w:color="auto" w:fill="auto"/>
            <w:noWrap/>
            <w:vAlign w:val="center"/>
            <w:hideMark/>
          </w:tcPr>
          <w:p w14:paraId="4089A2BB" w14:textId="77777777" w:rsidR="00C67231" w:rsidRPr="0074556C" w:rsidRDefault="00C67231" w:rsidP="00D57B77">
            <w:pPr>
              <w:pStyle w:val="TableText"/>
            </w:pPr>
            <w:r w:rsidRPr="0074556C">
              <w:t>4</w:t>
            </w:r>
          </w:p>
        </w:tc>
        <w:tc>
          <w:tcPr>
            <w:tcW w:w="2795" w:type="dxa"/>
            <w:tcBorders>
              <w:top w:val="nil"/>
              <w:left w:val="single" w:sz="4" w:space="0" w:color="auto"/>
              <w:bottom w:val="nil"/>
              <w:right w:val="single" w:sz="4" w:space="0" w:color="auto"/>
            </w:tcBorders>
            <w:shd w:val="clear" w:color="auto" w:fill="auto"/>
            <w:noWrap/>
            <w:vAlign w:val="bottom"/>
            <w:hideMark/>
          </w:tcPr>
          <w:p w14:paraId="7B34BC9E" w14:textId="77777777" w:rsidR="00C67231" w:rsidRPr="0074556C" w:rsidRDefault="00C67231" w:rsidP="00D57B77">
            <w:pPr>
              <w:pStyle w:val="TableText"/>
            </w:pPr>
            <w:r w:rsidRPr="0074556C">
              <w:t>Dish OR</w:t>
            </w:r>
          </w:p>
        </w:tc>
        <w:tc>
          <w:tcPr>
            <w:tcW w:w="1075" w:type="dxa"/>
            <w:tcBorders>
              <w:top w:val="nil"/>
              <w:left w:val="single" w:sz="4" w:space="0" w:color="auto"/>
              <w:bottom w:val="nil"/>
              <w:right w:val="single" w:sz="4" w:space="0" w:color="auto"/>
            </w:tcBorders>
          </w:tcPr>
          <w:p w14:paraId="3134EDB0" w14:textId="77777777" w:rsidR="00C67231" w:rsidRPr="0074556C" w:rsidRDefault="00C67231" w:rsidP="00D57B77">
            <w:pPr>
              <w:pStyle w:val="TableText"/>
              <w:rPr>
                <w:rFonts w:ascii="Cambria Math" w:hAnsi="Cambria Math"/>
              </w:rPr>
            </w:pPr>
            <w:r w:rsidRPr="0074556C">
              <w:rPr>
                <w:rFonts w:ascii="Cambria Math" w:hAnsi="Cambria Math"/>
              </w:rPr>
              <w:t>2.35</w:t>
            </w:r>
          </w:p>
        </w:tc>
        <w:tc>
          <w:tcPr>
            <w:tcW w:w="381" w:type="dxa"/>
            <w:tcBorders>
              <w:top w:val="nil"/>
              <w:left w:val="single" w:sz="4" w:space="0" w:color="auto"/>
              <w:bottom w:val="nil"/>
              <w:right w:val="nil"/>
            </w:tcBorders>
            <w:shd w:val="clear" w:color="auto" w:fill="auto"/>
            <w:noWrap/>
            <w:vAlign w:val="center"/>
            <w:hideMark/>
          </w:tcPr>
          <w:p w14:paraId="568F4F2E" w14:textId="77777777" w:rsidR="00C67231" w:rsidRPr="0074556C" w:rsidRDefault="00C67231" w:rsidP="00D57B77">
            <w:pPr>
              <w:pStyle w:val="TableText"/>
              <w:rPr>
                <w:rFonts w:ascii="Cambria Math" w:hAnsi="Cambria Math"/>
              </w:rPr>
            </w:pPr>
            <w:r w:rsidRPr="0074556C">
              <w:rPr>
                <w:rFonts w:ascii="Cambria Math" w:hAnsi="Cambria Math"/>
              </w:rPr>
              <w:t>-</w:t>
            </w:r>
          </w:p>
        </w:tc>
        <w:tc>
          <w:tcPr>
            <w:tcW w:w="974" w:type="dxa"/>
            <w:tcBorders>
              <w:top w:val="nil"/>
              <w:left w:val="nil"/>
              <w:bottom w:val="nil"/>
              <w:right w:val="single" w:sz="4" w:space="0" w:color="auto"/>
            </w:tcBorders>
            <w:shd w:val="clear" w:color="auto" w:fill="auto"/>
            <w:noWrap/>
            <w:vAlign w:val="bottom"/>
            <w:hideMark/>
          </w:tcPr>
          <w:p w14:paraId="52DD742C" w14:textId="77777777" w:rsidR="00C67231" w:rsidRPr="0074556C" w:rsidRDefault="00C67231" w:rsidP="00D57B77">
            <w:pPr>
              <w:pStyle w:val="TableText"/>
            </w:pPr>
            <w:r w:rsidRPr="0074556C">
              <w:t>0.05</w:t>
            </w:r>
          </w:p>
        </w:tc>
        <w:tc>
          <w:tcPr>
            <w:tcW w:w="810" w:type="dxa"/>
            <w:tcBorders>
              <w:top w:val="nil"/>
              <w:left w:val="single" w:sz="4" w:space="0" w:color="auto"/>
              <w:bottom w:val="nil"/>
              <w:right w:val="single" w:sz="4" w:space="0" w:color="auto"/>
            </w:tcBorders>
            <w:shd w:val="clear" w:color="auto" w:fill="auto"/>
            <w:noWrap/>
            <w:vAlign w:val="center"/>
            <w:hideMark/>
          </w:tcPr>
          <w:p w14:paraId="14BE9B5F" w14:textId="77777777" w:rsidR="00C67231" w:rsidRPr="0074556C" w:rsidRDefault="00C67231" w:rsidP="00D57B77">
            <w:pPr>
              <w:pStyle w:val="TableText"/>
            </w:pPr>
            <w:r w:rsidRPr="0074556C">
              <w:t>mm</w:t>
            </w:r>
          </w:p>
        </w:tc>
      </w:tr>
      <w:tr w:rsidR="00C67231" w:rsidRPr="0074556C" w14:paraId="4585567A" w14:textId="77777777" w:rsidTr="00AE2101">
        <w:trPr>
          <w:trHeight w:val="300"/>
        </w:trPr>
        <w:tc>
          <w:tcPr>
            <w:tcW w:w="440" w:type="dxa"/>
            <w:tcBorders>
              <w:top w:val="nil"/>
              <w:left w:val="single" w:sz="4" w:space="0" w:color="auto"/>
              <w:bottom w:val="nil"/>
              <w:right w:val="nil"/>
            </w:tcBorders>
            <w:shd w:val="clear" w:color="auto" w:fill="auto"/>
            <w:noWrap/>
            <w:vAlign w:val="center"/>
            <w:hideMark/>
          </w:tcPr>
          <w:p w14:paraId="1BDC9274" w14:textId="77777777" w:rsidR="00C67231" w:rsidRPr="0074556C" w:rsidRDefault="00C67231" w:rsidP="00D57B77">
            <w:pPr>
              <w:pStyle w:val="TableText"/>
            </w:pPr>
            <w:r w:rsidRPr="0074556C">
              <w:t>5</w:t>
            </w:r>
          </w:p>
        </w:tc>
        <w:tc>
          <w:tcPr>
            <w:tcW w:w="2795" w:type="dxa"/>
            <w:tcBorders>
              <w:top w:val="nil"/>
              <w:left w:val="single" w:sz="4" w:space="0" w:color="auto"/>
              <w:bottom w:val="nil"/>
              <w:right w:val="single" w:sz="4" w:space="0" w:color="auto"/>
            </w:tcBorders>
            <w:shd w:val="clear" w:color="auto" w:fill="auto"/>
            <w:noWrap/>
            <w:vAlign w:val="bottom"/>
            <w:hideMark/>
          </w:tcPr>
          <w:p w14:paraId="77EB2FCC" w14:textId="77777777" w:rsidR="00C67231" w:rsidRPr="0074556C" w:rsidRDefault="00C67231" w:rsidP="00D57B77">
            <w:pPr>
              <w:pStyle w:val="TableText"/>
            </w:pPr>
            <w:r w:rsidRPr="0074556C">
              <w:t>Dish H</w:t>
            </w:r>
          </w:p>
        </w:tc>
        <w:tc>
          <w:tcPr>
            <w:tcW w:w="1075" w:type="dxa"/>
            <w:tcBorders>
              <w:top w:val="nil"/>
              <w:left w:val="single" w:sz="4" w:space="0" w:color="auto"/>
              <w:bottom w:val="nil"/>
              <w:right w:val="single" w:sz="4" w:space="0" w:color="auto"/>
            </w:tcBorders>
          </w:tcPr>
          <w:p w14:paraId="1495A624" w14:textId="77777777" w:rsidR="00C67231" w:rsidRPr="0074556C" w:rsidRDefault="00C67231" w:rsidP="00D57B77">
            <w:pPr>
              <w:pStyle w:val="TableText"/>
              <w:rPr>
                <w:rFonts w:ascii="Cambria Math" w:hAnsi="Cambria Math"/>
              </w:rPr>
            </w:pPr>
            <w:r w:rsidRPr="0074556C">
              <w:rPr>
                <w:rFonts w:ascii="Cambria Math" w:hAnsi="Cambria Math"/>
              </w:rPr>
              <w:t>0.5</w:t>
            </w:r>
          </w:p>
        </w:tc>
        <w:tc>
          <w:tcPr>
            <w:tcW w:w="381" w:type="dxa"/>
            <w:tcBorders>
              <w:top w:val="nil"/>
              <w:left w:val="single" w:sz="4" w:space="0" w:color="auto"/>
              <w:bottom w:val="nil"/>
              <w:right w:val="nil"/>
            </w:tcBorders>
            <w:shd w:val="clear" w:color="auto" w:fill="auto"/>
            <w:noWrap/>
            <w:vAlign w:val="center"/>
            <w:hideMark/>
          </w:tcPr>
          <w:p w14:paraId="4C135E76" w14:textId="77777777" w:rsidR="00C67231" w:rsidRPr="0074556C" w:rsidRDefault="00C67231" w:rsidP="00D57B77">
            <w:pPr>
              <w:pStyle w:val="TableText"/>
              <w:rPr>
                <w:rFonts w:ascii="Cambria Math" w:hAnsi="Cambria Math"/>
              </w:rPr>
            </w:pPr>
            <w:r w:rsidRPr="0074556C">
              <w:rPr>
                <w:rFonts w:ascii="Cambria Math" w:hAnsi="Cambria Math"/>
              </w:rPr>
              <w:t>+</w:t>
            </w:r>
          </w:p>
        </w:tc>
        <w:tc>
          <w:tcPr>
            <w:tcW w:w="974" w:type="dxa"/>
            <w:tcBorders>
              <w:top w:val="nil"/>
              <w:left w:val="nil"/>
              <w:bottom w:val="nil"/>
              <w:right w:val="single" w:sz="4" w:space="0" w:color="auto"/>
            </w:tcBorders>
            <w:shd w:val="clear" w:color="auto" w:fill="auto"/>
            <w:noWrap/>
            <w:vAlign w:val="bottom"/>
            <w:hideMark/>
          </w:tcPr>
          <w:p w14:paraId="1E1BB53A" w14:textId="77777777" w:rsidR="00C67231" w:rsidRPr="0074556C" w:rsidRDefault="00C67231" w:rsidP="00D57B77">
            <w:pPr>
              <w:pStyle w:val="TableText"/>
            </w:pPr>
            <w:r w:rsidRPr="0074556C">
              <w:t>0.05</w:t>
            </w:r>
          </w:p>
        </w:tc>
        <w:tc>
          <w:tcPr>
            <w:tcW w:w="810" w:type="dxa"/>
            <w:tcBorders>
              <w:top w:val="nil"/>
              <w:left w:val="single" w:sz="4" w:space="0" w:color="auto"/>
              <w:bottom w:val="nil"/>
              <w:right w:val="single" w:sz="4" w:space="0" w:color="auto"/>
            </w:tcBorders>
            <w:shd w:val="clear" w:color="auto" w:fill="auto"/>
            <w:noWrap/>
            <w:vAlign w:val="center"/>
            <w:hideMark/>
          </w:tcPr>
          <w:p w14:paraId="28043C2D" w14:textId="77777777" w:rsidR="00C67231" w:rsidRPr="0074556C" w:rsidRDefault="00C67231" w:rsidP="00D57B77">
            <w:pPr>
              <w:pStyle w:val="TableText"/>
            </w:pPr>
            <w:r w:rsidRPr="0074556C">
              <w:t>mm</w:t>
            </w:r>
          </w:p>
        </w:tc>
      </w:tr>
      <w:tr w:rsidR="00C67231" w:rsidRPr="0074556C" w14:paraId="579A7849" w14:textId="77777777" w:rsidTr="00AE2101">
        <w:trPr>
          <w:trHeight w:val="300"/>
        </w:trPr>
        <w:tc>
          <w:tcPr>
            <w:tcW w:w="440" w:type="dxa"/>
            <w:tcBorders>
              <w:top w:val="nil"/>
              <w:left w:val="single" w:sz="4" w:space="0" w:color="auto"/>
              <w:bottom w:val="nil"/>
              <w:right w:val="nil"/>
            </w:tcBorders>
            <w:shd w:val="clear" w:color="auto" w:fill="auto"/>
            <w:noWrap/>
            <w:vAlign w:val="center"/>
            <w:hideMark/>
          </w:tcPr>
          <w:p w14:paraId="27534EC7" w14:textId="77777777" w:rsidR="00C67231" w:rsidRPr="0074556C" w:rsidRDefault="00C67231" w:rsidP="00D57B77">
            <w:pPr>
              <w:pStyle w:val="TableText"/>
            </w:pPr>
            <w:r w:rsidRPr="0074556C">
              <w:t>6</w:t>
            </w:r>
          </w:p>
        </w:tc>
        <w:tc>
          <w:tcPr>
            <w:tcW w:w="2795" w:type="dxa"/>
            <w:tcBorders>
              <w:top w:val="nil"/>
              <w:left w:val="single" w:sz="4" w:space="0" w:color="auto"/>
              <w:bottom w:val="nil"/>
              <w:right w:val="single" w:sz="4" w:space="0" w:color="auto"/>
            </w:tcBorders>
            <w:shd w:val="clear" w:color="auto" w:fill="auto"/>
            <w:noWrap/>
            <w:vAlign w:val="bottom"/>
            <w:hideMark/>
          </w:tcPr>
          <w:p w14:paraId="4201F492" w14:textId="77777777" w:rsidR="00C67231" w:rsidRPr="0074556C" w:rsidRDefault="00C67231" w:rsidP="00D57B77">
            <w:pPr>
              <w:pStyle w:val="TableText"/>
            </w:pPr>
            <w:r w:rsidRPr="0074556C">
              <w:t>Thermometry R</w:t>
            </w:r>
          </w:p>
        </w:tc>
        <w:tc>
          <w:tcPr>
            <w:tcW w:w="1075" w:type="dxa"/>
            <w:tcBorders>
              <w:top w:val="nil"/>
              <w:left w:val="single" w:sz="4" w:space="0" w:color="auto"/>
              <w:bottom w:val="nil"/>
              <w:right w:val="single" w:sz="4" w:space="0" w:color="auto"/>
            </w:tcBorders>
          </w:tcPr>
          <w:p w14:paraId="60105B6E" w14:textId="77777777" w:rsidR="00C67231" w:rsidRPr="0074556C" w:rsidRDefault="00C67231" w:rsidP="00D57B77">
            <w:pPr>
              <w:pStyle w:val="TableText"/>
              <w:rPr>
                <w:rFonts w:ascii="Cambria Math" w:hAnsi="Cambria Math"/>
              </w:rPr>
            </w:pPr>
            <w:r w:rsidRPr="0074556C">
              <w:rPr>
                <w:rFonts w:ascii="Cambria Math" w:hAnsi="Cambria Math"/>
              </w:rPr>
              <w:t>0.564</w:t>
            </w:r>
          </w:p>
        </w:tc>
        <w:tc>
          <w:tcPr>
            <w:tcW w:w="381" w:type="dxa"/>
            <w:tcBorders>
              <w:top w:val="nil"/>
              <w:left w:val="single" w:sz="4" w:space="0" w:color="auto"/>
              <w:bottom w:val="nil"/>
              <w:right w:val="nil"/>
            </w:tcBorders>
            <w:shd w:val="clear" w:color="auto" w:fill="auto"/>
            <w:noWrap/>
            <w:vAlign w:val="center"/>
            <w:hideMark/>
          </w:tcPr>
          <w:p w14:paraId="6E90755B" w14:textId="77777777" w:rsidR="00C67231" w:rsidRPr="0074556C" w:rsidRDefault="00C67231" w:rsidP="00D57B77">
            <w:pPr>
              <w:pStyle w:val="TableText"/>
              <w:rPr>
                <w:rFonts w:ascii="Cambria Math" w:hAnsi="Cambria Math"/>
              </w:rPr>
            </w:pPr>
            <w:r w:rsidRPr="0074556C">
              <w:rPr>
                <w:rFonts w:ascii="Cambria Math" w:hAnsi="Cambria Math"/>
              </w:rPr>
              <w:t>±</w:t>
            </w:r>
          </w:p>
        </w:tc>
        <w:tc>
          <w:tcPr>
            <w:tcW w:w="974" w:type="dxa"/>
            <w:tcBorders>
              <w:top w:val="nil"/>
              <w:left w:val="nil"/>
              <w:bottom w:val="nil"/>
              <w:right w:val="single" w:sz="4" w:space="0" w:color="auto"/>
            </w:tcBorders>
            <w:shd w:val="clear" w:color="auto" w:fill="auto"/>
            <w:noWrap/>
            <w:vAlign w:val="bottom"/>
            <w:hideMark/>
          </w:tcPr>
          <w:p w14:paraId="36F32190" w14:textId="77777777" w:rsidR="00C67231" w:rsidRPr="0074556C" w:rsidRDefault="00C67231" w:rsidP="00D57B77">
            <w:pPr>
              <w:pStyle w:val="TableText"/>
            </w:pPr>
            <w:r w:rsidRPr="0074556C">
              <w:t>0.01</w:t>
            </w:r>
          </w:p>
        </w:tc>
        <w:tc>
          <w:tcPr>
            <w:tcW w:w="810" w:type="dxa"/>
            <w:tcBorders>
              <w:top w:val="nil"/>
              <w:left w:val="single" w:sz="4" w:space="0" w:color="auto"/>
              <w:bottom w:val="nil"/>
              <w:right w:val="single" w:sz="4" w:space="0" w:color="auto"/>
            </w:tcBorders>
            <w:shd w:val="clear" w:color="auto" w:fill="auto"/>
            <w:noWrap/>
            <w:vAlign w:val="center"/>
            <w:hideMark/>
          </w:tcPr>
          <w:p w14:paraId="285B74BE" w14:textId="77777777" w:rsidR="00C67231" w:rsidRPr="0074556C" w:rsidRDefault="00C67231" w:rsidP="00D57B77">
            <w:pPr>
              <w:pStyle w:val="TableText"/>
            </w:pPr>
            <w:r w:rsidRPr="0074556C">
              <w:t>mm</w:t>
            </w:r>
          </w:p>
        </w:tc>
      </w:tr>
      <w:tr w:rsidR="00C67231" w:rsidRPr="0074556C" w14:paraId="19F3F614" w14:textId="77777777" w:rsidTr="00AE2101">
        <w:trPr>
          <w:trHeight w:val="300"/>
        </w:trPr>
        <w:tc>
          <w:tcPr>
            <w:tcW w:w="440" w:type="dxa"/>
            <w:tcBorders>
              <w:top w:val="nil"/>
              <w:left w:val="single" w:sz="4" w:space="0" w:color="auto"/>
              <w:bottom w:val="nil"/>
              <w:right w:val="nil"/>
            </w:tcBorders>
            <w:shd w:val="clear" w:color="auto" w:fill="auto"/>
            <w:noWrap/>
            <w:vAlign w:val="center"/>
            <w:hideMark/>
          </w:tcPr>
          <w:p w14:paraId="5C056B80" w14:textId="77777777" w:rsidR="00C67231" w:rsidRPr="0074556C" w:rsidRDefault="00C67231" w:rsidP="00D57B77">
            <w:pPr>
              <w:pStyle w:val="TableText"/>
            </w:pPr>
            <w:r w:rsidRPr="0074556C">
              <w:t>7</w:t>
            </w:r>
          </w:p>
        </w:tc>
        <w:tc>
          <w:tcPr>
            <w:tcW w:w="2795" w:type="dxa"/>
            <w:tcBorders>
              <w:top w:val="nil"/>
              <w:left w:val="single" w:sz="4" w:space="0" w:color="auto"/>
              <w:bottom w:val="nil"/>
              <w:right w:val="single" w:sz="4" w:space="0" w:color="auto"/>
            </w:tcBorders>
            <w:shd w:val="clear" w:color="auto" w:fill="auto"/>
            <w:noWrap/>
            <w:vAlign w:val="bottom"/>
            <w:hideMark/>
          </w:tcPr>
          <w:p w14:paraId="56F9E551" w14:textId="77777777" w:rsidR="00C67231" w:rsidRPr="0074556C" w:rsidRDefault="00C67231" w:rsidP="00D57B77">
            <w:pPr>
              <w:pStyle w:val="TableText"/>
            </w:pPr>
            <w:r w:rsidRPr="0074556C">
              <w:t>Tube IR 1</w:t>
            </w:r>
          </w:p>
        </w:tc>
        <w:tc>
          <w:tcPr>
            <w:tcW w:w="1075" w:type="dxa"/>
            <w:tcBorders>
              <w:top w:val="nil"/>
              <w:left w:val="single" w:sz="4" w:space="0" w:color="auto"/>
              <w:bottom w:val="nil"/>
              <w:right w:val="single" w:sz="4" w:space="0" w:color="auto"/>
            </w:tcBorders>
          </w:tcPr>
          <w:p w14:paraId="4BDF29C5" w14:textId="77777777" w:rsidR="00C67231" w:rsidRPr="0074556C" w:rsidRDefault="00C67231" w:rsidP="00D57B77">
            <w:pPr>
              <w:pStyle w:val="TableText"/>
              <w:rPr>
                <w:rFonts w:ascii="Cambria Math" w:hAnsi="Cambria Math"/>
              </w:rPr>
            </w:pPr>
            <w:r w:rsidRPr="0074556C">
              <w:rPr>
                <w:rFonts w:ascii="Cambria Math" w:hAnsi="Cambria Math"/>
              </w:rPr>
              <w:t>0.8</w:t>
            </w:r>
          </w:p>
        </w:tc>
        <w:tc>
          <w:tcPr>
            <w:tcW w:w="381" w:type="dxa"/>
            <w:tcBorders>
              <w:top w:val="nil"/>
              <w:left w:val="single" w:sz="4" w:space="0" w:color="auto"/>
              <w:bottom w:val="nil"/>
              <w:right w:val="nil"/>
            </w:tcBorders>
            <w:shd w:val="clear" w:color="auto" w:fill="auto"/>
            <w:noWrap/>
            <w:vAlign w:val="center"/>
            <w:hideMark/>
          </w:tcPr>
          <w:p w14:paraId="4B524022" w14:textId="77777777" w:rsidR="00C67231" w:rsidRPr="0074556C" w:rsidRDefault="00C67231" w:rsidP="00D57B77">
            <w:pPr>
              <w:pStyle w:val="TableText"/>
              <w:rPr>
                <w:rFonts w:ascii="Cambria Math" w:hAnsi="Cambria Math"/>
              </w:rPr>
            </w:pPr>
            <w:r w:rsidRPr="0074556C">
              <w:rPr>
                <w:rFonts w:ascii="Cambria Math" w:hAnsi="Cambria Math"/>
              </w:rPr>
              <w:t>±</w:t>
            </w:r>
          </w:p>
        </w:tc>
        <w:tc>
          <w:tcPr>
            <w:tcW w:w="974" w:type="dxa"/>
            <w:tcBorders>
              <w:top w:val="nil"/>
              <w:left w:val="nil"/>
              <w:bottom w:val="nil"/>
              <w:right w:val="single" w:sz="4" w:space="0" w:color="auto"/>
            </w:tcBorders>
            <w:shd w:val="clear" w:color="auto" w:fill="auto"/>
            <w:noWrap/>
            <w:vAlign w:val="bottom"/>
            <w:hideMark/>
          </w:tcPr>
          <w:p w14:paraId="2D7342D3" w14:textId="77777777" w:rsidR="00C67231" w:rsidRPr="0074556C" w:rsidRDefault="00C67231" w:rsidP="00D57B77">
            <w:pPr>
              <w:pStyle w:val="TableText"/>
            </w:pPr>
            <w:r w:rsidRPr="0074556C">
              <w:t>0.04</w:t>
            </w:r>
          </w:p>
        </w:tc>
        <w:tc>
          <w:tcPr>
            <w:tcW w:w="810" w:type="dxa"/>
            <w:tcBorders>
              <w:top w:val="nil"/>
              <w:left w:val="single" w:sz="4" w:space="0" w:color="auto"/>
              <w:bottom w:val="nil"/>
              <w:right w:val="single" w:sz="4" w:space="0" w:color="auto"/>
            </w:tcBorders>
            <w:shd w:val="clear" w:color="auto" w:fill="auto"/>
            <w:noWrap/>
            <w:vAlign w:val="center"/>
            <w:hideMark/>
          </w:tcPr>
          <w:p w14:paraId="39D776C3" w14:textId="77777777" w:rsidR="00C67231" w:rsidRPr="0074556C" w:rsidRDefault="00C67231" w:rsidP="00D57B77">
            <w:pPr>
              <w:pStyle w:val="TableText"/>
            </w:pPr>
            <w:r w:rsidRPr="0074556C">
              <w:t>mm</w:t>
            </w:r>
          </w:p>
        </w:tc>
      </w:tr>
      <w:tr w:rsidR="00C67231" w:rsidRPr="0074556C" w14:paraId="13A14025" w14:textId="77777777" w:rsidTr="00AE2101">
        <w:trPr>
          <w:trHeight w:val="300"/>
        </w:trPr>
        <w:tc>
          <w:tcPr>
            <w:tcW w:w="440" w:type="dxa"/>
            <w:tcBorders>
              <w:top w:val="nil"/>
              <w:left w:val="single" w:sz="4" w:space="0" w:color="auto"/>
              <w:bottom w:val="nil"/>
              <w:right w:val="nil"/>
            </w:tcBorders>
            <w:shd w:val="clear" w:color="auto" w:fill="auto"/>
            <w:noWrap/>
            <w:vAlign w:val="center"/>
            <w:hideMark/>
          </w:tcPr>
          <w:p w14:paraId="3F340B92" w14:textId="77777777" w:rsidR="00C67231" w:rsidRPr="0074556C" w:rsidRDefault="00C67231" w:rsidP="00D57B77">
            <w:pPr>
              <w:pStyle w:val="TableText"/>
            </w:pPr>
            <w:r w:rsidRPr="0074556C">
              <w:t>8</w:t>
            </w:r>
          </w:p>
        </w:tc>
        <w:tc>
          <w:tcPr>
            <w:tcW w:w="2795" w:type="dxa"/>
            <w:tcBorders>
              <w:top w:val="nil"/>
              <w:left w:val="single" w:sz="4" w:space="0" w:color="auto"/>
              <w:bottom w:val="nil"/>
              <w:right w:val="single" w:sz="4" w:space="0" w:color="auto"/>
            </w:tcBorders>
            <w:shd w:val="clear" w:color="auto" w:fill="auto"/>
            <w:noWrap/>
            <w:vAlign w:val="bottom"/>
            <w:hideMark/>
          </w:tcPr>
          <w:p w14:paraId="4AACC39E" w14:textId="77777777" w:rsidR="00C67231" w:rsidRPr="0074556C" w:rsidRDefault="00C67231" w:rsidP="00D57B77">
            <w:pPr>
              <w:pStyle w:val="TableText"/>
            </w:pPr>
            <w:r w:rsidRPr="0074556C">
              <w:t>Tube IR 2</w:t>
            </w:r>
          </w:p>
        </w:tc>
        <w:tc>
          <w:tcPr>
            <w:tcW w:w="1075" w:type="dxa"/>
            <w:tcBorders>
              <w:top w:val="nil"/>
              <w:left w:val="single" w:sz="4" w:space="0" w:color="auto"/>
              <w:bottom w:val="nil"/>
              <w:right w:val="single" w:sz="4" w:space="0" w:color="auto"/>
            </w:tcBorders>
          </w:tcPr>
          <w:p w14:paraId="60D96D99" w14:textId="77777777" w:rsidR="00C67231" w:rsidRPr="0074556C" w:rsidRDefault="00C67231" w:rsidP="00D57B77">
            <w:pPr>
              <w:pStyle w:val="TableText"/>
              <w:rPr>
                <w:rFonts w:ascii="Cambria Math" w:hAnsi="Cambria Math"/>
              </w:rPr>
            </w:pPr>
            <w:r w:rsidRPr="0074556C">
              <w:rPr>
                <w:rFonts w:ascii="Cambria Math" w:hAnsi="Cambria Math"/>
              </w:rPr>
              <w:t>1.36</w:t>
            </w:r>
          </w:p>
        </w:tc>
        <w:tc>
          <w:tcPr>
            <w:tcW w:w="381" w:type="dxa"/>
            <w:tcBorders>
              <w:top w:val="nil"/>
              <w:left w:val="single" w:sz="4" w:space="0" w:color="auto"/>
              <w:bottom w:val="nil"/>
              <w:right w:val="nil"/>
            </w:tcBorders>
            <w:shd w:val="clear" w:color="auto" w:fill="auto"/>
            <w:noWrap/>
            <w:vAlign w:val="center"/>
            <w:hideMark/>
          </w:tcPr>
          <w:p w14:paraId="104E6153" w14:textId="77777777" w:rsidR="00C67231" w:rsidRPr="0074556C" w:rsidRDefault="00C67231" w:rsidP="00D57B77">
            <w:pPr>
              <w:pStyle w:val="TableText"/>
              <w:rPr>
                <w:rFonts w:ascii="Cambria Math" w:hAnsi="Cambria Math"/>
              </w:rPr>
            </w:pPr>
            <w:r w:rsidRPr="0074556C">
              <w:rPr>
                <w:rFonts w:ascii="Cambria Math" w:hAnsi="Cambria Math"/>
              </w:rPr>
              <w:t>±</w:t>
            </w:r>
          </w:p>
        </w:tc>
        <w:tc>
          <w:tcPr>
            <w:tcW w:w="974" w:type="dxa"/>
            <w:tcBorders>
              <w:top w:val="nil"/>
              <w:left w:val="nil"/>
              <w:bottom w:val="nil"/>
              <w:right w:val="single" w:sz="4" w:space="0" w:color="auto"/>
            </w:tcBorders>
            <w:shd w:val="clear" w:color="auto" w:fill="auto"/>
            <w:noWrap/>
            <w:vAlign w:val="bottom"/>
            <w:hideMark/>
          </w:tcPr>
          <w:p w14:paraId="29F85F5B" w14:textId="77777777" w:rsidR="00C67231" w:rsidRPr="0074556C" w:rsidRDefault="00C67231" w:rsidP="00D57B77">
            <w:pPr>
              <w:pStyle w:val="TableText"/>
            </w:pPr>
            <w:r w:rsidRPr="0074556C">
              <w:t>0.1</w:t>
            </w:r>
          </w:p>
        </w:tc>
        <w:tc>
          <w:tcPr>
            <w:tcW w:w="810" w:type="dxa"/>
            <w:tcBorders>
              <w:top w:val="nil"/>
              <w:left w:val="single" w:sz="4" w:space="0" w:color="auto"/>
              <w:bottom w:val="nil"/>
              <w:right w:val="single" w:sz="4" w:space="0" w:color="auto"/>
            </w:tcBorders>
            <w:shd w:val="clear" w:color="auto" w:fill="auto"/>
            <w:noWrap/>
            <w:vAlign w:val="center"/>
            <w:hideMark/>
          </w:tcPr>
          <w:p w14:paraId="386EF45C" w14:textId="77777777" w:rsidR="00C67231" w:rsidRPr="0074556C" w:rsidRDefault="00C67231" w:rsidP="00D57B77">
            <w:pPr>
              <w:pStyle w:val="TableText"/>
            </w:pPr>
            <w:r w:rsidRPr="0074556C">
              <w:t>mm</w:t>
            </w:r>
          </w:p>
        </w:tc>
      </w:tr>
      <w:tr w:rsidR="00C67231" w:rsidRPr="0074556C" w14:paraId="3CD78735" w14:textId="77777777" w:rsidTr="00AE2101">
        <w:trPr>
          <w:trHeight w:val="300"/>
        </w:trPr>
        <w:tc>
          <w:tcPr>
            <w:tcW w:w="440" w:type="dxa"/>
            <w:tcBorders>
              <w:top w:val="nil"/>
              <w:left w:val="single" w:sz="4" w:space="0" w:color="auto"/>
              <w:bottom w:val="nil"/>
              <w:right w:val="nil"/>
            </w:tcBorders>
            <w:shd w:val="clear" w:color="auto" w:fill="auto"/>
            <w:noWrap/>
            <w:vAlign w:val="center"/>
            <w:hideMark/>
          </w:tcPr>
          <w:p w14:paraId="2C26934D" w14:textId="77777777" w:rsidR="00C67231" w:rsidRPr="0074556C" w:rsidRDefault="00C67231" w:rsidP="00D57B77">
            <w:pPr>
              <w:pStyle w:val="TableText"/>
            </w:pPr>
            <w:r w:rsidRPr="0074556C">
              <w:t>9</w:t>
            </w:r>
          </w:p>
        </w:tc>
        <w:tc>
          <w:tcPr>
            <w:tcW w:w="2795" w:type="dxa"/>
            <w:tcBorders>
              <w:top w:val="nil"/>
              <w:left w:val="single" w:sz="4" w:space="0" w:color="auto"/>
              <w:bottom w:val="nil"/>
              <w:right w:val="single" w:sz="4" w:space="0" w:color="auto"/>
            </w:tcBorders>
            <w:shd w:val="clear" w:color="auto" w:fill="auto"/>
            <w:noWrap/>
            <w:vAlign w:val="bottom"/>
            <w:hideMark/>
          </w:tcPr>
          <w:p w14:paraId="5EEDABDD" w14:textId="77777777" w:rsidR="00C67231" w:rsidRPr="0074556C" w:rsidRDefault="00C67231" w:rsidP="00D57B77">
            <w:pPr>
              <w:pStyle w:val="TableText"/>
            </w:pPr>
            <w:r w:rsidRPr="0074556C">
              <w:t>Tube IR 3</w:t>
            </w:r>
          </w:p>
        </w:tc>
        <w:tc>
          <w:tcPr>
            <w:tcW w:w="1075" w:type="dxa"/>
            <w:tcBorders>
              <w:top w:val="nil"/>
              <w:left w:val="single" w:sz="4" w:space="0" w:color="auto"/>
              <w:bottom w:val="nil"/>
              <w:right w:val="single" w:sz="4" w:space="0" w:color="auto"/>
            </w:tcBorders>
          </w:tcPr>
          <w:p w14:paraId="5EE734A5" w14:textId="77777777" w:rsidR="00C67231" w:rsidRPr="0074556C" w:rsidRDefault="00C67231" w:rsidP="00D57B77">
            <w:pPr>
              <w:pStyle w:val="TableText"/>
              <w:rPr>
                <w:rFonts w:ascii="Cambria Math" w:hAnsi="Cambria Math"/>
              </w:rPr>
            </w:pPr>
            <w:r w:rsidRPr="0074556C">
              <w:rPr>
                <w:rFonts w:ascii="Cambria Math" w:hAnsi="Cambria Math"/>
              </w:rPr>
              <w:t>2.4</w:t>
            </w:r>
          </w:p>
        </w:tc>
        <w:tc>
          <w:tcPr>
            <w:tcW w:w="381" w:type="dxa"/>
            <w:tcBorders>
              <w:top w:val="nil"/>
              <w:left w:val="single" w:sz="4" w:space="0" w:color="auto"/>
              <w:bottom w:val="nil"/>
              <w:right w:val="nil"/>
            </w:tcBorders>
            <w:shd w:val="clear" w:color="auto" w:fill="auto"/>
            <w:noWrap/>
            <w:vAlign w:val="center"/>
            <w:hideMark/>
          </w:tcPr>
          <w:p w14:paraId="66DB8557" w14:textId="77777777" w:rsidR="00C67231" w:rsidRPr="0074556C" w:rsidRDefault="00C67231" w:rsidP="00D57B77">
            <w:pPr>
              <w:pStyle w:val="TableText"/>
              <w:rPr>
                <w:rFonts w:ascii="Cambria Math" w:hAnsi="Cambria Math"/>
              </w:rPr>
            </w:pPr>
            <w:r w:rsidRPr="0074556C">
              <w:rPr>
                <w:rFonts w:ascii="Cambria Math" w:hAnsi="Cambria Math"/>
              </w:rPr>
              <w:t>+</w:t>
            </w:r>
          </w:p>
        </w:tc>
        <w:tc>
          <w:tcPr>
            <w:tcW w:w="974" w:type="dxa"/>
            <w:tcBorders>
              <w:top w:val="nil"/>
              <w:left w:val="nil"/>
              <w:bottom w:val="nil"/>
              <w:right w:val="single" w:sz="4" w:space="0" w:color="auto"/>
            </w:tcBorders>
            <w:shd w:val="clear" w:color="auto" w:fill="auto"/>
            <w:noWrap/>
            <w:vAlign w:val="bottom"/>
            <w:hideMark/>
          </w:tcPr>
          <w:p w14:paraId="0E974DEC" w14:textId="77777777" w:rsidR="00C67231" w:rsidRPr="0074556C" w:rsidRDefault="00C67231" w:rsidP="00D57B77">
            <w:pPr>
              <w:pStyle w:val="TableText"/>
            </w:pPr>
            <w:r w:rsidRPr="0074556C">
              <w:t>0.05</w:t>
            </w:r>
          </w:p>
        </w:tc>
        <w:tc>
          <w:tcPr>
            <w:tcW w:w="810" w:type="dxa"/>
            <w:tcBorders>
              <w:top w:val="nil"/>
              <w:left w:val="single" w:sz="4" w:space="0" w:color="auto"/>
              <w:bottom w:val="nil"/>
              <w:right w:val="single" w:sz="4" w:space="0" w:color="auto"/>
            </w:tcBorders>
            <w:shd w:val="clear" w:color="auto" w:fill="auto"/>
            <w:noWrap/>
            <w:vAlign w:val="center"/>
            <w:hideMark/>
          </w:tcPr>
          <w:p w14:paraId="5D951F1D" w14:textId="77777777" w:rsidR="00C67231" w:rsidRPr="0074556C" w:rsidRDefault="00C67231" w:rsidP="00D57B77">
            <w:pPr>
              <w:pStyle w:val="TableText"/>
            </w:pPr>
            <w:r w:rsidRPr="0074556C">
              <w:t>mm</w:t>
            </w:r>
          </w:p>
        </w:tc>
      </w:tr>
      <w:tr w:rsidR="00C67231" w:rsidRPr="0074556C" w14:paraId="2D6848FC" w14:textId="77777777" w:rsidTr="00AE2101">
        <w:trPr>
          <w:trHeight w:val="300"/>
        </w:trPr>
        <w:tc>
          <w:tcPr>
            <w:tcW w:w="440" w:type="dxa"/>
            <w:tcBorders>
              <w:top w:val="nil"/>
              <w:left w:val="single" w:sz="4" w:space="0" w:color="auto"/>
              <w:bottom w:val="nil"/>
              <w:right w:val="nil"/>
            </w:tcBorders>
            <w:shd w:val="clear" w:color="auto" w:fill="auto"/>
            <w:noWrap/>
            <w:vAlign w:val="center"/>
            <w:hideMark/>
          </w:tcPr>
          <w:p w14:paraId="336AD6C5" w14:textId="77777777" w:rsidR="00C67231" w:rsidRPr="0074556C" w:rsidRDefault="00C67231" w:rsidP="00D57B77">
            <w:pPr>
              <w:pStyle w:val="TableText"/>
            </w:pPr>
            <w:r w:rsidRPr="0074556C">
              <w:t>10</w:t>
            </w:r>
          </w:p>
        </w:tc>
        <w:tc>
          <w:tcPr>
            <w:tcW w:w="2795" w:type="dxa"/>
            <w:tcBorders>
              <w:top w:val="nil"/>
              <w:left w:val="single" w:sz="4" w:space="0" w:color="auto"/>
              <w:bottom w:val="nil"/>
              <w:right w:val="single" w:sz="4" w:space="0" w:color="auto"/>
            </w:tcBorders>
            <w:shd w:val="clear" w:color="auto" w:fill="auto"/>
            <w:noWrap/>
            <w:vAlign w:val="bottom"/>
            <w:hideMark/>
          </w:tcPr>
          <w:p w14:paraId="24BE073B" w14:textId="77777777" w:rsidR="00C67231" w:rsidRPr="0074556C" w:rsidRDefault="00C67231" w:rsidP="00D57B77">
            <w:pPr>
              <w:pStyle w:val="TableText"/>
            </w:pPr>
            <w:r w:rsidRPr="0074556C">
              <w:t>Tube OR</w:t>
            </w:r>
          </w:p>
        </w:tc>
        <w:tc>
          <w:tcPr>
            <w:tcW w:w="1075" w:type="dxa"/>
            <w:tcBorders>
              <w:top w:val="nil"/>
              <w:left w:val="single" w:sz="4" w:space="0" w:color="auto"/>
              <w:bottom w:val="nil"/>
              <w:right w:val="single" w:sz="4" w:space="0" w:color="auto"/>
            </w:tcBorders>
          </w:tcPr>
          <w:p w14:paraId="292816BC" w14:textId="77777777" w:rsidR="00C67231" w:rsidRPr="0074556C" w:rsidRDefault="00C67231" w:rsidP="00D57B77">
            <w:pPr>
              <w:pStyle w:val="TableText"/>
              <w:rPr>
                <w:rFonts w:ascii="Cambria Math" w:hAnsi="Cambria Math"/>
              </w:rPr>
            </w:pPr>
            <w:r w:rsidRPr="0074556C">
              <w:rPr>
                <w:rFonts w:ascii="Cambria Math" w:hAnsi="Cambria Math"/>
              </w:rPr>
              <w:t>2.85</w:t>
            </w:r>
          </w:p>
        </w:tc>
        <w:tc>
          <w:tcPr>
            <w:tcW w:w="381" w:type="dxa"/>
            <w:tcBorders>
              <w:top w:val="nil"/>
              <w:left w:val="single" w:sz="4" w:space="0" w:color="auto"/>
              <w:bottom w:val="nil"/>
              <w:right w:val="nil"/>
            </w:tcBorders>
            <w:shd w:val="clear" w:color="auto" w:fill="auto"/>
            <w:noWrap/>
            <w:vAlign w:val="center"/>
            <w:hideMark/>
          </w:tcPr>
          <w:p w14:paraId="01FCFBE6" w14:textId="77777777" w:rsidR="00C67231" w:rsidRPr="0074556C" w:rsidRDefault="00C67231" w:rsidP="00D57B77">
            <w:pPr>
              <w:pStyle w:val="TableText"/>
              <w:rPr>
                <w:rFonts w:ascii="Cambria Math" w:hAnsi="Cambria Math"/>
              </w:rPr>
            </w:pPr>
            <w:r w:rsidRPr="0074556C">
              <w:rPr>
                <w:rFonts w:ascii="Cambria Math" w:hAnsi="Cambria Math"/>
              </w:rPr>
              <w:t>-</w:t>
            </w:r>
          </w:p>
        </w:tc>
        <w:tc>
          <w:tcPr>
            <w:tcW w:w="974" w:type="dxa"/>
            <w:tcBorders>
              <w:top w:val="nil"/>
              <w:left w:val="nil"/>
              <w:bottom w:val="nil"/>
              <w:right w:val="single" w:sz="4" w:space="0" w:color="auto"/>
            </w:tcBorders>
            <w:shd w:val="clear" w:color="auto" w:fill="auto"/>
            <w:noWrap/>
            <w:vAlign w:val="bottom"/>
            <w:hideMark/>
          </w:tcPr>
          <w:p w14:paraId="6158529C" w14:textId="77777777" w:rsidR="00C67231" w:rsidRPr="0074556C" w:rsidRDefault="00C67231" w:rsidP="00D57B77">
            <w:pPr>
              <w:pStyle w:val="TableText"/>
            </w:pPr>
            <w:r w:rsidRPr="0074556C">
              <w:t>0.05</w:t>
            </w:r>
          </w:p>
        </w:tc>
        <w:tc>
          <w:tcPr>
            <w:tcW w:w="810" w:type="dxa"/>
            <w:tcBorders>
              <w:top w:val="nil"/>
              <w:left w:val="single" w:sz="4" w:space="0" w:color="auto"/>
              <w:bottom w:val="nil"/>
              <w:right w:val="single" w:sz="4" w:space="0" w:color="auto"/>
            </w:tcBorders>
            <w:shd w:val="clear" w:color="auto" w:fill="auto"/>
            <w:noWrap/>
            <w:vAlign w:val="center"/>
            <w:hideMark/>
          </w:tcPr>
          <w:p w14:paraId="14662363" w14:textId="77777777" w:rsidR="00C67231" w:rsidRPr="0074556C" w:rsidRDefault="00C67231" w:rsidP="00D57B77">
            <w:pPr>
              <w:pStyle w:val="TableText"/>
            </w:pPr>
            <w:r w:rsidRPr="0074556C">
              <w:t>mm</w:t>
            </w:r>
          </w:p>
        </w:tc>
      </w:tr>
      <w:tr w:rsidR="00C67231" w:rsidRPr="0074556C" w14:paraId="7DDB56E8" w14:textId="77777777" w:rsidTr="00AE2101">
        <w:trPr>
          <w:trHeight w:val="300"/>
        </w:trPr>
        <w:tc>
          <w:tcPr>
            <w:tcW w:w="440" w:type="dxa"/>
            <w:tcBorders>
              <w:top w:val="nil"/>
              <w:left w:val="single" w:sz="4" w:space="0" w:color="auto"/>
              <w:bottom w:val="nil"/>
              <w:right w:val="nil"/>
            </w:tcBorders>
            <w:shd w:val="clear" w:color="auto" w:fill="auto"/>
            <w:noWrap/>
            <w:vAlign w:val="center"/>
            <w:hideMark/>
          </w:tcPr>
          <w:p w14:paraId="14C4B1FC" w14:textId="77777777" w:rsidR="00C67231" w:rsidRPr="0074556C" w:rsidRDefault="00C67231" w:rsidP="00D57B77">
            <w:pPr>
              <w:pStyle w:val="TableText"/>
            </w:pPr>
            <w:r w:rsidRPr="0074556C">
              <w:t>11</w:t>
            </w:r>
          </w:p>
        </w:tc>
        <w:tc>
          <w:tcPr>
            <w:tcW w:w="2795" w:type="dxa"/>
            <w:tcBorders>
              <w:top w:val="nil"/>
              <w:left w:val="single" w:sz="4" w:space="0" w:color="auto"/>
              <w:bottom w:val="nil"/>
              <w:right w:val="single" w:sz="4" w:space="0" w:color="auto"/>
            </w:tcBorders>
            <w:shd w:val="clear" w:color="auto" w:fill="auto"/>
            <w:noWrap/>
            <w:vAlign w:val="bottom"/>
            <w:hideMark/>
          </w:tcPr>
          <w:p w14:paraId="58ECBA22" w14:textId="77777777" w:rsidR="00C67231" w:rsidRPr="0074556C" w:rsidRDefault="00C67231" w:rsidP="00D57B77">
            <w:pPr>
              <w:pStyle w:val="TableText"/>
            </w:pPr>
            <w:r w:rsidRPr="0074556C">
              <w:t>Grafoil H</w:t>
            </w:r>
          </w:p>
        </w:tc>
        <w:tc>
          <w:tcPr>
            <w:tcW w:w="1075" w:type="dxa"/>
            <w:tcBorders>
              <w:top w:val="nil"/>
              <w:left w:val="single" w:sz="4" w:space="0" w:color="auto"/>
              <w:bottom w:val="nil"/>
              <w:right w:val="single" w:sz="4" w:space="0" w:color="auto"/>
            </w:tcBorders>
          </w:tcPr>
          <w:p w14:paraId="0CAD7CED" w14:textId="77777777" w:rsidR="00C67231" w:rsidRPr="0074556C" w:rsidRDefault="00C67231" w:rsidP="00D57B77">
            <w:pPr>
              <w:pStyle w:val="TableText"/>
              <w:rPr>
                <w:rFonts w:ascii="Cambria Math" w:hAnsi="Cambria Math"/>
              </w:rPr>
            </w:pPr>
            <w:r w:rsidRPr="0074556C">
              <w:rPr>
                <w:rFonts w:ascii="Cambria Math" w:hAnsi="Cambria Math"/>
              </w:rPr>
              <w:t>0.85</w:t>
            </w:r>
          </w:p>
        </w:tc>
        <w:tc>
          <w:tcPr>
            <w:tcW w:w="381" w:type="dxa"/>
            <w:tcBorders>
              <w:top w:val="nil"/>
              <w:left w:val="single" w:sz="4" w:space="0" w:color="auto"/>
              <w:bottom w:val="nil"/>
              <w:right w:val="nil"/>
            </w:tcBorders>
            <w:shd w:val="clear" w:color="auto" w:fill="auto"/>
            <w:noWrap/>
            <w:vAlign w:val="center"/>
            <w:hideMark/>
          </w:tcPr>
          <w:p w14:paraId="769E4A04" w14:textId="77777777" w:rsidR="00C67231" w:rsidRPr="0074556C" w:rsidRDefault="00C67231" w:rsidP="00D57B77">
            <w:pPr>
              <w:pStyle w:val="TableText"/>
              <w:rPr>
                <w:rFonts w:ascii="Cambria Math" w:hAnsi="Cambria Math"/>
              </w:rPr>
            </w:pPr>
            <w:r w:rsidRPr="0074556C">
              <w:rPr>
                <w:rFonts w:ascii="Cambria Math" w:hAnsi="Cambria Math"/>
              </w:rPr>
              <w:t>-</w:t>
            </w:r>
          </w:p>
        </w:tc>
        <w:tc>
          <w:tcPr>
            <w:tcW w:w="974" w:type="dxa"/>
            <w:tcBorders>
              <w:top w:val="nil"/>
              <w:left w:val="nil"/>
              <w:bottom w:val="nil"/>
              <w:right w:val="single" w:sz="4" w:space="0" w:color="auto"/>
            </w:tcBorders>
            <w:shd w:val="clear" w:color="auto" w:fill="auto"/>
            <w:noWrap/>
            <w:vAlign w:val="bottom"/>
            <w:hideMark/>
          </w:tcPr>
          <w:p w14:paraId="318A64F4" w14:textId="77777777" w:rsidR="00C67231" w:rsidRPr="0074556C" w:rsidRDefault="00C67231" w:rsidP="00D57B77">
            <w:pPr>
              <w:pStyle w:val="TableText"/>
            </w:pPr>
            <w:r w:rsidRPr="0074556C">
              <w:t>0.2</w:t>
            </w:r>
          </w:p>
        </w:tc>
        <w:tc>
          <w:tcPr>
            <w:tcW w:w="810" w:type="dxa"/>
            <w:tcBorders>
              <w:top w:val="nil"/>
              <w:left w:val="single" w:sz="4" w:space="0" w:color="auto"/>
              <w:bottom w:val="nil"/>
              <w:right w:val="single" w:sz="4" w:space="0" w:color="auto"/>
            </w:tcBorders>
            <w:shd w:val="clear" w:color="auto" w:fill="auto"/>
            <w:noWrap/>
            <w:vAlign w:val="center"/>
            <w:hideMark/>
          </w:tcPr>
          <w:p w14:paraId="254FB4E4" w14:textId="77777777" w:rsidR="00C67231" w:rsidRPr="0074556C" w:rsidRDefault="00C67231" w:rsidP="00D57B77">
            <w:pPr>
              <w:pStyle w:val="TableText"/>
            </w:pPr>
            <w:r w:rsidRPr="0074556C">
              <w:t>mm</w:t>
            </w:r>
          </w:p>
        </w:tc>
      </w:tr>
      <w:tr w:rsidR="00C67231" w:rsidRPr="0074556C" w14:paraId="53E61E74" w14:textId="77777777" w:rsidTr="00AE2101">
        <w:trPr>
          <w:trHeight w:val="300"/>
        </w:trPr>
        <w:tc>
          <w:tcPr>
            <w:tcW w:w="440" w:type="dxa"/>
            <w:tcBorders>
              <w:top w:val="nil"/>
              <w:left w:val="single" w:sz="4" w:space="0" w:color="auto"/>
              <w:bottom w:val="nil"/>
              <w:right w:val="nil"/>
            </w:tcBorders>
            <w:shd w:val="clear" w:color="auto" w:fill="auto"/>
            <w:noWrap/>
            <w:vAlign w:val="center"/>
            <w:hideMark/>
          </w:tcPr>
          <w:p w14:paraId="62A1F871" w14:textId="77777777" w:rsidR="00C67231" w:rsidRPr="0074556C" w:rsidRDefault="00C67231" w:rsidP="00D57B77">
            <w:pPr>
              <w:pStyle w:val="TableText"/>
            </w:pPr>
            <w:r w:rsidRPr="0074556C">
              <w:t>12</w:t>
            </w:r>
          </w:p>
        </w:tc>
        <w:tc>
          <w:tcPr>
            <w:tcW w:w="2795" w:type="dxa"/>
            <w:tcBorders>
              <w:top w:val="nil"/>
              <w:left w:val="single" w:sz="4" w:space="0" w:color="auto"/>
              <w:bottom w:val="nil"/>
              <w:right w:val="single" w:sz="4" w:space="0" w:color="auto"/>
            </w:tcBorders>
            <w:shd w:val="clear" w:color="auto" w:fill="auto"/>
            <w:noWrap/>
            <w:vAlign w:val="bottom"/>
            <w:hideMark/>
          </w:tcPr>
          <w:p w14:paraId="7AC4F21F" w14:textId="77777777" w:rsidR="00C67231" w:rsidRPr="0074556C" w:rsidRDefault="00C67231" w:rsidP="00D57B77">
            <w:pPr>
              <w:pStyle w:val="TableText"/>
            </w:pPr>
            <w:r w:rsidRPr="0074556C">
              <w:t xml:space="preserve">Grafoil IR </w:t>
            </w:r>
          </w:p>
        </w:tc>
        <w:tc>
          <w:tcPr>
            <w:tcW w:w="1075" w:type="dxa"/>
            <w:tcBorders>
              <w:top w:val="nil"/>
              <w:left w:val="single" w:sz="4" w:space="0" w:color="auto"/>
              <w:bottom w:val="nil"/>
              <w:right w:val="single" w:sz="4" w:space="0" w:color="auto"/>
            </w:tcBorders>
          </w:tcPr>
          <w:p w14:paraId="70897EC1" w14:textId="77777777" w:rsidR="00C67231" w:rsidRPr="0074556C" w:rsidRDefault="00C67231" w:rsidP="00D57B77">
            <w:pPr>
              <w:pStyle w:val="TableText"/>
              <w:rPr>
                <w:rFonts w:ascii="Cambria Math" w:hAnsi="Cambria Math"/>
              </w:rPr>
            </w:pPr>
            <w:r w:rsidRPr="0074556C">
              <w:rPr>
                <w:rFonts w:ascii="Cambria Math" w:hAnsi="Cambria Math"/>
              </w:rPr>
              <w:t>1.0</w:t>
            </w:r>
          </w:p>
        </w:tc>
        <w:tc>
          <w:tcPr>
            <w:tcW w:w="381" w:type="dxa"/>
            <w:tcBorders>
              <w:top w:val="nil"/>
              <w:left w:val="single" w:sz="4" w:space="0" w:color="auto"/>
              <w:bottom w:val="nil"/>
              <w:right w:val="nil"/>
            </w:tcBorders>
            <w:shd w:val="clear" w:color="auto" w:fill="auto"/>
            <w:noWrap/>
            <w:vAlign w:val="center"/>
            <w:hideMark/>
          </w:tcPr>
          <w:p w14:paraId="65D096BD" w14:textId="77777777" w:rsidR="00C67231" w:rsidRPr="0074556C" w:rsidRDefault="00C67231" w:rsidP="00D57B77">
            <w:pPr>
              <w:pStyle w:val="TableText"/>
              <w:rPr>
                <w:rFonts w:ascii="Cambria Math" w:hAnsi="Cambria Math"/>
              </w:rPr>
            </w:pPr>
            <w:r w:rsidRPr="0074556C">
              <w:rPr>
                <w:rFonts w:ascii="Cambria Math" w:hAnsi="Cambria Math"/>
              </w:rPr>
              <w:t>±</w:t>
            </w:r>
          </w:p>
        </w:tc>
        <w:tc>
          <w:tcPr>
            <w:tcW w:w="974" w:type="dxa"/>
            <w:tcBorders>
              <w:top w:val="nil"/>
              <w:left w:val="nil"/>
              <w:bottom w:val="nil"/>
              <w:right w:val="single" w:sz="4" w:space="0" w:color="auto"/>
            </w:tcBorders>
            <w:shd w:val="clear" w:color="auto" w:fill="auto"/>
            <w:noWrap/>
            <w:vAlign w:val="bottom"/>
            <w:hideMark/>
          </w:tcPr>
          <w:p w14:paraId="0E33CEC5" w14:textId="77777777" w:rsidR="00C67231" w:rsidRPr="0074556C" w:rsidRDefault="00C67231" w:rsidP="00D57B77">
            <w:pPr>
              <w:pStyle w:val="TableText"/>
            </w:pPr>
            <w:r w:rsidRPr="0074556C">
              <w:t>0.04</w:t>
            </w:r>
          </w:p>
        </w:tc>
        <w:tc>
          <w:tcPr>
            <w:tcW w:w="810" w:type="dxa"/>
            <w:tcBorders>
              <w:top w:val="nil"/>
              <w:left w:val="single" w:sz="4" w:space="0" w:color="auto"/>
              <w:bottom w:val="nil"/>
              <w:right w:val="single" w:sz="4" w:space="0" w:color="auto"/>
            </w:tcBorders>
            <w:shd w:val="clear" w:color="auto" w:fill="auto"/>
            <w:noWrap/>
            <w:vAlign w:val="center"/>
            <w:hideMark/>
          </w:tcPr>
          <w:p w14:paraId="74900393" w14:textId="77777777" w:rsidR="00C67231" w:rsidRPr="0074556C" w:rsidRDefault="00C67231" w:rsidP="00D57B77">
            <w:pPr>
              <w:pStyle w:val="TableText"/>
            </w:pPr>
            <w:r w:rsidRPr="0074556C">
              <w:t>mm</w:t>
            </w:r>
          </w:p>
        </w:tc>
      </w:tr>
      <w:tr w:rsidR="00C67231" w:rsidRPr="0074556C" w14:paraId="44B7EB6E" w14:textId="77777777" w:rsidTr="00AE2101">
        <w:trPr>
          <w:trHeight w:val="300"/>
        </w:trPr>
        <w:tc>
          <w:tcPr>
            <w:tcW w:w="440" w:type="dxa"/>
            <w:tcBorders>
              <w:top w:val="nil"/>
              <w:left w:val="single" w:sz="4" w:space="0" w:color="auto"/>
              <w:bottom w:val="nil"/>
              <w:right w:val="nil"/>
            </w:tcBorders>
            <w:shd w:val="clear" w:color="auto" w:fill="auto"/>
            <w:noWrap/>
            <w:vAlign w:val="center"/>
            <w:hideMark/>
          </w:tcPr>
          <w:p w14:paraId="3E2B3250" w14:textId="77777777" w:rsidR="00C67231" w:rsidRPr="0074556C" w:rsidRDefault="00C67231" w:rsidP="00D57B77">
            <w:pPr>
              <w:pStyle w:val="TableText"/>
            </w:pPr>
            <w:r w:rsidRPr="0074556C">
              <w:t>13</w:t>
            </w:r>
          </w:p>
        </w:tc>
        <w:tc>
          <w:tcPr>
            <w:tcW w:w="2795" w:type="dxa"/>
            <w:tcBorders>
              <w:top w:val="nil"/>
              <w:left w:val="single" w:sz="4" w:space="0" w:color="auto"/>
              <w:bottom w:val="nil"/>
              <w:right w:val="single" w:sz="4" w:space="0" w:color="auto"/>
            </w:tcBorders>
            <w:shd w:val="clear" w:color="auto" w:fill="auto"/>
            <w:noWrap/>
            <w:vAlign w:val="bottom"/>
            <w:hideMark/>
          </w:tcPr>
          <w:p w14:paraId="1A360FAA" w14:textId="77777777" w:rsidR="00C67231" w:rsidRPr="0074556C" w:rsidRDefault="00C67231" w:rsidP="00D57B77">
            <w:pPr>
              <w:pStyle w:val="TableText"/>
            </w:pPr>
            <w:r w:rsidRPr="0074556C">
              <w:t xml:space="preserve">Grafoil OR </w:t>
            </w:r>
          </w:p>
        </w:tc>
        <w:tc>
          <w:tcPr>
            <w:tcW w:w="1075" w:type="dxa"/>
            <w:tcBorders>
              <w:top w:val="nil"/>
              <w:left w:val="single" w:sz="4" w:space="0" w:color="auto"/>
              <w:bottom w:val="nil"/>
              <w:right w:val="single" w:sz="4" w:space="0" w:color="auto"/>
            </w:tcBorders>
          </w:tcPr>
          <w:p w14:paraId="2703B61D" w14:textId="77777777" w:rsidR="00C67231" w:rsidRPr="0074556C" w:rsidRDefault="00C67231" w:rsidP="00D57B77">
            <w:pPr>
              <w:pStyle w:val="TableText"/>
              <w:rPr>
                <w:rFonts w:ascii="Cambria Math" w:hAnsi="Cambria Math"/>
              </w:rPr>
            </w:pPr>
            <w:r w:rsidRPr="0074556C">
              <w:rPr>
                <w:rFonts w:ascii="Cambria Math" w:hAnsi="Cambria Math"/>
              </w:rPr>
              <w:t>2.875</w:t>
            </w:r>
          </w:p>
        </w:tc>
        <w:tc>
          <w:tcPr>
            <w:tcW w:w="381" w:type="dxa"/>
            <w:tcBorders>
              <w:top w:val="nil"/>
              <w:left w:val="single" w:sz="4" w:space="0" w:color="auto"/>
              <w:bottom w:val="nil"/>
              <w:right w:val="nil"/>
            </w:tcBorders>
            <w:shd w:val="clear" w:color="auto" w:fill="auto"/>
            <w:noWrap/>
            <w:vAlign w:val="center"/>
            <w:hideMark/>
          </w:tcPr>
          <w:p w14:paraId="546E49B4" w14:textId="77777777" w:rsidR="00C67231" w:rsidRPr="0074556C" w:rsidRDefault="00C67231" w:rsidP="00D57B77">
            <w:pPr>
              <w:pStyle w:val="TableText"/>
              <w:rPr>
                <w:rFonts w:ascii="Cambria Math" w:hAnsi="Cambria Math"/>
              </w:rPr>
            </w:pPr>
            <w:r w:rsidRPr="0074556C">
              <w:rPr>
                <w:rFonts w:ascii="Cambria Math" w:hAnsi="Cambria Math"/>
              </w:rPr>
              <w:t>±</w:t>
            </w:r>
          </w:p>
        </w:tc>
        <w:tc>
          <w:tcPr>
            <w:tcW w:w="974" w:type="dxa"/>
            <w:tcBorders>
              <w:top w:val="nil"/>
              <w:left w:val="nil"/>
              <w:bottom w:val="nil"/>
              <w:right w:val="single" w:sz="4" w:space="0" w:color="auto"/>
            </w:tcBorders>
            <w:shd w:val="clear" w:color="auto" w:fill="auto"/>
            <w:noWrap/>
            <w:vAlign w:val="bottom"/>
            <w:hideMark/>
          </w:tcPr>
          <w:p w14:paraId="260E700F" w14:textId="77777777" w:rsidR="00C67231" w:rsidRPr="0074556C" w:rsidRDefault="00C67231" w:rsidP="00D57B77">
            <w:pPr>
              <w:pStyle w:val="TableText"/>
            </w:pPr>
            <w:r w:rsidRPr="0074556C">
              <w:t>0.04</w:t>
            </w:r>
          </w:p>
        </w:tc>
        <w:tc>
          <w:tcPr>
            <w:tcW w:w="810" w:type="dxa"/>
            <w:tcBorders>
              <w:top w:val="nil"/>
              <w:left w:val="single" w:sz="4" w:space="0" w:color="auto"/>
              <w:bottom w:val="nil"/>
              <w:right w:val="single" w:sz="4" w:space="0" w:color="auto"/>
            </w:tcBorders>
            <w:shd w:val="clear" w:color="auto" w:fill="auto"/>
            <w:noWrap/>
            <w:vAlign w:val="center"/>
            <w:hideMark/>
          </w:tcPr>
          <w:p w14:paraId="12EDB7FC" w14:textId="77777777" w:rsidR="00C67231" w:rsidRPr="0074556C" w:rsidRDefault="00C67231" w:rsidP="00D57B77">
            <w:pPr>
              <w:pStyle w:val="TableText"/>
            </w:pPr>
            <w:r w:rsidRPr="0074556C">
              <w:t>mm</w:t>
            </w:r>
          </w:p>
        </w:tc>
      </w:tr>
      <w:tr w:rsidR="00C67231" w:rsidRPr="0074556C" w14:paraId="6C5370AA" w14:textId="77777777" w:rsidTr="00AE2101">
        <w:trPr>
          <w:trHeight w:val="300"/>
        </w:trPr>
        <w:tc>
          <w:tcPr>
            <w:tcW w:w="440" w:type="dxa"/>
            <w:tcBorders>
              <w:top w:val="nil"/>
              <w:left w:val="single" w:sz="4" w:space="0" w:color="auto"/>
              <w:bottom w:val="nil"/>
              <w:right w:val="nil"/>
            </w:tcBorders>
            <w:shd w:val="clear" w:color="auto" w:fill="auto"/>
            <w:noWrap/>
            <w:vAlign w:val="center"/>
            <w:hideMark/>
          </w:tcPr>
          <w:p w14:paraId="5ECFAD3B" w14:textId="77777777" w:rsidR="00C67231" w:rsidRPr="0074556C" w:rsidRDefault="00C67231" w:rsidP="00D57B77">
            <w:pPr>
              <w:pStyle w:val="TableText"/>
            </w:pPr>
            <w:r w:rsidRPr="0074556C">
              <w:t>14</w:t>
            </w:r>
          </w:p>
        </w:tc>
        <w:tc>
          <w:tcPr>
            <w:tcW w:w="2795" w:type="dxa"/>
            <w:tcBorders>
              <w:top w:val="nil"/>
              <w:left w:val="single" w:sz="4" w:space="0" w:color="auto"/>
              <w:bottom w:val="nil"/>
              <w:right w:val="single" w:sz="4" w:space="0" w:color="auto"/>
            </w:tcBorders>
            <w:shd w:val="clear" w:color="auto" w:fill="auto"/>
            <w:noWrap/>
            <w:vAlign w:val="bottom"/>
            <w:hideMark/>
          </w:tcPr>
          <w:p w14:paraId="60359B34" w14:textId="77777777" w:rsidR="00C67231" w:rsidRPr="0074556C" w:rsidRDefault="00C67231" w:rsidP="00D57B77">
            <w:pPr>
              <w:pStyle w:val="TableText"/>
            </w:pPr>
            <w:r w:rsidRPr="0074556C">
              <w:t>EndCap IR 1</w:t>
            </w:r>
          </w:p>
        </w:tc>
        <w:tc>
          <w:tcPr>
            <w:tcW w:w="1075" w:type="dxa"/>
            <w:tcBorders>
              <w:top w:val="nil"/>
              <w:left w:val="single" w:sz="4" w:space="0" w:color="auto"/>
              <w:bottom w:val="nil"/>
              <w:right w:val="single" w:sz="4" w:space="0" w:color="auto"/>
            </w:tcBorders>
          </w:tcPr>
          <w:p w14:paraId="039013E1" w14:textId="77777777" w:rsidR="00C67231" w:rsidRPr="0074556C" w:rsidRDefault="00C67231" w:rsidP="00D57B77">
            <w:pPr>
              <w:pStyle w:val="TableText"/>
              <w:rPr>
                <w:rFonts w:ascii="Cambria Math" w:hAnsi="Cambria Math"/>
              </w:rPr>
            </w:pPr>
            <w:r w:rsidRPr="0074556C">
              <w:rPr>
                <w:rFonts w:ascii="Cambria Math" w:hAnsi="Cambria Math"/>
              </w:rPr>
              <w:t>0.125</w:t>
            </w:r>
          </w:p>
        </w:tc>
        <w:tc>
          <w:tcPr>
            <w:tcW w:w="381" w:type="dxa"/>
            <w:tcBorders>
              <w:top w:val="nil"/>
              <w:left w:val="single" w:sz="4" w:space="0" w:color="auto"/>
              <w:bottom w:val="nil"/>
              <w:right w:val="nil"/>
            </w:tcBorders>
            <w:shd w:val="clear" w:color="auto" w:fill="auto"/>
            <w:noWrap/>
            <w:vAlign w:val="center"/>
            <w:hideMark/>
          </w:tcPr>
          <w:p w14:paraId="49574720" w14:textId="77777777" w:rsidR="00C67231" w:rsidRPr="0074556C" w:rsidRDefault="00C67231" w:rsidP="00D57B77">
            <w:pPr>
              <w:pStyle w:val="TableText"/>
              <w:rPr>
                <w:rFonts w:ascii="Cambria Math" w:hAnsi="Cambria Math"/>
              </w:rPr>
            </w:pPr>
            <w:r w:rsidRPr="0074556C">
              <w:rPr>
                <w:rFonts w:ascii="Cambria Math" w:hAnsi="Cambria Math"/>
              </w:rPr>
              <w:t>±</w:t>
            </w:r>
          </w:p>
        </w:tc>
        <w:tc>
          <w:tcPr>
            <w:tcW w:w="974" w:type="dxa"/>
            <w:tcBorders>
              <w:top w:val="nil"/>
              <w:left w:val="nil"/>
              <w:bottom w:val="nil"/>
              <w:right w:val="single" w:sz="4" w:space="0" w:color="auto"/>
            </w:tcBorders>
            <w:shd w:val="clear" w:color="auto" w:fill="auto"/>
            <w:noWrap/>
            <w:vAlign w:val="bottom"/>
            <w:hideMark/>
          </w:tcPr>
          <w:p w14:paraId="34506CCB" w14:textId="77777777" w:rsidR="00C67231" w:rsidRPr="0074556C" w:rsidRDefault="00C67231" w:rsidP="00D57B77">
            <w:pPr>
              <w:pStyle w:val="TableText"/>
            </w:pPr>
            <w:r w:rsidRPr="0074556C">
              <w:t>0.03</w:t>
            </w:r>
          </w:p>
        </w:tc>
        <w:tc>
          <w:tcPr>
            <w:tcW w:w="810" w:type="dxa"/>
            <w:tcBorders>
              <w:top w:val="nil"/>
              <w:left w:val="single" w:sz="4" w:space="0" w:color="auto"/>
              <w:bottom w:val="nil"/>
              <w:right w:val="single" w:sz="4" w:space="0" w:color="auto"/>
            </w:tcBorders>
            <w:shd w:val="clear" w:color="auto" w:fill="auto"/>
            <w:noWrap/>
            <w:vAlign w:val="center"/>
            <w:hideMark/>
          </w:tcPr>
          <w:p w14:paraId="0C6A7D3E" w14:textId="77777777" w:rsidR="00C67231" w:rsidRPr="0074556C" w:rsidRDefault="00C67231" w:rsidP="00D57B77">
            <w:pPr>
              <w:pStyle w:val="TableText"/>
            </w:pPr>
            <w:r w:rsidRPr="0074556C">
              <w:t>mm</w:t>
            </w:r>
          </w:p>
        </w:tc>
      </w:tr>
      <w:tr w:rsidR="00C67231" w:rsidRPr="0074556C" w14:paraId="14DD0665" w14:textId="77777777" w:rsidTr="00AE2101">
        <w:trPr>
          <w:trHeight w:val="300"/>
        </w:trPr>
        <w:tc>
          <w:tcPr>
            <w:tcW w:w="440" w:type="dxa"/>
            <w:tcBorders>
              <w:top w:val="nil"/>
              <w:left w:val="single" w:sz="4" w:space="0" w:color="auto"/>
              <w:bottom w:val="nil"/>
              <w:right w:val="nil"/>
            </w:tcBorders>
            <w:shd w:val="clear" w:color="auto" w:fill="auto"/>
            <w:noWrap/>
            <w:vAlign w:val="center"/>
            <w:hideMark/>
          </w:tcPr>
          <w:p w14:paraId="58160BFD" w14:textId="77777777" w:rsidR="00C67231" w:rsidRPr="0074556C" w:rsidRDefault="00C67231" w:rsidP="00D57B77">
            <w:pPr>
              <w:pStyle w:val="TableText"/>
            </w:pPr>
            <w:r w:rsidRPr="0074556C">
              <w:t>15</w:t>
            </w:r>
          </w:p>
        </w:tc>
        <w:tc>
          <w:tcPr>
            <w:tcW w:w="2795" w:type="dxa"/>
            <w:tcBorders>
              <w:top w:val="nil"/>
              <w:left w:val="single" w:sz="4" w:space="0" w:color="auto"/>
              <w:bottom w:val="nil"/>
              <w:right w:val="single" w:sz="4" w:space="0" w:color="auto"/>
            </w:tcBorders>
            <w:shd w:val="clear" w:color="auto" w:fill="auto"/>
            <w:noWrap/>
            <w:vAlign w:val="bottom"/>
            <w:hideMark/>
          </w:tcPr>
          <w:p w14:paraId="60D6C7D8" w14:textId="77777777" w:rsidR="00C67231" w:rsidRPr="0074556C" w:rsidRDefault="00C67231" w:rsidP="00D57B77">
            <w:pPr>
              <w:pStyle w:val="TableText"/>
            </w:pPr>
            <w:r w:rsidRPr="0074556C">
              <w:t>EndCap IR 2</w:t>
            </w:r>
          </w:p>
        </w:tc>
        <w:tc>
          <w:tcPr>
            <w:tcW w:w="1075" w:type="dxa"/>
            <w:tcBorders>
              <w:top w:val="nil"/>
              <w:left w:val="single" w:sz="4" w:space="0" w:color="auto"/>
              <w:bottom w:val="nil"/>
              <w:right w:val="single" w:sz="4" w:space="0" w:color="auto"/>
            </w:tcBorders>
          </w:tcPr>
          <w:p w14:paraId="2ABD88A1" w14:textId="77777777" w:rsidR="00C67231" w:rsidRPr="0074556C" w:rsidRDefault="00C67231" w:rsidP="00D57B77">
            <w:pPr>
              <w:pStyle w:val="TableText"/>
              <w:rPr>
                <w:rFonts w:ascii="Cambria Math" w:hAnsi="Cambria Math"/>
              </w:rPr>
            </w:pPr>
            <w:r w:rsidRPr="0074556C">
              <w:rPr>
                <w:rFonts w:ascii="Cambria Math" w:hAnsi="Cambria Math"/>
              </w:rPr>
              <w:t>2.25</w:t>
            </w:r>
          </w:p>
        </w:tc>
        <w:tc>
          <w:tcPr>
            <w:tcW w:w="381" w:type="dxa"/>
            <w:tcBorders>
              <w:top w:val="nil"/>
              <w:left w:val="single" w:sz="4" w:space="0" w:color="auto"/>
              <w:bottom w:val="nil"/>
              <w:right w:val="nil"/>
            </w:tcBorders>
            <w:shd w:val="clear" w:color="auto" w:fill="auto"/>
            <w:noWrap/>
            <w:vAlign w:val="center"/>
            <w:hideMark/>
          </w:tcPr>
          <w:p w14:paraId="442F5630" w14:textId="77777777" w:rsidR="00C67231" w:rsidRPr="0074556C" w:rsidRDefault="00C67231" w:rsidP="00D57B77">
            <w:pPr>
              <w:pStyle w:val="TableText"/>
              <w:rPr>
                <w:rFonts w:ascii="Cambria Math" w:hAnsi="Cambria Math"/>
              </w:rPr>
            </w:pPr>
            <w:r w:rsidRPr="0074556C">
              <w:rPr>
                <w:rFonts w:ascii="Cambria Math" w:hAnsi="Cambria Math"/>
              </w:rPr>
              <w:t>±</w:t>
            </w:r>
          </w:p>
        </w:tc>
        <w:tc>
          <w:tcPr>
            <w:tcW w:w="974" w:type="dxa"/>
            <w:tcBorders>
              <w:top w:val="nil"/>
              <w:left w:val="nil"/>
              <w:bottom w:val="nil"/>
              <w:right w:val="single" w:sz="4" w:space="0" w:color="auto"/>
            </w:tcBorders>
            <w:shd w:val="clear" w:color="auto" w:fill="auto"/>
            <w:noWrap/>
            <w:vAlign w:val="bottom"/>
            <w:hideMark/>
          </w:tcPr>
          <w:p w14:paraId="670A5723" w14:textId="77777777" w:rsidR="00C67231" w:rsidRPr="0074556C" w:rsidRDefault="00C67231" w:rsidP="00D57B77">
            <w:pPr>
              <w:pStyle w:val="TableText"/>
            </w:pPr>
            <w:r w:rsidRPr="0074556C">
              <w:t xml:space="preserve">0.1 </w:t>
            </w:r>
          </w:p>
        </w:tc>
        <w:tc>
          <w:tcPr>
            <w:tcW w:w="810" w:type="dxa"/>
            <w:tcBorders>
              <w:top w:val="nil"/>
              <w:left w:val="single" w:sz="4" w:space="0" w:color="auto"/>
              <w:bottom w:val="nil"/>
              <w:right w:val="single" w:sz="4" w:space="0" w:color="auto"/>
            </w:tcBorders>
            <w:shd w:val="clear" w:color="auto" w:fill="auto"/>
            <w:noWrap/>
            <w:vAlign w:val="center"/>
            <w:hideMark/>
          </w:tcPr>
          <w:p w14:paraId="12BDC28B" w14:textId="77777777" w:rsidR="00C67231" w:rsidRPr="0074556C" w:rsidRDefault="00C67231" w:rsidP="00D57B77">
            <w:pPr>
              <w:pStyle w:val="TableText"/>
            </w:pPr>
            <w:r w:rsidRPr="0074556C">
              <w:t>mm</w:t>
            </w:r>
          </w:p>
        </w:tc>
      </w:tr>
      <w:tr w:rsidR="00C67231" w:rsidRPr="0074556C" w14:paraId="4A56DC13" w14:textId="77777777" w:rsidTr="00AE2101">
        <w:trPr>
          <w:trHeight w:val="300"/>
        </w:trPr>
        <w:tc>
          <w:tcPr>
            <w:tcW w:w="440" w:type="dxa"/>
            <w:tcBorders>
              <w:top w:val="nil"/>
              <w:left w:val="single" w:sz="4" w:space="0" w:color="auto"/>
              <w:bottom w:val="nil"/>
              <w:right w:val="nil"/>
            </w:tcBorders>
            <w:shd w:val="clear" w:color="auto" w:fill="auto"/>
            <w:noWrap/>
            <w:vAlign w:val="center"/>
            <w:hideMark/>
          </w:tcPr>
          <w:p w14:paraId="7E4B177F" w14:textId="77777777" w:rsidR="00C67231" w:rsidRPr="0074556C" w:rsidRDefault="00C67231" w:rsidP="00D57B77">
            <w:pPr>
              <w:pStyle w:val="TableText"/>
            </w:pPr>
            <w:r w:rsidRPr="0074556C">
              <w:t>16</w:t>
            </w:r>
          </w:p>
        </w:tc>
        <w:tc>
          <w:tcPr>
            <w:tcW w:w="2795" w:type="dxa"/>
            <w:tcBorders>
              <w:top w:val="nil"/>
              <w:left w:val="single" w:sz="4" w:space="0" w:color="auto"/>
              <w:bottom w:val="nil"/>
              <w:right w:val="single" w:sz="4" w:space="0" w:color="auto"/>
            </w:tcBorders>
            <w:shd w:val="clear" w:color="auto" w:fill="auto"/>
            <w:noWrap/>
            <w:vAlign w:val="bottom"/>
            <w:hideMark/>
          </w:tcPr>
          <w:p w14:paraId="21D155EE" w14:textId="77777777" w:rsidR="00C67231" w:rsidRPr="0074556C" w:rsidRDefault="00C67231" w:rsidP="00D57B77">
            <w:pPr>
              <w:pStyle w:val="TableText"/>
            </w:pPr>
            <w:r w:rsidRPr="0074556C">
              <w:t xml:space="preserve">EndCap OR </w:t>
            </w:r>
          </w:p>
        </w:tc>
        <w:tc>
          <w:tcPr>
            <w:tcW w:w="1075" w:type="dxa"/>
            <w:tcBorders>
              <w:top w:val="nil"/>
              <w:left w:val="single" w:sz="4" w:space="0" w:color="auto"/>
              <w:bottom w:val="nil"/>
              <w:right w:val="single" w:sz="4" w:space="0" w:color="auto"/>
            </w:tcBorders>
          </w:tcPr>
          <w:p w14:paraId="76DA496C" w14:textId="77777777" w:rsidR="00C67231" w:rsidRPr="0074556C" w:rsidRDefault="00C67231" w:rsidP="00D57B77">
            <w:pPr>
              <w:pStyle w:val="TableText"/>
              <w:rPr>
                <w:rFonts w:ascii="Cambria Math" w:hAnsi="Cambria Math"/>
              </w:rPr>
            </w:pPr>
            <w:r w:rsidRPr="0074556C">
              <w:rPr>
                <w:rFonts w:ascii="Cambria Math" w:hAnsi="Cambria Math"/>
              </w:rPr>
              <w:t>3.075</w:t>
            </w:r>
          </w:p>
        </w:tc>
        <w:tc>
          <w:tcPr>
            <w:tcW w:w="381" w:type="dxa"/>
            <w:tcBorders>
              <w:top w:val="nil"/>
              <w:left w:val="single" w:sz="4" w:space="0" w:color="auto"/>
              <w:bottom w:val="nil"/>
              <w:right w:val="nil"/>
            </w:tcBorders>
            <w:shd w:val="clear" w:color="auto" w:fill="auto"/>
            <w:noWrap/>
            <w:vAlign w:val="center"/>
            <w:hideMark/>
          </w:tcPr>
          <w:p w14:paraId="2F3FBCC1" w14:textId="77777777" w:rsidR="00C67231" w:rsidRPr="0074556C" w:rsidRDefault="00C67231" w:rsidP="00D57B77">
            <w:pPr>
              <w:pStyle w:val="TableText"/>
              <w:rPr>
                <w:rFonts w:ascii="Cambria Math" w:hAnsi="Cambria Math"/>
              </w:rPr>
            </w:pPr>
            <w:r w:rsidRPr="0074556C">
              <w:rPr>
                <w:rFonts w:ascii="Cambria Math" w:hAnsi="Cambria Math"/>
              </w:rPr>
              <w:t>±</w:t>
            </w:r>
          </w:p>
        </w:tc>
        <w:tc>
          <w:tcPr>
            <w:tcW w:w="974" w:type="dxa"/>
            <w:tcBorders>
              <w:top w:val="nil"/>
              <w:left w:val="nil"/>
              <w:bottom w:val="nil"/>
              <w:right w:val="single" w:sz="4" w:space="0" w:color="auto"/>
            </w:tcBorders>
            <w:shd w:val="clear" w:color="auto" w:fill="auto"/>
            <w:noWrap/>
            <w:vAlign w:val="bottom"/>
            <w:hideMark/>
          </w:tcPr>
          <w:p w14:paraId="3B391028" w14:textId="77777777" w:rsidR="00C67231" w:rsidRPr="0074556C" w:rsidRDefault="00C67231" w:rsidP="00D57B77">
            <w:pPr>
              <w:pStyle w:val="TableText"/>
            </w:pPr>
            <w:r w:rsidRPr="0074556C">
              <w:t>0.01</w:t>
            </w:r>
          </w:p>
        </w:tc>
        <w:tc>
          <w:tcPr>
            <w:tcW w:w="810" w:type="dxa"/>
            <w:tcBorders>
              <w:top w:val="nil"/>
              <w:left w:val="single" w:sz="4" w:space="0" w:color="auto"/>
              <w:bottom w:val="nil"/>
              <w:right w:val="single" w:sz="4" w:space="0" w:color="auto"/>
            </w:tcBorders>
            <w:shd w:val="clear" w:color="auto" w:fill="auto"/>
            <w:noWrap/>
            <w:vAlign w:val="center"/>
            <w:hideMark/>
          </w:tcPr>
          <w:p w14:paraId="172D926B" w14:textId="77777777" w:rsidR="00C67231" w:rsidRPr="0074556C" w:rsidRDefault="00C67231" w:rsidP="00D57B77">
            <w:pPr>
              <w:pStyle w:val="TableText"/>
            </w:pPr>
            <w:r w:rsidRPr="0074556C">
              <w:t>mm</w:t>
            </w:r>
          </w:p>
        </w:tc>
      </w:tr>
      <w:tr w:rsidR="00C67231" w:rsidRPr="0074556C" w14:paraId="04AE9037" w14:textId="77777777" w:rsidTr="00AE2101">
        <w:trPr>
          <w:trHeight w:val="75"/>
        </w:trPr>
        <w:tc>
          <w:tcPr>
            <w:tcW w:w="440" w:type="dxa"/>
            <w:tcBorders>
              <w:top w:val="nil"/>
              <w:left w:val="single" w:sz="4" w:space="0" w:color="auto"/>
              <w:bottom w:val="nil"/>
              <w:right w:val="nil"/>
            </w:tcBorders>
            <w:shd w:val="clear" w:color="auto" w:fill="auto"/>
            <w:noWrap/>
            <w:vAlign w:val="center"/>
            <w:hideMark/>
          </w:tcPr>
          <w:p w14:paraId="0145B081" w14:textId="77777777" w:rsidR="00C67231" w:rsidRPr="0074556C" w:rsidRDefault="00C67231" w:rsidP="00D57B77">
            <w:pPr>
              <w:pStyle w:val="TableText"/>
            </w:pPr>
            <w:r w:rsidRPr="0074556C">
              <w:t>17</w:t>
            </w:r>
          </w:p>
        </w:tc>
        <w:tc>
          <w:tcPr>
            <w:tcW w:w="2795" w:type="dxa"/>
            <w:tcBorders>
              <w:top w:val="nil"/>
              <w:left w:val="single" w:sz="4" w:space="0" w:color="auto"/>
              <w:bottom w:val="nil"/>
              <w:right w:val="single" w:sz="4" w:space="0" w:color="auto"/>
            </w:tcBorders>
            <w:shd w:val="clear" w:color="auto" w:fill="auto"/>
            <w:noWrap/>
            <w:vAlign w:val="bottom"/>
            <w:hideMark/>
          </w:tcPr>
          <w:p w14:paraId="6990F20B" w14:textId="77777777" w:rsidR="00C67231" w:rsidRPr="0074556C" w:rsidRDefault="00C67231" w:rsidP="00D57B77">
            <w:pPr>
              <w:pStyle w:val="TableText"/>
            </w:pPr>
            <w:r w:rsidRPr="0074556C">
              <w:t xml:space="preserve">EndCap Tab OR </w:t>
            </w:r>
          </w:p>
        </w:tc>
        <w:tc>
          <w:tcPr>
            <w:tcW w:w="1075" w:type="dxa"/>
            <w:tcBorders>
              <w:top w:val="nil"/>
              <w:left w:val="single" w:sz="4" w:space="0" w:color="auto"/>
              <w:bottom w:val="nil"/>
              <w:right w:val="single" w:sz="4" w:space="0" w:color="auto"/>
            </w:tcBorders>
          </w:tcPr>
          <w:p w14:paraId="78A27E24" w14:textId="77777777" w:rsidR="00C67231" w:rsidRPr="0074556C" w:rsidRDefault="00C67231" w:rsidP="00D57B77">
            <w:pPr>
              <w:pStyle w:val="TableText"/>
              <w:rPr>
                <w:rFonts w:ascii="Cambria Math" w:hAnsi="Cambria Math"/>
              </w:rPr>
            </w:pPr>
            <w:r w:rsidRPr="0074556C">
              <w:rPr>
                <w:rFonts w:ascii="Cambria Math" w:hAnsi="Cambria Math"/>
              </w:rPr>
              <w:t>2.417</w:t>
            </w:r>
          </w:p>
        </w:tc>
        <w:tc>
          <w:tcPr>
            <w:tcW w:w="381" w:type="dxa"/>
            <w:tcBorders>
              <w:top w:val="nil"/>
              <w:left w:val="single" w:sz="4" w:space="0" w:color="auto"/>
              <w:bottom w:val="nil"/>
              <w:right w:val="nil"/>
            </w:tcBorders>
            <w:shd w:val="clear" w:color="auto" w:fill="auto"/>
            <w:noWrap/>
            <w:vAlign w:val="center"/>
            <w:hideMark/>
          </w:tcPr>
          <w:p w14:paraId="0CCE10D6" w14:textId="77777777" w:rsidR="00C67231" w:rsidRPr="0074556C" w:rsidRDefault="00C67231" w:rsidP="00D57B77">
            <w:pPr>
              <w:pStyle w:val="TableText"/>
              <w:rPr>
                <w:rFonts w:ascii="Cambria Math" w:hAnsi="Cambria Math"/>
              </w:rPr>
            </w:pPr>
            <w:r w:rsidRPr="0074556C">
              <w:rPr>
                <w:rFonts w:ascii="Cambria Math" w:hAnsi="Cambria Math"/>
              </w:rPr>
              <w:t>±</w:t>
            </w:r>
          </w:p>
        </w:tc>
        <w:tc>
          <w:tcPr>
            <w:tcW w:w="974" w:type="dxa"/>
            <w:tcBorders>
              <w:top w:val="nil"/>
              <w:left w:val="nil"/>
              <w:bottom w:val="nil"/>
              <w:right w:val="single" w:sz="4" w:space="0" w:color="auto"/>
            </w:tcBorders>
            <w:shd w:val="clear" w:color="auto" w:fill="auto"/>
            <w:noWrap/>
            <w:vAlign w:val="bottom"/>
            <w:hideMark/>
          </w:tcPr>
          <w:p w14:paraId="586888A1" w14:textId="77777777" w:rsidR="00C67231" w:rsidRPr="0074556C" w:rsidRDefault="00C67231" w:rsidP="00D57B77">
            <w:pPr>
              <w:pStyle w:val="TableText"/>
            </w:pPr>
            <w:r w:rsidRPr="0074556C">
              <w:t xml:space="preserve">0.04 </w:t>
            </w:r>
          </w:p>
        </w:tc>
        <w:tc>
          <w:tcPr>
            <w:tcW w:w="810" w:type="dxa"/>
            <w:tcBorders>
              <w:top w:val="nil"/>
              <w:left w:val="single" w:sz="4" w:space="0" w:color="auto"/>
              <w:bottom w:val="nil"/>
              <w:right w:val="single" w:sz="4" w:space="0" w:color="auto"/>
            </w:tcBorders>
            <w:shd w:val="clear" w:color="auto" w:fill="auto"/>
            <w:noWrap/>
            <w:vAlign w:val="center"/>
            <w:hideMark/>
          </w:tcPr>
          <w:p w14:paraId="3D4E6CBE" w14:textId="77777777" w:rsidR="00C67231" w:rsidRPr="0074556C" w:rsidRDefault="00C67231" w:rsidP="00D57B77">
            <w:pPr>
              <w:pStyle w:val="TableText"/>
            </w:pPr>
            <w:r w:rsidRPr="0074556C">
              <w:t>mm</w:t>
            </w:r>
          </w:p>
        </w:tc>
      </w:tr>
      <w:tr w:rsidR="00C67231" w:rsidRPr="0074556C" w14:paraId="34F24127" w14:textId="77777777" w:rsidTr="00AE2101">
        <w:trPr>
          <w:trHeight w:val="300"/>
        </w:trPr>
        <w:tc>
          <w:tcPr>
            <w:tcW w:w="440" w:type="dxa"/>
            <w:tcBorders>
              <w:top w:val="nil"/>
              <w:left w:val="single" w:sz="4" w:space="0" w:color="auto"/>
              <w:bottom w:val="nil"/>
              <w:right w:val="nil"/>
            </w:tcBorders>
            <w:shd w:val="clear" w:color="auto" w:fill="auto"/>
            <w:noWrap/>
            <w:vAlign w:val="center"/>
          </w:tcPr>
          <w:p w14:paraId="37DF43A1" w14:textId="77777777" w:rsidR="00C67231" w:rsidRPr="0074556C" w:rsidRDefault="00C67231" w:rsidP="00D57B77">
            <w:pPr>
              <w:pStyle w:val="TableText"/>
            </w:pPr>
            <w:r w:rsidRPr="0074556C">
              <w:t>18</w:t>
            </w:r>
          </w:p>
        </w:tc>
        <w:tc>
          <w:tcPr>
            <w:tcW w:w="2795" w:type="dxa"/>
            <w:tcBorders>
              <w:top w:val="nil"/>
              <w:left w:val="single" w:sz="4" w:space="0" w:color="auto"/>
              <w:bottom w:val="nil"/>
              <w:right w:val="single" w:sz="4" w:space="0" w:color="auto"/>
            </w:tcBorders>
            <w:shd w:val="clear" w:color="auto" w:fill="auto"/>
            <w:noWrap/>
            <w:vAlign w:val="bottom"/>
          </w:tcPr>
          <w:p w14:paraId="0B32536E" w14:textId="77777777" w:rsidR="00C67231" w:rsidRPr="0074556C" w:rsidRDefault="00C67231" w:rsidP="00D57B77">
            <w:pPr>
              <w:pStyle w:val="TableText"/>
            </w:pPr>
            <w:r w:rsidRPr="0074556C">
              <w:t>Holder IR 1</w:t>
            </w:r>
          </w:p>
        </w:tc>
        <w:tc>
          <w:tcPr>
            <w:tcW w:w="1075" w:type="dxa"/>
            <w:tcBorders>
              <w:top w:val="nil"/>
              <w:left w:val="single" w:sz="4" w:space="0" w:color="auto"/>
              <w:bottom w:val="nil"/>
              <w:right w:val="single" w:sz="4" w:space="0" w:color="auto"/>
            </w:tcBorders>
          </w:tcPr>
          <w:p w14:paraId="24B75191" w14:textId="77777777" w:rsidR="00C67231" w:rsidRPr="0074556C" w:rsidRDefault="00C67231" w:rsidP="00D57B77">
            <w:pPr>
              <w:pStyle w:val="TableText"/>
              <w:rPr>
                <w:rFonts w:ascii="Cambria Math" w:hAnsi="Cambria Math"/>
              </w:rPr>
            </w:pPr>
            <w:r w:rsidRPr="0074556C">
              <w:rPr>
                <w:rFonts w:ascii="Cambria Math" w:hAnsi="Cambria Math"/>
              </w:rPr>
              <w:t>3.0</w:t>
            </w:r>
          </w:p>
        </w:tc>
        <w:tc>
          <w:tcPr>
            <w:tcW w:w="381" w:type="dxa"/>
            <w:tcBorders>
              <w:top w:val="nil"/>
              <w:left w:val="single" w:sz="4" w:space="0" w:color="auto"/>
              <w:bottom w:val="nil"/>
              <w:right w:val="nil"/>
            </w:tcBorders>
            <w:shd w:val="clear" w:color="auto" w:fill="auto"/>
            <w:noWrap/>
            <w:vAlign w:val="center"/>
          </w:tcPr>
          <w:p w14:paraId="27C100C4" w14:textId="77777777" w:rsidR="00C67231" w:rsidRPr="0074556C" w:rsidRDefault="00C67231" w:rsidP="00D57B77">
            <w:pPr>
              <w:pStyle w:val="TableText"/>
            </w:pPr>
            <w:r w:rsidRPr="0074556C">
              <w:rPr>
                <w:rFonts w:ascii="Cambria Math" w:hAnsi="Cambria Math"/>
              </w:rPr>
              <w:t>±</w:t>
            </w:r>
          </w:p>
        </w:tc>
        <w:tc>
          <w:tcPr>
            <w:tcW w:w="974" w:type="dxa"/>
            <w:tcBorders>
              <w:top w:val="nil"/>
              <w:left w:val="nil"/>
              <w:bottom w:val="nil"/>
              <w:right w:val="single" w:sz="4" w:space="0" w:color="auto"/>
            </w:tcBorders>
            <w:shd w:val="clear" w:color="auto" w:fill="auto"/>
            <w:noWrap/>
            <w:vAlign w:val="bottom"/>
          </w:tcPr>
          <w:p w14:paraId="324737EB" w14:textId="77777777" w:rsidR="00C67231" w:rsidRPr="0074556C" w:rsidRDefault="00C67231" w:rsidP="00D57B77">
            <w:pPr>
              <w:pStyle w:val="TableText"/>
            </w:pPr>
            <w:r w:rsidRPr="0074556C">
              <w:t>0.03</w:t>
            </w:r>
          </w:p>
        </w:tc>
        <w:tc>
          <w:tcPr>
            <w:tcW w:w="810" w:type="dxa"/>
            <w:tcBorders>
              <w:top w:val="nil"/>
              <w:left w:val="single" w:sz="4" w:space="0" w:color="auto"/>
              <w:bottom w:val="nil"/>
              <w:right w:val="single" w:sz="4" w:space="0" w:color="auto"/>
            </w:tcBorders>
            <w:shd w:val="clear" w:color="auto" w:fill="auto"/>
            <w:noWrap/>
            <w:vAlign w:val="center"/>
          </w:tcPr>
          <w:p w14:paraId="71390E9B" w14:textId="77777777" w:rsidR="00C67231" w:rsidRPr="0074556C" w:rsidRDefault="00C67231" w:rsidP="00D57B77">
            <w:pPr>
              <w:pStyle w:val="TableText"/>
            </w:pPr>
            <w:r w:rsidRPr="0074556C">
              <w:t>mm</w:t>
            </w:r>
          </w:p>
        </w:tc>
      </w:tr>
      <w:tr w:rsidR="00C67231" w:rsidRPr="0074556C" w14:paraId="0FC53C3A" w14:textId="77777777" w:rsidTr="00AE2101">
        <w:trPr>
          <w:trHeight w:val="300"/>
        </w:trPr>
        <w:tc>
          <w:tcPr>
            <w:tcW w:w="440" w:type="dxa"/>
            <w:tcBorders>
              <w:top w:val="nil"/>
              <w:left w:val="single" w:sz="4" w:space="0" w:color="auto"/>
              <w:bottom w:val="nil"/>
              <w:right w:val="nil"/>
            </w:tcBorders>
            <w:shd w:val="clear" w:color="auto" w:fill="auto"/>
            <w:noWrap/>
            <w:vAlign w:val="center"/>
            <w:hideMark/>
          </w:tcPr>
          <w:p w14:paraId="4CBA3DEC" w14:textId="77777777" w:rsidR="00C67231" w:rsidRPr="0074556C" w:rsidRDefault="00C67231" w:rsidP="00D57B77">
            <w:pPr>
              <w:pStyle w:val="TableText"/>
            </w:pPr>
            <w:r w:rsidRPr="0074556C">
              <w:t>19</w:t>
            </w:r>
          </w:p>
        </w:tc>
        <w:tc>
          <w:tcPr>
            <w:tcW w:w="2795" w:type="dxa"/>
            <w:tcBorders>
              <w:top w:val="nil"/>
              <w:left w:val="single" w:sz="4" w:space="0" w:color="auto"/>
              <w:bottom w:val="nil"/>
              <w:right w:val="single" w:sz="4" w:space="0" w:color="auto"/>
            </w:tcBorders>
            <w:shd w:val="clear" w:color="auto" w:fill="auto"/>
            <w:noWrap/>
            <w:vAlign w:val="bottom"/>
            <w:hideMark/>
          </w:tcPr>
          <w:p w14:paraId="1FE66EE3" w14:textId="77777777" w:rsidR="00C67231" w:rsidRPr="0074556C" w:rsidRDefault="00C67231" w:rsidP="00D57B77">
            <w:pPr>
              <w:pStyle w:val="TableText"/>
            </w:pPr>
            <w:r w:rsidRPr="0074556C">
              <w:t>Holder IR 2</w:t>
            </w:r>
          </w:p>
        </w:tc>
        <w:tc>
          <w:tcPr>
            <w:tcW w:w="1075" w:type="dxa"/>
            <w:tcBorders>
              <w:top w:val="nil"/>
              <w:left w:val="single" w:sz="4" w:space="0" w:color="auto"/>
              <w:bottom w:val="nil"/>
              <w:right w:val="single" w:sz="4" w:space="0" w:color="auto"/>
            </w:tcBorders>
          </w:tcPr>
          <w:p w14:paraId="6638C05F" w14:textId="77777777" w:rsidR="00C67231" w:rsidRPr="0074556C" w:rsidRDefault="00C67231" w:rsidP="00D57B77">
            <w:pPr>
              <w:pStyle w:val="TableText"/>
              <w:rPr>
                <w:rFonts w:ascii="Cambria Math" w:hAnsi="Cambria Math"/>
              </w:rPr>
            </w:pPr>
            <w:r w:rsidRPr="0074556C">
              <w:rPr>
                <w:rFonts w:ascii="Cambria Math" w:hAnsi="Cambria Math"/>
              </w:rPr>
              <w:t>3.1</w:t>
            </w:r>
          </w:p>
        </w:tc>
        <w:tc>
          <w:tcPr>
            <w:tcW w:w="381" w:type="dxa"/>
            <w:tcBorders>
              <w:top w:val="nil"/>
              <w:left w:val="single" w:sz="4" w:space="0" w:color="auto"/>
              <w:bottom w:val="nil"/>
              <w:right w:val="nil"/>
            </w:tcBorders>
            <w:shd w:val="clear" w:color="auto" w:fill="auto"/>
            <w:noWrap/>
            <w:vAlign w:val="center"/>
            <w:hideMark/>
          </w:tcPr>
          <w:p w14:paraId="2A38E869" w14:textId="77777777" w:rsidR="00C67231" w:rsidRPr="0074556C" w:rsidRDefault="00C67231" w:rsidP="00D57B77">
            <w:pPr>
              <w:pStyle w:val="TableText"/>
              <w:rPr>
                <w:rFonts w:ascii="Cambria Math" w:hAnsi="Cambria Math"/>
              </w:rPr>
            </w:pPr>
            <w:r w:rsidRPr="0074556C">
              <w:rPr>
                <w:rFonts w:ascii="Cambria Math" w:hAnsi="Cambria Math"/>
              </w:rPr>
              <w:t>±</w:t>
            </w:r>
          </w:p>
        </w:tc>
        <w:tc>
          <w:tcPr>
            <w:tcW w:w="974" w:type="dxa"/>
            <w:tcBorders>
              <w:top w:val="nil"/>
              <w:left w:val="nil"/>
              <w:bottom w:val="nil"/>
              <w:right w:val="single" w:sz="4" w:space="0" w:color="auto"/>
            </w:tcBorders>
            <w:shd w:val="clear" w:color="auto" w:fill="auto"/>
            <w:noWrap/>
            <w:vAlign w:val="bottom"/>
            <w:hideMark/>
          </w:tcPr>
          <w:p w14:paraId="6438CD33" w14:textId="77777777" w:rsidR="00C67231" w:rsidRPr="0074556C" w:rsidRDefault="00C67231" w:rsidP="00D57B77">
            <w:pPr>
              <w:pStyle w:val="TableText"/>
            </w:pPr>
            <w:r w:rsidRPr="0074556C">
              <w:t>0.01</w:t>
            </w:r>
          </w:p>
        </w:tc>
        <w:tc>
          <w:tcPr>
            <w:tcW w:w="810" w:type="dxa"/>
            <w:tcBorders>
              <w:top w:val="nil"/>
              <w:left w:val="single" w:sz="4" w:space="0" w:color="auto"/>
              <w:bottom w:val="nil"/>
              <w:right w:val="single" w:sz="4" w:space="0" w:color="auto"/>
            </w:tcBorders>
            <w:shd w:val="clear" w:color="auto" w:fill="auto"/>
            <w:noWrap/>
            <w:vAlign w:val="center"/>
            <w:hideMark/>
          </w:tcPr>
          <w:p w14:paraId="7224FB2F" w14:textId="77777777" w:rsidR="00C67231" w:rsidRPr="0074556C" w:rsidRDefault="00C67231" w:rsidP="00D57B77">
            <w:pPr>
              <w:pStyle w:val="TableText"/>
            </w:pPr>
            <w:r w:rsidRPr="0074556C">
              <w:t>mm</w:t>
            </w:r>
          </w:p>
        </w:tc>
      </w:tr>
      <w:tr w:rsidR="00C67231" w:rsidRPr="0074556C" w14:paraId="1F462E63" w14:textId="77777777" w:rsidTr="00AE2101">
        <w:trPr>
          <w:trHeight w:val="300"/>
        </w:trPr>
        <w:tc>
          <w:tcPr>
            <w:tcW w:w="440" w:type="dxa"/>
            <w:tcBorders>
              <w:top w:val="nil"/>
              <w:left w:val="single" w:sz="4" w:space="0" w:color="auto"/>
              <w:bottom w:val="nil"/>
              <w:right w:val="nil"/>
            </w:tcBorders>
            <w:shd w:val="clear" w:color="auto" w:fill="auto"/>
            <w:noWrap/>
            <w:vAlign w:val="center"/>
            <w:hideMark/>
          </w:tcPr>
          <w:p w14:paraId="1CA4442E" w14:textId="77777777" w:rsidR="00C67231" w:rsidRPr="0074556C" w:rsidRDefault="00C67231" w:rsidP="00D57B77">
            <w:pPr>
              <w:pStyle w:val="TableText"/>
            </w:pPr>
            <w:r w:rsidRPr="0074556C">
              <w:t>20</w:t>
            </w:r>
          </w:p>
        </w:tc>
        <w:tc>
          <w:tcPr>
            <w:tcW w:w="2795" w:type="dxa"/>
            <w:tcBorders>
              <w:top w:val="nil"/>
              <w:left w:val="single" w:sz="4" w:space="0" w:color="auto"/>
              <w:bottom w:val="nil"/>
              <w:right w:val="single" w:sz="4" w:space="0" w:color="auto"/>
            </w:tcBorders>
            <w:shd w:val="clear" w:color="auto" w:fill="auto"/>
            <w:noWrap/>
            <w:vAlign w:val="bottom"/>
            <w:hideMark/>
          </w:tcPr>
          <w:p w14:paraId="64D85AA5" w14:textId="77777777" w:rsidR="00C67231" w:rsidRPr="0074556C" w:rsidRDefault="00C67231" w:rsidP="00D57B77">
            <w:pPr>
              <w:pStyle w:val="TableText"/>
            </w:pPr>
            <w:r w:rsidRPr="0074556C">
              <w:t>Holder IR 3</w:t>
            </w:r>
          </w:p>
        </w:tc>
        <w:tc>
          <w:tcPr>
            <w:tcW w:w="1075" w:type="dxa"/>
            <w:tcBorders>
              <w:top w:val="nil"/>
              <w:left w:val="single" w:sz="4" w:space="0" w:color="auto"/>
              <w:bottom w:val="nil"/>
              <w:right w:val="single" w:sz="4" w:space="0" w:color="auto"/>
            </w:tcBorders>
          </w:tcPr>
          <w:p w14:paraId="5B1A6626" w14:textId="77777777" w:rsidR="00C67231" w:rsidRPr="0074556C" w:rsidRDefault="00C67231" w:rsidP="00D57B77">
            <w:pPr>
              <w:pStyle w:val="TableText"/>
              <w:rPr>
                <w:rFonts w:ascii="Cambria Math" w:hAnsi="Cambria Math"/>
              </w:rPr>
            </w:pPr>
            <w:r w:rsidRPr="0074556C">
              <w:rPr>
                <w:rFonts w:ascii="Cambria Math" w:hAnsi="Cambria Math"/>
              </w:rPr>
              <w:t>2.25</w:t>
            </w:r>
          </w:p>
        </w:tc>
        <w:tc>
          <w:tcPr>
            <w:tcW w:w="381" w:type="dxa"/>
            <w:tcBorders>
              <w:top w:val="nil"/>
              <w:left w:val="single" w:sz="4" w:space="0" w:color="auto"/>
              <w:bottom w:val="nil"/>
              <w:right w:val="nil"/>
            </w:tcBorders>
            <w:shd w:val="clear" w:color="auto" w:fill="auto"/>
            <w:noWrap/>
            <w:vAlign w:val="center"/>
            <w:hideMark/>
          </w:tcPr>
          <w:p w14:paraId="1ECDA376" w14:textId="77777777" w:rsidR="00C67231" w:rsidRPr="0074556C" w:rsidRDefault="00C67231" w:rsidP="00D57B77">
            <w:pPr>
              <w:pStyle w:val="TableText"/>
              <w:rPr>
                <w:rFonts w:ascii="Cambria Math" w:hAnsi="Cambria Math"/>
              </w:rPr>
            </w:pPr>
            <w:r w:rsidRPr="0074556C">
              <w:rPr>
                <w:rFonts w:ascii="Cambria Math" w:hAnsi="Cambria Math"/>
              </w:rPr>
              <w:t>±</w:t>
            </w:r>
          </w:p>
        </w:tc>
        <w:tc>
          <w:tcPr>
            <w:tcW w:w="974" w:type="dxa"/>
            <w:tcBorders>
              <w:top w:val="nil"/>
              <w:left w:val="nil"/>
              <w:bottom w:val="nil"/>
              <w:right w:val="single" w:sz="4" w:space="0" w:color="auto"/>
            </w:tcBorders>
            <w:shd w:val="clear" w:color="auto" w:fill="auto"/>
            <w:noWrap/>
            <w:vAlign w:val="bottom"/>
            <w:hideMark/>
          </w:tcPr>
          <w:p w14:paraId="5204AFAC" w14:textId="77777777" w:rsidR="00C67231" w:rsidRPr="0074556C" w:rsidRDefault="00C67231" w:rsidP="00D57B77">
            <w:pPr>
              <w:pStyle w:val="TableText"/>
            </w:pPr>
            <w:r w:rsidRPr="0074556C">
              <w:t>0.05</w:t>
            </w:r>
          </w:p>
        </w:tc>
        <w:tc>
          <w:tcPr>
            <w:tcW w:w="810" w:type="dxa"/>
            <w:tcBorders>
              <w:top w:val="nil"/>
              <w:left w:val="single" w:sz="4" w:space="0" w:color="auto"/>
              <w:bottom w:val="nil"/>
              <w:right w:val="single" w:sz="4" w:space="0" w:color="auto"/>
            </w:tcBorders>
            <w:shd w:val="clear" w:color="auto" w:fill="auto"/>
            <w:noWrap/>
            <w:vAlign w:val="center"/>
            <w:hideMark/>
          </w:tcPr>
          <w:p w14:paraId="18D4301B" w14:textId="77777777" w:rsidR="00C67231" w:rsidRPr="0074556C" w:rsidRDefault="00C67231" w:rsidP="00D57B77">
            <w:pPr>
              <w:pStyle w:val="TableText"/>
            </w:pPr>
            <w:r w:rsidRPr="0074556C">
              <w:t>mm</w:t>
            </w:r>
          </w:p>
        </w:tc>
      </w:tr>
      <w:tr w:rsidR="00C67231" w:rsidRPr="0074556C" w14:paraId="64133A0E" w14:textId="77777777" w:rsidTr="00AE2101">
        <w:trPr>
          <w:trHeight w:val="300"/>
        </w:trPr>
        <w:tc>
          <w:tcPr>
            <w:tcW w:w="440" w:type="dxa"/>
            <w:tcBorders>
              <w:top w:val="nil"/>
              <w:left w:val="single" w:sz="4" w:space="0" w:color="auto"/>
              <w:bottom w:val="nil"/>
              <w:right w:val="nil"/>
            </w:tcBorders>
            <w:shd w:val="clear" w:color="auto" w:fill="auto"/>
            <w:noWrap/>
            <w:vAlign w:val="center"/>
            <w:hideMark/>
          </w:tcPr>
          <w:p w14:paraId="626E56BE" w14:textId="77777777" w:rsidR="00C67231" w:rsidRPr="0074556C" w:rsidRDefault="00C67231" w:rsidP="00D57B77">
            <w:pPr>
              <w:pStyle w:val="TableText"/>
            </w:pPr>
            <w:r w:rsidRPr="0074556C">
              <w:t>21</w:t>
            </w:r>
          </w:p>
        </w:tc>
        <w:tc>
          <w:tcPr>
            <w:tcW w:w="2795" w:type="dxa"/>
            <w:tcBorders>
              <w:top w:val="nil"/>
              <w:left w:val="single" w:sz="4" w:space="0" w:color="auto"/>
              <w:bottom w:val="nil"/>
              <w:right w:val="single" w:sz="4" w:space="0" w:color="auto"/>
            </w:tcBorders>
            <w:shd w:val="clear" w:color="auto" w:fill="auto"/>
            <w:noWrap/>
            <w:vAlign w:val="bottom"/>
            <w:hideMark/>
          </w:tcPr>
          <w:p w14:paraId="3E029B81" w14:textId="77777777" w:rsidR="00C67231" w:rsidRPr="0074556C" w:rsidRDefault="00C67231" w:rsidP="00D57B77">
            <w:pPr>
              <w:pStyle w:val="TableText"/>
            </w:pPr>
            <w:r w:rsidRPr="0074556C">
              <w:t>Holder OR 2</w:t>
            </w:r>
          </w:p>
        </w:tc>
        <w:tc>
          <w:tcPr>
            <w:tcW w:w="1075" w:type="dxa"/>
            <w:tcBorders>
              <w:top w:val="nil"/>
              <w:left w:val="single" w:sz="4" w:space="0" w:color="auto"/>
              <w:bottom w:val="nil"/>
              <w:right w:val="single" w:sz="4" w:space="0" w:color="auto"/>
            </w:tcBorders>
          </w:tcPr>
          <w:p w14:paraId="05146D99" w14:textId="77777777" w:rsidR="00C67231" w:rsidRPr="0074556C" w:rsidRDefault="00C67231" w:rsidP="00D57B77">
            <w:pPr>
              <w:pStyle w:val="TableText"/>
              <w:rPr>
                <w:rFonts w:ascii="Cambria Math" w:hAnsi="Cambria Math"/>
              </w:rPr>
            </w:pPr>
            <w:r w:rsidRPr="0074556C">
              <w:rPr>
                <w:rFonts w:ascii="Cambria Math" w:hAnsi="Cambria Math"/>
              </w:rPr>
              <w:t>3.44</w:t>
            </w:r>
          </w:p>
        </w:tc>
        <w:tc>
          <w:tcPr>
            <w:tcW w:w="381" w:type="dxa"/>
            <w:tcBorders>
              <w:top w:val="nil"/>
              <w:left w:val="single" w:sz="4" w:space="0" w:color="auto"/>
              <w:bottom w:val="nil"/>
              <w:right w:val="nil"/>
            </w:tcBorders>
            <w:shd w:val="clear" w:color="auto" w:fill="auto"/>
            <w:noWrap/>
            <w:vAlign w:val="center"/>
            <w:hideMark/>
          </w:tcPr>
          <w:p w14:paraId="7BBD2FDD" w14:textId="77777777" w:rsidR="00C67231" w:rsidRPr="0074556C" w:rsidRDefault="00C67231" w:rsidP="00D57B77">
            <w:pPr>
              <w:pStyle w:val="TableText"/>
              <w:rPr>
                <w:rFonts w:ascii="Cambria Math" w:hAnsi="Cambria Math"/>
              </w:rPr>
            </w:pPr>
            <w:r w:rsidRPr="0074556C">
              <w:rPr>
                <w:rFonts w:ascii="Cambria Math" w:hAnsi="Cambria Math"/>
              </w:rPr>
              <w:t>±</w:t>
            </w:r>
          </w:p>
        </w:tc>
        <w:tc>
          <w:tcPr>
            <w:tcW w:w="974" w:type="dxa"/>
            <w:tcBorders>
              <w:top w:val="nil"/>
              <w:left w:val="nil"/>
              <w:bottom w:val="nil"/>
              <w:right w:val="single" w:sz="4" w:space="0" w:color="auto"/>
            </w:tcBorders>
            <w:shd w:val="clear" w:color="auto" w:fill="auto"/>
            <w:noWrap/>
            <w:vAlign w:val="bottom"/>
            <w:hideMark/>
          </w:tcPr>
          <w:p w14:paraId="23E234B6" w14:textId="77777777" w:rsidR="00C67231" w:rsidRPr="0074556C" w:rsidRDefault="00C67231" w:rsidP="00D57B77">
            <w:pPr>
              <w:pStyle w:val="TableText"/>
            </w:pPr>
            <w:r w:rsidRPr="0074556C">
              <w:t>0.04</w:t>
            </w:r>
          </w:p>
        </w:tc>
        <w:tc>
          <w:tcPr>
            <w:tcW w:w="810" w:type="dxa"/>
            <w:tcBorders>
              <w:top w:val="nil"/>
              <w:left w:val="single" w:sz="4" w:space="0" w:color="auto"/>
              <w:bottom w:val="nil"/>
              <w:right w:val="single" w:sz="4" w:space="0" w:color="auto"/>
            </w:tcBorders>
            <w:shd w:val="clear" w:color="auto" w:fill="auto"/>
            <w:noWrap/>
            <w:vAlign w:val="center"/>
            <w:hideMark/>
          </w:tcPr>
          <w:p w14:paraId="380CF4AC" w14:textId="77777777" w:rsidR="00C67231" w:rsidRPr="0074556C" w:rsidRDefault="00C67231" w:rsidP="00D57B77">
            <w:pPr>
              <w:pStyle w:val="TableText"/>
            </w:pPr>
            <w:r w:rsidRPr="0074556C">
              <w:t>mm</w:t>
            </w:r>
          </w:p>
        </w:tc>
      </w:tr>
      <w:tr w:rsidR="00C67231" w:rsidRPr="0074556C" w14:paraId="4AB6DAC0" w14:textId="77777777" w:rsidTr="00AE2101">
        <w:trPr>
          <w:trHeight w:val="300"/>
        </w:trPr>
        <w:tc>
          <w:tcPr>
            <w:tcW w:w="440" w:type="dxa"/>
            <w:tcBorders>
              <w:top w:val="nil"/>
              <w:left w:val="single" w:sz="4" w:space="0" w:color="auto"/>
              <w:bottom w:val="nil"/>
              <w:right w:val="nil"/>
            </w:tcBorders>
            <w:shd w:val="clear" w:color="auto" w:fill="auto"/>
            <w:noWrap/>
            <w:vAlign w:val="center"/>
            <w:hideMark/>
          </w:tcPr>
          <w:p w14:paraId="50A7278B" w14:textId="77777777" w:rsidR="00C67231" w:rsidRPr="0074556C" w:rsidRDefault="00C67231" w:rsidP="00D57B77">
            <w:pPr>
              <w:pStyle w:val="TableText"/>
            </w:pPr>
            <w:r w:rsidRPr="0074556C">
              <w:t>22</w:t>
            </w:r>
          </w:p>
        </w:tc>
        <w:tc>
          <w:tcPr>
            <w:tcW w:w="2795" w:type="dxa"/>
            <w:tcBorders>
              <w:top w:val="nil"/>
              <w:left w:val="single" w:sz="4" w:space="0" w:color="auto"/>
              <w:bottom w:val="nil"/>
              <w:right w:val="single" w:sz="4" w:space="0" w:color="auto"/>
            </w:tcBorders>
            <w:shd w:val="clear" w:color="auto" w:fill="auto"/>
            <w:noWrap/>
            <w:vAlign w:val="bottom"/>
            <w:hideMark/>
          </w:tcPr>
          <w:p w14:paraId="37A4CE06" w14:textId="77777777" w:rsidR="00C67231" w:rsidRPr="0074556C" w:rsidRDefault="00C67231" w:rsidP="00D57B77">
            <w:pPr>
              <w:pStyle w:val="TableText"/>
            </w:pPr>
            <w:r w:rsidRPr="0074556C">
              <w:t>Holder OR 3</w:t>
            </w:r>
          </w:p>
        </w:tc>
        <w:tc>
          <w:tcPr>
            <w:tcW w:w="1075" w:type="dxa"/>
            <w:tcBorders>
              <w:top w:val="nil"/>
              <w:left w:val="single" w:sz="4" w:space="0" w:color="auto"/>
              <w:bottom w:val="nil"/>
              <w:right w:val="single" w:sz="4" w:space="0" w:color="auto"/>
            </w:tcBorders>
          </w:tcPr>
          <w:p w14:paraId="48807D71" w14:textId="77777777" w:rsidR="00C67231" w:rsidRPr="0074556C" w:rsidRDefault="00C67231" w:rsidP="00D57B77">
            <w:pPr>
              <w:pStyle w:val="TableText"/>
              <w:rPr>
                <w:rFonts w:ascii="Cambria Math" w:hAnsi="Cambria Math"/>
              </w:rPr>
            </w:pPr>
            <w:r w:rsidRPr="0074556C">
              <w:rPr>
                <w:rFonts w:ascii="Cambria Math" w:hAnsi="Cambria Math"/>
              </w:rPr>
              <w:t>3.44</w:t>
            </w:r>
          </w:p>
        </w:tc>
        <w:tc>
          <w:tcPr>
            <w:tcW w:w="381" w:type="dxa"/>
            <w:tcBorders>
              <w:top w:val="nil"/>
              <w:left w:val="single" w:sz="4" w:space="0" w:color="auto"/>
              <w:bottom w:val="nil"/>
              <w:right w:val="nil"/>
            </w:tcBorders>
            <w:shd w:val="clear" w:color="auto" w:fill="auto"/>
            <w:noWrap/>
            <w:vAlign w:val="center"/>
            <w:hideMark/>
          </w:tcPr>
          <w:p w14:paraId="045939E9" w14:textId="77777777" w:rsidR="00C67231" w:rsidRPr="0074556C" w:rsidRDefault="00C67231" w:rsidP="00D57B77">
            <w:pPr>
              <w:pStyle w:val="TableText"/>
              <w:rPr>
                <w:rFonts w:ascii="Cambria Math" w:hAnsi="Cambria Math"/>
              </w:rPr>
            </w:pPr>
            <w:r w:rsidRPr="0074556C">
              <w:rPr>
                <w:rFonts w:ascii="Cambria Math" w:hAnsi="Cambria Math"/>
              </w:rPr>
              <w:t>±</w:t>
            </w:r>
          </w:p>
        </w:tc>
        <w:tc>
          <w:tcPr>
            <w:tcW w:w="974" w:type="dxa"/>
            <w:tcBorders>
              <w:top w:val="nil"/>
              <w:left w:val="nil"/>
              <w:bottom w:val="nil"/>
              <w:right w:val="single" w:sz="4" w:space="0" w:color="auto"/>
            </w:tcBorders>
            <w:shd w:val="clear" w:color="auto" w:fill="auto"/>
            <w:noWrap/>
            <w:vAlign w:val="bottom"/>
            <w:hideMark/>
          </w:tcPr>
          <w:p w14:paraId="6E0F5BA9" w14:textId="77777777" w:rsidR="00C67231" w:rsidRPr="0074556C" w:rsidRDefault="00C67231" w:rsidP="00D57B77">
            <w:pPr>
              <w:pStyle w:val="TableText"/>
            </w:pPr>
            <w:r w:rsidRPr="0074556C">
              <w:t>0.04</w:t>
            </w:r>
          </w:p>
        </w:tc>
        <w:tc>
          <w:tcPr>
            <w:tcW w:w="810" w:type="dxa"/>
            <w:tcBorders>
              <w:top w:val="nil"/>
              <w:left w:val="single" w:sz="4" w:space="0" w:color="auto"/>
              <w:bottom w:val="nil"/>
              <w:right w:val="single" w:sz="4" w:space="0" w:color="auto"/>
            </w:tcBorders>
            <w:shd w:val="clear" w:color="auto" w:fill="auto"/>
            <w:noWrap/>
            <w:vAlign w:val="center"/>
            <w:hideMark/>
          </w:tcPr>
          <w:p w14:paraId="5E3C4F30" w14:textId="77777777" w:rsidR="00C67231" w:rsidRPr="0074556C" w:rsidRDefault="00C67231" w:rsidP="00D57B77">
            <w:pPr>
              <w:pStyle w:val="TableText"/>
            </w:pPr>
            <w:r w:rsidRPr="0074556C">
              <w:t>mm</w:t>
            </w:r>
          </w:p>
        </w:tc>
      </w:tr>
      <w:tr w:rsidR="00C67231" w:rsidRPr="0074556C" w14:paraId="4D6A6102" w14:textId="77777777" w:rsidTr="00AE2101">
        <w:trPr>
          <w:trHeight w:val="300"/>
        </w:trPr>
        <w:tc>
          <w:tcPr>
            <w:tcW w:w="440" w:type="dxa"/>
            <w:tcBorders>
              <w:top w:val="nil"/>
              <w:left w:val="single" w:sz="4" w:space="0" w:color="auto"/>
              <w:bottom w:val="nil"/>
              <w:right w:val="nil"/>
            </w:tcBorders>
            <w:shd w:val="clear" w:color="auto" w:fill="auto"/>
            <w:noWrap/>
            <w:vAlign w:val="center"/>
            <w:hideMark/>
          </w:tcPr>
          <w:p w14:paraId="63F2CA52" w14:textId="77777777" w:rsidR="00C67231" w:rsidRPr="0074556C" w:rsidRDefault="00C67231" w:rsidP="00D57B77">
            <w:pPr>
              <w:pStyle w:val="TableText"/>
            </w:pPr>
            <w:r w:rsidRPr="0074556C">
              <w:t>23</w:t>
            </w:r>
          </w:p>
        </w:tc>
        <w:tc>
          <w:tcPr>
            <w:tcW w:w="2795" w:type="dxa"/>
            <w:tcBorders>
              <w:top w:val="nil"/>
              <w:left w:val="single" w:sz="4" w:space="0" w:color="auto"/>
              <w:bottom w:val="nil"/>
              <w:right w:val="single" w:sz="4" w:space="0" w:color="auto"/>
            </w:tcBorders>
            <w:shd w:val="clear" w:color="auto" w:fill="auto"/>
            <w:noWrap/>
            <w:vAlign w:val="bottom"/>
            <w:hideMark/>
          </w:tcPr>
          <w:p w14:paraId="74488C12" w14:textId="77777777" w:rsidR="00C67231" w:rsidRPr="0074556C" w:rsidRDefault="00C67231" w:rsidP="00D57B77">
            <w:pPr>
              <w:pStyle w:val="TableText"/>
            </w:pPr>
            <w:r w:rsidRPr="0074556C">
              <w:t>Holder OR 4</w:t>
            </w:r>
          </w:p>
        </w:tc>
        <w:tc>
          <w:tcPr>
            <w:tcW w:w="1075" w:type="dxa"/>
            <w:tcBorders>
              <w:top w:val="nil"/>
              <w:left w:val="single" w:sz="4" w:space="0" w:color="auto"/>
              <w:bottom w:val="nil"/>
              <w:right w:val="single" w:sz="4" w:space="0" w:color="auto"/>
            </w:tcBorders>
          </w:tcPr>
          <w:p w14:paraId="1E32780A" w14:textId="77777777" w:rsidR="00C67231" w:rsidRPr="0074556C" w:rsidRDefault="00C67231" w:rsidP="00D57B77">
            <w:pPr>
              <w:pStyle w:val="TableText"/>
              <w:rPr>
                <w:rFonts w:ascii="Cambria Math" w:hAnsi="Cambria Math"/>
              </w:rPr>
            </w:pPr>
            <w:r w:rsidRPr="0074556C">
              <w:rPr>
                <w:rFonts w:ascii="Cambria Math" w:hAnsi="Cambria Math"/>
              </w:rPr>
              <w:t>2.427</w:t>
            </w:r>
          </w:p>
        </w:tc>
        <w:tc>
          <w:tcPr>
            <w:tcW w:w="381" w:type="dxa"/>
            <w:tcBorders>
              <w:top w:val="nil"/>
              <w:left w:val="single" w:sz="4" w:space="0" w:color="auto"/>
              <w:bottom w:val="nil"/>
              <w:right w:val="nil"/>
            </w:tcBorders>
            <w:shd w:val="clear" w:color="auto" w:fill="auto"/>
            <w:noWrap/>
            <w:vAlign w:val="center"/>
            <w:hideMark/>
          </w:tcPr>
          <w:p w14:paraId="1133E7E2" w14:textId="77777777" w:rsidR="00C67231" w:rsidRPr="0074556C" w:rsidRDefault="00C67231" w:rsidP="00D57B77">
            <w:pPr>
              <w:pStyle w:val="TableText"/>
              <w:rPr>
                <w:rFonts w:ascii="Cambria Math" w:hAnsi="Cambria Math"/>
              </w:rPr>
            </w:pPr>
            <w:r w:rsidRPr="0074556C">
              <w:rPr>
                <w:rFonts w:ascii="Cambria Math" w:hAnsi="Cambria Math"/>
              </w:rPr>
              <w:t>±</w:t>
            </w:r>
          </w:p>
        </w:tc>
        <w:tc>
          <w:tcPr>
            <w:tcW w:w="974" w:type="dxa"/>
            <w:tcBorders>
              <w:top w:val="nil"/>
              <w:left w:val="nil"/>
              <w:bottom w:val="nil"/>
              <w:right w:val="single" w:sz="4" w:space="0" w:color="auto"/>
            </w:tcBorders>
            <w:shd w:val="clear" w:color="auto" w:fill="auto"/>
            <w:noWrap/>
            <w:vAlign w:val="bottom"/>
            <w:hideMark/>
          </w:tcPr>
          <w:p w14:paraId="0F539130" w14:textId="77777777" w:rsidR="00C67231" w:rsidRPr="0074556C" w:rsidRDefault="00C67231" w:rsidP="00D57B77">
            <w:pPr>
              <w:pStyle w:val="TableText"/>
            </w:pPr>
            <w:r w:rsidRPr="0074556C">
              <w:t xml:space="preserve">0.04 </w:t>
            </w:r>
          </w:p>
        </w:tc>
        <w:tc>
          <w:tcPr>
            <w:tcW w:w="810" w:type="dxa"/>
            <w:tcBorders>
              <w:top w:val="nil"/>
              <w:left w:val="single" w:sz="4" w:space="0" w:color="auto"/>
              <w:bottom w:val="nil"/>
              <w:right w:val="single" w:sz="4" w:space="0" w:color="auto"/>
            </w:tcBorders>
            <w:shd w:val="clear" w:color="auto" w:fill="auto"/>
            <w:noWrap/>
            <w:vAlign w:val="center"/>
            <w:hideMark/>
          </w:tcPr>
          <w:p w14:paraId="13F587E0" w14:textId="77777777" w:rsidR="00C67231" w:rsidRPr="0074556C" w:rsidRDefault="00C67231" w:rsidP="00D57B77">
            <w:pPr>
              <w:pStyle w:val="TableText"/>
            </w:pPr>
            <w:r w:rsidRPr="0074556C">
              <w:t>mm</w:t>
            </w:r>
          </w:p>
        </w:tc>
      </w:tr>
      <w:tr w:rsidR="00C67231" w:rsidRPr="0074556C" w14:paraId="7E52AFD3" w14:textId="77777777" w:rsidTr="00AE2101">
        <w:trPr>
          <w:trHeight w:val="300"/>
        </w:trPr>
        <w:tc>
          <w:tcPr>
            <w:tcW w:w="440" w:type="dxa"/>
            <w:tcBorders>
              <w:top w:val="nil"/>
              <w:left w:val="single" w:sz="4" w:space="0" w:color="auto"/>
              <w:bottom w:val="nil"/>
              <w:right w:val="nil"/>
            </w:tcBorders>
            <w:shd w:val="clear" w:color="auto" w:fill="auto"/>
            <w:noWrap/>
            <w:vAlign w:val="center"/>
            <w:hideMark/>
          </w:tcPr>
          <w:p w14:paraId="05187241" w14:textId="77777777" w:rsidR="00C67231" w:rsidRPr="0074556C" w:rsidRDefault="00C67231" w:rsidP="00D57B77">
            <w:pPr>
              <w:pStyle w:val="TableText"/>
            </w:pPr>
            <w:r w:rsidRPr="0074556C">
              <w:t>24</w:t>
            </w:r>
          </w:p>
        </w:tc>
        <w:tc>
          <w:tcPr>
            <w:tcW w:w="2795" w:type="dxa"/>
            <w:tcBorders>
              <w:top w:val="nil"/>
              <w:left w:val="single" w:sz="4" w:space="0" w:color="auto"/>
              <w:bottom w:val="nil"/>
              <w:right w:val="single" w:sz="4" w:space="0" w:color="auto"/>
            </w:tcBorders>
            <w:shd w:val="clear" w:color="auto" w:fill="auto"/>
            <w:noWrap/>
            <w:vAlign w:val="bottom"/>
            <w:hideMark/>
          </w:tcPr>
          <w:p w14:paraId="15E3EA01" w14:textId="77777777" w:rsidR="00C67231" w:rsidRPr="0074556C" w:rsidRDefault="00C67231" w:rsidP="00D57B77">
            <w:pPr>
              <w:pStyle w:val="TableText"/>
            </w:pPr>
            <w:r w:rsidRPr="0074556C">
              <w:t>Top Thimble IR</w:t>
            </w:r>
          </w:p>
        </w:tc>
        <w:tc>
          <w:tcPr>
            <w:tcW w:w="1075" w:type="dxa"/>
            <w:tcBorders>
              <w:top w:val="nil"/>
              <w:left w:val="single" w:sz="4" w:space="0" w:color="auto"/>
              <w:bottom w:val="nil"/>
              <w:right w:val="single" w:sz="4" w:space="0" w:color="auto"/>
            </w:tcBorders>
          </w:tcPr>
          <w:p w14:paraId="6394D94A" w14:textId="77777777" w:rsidR="00C67231" w:rsidRPr="0074556C" w:rsidRDefault="00C67231" w:rsidP="00D57B77">
            <w:pPr>
              <w:pStyle w:val="TableText"/>
              <w:rPr>
                <w:rFonts w:ascii="Cambria Math" w:hAnsi="Cambria Math"/>
              </w:rPr>
            </w:pPr>
            <w:r w:rsidRPr="0074556C">
              <w:rPr>
                <w:rFonts w:ascii="Cambria Math" w:hAnsi="Cambria Math"/>
              </w:rPr>
              <w:t>1.925</w:t>
            </w:r>
          </w:p>
        </w:tc>
        <w:tc>
          <w:tcPr>
            <w:tcW w:w="381" w:type="dxa"/>
            <w:tcBorders>
              <w:top w:val="nil"/>
              <w:left w:val="single" w:sz="4" w:space="0" w:color="auto"/>
              <w:bottom w:val="nil"/>
              <w:right w:val="nil"/>
            </w:tcBorders>
            <w:shd w:val="clear" w:color="auto" w:fill="auto"/>
            <w:noWrap/>
            <w:vAlign w:val="center"/>
            <w:hideMark/>
          </w:tcPr>
          <w:p w14:paraId="6060DD2C" w14:textId="77777777" w:rsidR="00C67231" w:rsidRPr="0074556C" w:rsidRDefault="00C67231" w:rsidP="00D57B77">
            <w:pPr>
              <w:pStyle w:val="TableText"/>
              <w:rPr>
                <w:rFonts w:ascii="Cambria Math" w:hAnsi="Cambria Math"/>
              </w:rPr>
            </w:pPr>
            <w:r w:rsidRPr="0074556C">
              <w:rPr>
                <w:rFonts w:ascii="Cambria Math" w:hAnsi="Cambria Math"/>
              </w:rPr>
              <w:t>±</w:t>
            </w:r>
          </w:p>
        </w:tc>
        <w:tc>
          <w:tcPr>
            <w:tcW w:w="974" w:type="dxa"/>
            <w:tcBorders>
              <w:top w:val="nil"/>
              <w:left w:val="nil"/>
              <w:bottom w:val="nil"/>
              <w:right w:val="single" w:sz="4" w:space="0" w:color="auto"/>
            </w:tcBorders>
            <w:shd w:val="clear" w:color="auto" w:fill="auto"/>
            <w:noWrap/>
            <w:vAlign w:val="bottom"/>
            <w:hideMark/>
          </w:tcPr>
          <w:p w14:paraId="7F11D365" w14:textId="77777777" w:rsidR="00C67231" w:rsidRPr="0074556C" w:rsidRDefault="00C67231" w:rsidP="00D57B77">
            <w:pPr>
              <w:pStyle w:val="TableText"/>
            </w:pPr>
            <w:r w:rsidRPr="0074556C">
              <w:t>0.04</w:t>
            </w:r>
          </w:p>
        </w:tc>
        <w:tc>
          <w:tcPr>
            <w:tcW w:w="810" w:type="dxa"/>
            <w:tcBorders>
              <w:top w:val="nil"/>
              <w:left w:val="single" w:sz="4" w:space="0" w:color="auto"/>
              <w:bottom w:val="nil"/>
              <w:right w:val="single" w:sz="4" w:space="0" w:color="auto"/>
            </w:tcBorders>
            <w:shd w:val="clear" w:color="auto" w:fill="auto"/>
            <w:noWrap/>
            <w:vAlign w:val="center"/>
            <w:hideMark/>
          </w:tcPr>
          <w:p w14:paraId="69E7D7E7" w14:textId="77777777" w:rsidR="00C67231" w:rsidRPr="0074556C" w:rsidRDefault="00C67231" w:rsidP="00D57B77">
            <w:pPr>
              <w:pStyle w:val="TableText"/>
            </w:pPr>
            <w:r w:rsidRPr="0074556C">
              <w:t>mm</w:t>
            </w:r>
          </w:p>
        </w:tc>
      </w:tr>
      <w:tr w:rsidR="00C67231" w:rsidRPr="0074556C" w14:paraId="798EB14B" w14:textId="77777777" w:rsidTr="00AE2101">
        <w:trPr>
          <w:trHeight w:val="300"/>
        </w:trPr>
        <w:tc>
          <w:tcPr>
            <w:tcW w:w="440" w:type="dxa"/>
            <w:tcBorders>
              <w:top w:val="nil"/>
              <w:left w:val="single" w:sz="4" w:space="0" w:color="auto"/>
              <w:bottom w:val="nil"/>
              <w:right w:val="nil"/>
            </w:tcBorders>
            <w:shd w:val="clear" w:color="auto" w:fill="auto"/>
            <w:noWrap/>
            <w:vAlign w:val="center"/>
            <w:hideMark/>
          </w:tcPr>
          <w:p w14:paraId="45303BF8" w14:textId="77777777" w:rsidR="00C67231" w:rsidRPr="0074556C" w:rsidRDefault="00C67231" w:rsidP="00D57B77">
            <w:pPr>
              <w:pStyle w:val="TableText"/>
            </w:pPr>
            <w:r w:rsidRPr="0074556C">
              <w:t>25</w:t>
            </w:r>
          </w:p>
        </w:tc>
        <w:tc>
          <w:tcPr>
            <w:tcW w:w="2795" w:type="dxa"/>
            <w:tcBorders>
              <w:top w:val="nil"/>
              <w:left w:val="single" w:sz="4" w:space="0" w:color="auto"/>
              <w:bottom w:val="nil"/>
              <w:right w:val="single" w:sz="4" w:space="0" w:color="auto"/>
            </w:tcBorders>
            <w:shd w:val="clear" w:color="auto" w:fill="auto"/>
            <w:noWrap/>
            <w:vAlign w:val="bottom"/>
            <w:hideMark/>
          </w:tcPr>
          <w:p w14:paraId="66797EEB" w14:textId="77777777" w:rsidR="00C67231" w:rsidRPr="0074556C" w:rsidRDefault="00C67231" w:rsidP="00D57B77">
            <w:pPr>
              <w:pStyle w:val="TableText"/>
            </w:pPr>
            <w:r w:rsidRPr="0074556C">
              <w:t>Top Thimble Contact OR</w:t>
            </w:r>
          </w:p>
        </w:tc>
        <w:tc>
          <w:tcPr>
            <w:tcW w:w="1075" w:type="dxa"/>
            <w:tcBorders>
              <w:top w:val="nil"/>
              <w:left w:val="single" w:sz="4" w:space="0" w:color="auto"/>
              <w:bottom w:val="nil"/>
              <w:right w:val="single" w:sz="4" w:space="0" w:color="auto"/>
            </w:tcBorders>
          </w:tcPr>
          <w:p w14:paraId="5E06F7CD" w14:textId="77777777" w:rsidR="00C67231" w:rsidRPr="0074556C" w:rsidRDefault="00C67231" w:rsidP="00D57B77">
            <w:pPr>
              <w:pStyle w:val="TableText"/>
              <w:rPr>
                <w:rFonts w:ascii="Cambria Math" w:hAnsi="Cambria Math"/>
              </w:rPr>
            </w:pPr>
            <w:r w:rsidRPr="0074556C">
              <w:rPr>
                <w:rFonts w:ascii="Cambria Math" w:hAnsi="Cambria Math"/>
              </w:rPr>
              <w:t>2.24</w:t>
            </w:r>
          </w:p>
        </w:tc>
        <w:tc>
          <w:tcPr>
            <w:tcW w:w="381" w:type="dxa"/>
            <w:tcBorders>
              <w:top w:val="nil"/>
              <w:left w:val="single" w:sz="4" w:space="0" w:color="auto"/>
              <w:bottom w:val="nil"/>
              <w:right w:val="nil"/>
            </w:tcBorders>
            <w:shd w:val="clear" w:color="auto" w:fill="auto"/>
            <w:noWrap/>
            <w:vAlign w:val="center"/>
            <w:hideMark/>
          </w:tcPr>
          <w:p w14:paraId="4C5D6C08" w14:textId="77777777" w:rsidR="00C67231" w:rsidRPr="0074556C" w:rsidRDefault="00C67231" w:rsidP="00D57B77">
            <w:pPr>
              <w:pStyle w:val="TableText"/>
              <w:rPr>
                <w:rFonts w:ascii="Cambria Math" w:hAnsi="Cambria Math"/>
              </w:rPr>
            </w:pPr>
            <w:r w:rsidRPr="0074556C">
              <w:rPr>
                <w:rFonts w:ascii="Cambria Math" w:hAnsi="Cambria Math"/>
              </w:rPr>
              <w:t>±</w:t>
            </w:r>
          </w:p>
        </w:tc>
        <w:tc>
          <w:tcPr>
            <w:tcW w:w="974" w:type="dxa"/>
            <w:tcBorders>
              <w:top w:val="nil"/>
              <w:left w:val="nil"/>
              <w:bottom w:val="nil"/>
              <w:right w:val="single" w:sz="4" w:space="0" w:color="auto"/>
            </w:tcBorders>
            <w:shd w:val="clear" w:color="auto" w:fill="auto"/>
            <w:noWrap/>
            <w:vAlign w:val="bottom"/>
            <w:hideMark/>
          </w:tcPr>
          <w:p w14:paraId="370652B6" w14:textId="77777777" w:rsidR="00C67231" w:rsidRPr="0074556C" w:rsidRDefault="00C67231" w:rsidP="00D57B77">
            <w:pPr>
              <w:pStyle w:val="TableText"/>
            </w:pPr>
            <w:r w:rsidRPr="0074556C">
              <w:t>0.04</w:t>
            </w:r>
          </w:p>
        </w:tc>
        <w:tc>
          <w:tcPr>
            <w:tcW w:w="810" w:type="dxa"/>
            <w:tcBorders>
              <w:top w:val="nil"/>
              <w:left w:val="single" w:sz="4" w:space="0" w:color="auto"/>
              <w:bottom w:val="nil"/>
              <w:right w:val="single" w:sz="4" w:space="0" w:color="auto"/>
            </w:tcBorders>
            <w:shd w:val="clear" w:color="auto" w:fill="auto"/>
            <w:noWrap/>
            <w:vAlign w:val="center"/>
            <w:hideMark/>
          </w:tcPr>
          <w:p w14:paraId="089FE7DD" w14:textId="77777777" w:rsidR="00C67231" w:rsidRPr="0074556C" w:rsidRDefault="00C67231" w:rsidP="00D57B77">
            <w:pPr>
              <w:pStyle w:val="TableText"/>
            </w:pPr>
            <w:r w:rsidRPr="0074556C">
              <w:t>mm</w:t>
            </w:r>
          </w:p>
        </w:tc>
      </w:tr>
      <w:tr w:rsidR="00C67231" w:rsidRPr="0074556C" w14:paraId="6E0E9771" w14:textId="77777777" w:rsidTr="00AE2101">
        <w:trPr>
          <w:trHeight w:val="300"/>
        </w:trPr>
        <w:tc>
          <w:tcPr>
            <w:tcW w:w="440" w:type="dxa"/>
            <w:tcBorders>
              <w:top w:val="nil"/>
              <w:left w:val="single" w:sz="4" w:space="0" w:color="auto"/>
              <w:bottom w:val="nil"/>
              <w:right w:val="nil"/>
            </w:tcBorders>
            <w:shd w:val="clear" w:color="auto" w:fill="auto"/>
            <w:noWrap/>
            <w:vAlign w:val="center"/>
            <w:hideMark/>
          </w:tcPr>
          <w:p w14:paraId="72348A4C" w14:textId="77777777" w:rsidR="00C67231" w:rsidRPr="0074556C" w:rsidRDefault="00C67231" w:rsidP="00D57B77">
            <w:pPr>
              <w:pStyle w:val="TableText"/>
            </w:pPr>
            <w:r w:rsidRPr="0074556C">
              <w:t>26</w:t>
            </w:r>
          </w:p>
        </w:tc>
        <w:tc>
          <w:tcPr>
            <w:tcW w:w="2795" w:type="dxa"/>
            <w:tcBorders>
              <w:top w:val="nil"/>
              <w:left w:val="single" w:sz="4" w:space="0" w:color="auto"/>
              <w:bottom w:val="nil"/>
              <w:right w:val="single" w:sz="4" w:space="0" w:color="auto"/>
            </w:tcBorders>
            <w:shd w:val="clear" w:color="auto" w:fill="auto"/>
            <w:noWrap/>
            <w:vAlign w:val="bottom"/>
            <w:hideMark/>
          </w:tcPr>
          <w:p w14:paraId="64AA6FC8" w14:textId="77777777" w:rsidR="00C67231" w:rsidRPr="0074556C" w:rsidRDefault="00C67231" w:rsidP="00D57B77">
            <w:pPr>
              <w:pStyle w:val="TableText"/>
            </w:pPr>
            <w:r w:rsidRPr="0074556C">
              <w:t>Top Thimble Tab OR</w:t>
            </w:r>
          </w:p>
        </w:tc>
        <w:tc>
          <w:tcPr>
            <w:tcW w:w="1075" w:type="dxa"/>
            <w:tcBorders>
              <w:top w:val="nil"/>
              <w:left w:val="single" w:sz="4" w:space="0" w:color="auto"/>
              <w:bottom w:val="nil"/>
              <w:right w:val="single" w:sz="4" w:space="0" w:color="auto"/>
            </w:tcBorders>
          </w:tcPr>
          <w:p w14:paraId="798F3454" w14:textId="77777777" w:rsidR="00C67231" w:rsidRPr="0074556C" w:rsidRDefault="00C67231" w:rsidP="00D57B77">
            <w:pPr>
              <w:pStyle w:val="TableText"/>
              <w:rPr>
                <w:rFonts w:ascii="Cambria Math" w:hAnsi="Cambria Math"/>
              </w:rPr>
            </w:pPr>
            <w:r w:rsidRPr="0074556C">
              <w:rPr>
                <w:rFonts w:ascii="Cambria Math" w:hAnsi="Cambria Math"/>
              </w:rPr>
              <w:t>5.0</w:t>
            </w:r>
          </w:p>
        </w:tc>
        <w:tc>
          <w:tcPr>
            <w:tcW w:w="381" w:type="dxa"/>
            <w:tcBorders>
              <w:top w:val="nil"/>
              <w:left w:val="single" w:sz="4" w:space="0" w:color="auto"/>
              <w:bottom w:val="nil"/>
              <w:right w:val="nil"/>
            </w:tcBorders>
            <w:shd w:val="clear" w:color="auto" w:fill="auto"/>
            <w:noWrap/>
            <w:vAlign w:val="center"/>
            <w:hideMark/>
          </w:tcPr>
          <w:p w14:paraId="05D77135" w14:textId="77777777" w:rsidR="00C67231" w:rsidRPr="0074556C" w:rsidRDefault="00C67231" w:rsidP="00D57B77">
            <w:pPr>
              <w:pStyle w:val="TableText"/>
              <w:rPr>
                <w:rFonts w:ascii="Cambria Math" w:hAnsi="Cambria Math"/>
              </w:rPr>
            </w:pPr>
            <w:r w:rsidRPr="0074556C">
              <w:rPr>
                <w:rFonts w:ascii="Cambria Math" w:hAnsi="Cambria Math"/>
              </w:rPr>
              <w:t>±</w:t>
            </w:r>
          </w:p>
        </w:tc>
        <w:tc>
          <w:tcPr>
            <w:tcW w:w="974" w:type="dxa"/>
            <w:tcBorders>
              <w:top w:val="nil"/>
              <w:left w:val="nil"/>
              <w:bottom w:val="nil"/>
              <w:right w:val="single" w:sz="4" w:space="0" w:color="auto"/>
            </w:tcBorders>
            <w:shd w:val="clear" w:color="auto" w:fill="auto"/>
            <w:noWrap/>
            <w:vAlign w:val="bottom"/>
            <w:hideMark/>
          </w:tcPr>
          <w:p w14:paraId="351EA6F1" w14:textId="77777777" w:rsidR="00C67231" w:rsidRPr="0074556C" w:rsidRDefault="00C67231" w:rsidP="00D57B77">
            <w:pPr>
              <w:pStyle w:val="TableText"/>
            </w:pPr>
            <w:r w:rsidRPr="0074556C">
              <w:t xml:space="preserve">0.03 </w:t>
            </w:r>
          </w:p>
        </w:tc>
        <w:tc>
          <w:tcPr>
            <w:tcW w:w="810" w:type="dxa"/>
            <w:tcBorders>
              <w:top w:val="nil"/>
              <w:left w:val="single" w:sz="4" w:space="0" w:color="auto"/>
              <w:bottom w:val="nil"/>
              <w:right w:val="single" w:sz="4" w:space="0" w:color="auto"/>
            </w:tcBorders>
            <w:shd w:val="clear" w:color="auto" w:fill="auto"/>
            <w:noWrap/>
            <w:vAlign w:val="center"/>
            <w:hideMark/>
          </w:tcPr>
          <w:p w14:paraId="73F7373A" w14:textId="77777777" w:rsidR="00C67231" w:rsidRPr="0074556C" w:rsidRDefault="00C67231" w:rsidP="00D57B77">
            <w:pPr>
              <w:pStyle w:val="TableText"/>
            </w:pPr>
            <w:r w:rsidRPr="0074556C">
              <w:t>mm</w:t>
            </w:r>
          </w:p>
        </w:tc>
      </w:tr>
      <w:tr w:rsidR="00C67231" w:rsidRPr="0074556C" w14:paraId="01C32397" w14:textId="77777777" w:rsidTr="00AE2101">
        <w:trPr>
          <w:trHeight w:val="300"/>
        </w:trPr>
        <w:tc>
          <w:tcPr>
            <w:tcW w:w="440" w:type="dxa"/>
            <w:tcBorders>
              <w:top w:val="nil"/>
              <w:left w:val="single" w:sz="4" w:space="0" w:color="auto"/>
              <w:bottom w:val="nil"/>
              <w:right w:val="nil"/>
            </w:tcBorders>
            <w:shd w:val="clear" w:color="auto" w:fill="auto"/>
            <w:noWrap/>
            <w:vAlign w:val="center"/>
            <w:hideMark/>
          </w:tcPr>
          <w:p w14:paraId="40D4AF21" w14:textId="77777777" w:rsidR="00C67231" w:rsidRPr="0074556C" w:rsidRDefault="00C67231" w:rsidP="00D57B77">
            <w:pPr>
              <w:pStyle w:val="TableText"/>
            </w:pPr>
            <w:r w:rsidRPr="0074556C">
              <w:t>27</w:t>
            </w:r>
          </w:p>
        </w:tc>
        <w:tc>
          <w:tcPr>
            <w:tcW w:w="2795" w:type="dxa"/>
            <w:tcBorders>
              <w:top w:val="nil"/>
              <w:left w:val="single" w:sz="4" w:space="0" w:color="auto"/>
              <w:bottom w:val="nil"/>
              <w:right w:val="single" w:sz="4" w:space="0" w:color="auto"/>
            </w:tcBorders>
            <w:shd w:val="clear" w:color="auto" w:fill="auto"/>
            <w:noWrap/>
            <w:vAlign w:val="bottom"/>
            <w:hideMark/>
          </w:tcPr>
          <w:p w14:paraId="3A4F602D" w14:textId="77777777" w:rsidR="00C67231" w:rsidRPr="0074556C" w:rsidRDefault="00C67231" w:rsidP="00D57B77">
            <w:pPr>
              <w:pStyle w:val="TableText"/>
            </w:pPr>
            <w:r w:rsidRPr="0074556C">
              <w:t xml:space="preserve">Bottom Thimble Contact IR </w:t>
            </w:r>
          </w:p>
        </w:tc>
        <w:tc>
          <w:tcPr>
            <w:tcW w:w="1075" w:type="dxa"/>
            <w:tcBorders>
              <w:top w:val="nil"/>
              <w:left w:val="single" w:sz="4" w:space="0" w:color="auto"/>
              <w:bottom w:val="nil"/>
              <w:right w:val="single" w:sz="4" w:space="0" w:color="auto"/>
            </w:tcBorders>
          </w:tcPr>
          <w:p w14:paraId="12297A5D" w14:textId="77777777" w:rsidR="00C67231" w:rsidRPr="0074556C" w:rsidRDefault="00C67231" w:rsidP="00D57B77">
            <w:pPr>
              <w:pStyle w:val="TableText"/>
              <w:rPr>
                <w:rFonts w:ascii="Cambria Math" w:hAnsi="Cambria Math"/>
              </w:rPr>
            </w:pPr>
            <w:r w:rsidRPr="0074556C">
              <w:rPr>
                <w:rFonts w:ascii="Cambria Math" w:hAnsi="Cambria Math"/>
              </w:rPr>
              <w:t>1.925</w:t>
            </w:r>
          </w:p>
        </w:tc>
        <w:tc>
          <w:tcPr>
            <w:tcW w:w="381" w:type="dxa"/>
            <w:tcBorders>
              <w:top w:val="nil"/>
              <w:left w:val="single" w:sz="4" w:space="0" w:color="auto"/>
              <w:bottom w:val="nil"/>
              <w:right w:val="nil"/>
            </w:tcBorders>
            <w:shd w:val="clear" w:color="auto" w:fill="auto"/>
            <w:noWrap/>
            <w:vAlign w:val="center"/>
            <w:hideMark/>
          </w:tcPr>
          <w:p w14:paraId="5C47F75C" w14:textId="77777777" w:rsidR="00C67231" w:rsidRPr="0074556C" w:rsidRDefault="00C67231" w:rsidP="00D57B77">
            <w:pPr>
              <w:pStyle w:val="TableText"/>
              <w:rPr>
                <w:rFonts w:ascii="Cambria Math" w:hAnsi="Cambria Math"/>
              </w:rPr>
            </w:pPr>
            <w:r w:rsidRPr="0074556C">
              <w:rPr>
                <w:rFonts w:ascii="Cambria Math" w:hAnsi="Cambria Math"/>
              </w:rPr>
              <w:t>±</w:t>
            </w:r>
          </w:p>
        </w:tc>
        <w:tc>
          <w:tcPr>
            <w:tcW w:w="974" w:type="dxa"/>
            <w:tcBorders>
              <w:top w:val="nil"/>
              <w:left w:val="nil"/>
              <w:bottom w:val="nil"/>
              <w:right w:val="single" w:sz="4" w:space="0" w:color="auto"/>
            </w:tcBorders>
            <w:shd w:val="clear" w:color="auto" w:fill="auto"/>
            <w:noWrap/>
            <w:vAlign w:val="bottom"/>
            <w:hideMark/>
          </w:tcPr>
          <w:p w14:paraId="4FE95964" w14:textId="77777777" w:rsidR="00C67231" w:rsidRPr="0074556C" w:rsidRDefault="00C67231" w:rsidP="00D57B77">
            <w:pPr>
              <w:pStyle w:val="TableText"/>
            </w:pPr>
            <w:r w:rsidRPr="0074556C">
              <w:t>0.04</w:t>
            </w:r>
          </w:p>
        </w:tc>
        <w:tc>
          <w:tcPr>
            <w:tcW w:w="810" w:type="dxa"/>
            <w:tcBorders>
              <w:top w:val="nil"/>
              <w:left w:val="single" w:sz="4" w:space="0" w:color="auto"/>
              <w:bottom w:val="nil"/>
              <w:right w:val="single" w:sz="4" w:space="0" w:color="auto"/>
            </w:tcBorders>
            <w:shd w:val="clear" w:color="auto" w:fill="auto"/>
            <w:noWrap/>
            <w:vAlign w:val="center"/>
            <w:hideMark/>
          </w:tcPr>
          <w:p w14:paraId="46172A6B" w14:textId="77777777" w:rsidR="00C67231" w:rsidRPr="0074556C" w:rsidRDefault="00C67231" w:rsidP="00D57B77">
            <w:pPr>
              <w:pStyle w:val="TableText"/>
            </w:pPr>
            <w:r w:rsidRPr="0074556C">
              <w:t>mm</w:t>
            </w:r>
          </w:p>
        </w:tc>
      </w:tr>
      <w:tr w:rsidR="00C67231" w:rsidRPr="0074556C" w14:paraId="3383E8D0" w14:textId="77777777" w:rsidTr="00AE2101">
        <w:trPr>
          <w:trHeight w:val="300"/>
        </w:trPr>
        <w:tc>
          <w:tcPr>
            <w:tcW w:w="440" w:type="dxa"/>
            <w:tcBorders>
              <w:top w:val="nil"/>
              <w:left w:val="single" w:sz="4" w:space="0" w:color="auto"/>
              <w:bottom w:val="nil"/>
              <w:right w:val="nil"/>
            </w:tcBorders>
            <w:shd w:val="clear" w:color="auto" w:fill="auto"/>
            <w:noWrap/>
            <w:vAlign w:val="center"/>
            <w:hideMark/>
          </w:tcPr>
          <w:p w14:paraId="36390DBB" w14:textId="77777777" w:rsidR="00C67231" w:rsidRPr="0074556C" w:rsidRDefault="00C67231" w:rsidP="00D57B77">
            <w:pPr>
              <w:pStyle w:val="TableText"/>
            </w:pPr>
            <w:r w:rsidRPr="0074556C">
              <w:t>28</w:t>
            </w:r>
          </w:p>
        </w:tc>
        <w:tc>
          <w:tcPr>
            <w:tcW w:w="2795" w:type="dxa"/>
            <w:tcBorders>
              <w:top w:val="nil"/>
              <w:left w:val="single" w:sz="4" w:space="0" w:color="auto"/>
              <w:bottom w:val="nil"/>
              <w:right w:val="single" w:sz="4" w:space="0" w:color="auto"/>
            </w:tcBorders>
            <w:shd w:val="clear" w:color="auto" w:fill="auto"/>
            <w:noWrap/>
            <w:vAlign w:val="bottom"/>
            <w:hideMark/>
          </w:tcPr>
          <w:p w14:paraId="45D0896A" w14:textId="77777777" w:rsidR="00C67231" w:rsidRPr="0074556C" w:rsidRDefault="00C67231" w:rsidP="00D57B77">
            <w:pPr>
              <w:pStyle w:val="TableText"/>
            </w:pPr>
            <w:r w:rsidRPr="0074556C">
              <w:t>Bottom Thimble Contact OR</w:t>
            </w:r>
          </w:p>
        </w:tc>
        <w:tc>
          <w:tcPr>
            <w:tcW w:w="1075" w:type="dxa"/>
            <w:tcBorders>
              <w:top w:val="nil"/>
              <w:left w:val="single" w:sz="4" w:space="0" w:color="auto"/>
              <w:bottom w:val="nil"/>
              <w:right w:val="single" w:sz="4" w:space="0" w:color="auto"/>
            </w:tcBorders>
          </w:tcPr>
          <w:p w14:paraId="6C34871D" w14:textId="77777777" w:rsidR="00C67231" w:rsidRPr="0074556C" w:rsidRDefault="00C67231" w:rsidP="00D57B77">
            <w:pPr>
              <w:pStyle w:val="TableText"/>
              <w:rPr>
                <w:rFonts w:ascii="Cambria Math" w:hAnsi="Cambria Math"/>
              </w:rPr>
            </w:pPr>
            <w:r w:rsidRPr="0074556C">
              <w:rPr>
                <w:rFonts w:ascii="Cambria Math" w:hAnsi="Cambria Math"/>
              </w:rPr>
              <w:t>2.24</w:t>
            </w:r>
          </w:p>
        </w:tc>
        <w:tc>
          <w:tcPr>
            <w:tcW w:w="381" w:type="dxa"/>
            <w:tcBorders>
              <w:top w:val="nil"/>
              <w:left w:val="single" w:sz="4" w:space="0" w:color="auto"/>
              <w:bottom w:val="nil"/>
              <w:right w:val="nil"/>
            </w:tcBorders>
            <w:shd w:val="clear" w:color="auto" w:fill="auto"/>
            <w:noWrap/>
            <w:vAlign w:val="center"/>
            <w:hideMark/>
          </w:tcPr>
          <w:p w14:paraId="36305B0C" w14:textId="77777777" w:rsidR="00C67231" w:rsidRPr="0074556C" w:rsidRDefault="00C67231" w:rsidP="00D57B77">
            <w:pPr>
              <w:pStyle w:val="TableText"/>
              <w:rPr>
                <w:rFonts w:ascii="Cambria Math" w:hAnsi="Cambria Math"/>
              </w:rPr>
            </w:pPr>
            <w:r w:rsidRPr="0074556C">
              <w:rPr>
                <w:rFonts w:ascii="Cambria Math" w:hAnsi="Cambria Math"/>
              </w:rPr>
              <w:t>±</w:t>
            </w:r>
          </w:p>
        </w:tc>
        <w:tc>
          <w:tcPr>
            <w:tcW w:w="974" w:type="dxa"/>
            <w:tcBorders>
              <w:top w:val="nil"/>
              <w:left w:val="nil"/>
              <w:bottom w:val="nil"/>
              <w:right w:val="single" w:sz="4" w:space="0" w:color="auto"/>
            </w:tcBorders>
            <w:shd w:val="clear" w:color="auto" w:fill="auto"/>
            <w:noWrap/>
            <w:vAlign w:val="bottom"/>
            <w:hideMark/>
          </w:tcPr>
          <w:p w14:paraId="7821AA68" w14:textId="77777777" w:rsidR="00C67231" w:rsidRPr="0074556C" w:rsidRDefault="00C67231" w:rsidP="00D57B77">
            <w:pPr>
              <w:pStyle w:val="TableText"/>
            </w:pPr>
            <w:r w:rsidRPr="0074556C">
              <w:t>0.04</w:t>
            </w:r>
          </w:p>
        </w:tc>
        <w:tc>
          <w:tcPr>
            <w:tcW w:w="810" w:type="dxa"/>
            <w:tcBorders>
              <w:top w:val="nil"/>
              <w:left w:val="single" w:sz="4" w:space="0" w:color="auto"/>
              <w:bottom w:val="nil"/>
              <w:right w:val="single" w:sz="4" w:space="0" w:color="auto"/>
            </w:tcBorders>
            <w:shd w:val="clear" w:color="auto" w:fill="auto"/>
            <w:noWrap/>
            <w:vAlign w:val="center"/>
            <w:hideMark/>
          </w:tcPr>
          <w:p w14:paraId="3E9349D3" w14:textId="77777777" w:rsidR="00C67231" w:rsidRPr="0074556C" w:rsidRDefault="00C67231" w:rsidP="00D57B77">
            <w:pPr>
              <w:pStyle w:val="TableText"/>
            </w:pPr>
            <w:r w:rsidRPr="0074556C">
              <w:t>mm</w:t>
            </w:r>
          </w:p>
        </w:tc>
      </w:tr>
      <w:tr w:rsidR="00C67231" w:rsidRPr="0074556C" w14:paraId="4F176BF7" w14:textId="77777777" w:rsidTr="00AE2101">
        <w:trPr>
          <w:trHeight w:val="300"/>
        </w:trPr>
        <w:tc>
          <w:tcPr>
            <w:tcW w:w="440" w:type="dxa"/>
            <w:tcBorders>
              <w:top w:val="nil"/>
              <w:left w:val="single" w:sz="4" w:space="0" w:color="auto"/>
              <w:bottom w:val="nil"/>
              <w:right w:val="nil"/>
            </w:tcBorders>
            <w:shd w:val="clear" w:color="auto" w:fill="auto"/>
            <w:noWrap/>
            <w:vAlign w:val="center"/>
            <w:hideMark/>
          </w:tcPr>
          <w:p w14:paraId="66874023" w14:textId="77777777" w:rsidR="00C67231" w:rsidRPr="0074556C" w:rsidRDefault="00C67231" w:rsidP="00D57B77">
            <w:pPr>
              <w:pStyle w:val="TableText"/>
            </w:pPr>
            <w:r w:rsidRPr="0074556C">
              <w:t>29</w:t>
            </w:r>
          </w:p>
        </w:tc>
        <w:tc>
          <w:tcPr>
            <w:tcW w:w="2795" w:type="dxa"/>
            <w:tcBorders>
              <w:top w:val="nil"/>
              <w:left w:val="single" w:sz="4" w:space="0" w:color="auto"/>
              <w:bottom w:val="nil"/>
              <w:right w:val="single" w:sz="4" w:space="0" w:color="auto"/>
            </w:tcBorders>
            <w:shd w:val="clear" w:color="auto" w:fill="auto"/>
            <w:noWrap/>
            <w:vAlign w:val="bottom"/>
            <w:hideMark/>
          </w:tcPr>
          <w:p w14:paraId="6DB470FA" w14:textId="77777777" w:rsidR="00C67231" w:rsidRPr="0074556C" w:rsidRDefault="00C67231" w:rsidP="00D57B77">
            <w:pPr>
              <w:pStyle w:val="TableText"/>
            </w:pPr>
            <w:r w:rsidRPr="0074556C">
              <w:t xml:space="preserve">Bottom Thimble Tab OR </w:t>
            </w:r>
          </w:p>
        </w:tc>
        <w:tc>
          <w:tcPr>
            <w:tcW w:w="1075" w:type="dxa"/>
            <w:tcBorders>
              <w:top w:val="nil"/>
              <w:left w:val="single" w:sz="4" w:space="0" w:color="auto"/>
              <w:bottom w:val="nil"/>
              <w:right w:val="single" w:sz="4" w:space="0" w:color="auto"/>
            </w:tcBorders>
          </w:tcPr>
          <w:p w14:paraId="3E5F2719" w14:textId="77777777" w:rsidR="00C67231" w:rsidRPr="0074556C" w:rsidRDefault="00C67231" w:rsidP="00D57B77">
            <w:pPr>
              <w:pStyle w:val="TableText"/>
              <w:rPr>
                <w:rFonts w:ascii="Cambria Math" w:hAnsi="Cambria Math"/>
              </w:rPr>
            </w:pPr>
            <w:r w:rsidRPr="0074556C">
              <w:rPr>
                <w:rFonts w:ascii="Cambria Math" w:hAnsi="Cambria Math"/>
              </w:rPr>
              <w:t>5.0</w:t>
            </w:r>
          </w:p>
        </w:tc>
        <w:tc>
          <w:tcPr>
            <w:tcW w:w="381" w:type="dxa"/>
            <w:tcBorders>
              <w:top w:val="nil"/>
              <w:left w:val="single" w:sz="4" w:space="0" w:color="auto"/>
              <w:bottom w:val="nil"/>
              <w:right w:val="nil"/>
            </w:tcBorders>
            <w:shd w:val="clear" w:color="auto" w:fill="auto"/>
            <w:noWrap/>
            <w:vAlign w:val="center"/>
            <w:hideMark/>
          </w:tcPr>
          <w:p w14:paraId="636BC2B8" w14:textId="77777777" w:rsidR="00C67231" w:rsidRPr="0074556C" w:rsidRDefault="00C67231" w:rsidP="00D57B77">
            <w:pPr>
              <w:pStyle w:val="TableText"/>
              <w:rPr>
                <w:rFonts w:ascii="Cambria Math" w:hAnsi="Cambria Math"/>
              </w:rPr>
            </w:pPr>
            <w:r w:rsidRPr="0074556C">
              <w:rPr>
                <w:rFonts w:ascii="Cambria Math" w:hAnsi="Cambria Math"/>
              </w:rPr>
              <w:t>±</w:t>
            </w:r>
          </w:p>
        </w:tc>
        <w:tc>
          <w:tcPr>
            <w:tcW w:w="974" w:type="dxa"/>
            <w:tcBorders>
              <w:top w:val="nil"/>
              <w:left w:val="nil"/>
              <w:bottom w:val="nil"/>
              <w:right w:val="single" w:sz="4" w:space="0" w:color="auto"/>
            </w:tcBorders>
            <w:shd w:val="clear" w:color="auto" w:fill="auto"/>
            <w:noWrap/>
            <w:vAlign w:val="bottom"/>
            <w:hideMark/>
          </w:tcPr>
          <w:p w14:paraId="381A087A" w14:textId="77777777" w:rsidR="00C67231" w:rsidRPr="0074556C" w:rsidRDefault="00C67231" w:rsidP="00D57B77">
            <w:pPr>
              <w:pStyle w:val="TableText"/>
            </w:pPr>
            <w:r w:rsidRPr="0074556C">
              <w:t>0.03</w:t>
            </w:r>
          </w:p>
        </w:tc>
        <w:tc>
          <w:tcPr>
            <w:tcW w:w="810" w:type="dxa"/>
            <w:tcBorders>
              <w:top w:val="nil"/>
              <w:left w:val="single" w:sz="4" w:space="0" w:color="auto"/>
              <w:bottom w:val="nil"/>
              <w:right w:val="single" w:sz="4" w:space="0" w:color="auto"/>
            </w:tcBorders>
            <w:shd w:val="clear" w:color="auto" w:fill="auto"/>
            <w:noWrap/>
            <w:vAlign w:val="center"/>
            <w:hideMark/>
          </w:tcPr>
          <w:p w14:paraId="59C3FEEB" w14:textId="77777777" w:rsidR="00C67231" w:rsidRPr="0074556C" w:rsidRDefault="00C67231" w:rsidP="00D57B77">
            <w:pPr>
              <w:pStyle w:val="TableText"/>
            </w:pPr>
            <w:r w:rsidRPr="0074556C">
              <w:t>mm</w:t>
            </w:r>
          </w:p>
        </w:tc>
      </w:tr>
      <w:tr w:rsidR="00C67231" w:rsidRPr="0074556C" w14:paraId="03BA1A8A" w14:textId="77777777" w:rsidTr="00AE2101">
        <w:trPr>
          <w:trHeight w:val="300"/>
        </w:trPr>
        <w:tc>
          <w:tcPr>
            <w:tcW w:w="440" w:type="dxa"/>
            <w:tcBorders>
              <w:top w:val="nil"/>
              <w:left w:val="single" w:sz="4" w:space="0" w:color="auto"/>
              <w:bottom w:val="nil"/>
              <w:right w:val="nil"/>
            </w:tcBorders>
            <w:shd w:val="clear" w:color="auto" w:fill="auto"/>
            <w:noWrap/>
            <w:vAlign w:val="center"/>
            <w:hideMark/>
          </w:tcPr>
          <w:p w14:paraId="5095C077" w14:textId="77777777" w:rsidR="00C67231" w:rsidRPr="0074556C" w:rsidRDefault="00C67231" w:rsidP="00D57B77">
            <w:pPr>
              <w:pStyle w:val="TableText"/>
            </w:pPr>
            <w:r w:rsidRPr="0074556C">
              <w:t>30</w:t>
            </w:r>
          </w:p>
        </w:tc>
        <w:tc>
          <w:tcPr>
            <w:tcW w:w="2795" w:type="dxa"/>
            <w:tcBorders>
              <w:top w:val="nil"/>
              <w:left w:val="single" w:sz="4" w:space="0" w:color="auto"/>
              <w:bottom w:val="nil"/>
              <w:right w:val="single" w:sz="4" w:space="0" w:color="auto"/>
            </w:tcBorders>
            <w:shd w:val="clear" w:color="auto" w:fill="auto"/>
            <w:noWrap/>
            <w:vAlign w:val="bottom"/>
            <w:hideMark/>
          </w:tcPr>
          <w:p w14:paraId="1C0577FD" w14:textId="77777777" w:rsidR="00C67231" w:rsidRPr="0074556C" w:rsidRDefault="00C67231" w:rsidP="00D57B77">
            <w:pPr>
              <w:pStyle w:val="TableText"/>
            </w:pPr>
            <w:r w:rsidRPr="0074556C">
              <w:t xml:space="preserve">Housing IR </w:t>
            </w:r>
          </w:p>
        </w:tc>
        <w:tc>
          <w:tcPr>
            <w:tcW w:w="1075" w:type="dxa"/>
            <w:tcBorders>
              <w:top w:val="nil"/>
              <w:left w:val="single" w:sz="4" w:space="0" w:color="auto"/>
              <w:right w:val="single" w:sz="4" w:space="0" w:color="auto"/>
            </w:tcBorders>
          </w:tcPr>
          <w:p w14:paraId="18D8E7D3" w14:textId="77777777" w:rsidR="00C67231" w:rsidRPr="0074556C" w:rsidRDefault="00C67231" w:rsidP="00D57B77">
            <w:pPr>
              <w:pStyle w:val="TableText"/>
              <w:rPr>
                <w:rFonts w:ascii="Cambria Math" w:hAnsi="Cambria Math"/>
              </w:rPr>
            </w:pPr>
            <w:r w:rsidRPr="0074556C">
              <w:rPr>
                <w:rFonts w:ascii="Cambria Math" w:hAnsi="Cambria Math"/>
              </w:rPr>
              <w:t>5.04</w:t>
            </w:r>
          </w:p>
        </w:tc>
        <w:tc>
          <w:tcPr>
            <w:tcW w:w="381" w:type="dxa"/>
            <w:tcBorders>
              <w:top w:val="nil"/>
              <w:left w:val="single" w:sz="4" w:space="0" w:color="auto"/>
              <w:right w:val="nil"/>
            </w:tcBorders>
            <w:shd w:val="clear" w:color="auto" w:fill="auto"/>
            <w:noWrap/>
            <w:vAlign w:val="center"/>
            <w:hideMark/>
          </w:tcPr>
          <w:p w14:paraId="544244FF" w14:textId="77777777" w:rsidR="00C67231" w:rsidRPr="0074556C" w:rsidRDefault="00C67231" w:rsidP="00D57B77">
            <w:pPr>
              <w:pStyle w:val="TableText"/>
              <w:rPr>
                <w:rFonts w:ascii="Cambria Math" w:hAnsi="Cambria Math"/>
              </w:rPr>
            </w:pPr>
            <w:r w:rsidRPr="0074556C">
              <w:rPr>
                <w:rFonts w:ascii="Cambria Math" w:hAnsi="Cambria Math"/>
              </w:rPr>
              <w:t>±</w:t>
            </w:r>
          </w:p>
        </w:tc>
        <w:tc>
          <w:tcPr>
            <w:tcW w:w="974" w:type="dxa"/>
            <w:tcBorders>
              <w:top w:val="nil"/>
              <w:left w:val="nil"/>
              <w:bottom w:val="nil"/>
              <w:right w:val="single" w:sz="4" w:space="0" w:color="auto"/>
            </w:tcBorders>
            <w:shd w:val="clear" w:color="auto" w:fill="auto"/>
            <w:noWrap/>
            <w:vAlign w:val="bottom"/>
            <w:hideMark/>
          </w:tcPr>
          <w:p w14:paraId="0D5DBF16" w14:textId="77777777" w:rsidR="00C67231" w:rsidRPr="0074556C" w:rsidRDefault="00C67231" w:rsidP="00D57B77">
            <w:pPr>
              <w:pStyle w:val="TableText"/>
            </w:pPr>
            <w:r w:rsidRPr="0074556C">
              <w:t>0.01</w:t>
            </w:r>
          </w:p>
        </w:tc>
        <w:tc>
          <w:tcPr>
            <w:tcW w:w="810" w:type="dxa"/>
            <w:tcBorders>
              <w:top w:val="nil"/>
              <w:left w:val="single" w:sz="4" w:space="0" w:color="auto"/>
              <w:bottom w:val="nil"/>
              <w:right w:val="single" w:sz="4" w:space="0" w:color="auto"/>
            </w:tcBorders>
            <w:shd w:val="clear" w:color="auto" w:fill="auto"/>
            <w:noWrap/>
            <w:vAlign w:val="center"/>
            <w:hideMark/>
          </w:tcPr>
          <w:p w14:paraId="6078574D" w14:textId="77777777" w:rsidR="00C67231" w:rsidRPr="0074556C" w:rsidRDefault="00C67231" w:rsidP="00D57B77">
            <w:pPr>
              <w:pStyle w:val="TableText"/>
            </w:pPr>
            <w:r w:rsidRPr="0074556C">
              <w:t>mm</w:t>
            </w:r>
          </w:p>
        </w:tc>
      </w:tr>
      <w:tr w:rsidR="00C67231" w:rsidRPr="0074556C" w14:paraId="427C3204" w14:textId="77777777" w:rsidTr="00AE2101">
        <w:trPr>
          <w:trHeight w:val="300"/>
        </w:trPr>
        <w:tc>
          <w:tcPr>
            <w:tcW w:w="440" w:type="dxa"/>
            <w:tcBorders>
              <w:top w:val="nil"/>
              <w:left w:val="single" w:sz="4" w:space="0" w:color="auto"/>
              <w:bottom w:val="single" w:sz="4" w:space="0" w:color="auto"/>
              <w:right w:val="nil"/>
            </w:tcBorders>
            <w:shd w:val="clear" w:color="auto" w:fill="auto"/>
            <w:noWrap/>
            <w:vAlign w:val="center"/>
            <w:hideMark/>
          </w:tcPr>
          <w:p w14:paraId="1598D363" w14:textId="77777777" w:rsidR="00C67231" w:rsidRPr="0074556C" w:rsidRDefault="00C67231" w:rsidP="00D57B77">
            <w:pPr>
              <w:pStyle w:val="TableText"/>
            </w:pPr>
            <w:r w:rsidRPr="0074556C">
              <w:t>31</w:t>
            </w:r>
          </w:p>
        </w:tc>
        <w:tc>
          <w:tcPr>
            <w:tcW w:w="2795" w:type="dxa"/>
            <w:tcBorders>
              <w:top w:val="nil"/>
              <w:left w:val="single" w:sz="4" w:space="0" w:color="auto"/>
              <w:bottom w:val="single" w:sz="4" w:space="0" w:color="auto"/>
              <w:right w:val="single" w:sz="4" w:space="0" w:color="auto"/>
            </w:tcBorders>
            <w:shd w:val="clear" w:color="auto" w:fill="auto"/>
            <w:noWrap/>
            <w:vAlign w:val="bottom"/>
            <w:hideMark/>
          </w:tcPr>
          <w:p w14:paraId="22F239BC" w14:textId="77777777" w:rsidR="00C67231" w:rsidRPr="0074556C" w:rsidRDefault="00C67231" w:rsidP="00D57B77">
            <w:pPr>
              <w:pStyle w:val="TableText"/>
            </w:pPr>
            <w:r w:rsidRPr="0074556C">
              <w:t>Housing OR</w:t>
            </w:r>
          </w:p>
        </w:tc>
        <w:tc>
          <w:tcPr>
            <w:tcW w:w="1075" w:type="dxa"/>
            <w:tcBorders>
              <w:top w:val="nil"/>
              <w:left w:val="single" w:sz="4" w:space="0" w:color="auto"/>
              <w:bottom w:val="single" w:sz="4" w:space="0" w:color="auto"/>
              <w:right w:val="single" w:sz="4" w:space="0" w:color="auto"/>
            </w:tcBorders>
          </w:tcPr>
          <w:p w14:paraId="419DA0B0" w14:textId="77777777" w:rsidR="00C67231" w:rsidRPr="0074556C" w:rsidRDefault="00C67231" w:rsidP="00D57B77">
            <w:pPr>
              <w:pStyle w:val="TableText"/>
              <w:rPr>
                <w:rFonts w:ascii="Cambria Math" w:hAnsi="Cambria Math"/>
              </w:rPr>
            </w:pPr>
            <w:r w:rsidRPr="0074556C">
              <w:rPr>
                <w:rFonts w:ascii="Cambria Math" w:hAnsi="Cambria Math"/>
              </w:rPr>
              <w:t>6.22</w:t>
            </w:r>
          </w:p>
        </w:tc>
        <w:tc>
          <w:tcPr>
            <w:tcW w:w="381" w:type="dxa"/>
            <w:tcBorders>
              <w:top w:val="nil"/>
              <w:left w:val="single" w:sz="4" w:space="0" w:color="auto"/>
              <w:bottom w:val="single" w:sz="4" w:space="0" w:color="auto"/>
              <w:right w:val="nil"/>
            </w:tcBorders>
            <w:shd w:val="clear" w:color="auto" w:fill="auto"/>
            <w:noWrap/>
            <w:vAlign w:val="center"/>
            <w:hideMark/>
          </w:tcPr>
          <w:p w14:paraId="572A4D0A" w14:textId="77777777" w:rsidR="00C67231" w:rsidRPr="0074556C" w:rsidRDefault="00C67231" w:rsidP="00D57B77">
            <w:pPr>
              <w:pStyle w:val="TableText"/>
              <w:rPr>
                <w:rFonts w:ascii="Cambria Math" w:hAnsi="Cambria Math"/>
              </w:rPr>
            </w:pPr>
            <w:r w:rsidRPr="0074556C">
              <w:rPr>
                <w:rFonts w:ascii="Cambria Math" w:hAnsi="Cambria Math"/>
              </w:rPr>
              <w:t>±</w:t>
            </w:r>
          </w:p>
        </w:tc>
        <w:tc>
          <w:tcPr>
            <w:tcW w:w="974" w:type="dxa"/>
            <w:tcBorders>
              <w:top w:val="nil"/>
              <w:left w:val="nil"/>
              <w:bottom w:val="single" w:sz="4" w:space="0" w:color="auto"/>
              <w:right w:val="single" w:sz="4" w:space="0" w:color="auto"/>
            </w:tcBorders>
            <w:shd w:val="clear" w:color="auto" w:fill="auto"/>
            <w:noWrap/>
            <w:vAlign w:val="bottom"/>
            <w:hideMark/>
          </w:tcPr>
          <w:p w14:paraId="0CDA4EF4" w14:textId="77777777" w:rsidR="00C67231" w:rsidRPr="0074556C" w:rsidRDefault="00C67231" w:rsidP="00D57B77">
            <w:pPr>
              <w:pStyle w:val="TableText"/>
            </w:pPr>
            <w:r w:rsidRPr="0074556C">
              <w:t>0.01</w:t>
            </w:r>
          </w:p>
        </w:tc>
        <w:tc>
          <w:tcPr>
            <w:tcW w:w="810" w:type="dxa"/>
            <w:tcBorders>
              <w:top w:val="nil"/>
              <w:left w:val="single" w:sz="4" w:space="0" w:color="auto"/>
              <w:bottom w:val="single" w:sz="4" w:space="0" w:color="auto"/>
              <w:right w:val="single" w:sz="4" w:space="0" w:color="auto"/>
            </w:tcBorders>
            <w:shd w:val="clear" w:color="auto" w:fill="auto"/>
            <w:noWrap/>
            <w:vAlign w:val="center"/>
            <w:hideMark/>
          </w:tcPr>
          <w:p w14:paraId="2E13A3B5" w14:textId="77777777" w:rsidR="00C67231" w:rsidRPr="0074556C" w:rsidRDefault="00C67231" w:rsidP="00D57B77">
            <w:pPr>
              <w:pStyle w:val="TableText"/>
            </w:pPr>
            <w:r w:rsidRPr="0074556C">
              <w:t>mm</w:t>
            </w:r>
          </w:p>
        </w:tc>
      </w:tr>
    </w:tbl>
    <w:p w14:paraId="3197A66F" w14:textId="77777777" w:rsidR="00C67231" w:rsidRPr="0074556C" w:rsidRDefault="00C67231" w:rsidP="007336CA">
      <w:pPr>
        <w:pStyle w:val="TableText"/>
      </w:pPr>
      <w:r w:rsidRPr="0074556C">
        <w:rPr>
          <w:b/>
          <w:bCs/>
          <w:i/>
          <w:szCs w:val="26"/>
        </w:rPr>
        <w:t>*</w:t>
      </w:r>
      <w:r w:rsidRPr="0074556C">
        <w:t>All uncertainty values are machining tolerance uncertainties on internal engineering drawings</w:t>
      </w:r>
    </w:p>
    <w:p w14:paraId="21D8C824" w14:textId="77777777" w:rsidR="00C67231" w:rsidRPr="0074556C" w:rsidRDefault="00C67231" w:rsidP="00C67231"/>
    <w:p w14:paraId="1482E26D" w14:textId="77777777" w:rsidR="00C67231" w:rsidRPr="0074556C" w:rsidRDefault="00C67231" w:rsidP="00C67231">
      <w:pPr>
        <w:jc w:val="center"/>
      </w:pPr>
      <w:r w:rsidRPr="0074556C">
        <w:rPr>
          <w:noProof/>
        </w:rPr>
        <w:lastRenderedPageBreak/>
        <w:drawing>
          <wp:inline distT="0" distB="0" distL="0" distR="0" wp14:anchorId="4F313876" wp14:editId="238B4359">
            <wp:extent cx="6869011" cy="2194560"/>
            <wp:effectExtent l="318" t="0" r="2222" b="2223"/>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rotWithShape="1">
                    <a:blip r:embed="rId180">
                      <a:extLst>
                        <a:ext uri="{28A0092B-C50C-407E-A947-70E740481C1C}">
                          <a14:useLocalDpi xmlns:a14="http://schemas.microsoft.com/office/drawing/2010/main" val="0"/>
                        </a:ext>
                      </a:extLst>
                    </a:blip>
                    <a:srcRect l="1570" t="26117" r="2938" b="19646"/>
                    <a:stretch/>
                  </pic:blipFill>
                  <pic:spPr bwMode="auto">
                    <a:xfrm rot="5400000">
                      <a:off x="0" y="0"/>
                      <a:ext cx="6869011" cy="2194560"/>
                    </a:xfrm>
                    <a:prstGeom prst="rect">
                      <a:avLst/>
                    </a:prstGeom>
                    <a:ln>
                      <a:noFill/>
                    </a:ln>
                    <a:extLst>
                      <a:ext uri="{53640926-AAD7-44D8-BBD7-CCE9431645EC}">
                        <a14:shadowObscured xmlns:a14="http://schemas.microsoft.com/office/drawing/2010/main"/>
                      </a:ext>
                    </a:extLst>
                  </pic:spPr>
                </pic:pic>
              </a:graphicData>
            </a:graphic>
          </wp:inline>
        </w:drawing>
      </w:r>
    </w:p>
    <w:p w14:paraId="7C351ECD" w14:textId="3DAC2AE1" w:rsidR="00C67231" w:rsidRDefault="00C67231" w:rsidP="00874CBB">
      <w:pPr>
        <w:pStyle w:val="Caption"/>
      </w:pPr>
      <w:bookmarkStart w:id="279" w:name="_Toc202957593"/>
      <w:r>
        <w:t xml:space="preserve">Figure </w:t>
      </w:r>
      <w:fldSimple w:instr=" SEQ Figure \* ARABIC \s 1 ">
        <w:r w:rsidR="00BF7E93">
          <w:rPr>
            <w:noProof/>
          </w:rPr>
          <w:t>1</w:t>
        </w:r>
      </w:fldSimple>
      <w:r w:rsidRPr="0074556C">
        <w:t>. MiniFuel subcapsule cross section with overlaid geometric parameter numbers.</w:t>
      </w:r>
      <w:bookmarkEnd w:id="279"/>
    </w:p>
    <w:p w14:paraId="1CEB88F3" w14:textId="77777777" w:rsidR="00C67231" w:rsidRPr="00D3135C" w:rsidRDefault="00C67231" w:rsidP="00C67231"/>
    <w:p w14:paraId="12F18A1A" w14:textId="77777777" w:rsidR="00C67231" w:rsidRDefault="00C67231" w:rsidP="00324644">
      <w:pPr>
        <w:pStyle w:val="Heading2"/>
      </w:pPr>
      <w:bookmarkStart w:id="280" w:name="_Toc202957514"/>
      <w:r>
        <w:lastRenderedPageBreak/>
        <w:t>In-Depth Model Analysis</w:t>
      </w:r>
      <w:bookmarkEnd w:id="280"/>
    </w:p>
    <w:p w14:paraId="11290C12" w14:textId="57486AD1" w:rsidR="00C67231" w:rsidRPr="0074556C" w:rsidRDefault="00C67231" w:rsidP="00874CBB">
      <w:pPr>
        <w:pStyle w:val="Caption"/>
      </w:pPr>
      <w:bookmarkStart w:id="281" w:name="_Toc202957532"/>
      <w:r w:rsidRPr="009D2AA9">
        <w:t xml:space="preserve">Table </w:t>
      </w:r>
      <w:fldSimple w:instr=" SEQ Table \* ARABIC \s 1 ">
        <w:r w:rsidR="00BF7E93">
          <w:rPr>
            <w:noProof/>
          </w:rPr>
          <w:t>3</w:t>
        </w:r>
      </w:fldSimple>
      <w:r w:rsidRPr="0074556C">
        <w:t xml:space="preserve">. </w:t>
      </w:r>
      <w:r>
        <w:t xml:space="preserve">Thermal Contact Conductance Parameter </w:t>
      </w:r>
      <w:r w:rsidRPr="0074556C">
        <w:t>Abbreviations</w:t>
      </w:r>
      <w:bookmarkEnd w:id="281"/>
    </w:p>
    <w:tbl>
      <w:tblPr>
        <w:tblW w:w="6030" w:type="dxa"/>
        <w:tblInd w:w="1268" w:type="dxa"/>
        <w:tblLayout w:type="fixed"/>
        <w:tblLook w:val="04A0" w:firstRow="1" w:lastRow="0" w:firstColumn="1" w:lastColumn="0" w:noHBand="0" w:noVBand="1"/>
      </w:tblPr>
      <w:tblGrid>
        <w:gridCol w:w="2970"/>
        <w:gridCol w:w="1530"/>
        <w:gridCol w:w="1530"/>
      </w:tblGrid>
      <w:tr w:rsidR="00C67231" w:rsidRPr="0074556C" w14:paraId="6E1150FF" w14:textId="77777777" w:rsidTr="00AE2101">
        <w:trPr>
          <w:trHeight w:val="300"/>
        </w:trPr>
        <w:tc>
          <w:tcPr>
            <w:tcW w:w="2970" w:type="dxa"/>
            <w:tcBorders>
              <w:top w:val="single" w:sz="4" w:space="0" w:color="auto"/>
              <w:left w:val="single" w:sz="4" w:space="0" w:color="auto"/>
              <w:bottom w:val="single" w:sz="4" w:space="0" w:color="auto"/>
              <w:right w:val="single" w:sz="4" w:space="0" w:color="auto"/>
            </w:tcBorders>
            <w:shd w:val="clear" w:color="auto" w:fill="auto"/>
            <w:noWrap/>
            <w:hideMark/>
          </w:tcPr>
          <w:p w14:paraId="6EC0CC21" w14:textId="77777777" w:rsidR="00C67231" w:rsidRPr="0074556C" w:rsidRDefault="00C67231" w:rsidP="00D57B77">
            <w:pPr>
              <w:pStyle w:val="TableText"/>
            </w:pPr>
            <w:r w:rsidRPr="0074556C">
              <w:t>Name</w:t>
            </w:r>
          </w:p>
        </w:tc>
        <w:tc>
          <w:tcPr>
            <w:tcW w:w="1530" w:type="dxa"/>
            <w:tcBorders>
              <w:top w:val="single" w:sz="4" w:space="0" w:color="auto"/>
              <w:left w:val="nil"/>
              <w:bottom w:val="single" w:sz="4" w:space="0" w:color="auto"/>
              <w:right w:val="single" w:sz="4" w:space="0" w:color="auto"/>
            </w:tcBorders>
          </w:tcPr>
          <w:p w14:paraId="7563F3AA" w14:textId="77777777" w:rsidR="00C67231" w:rsidRPr="0074556C" w:rsidRDefault="00C67231" w:rsidP="00D57B77">
            <w:pPr>
              <w:pStyle w:val="TableText"/>
            </w:pPr>
            <w:r w:rsidRPr="0074556C">
              <w:t>Symbol</w:t>
            </w:r>
          </w:p>
        </w:tc>
        <w:tc>
          <w:tcPr>
            <w:tcW w:w="1530" w:type="dxa"/>
            <w:tcBorders>
              <w:top w:val="single" w:sz="4" w:space="0" w:color="auto"/>
              <w:left w:val="nil"/>
              <w:bottom w:val="single" w:sz="4" w:space="0" w:color="auto"/>
              <w:right w:val="single" w:sz="4" w:space="0" w:color="auto"/>
            </w:tcBorders>
          </w:tcPr>
          <w:p w14:paraId="1687AD55" w14:textId="77777777" w:rsidR="00C67231" w:rsidRPr="0074556C" w:rsidRDefault="00C67231" w:rsidP="00D57B77">
            <w:pPr>
              <w:pStyle w:val="TableText"/>
            </w:pPr>
            <w:r>
              <w:t>Unit</w:t>
            </w:r>
          </w:p>
        </w:tc>
      </w:tr>
      <w:tr w:rsidR="00C67231" w:rsidRPr="0074556C" w14:paraId="75EA9EC6" w14:textId="77777777" w:rsidTr="00AE2101">
        <w:trPr>
          <w:trHeight w:val="300"/>
        </w:trPr>
        <w:tc>
          <w:tcPr>
            <w:tcW w:w="2970" w:type="dxa"/>
            <w:tcBorders>
              <w:top w:val="single" w:sz="4" w:space="0" w:color="auto"/>
              <w:left w:val="single" w:sz="4" w:space="0" w:color="auto"/>
              <w:bottom w:val="single" w:sz="4" w:space="0" w:color="000000" w:themeColor="text1"/>
              <w:right w:val="single" w:sz="4" w:space="0" w:color="auto"/>
            </w:tcBorders>
            <w:shd w:val="clear" w:color="auto" w:fill="auto"/>
            <w:noWrap/>
            <w:vAlign w:val="bottom"/>
            <w:hideMark/>
          </w:tcPr>
          <w:p w14:paraId="295D2C8A" w14:textId="77777777" w:rsidR="00C67231" w:rsidRPr="0074556C" w:rsidRDefault="00C67231" w:rsidP="00D57B77">
            <w:pPr>
              <w:pStyle w:val="TableText"/>
            </w:pPr>
            <w:r>
              <w:t>Temperature</w:t>
            </w:r>
          </w:p>
        </w:tc>
        <w:tc>
          <w:tcPr>
            <w:tcW w:w="1530" w:type="dxa"/>
            <w:tcBorders>
              <w:top w:val="single" w:sz="4" w:space="0" w:color="auto"/>
              <w:left w:val="single" w:sz="4" w:space="0" w:color="auto"/>
              <w:bottom w:val="single" w:sz="4" w:space="0" w:color="000000" w:themeColor="text1"/>
              <w:right w:val="single" w:sz="4" w:space="0" w:color="auto"/>
            </w:tcBorders>
          </w:tcPr>
          <w:p w14:paraId="7682852B" w14:textId="77777777" w:rsidR="00C67231" w:rsidRPr="0074556C" w:rsidRDefault="00C67231" w:rsidP="00D57B77">
            <w:pPr>
              <w:pStyle w:val="TableText"/>
              <w:rPr>
                <w:rFonts w:ascii="Cambria Math" w:hAnsi="Cambria Math"/>
              </w:rPr>
            </w:pPr>
            <w:r>
              <w:rPr>
                <w:rFonts w:ascii="Cambria Math" w:hAnsi="Cambria Math"/>
              </w:rPr>
              <w:t>T</w:t>
            </w:r>
          </w:p>
        </w:tc>
        <w:tc>
          <w:tcPr>
            <w:tcW w:w="1530" w:type="dxa"/>
            <w:tcBorders>
              <w:top w:val="single" w:sz="4" w:space="0" w:color="auto"/>
              <w:left w:val="single" w:sz="4" w:space="0" w:color="auto"/>
              <w:bottom w:val="single" w:sz="4" w:space="0" w:color="000000" w:themeColor="text1"/>
              <w:right w:val="single" w:sz="4" w:space="0" w:color="auto"/>
            </w:tcBorders>
          </w:tcPr>
          <w:p w14:paraId="083BB710" w14:textId="77777777" w:rsidR="00C67231" w:rsidRDefault="00C67231" w:rsidP="00D57B77">
            <w:pPr>
              <w:pStyle w:val="TableText"/>
              <w:rPr>
                <w:rFonts w:ascii="Cambria Math" w:hAnsi="Cambria Math"/>
              </w:rPr>
            </w:pPr>
            <w:r>
              <w:rPr>
                <w:rFonts w:ascii="Cambria Math" w:hAnsi="Cambria Math"/>
              </w:rPr>
              <w:t>K</w:t>
            </w:r>
          </w:p>
        </w:tc>
      </w:tr>
      <w:tr w:rsidR="00C67231" w:rsidRPr="0074556C" w14:paraId="6143C0B3" w14:textId="77777777" w:rsidTr="00AE2101">
        <w:trPr>
          <w:trHeight w:val="300"/>
        </w:trPr>
        <w:tc>
          <w:tcPr>
            <w:tcW w:w="2970" w:type="dxa"/>
            <w:tcBorders>
              <w:top w:val="single" w:sz="4" w:space="0" w:color="000000" w:themeColor="text1"/>
              <w:left w:val="single" w:sz="4" w:space="0" w:color="auto"/>
              <w:bottom w:val="single" w:sz="4" w:space="0" w:color="000000" w:themeColor="text1"/>
              <w:right w:val="single" w:sz="4" w:space="0" w:color="auto"/>
            </w:tcBorders>
            <w:shd w:val="clear" w:color="auto" w:fill="auto"/>
            <w:noWrap/>
            <w:vAlign w:val="bottom"/>
            <w:hideMark/>
          </w:tcPr>
          <w:p w14:paraId="44DA1A73" w14:textId="77777777" w:rsidR="00C67231" w:rsidRPr="0074556C" w:rsidRDefault="00C67231" w:rsidP="00D57B77">
            <w:pPr>
              <w:pStyle w:val="TableText"/>
            </w:pPr>
            <w:r>
              <w:t>Heat Flux</w:t>
            </w:r>
          </w:p>
        </w:tc>
        <w:tc>
          <w:tcPr>
            <w:tcW w:w="1530" w:type="dxa"/>
            <w:tcBorders>
              <w:top w:val="single" w:sz="4" w:space="0" w:color="000000" w:themeColor="text1"/>
              <w:left w:val="single" w:sz="4" w:space="0" w:color="auto"/>
              <w:bottom w:val="single" w:sz="4" w:space="0" w:color="000000" w:themeColor="text1"/>
              <w:right w:val="single" w:sz="4" w:space="0" w:color="auto"/>
            </w:tcBorders>
          </w:tcPr>
          <w:p w14:paraId="7E3585D1" w14:textId="77777777" w:rsidR="00C67231" w:rsidRPr="0074556C" w:rsidRDefault="00C67231" w:rsidP="00D57B77">
            <w:pPr>
              <w:pStyle w:val="TableText"/>
              <w:rPr>
                <w:rFonts w:ascii="Cambria Math" w:hAnsi="Cambria Math"/>
              </w:rPr>
            </w:pPr>
            <w:r>
              <w:rPr>
                <w:rFonts w:ascii="Cambria Math" w:hAnsi="Cambria Math"/>
              </w:rPr>
              <w:t>q'’</w:t>
            </w:r>
          </w:p>
        </w:tc>
        <w:tc>
          <w:tcPr>
            <w:tcW w:w="1530" w:type="dxa"/>
            <w:tcBorders>
              <w:top w:val="single" w:sz="4" w:space="0" w:color="000000" w:themeColor="text1"/>
              <w:left w:val="single" w:sz="4" w:space="0" w:color="auto"/>
              <w:bottom w:val="single" w:sz="4" w:space="0" w:color="000000" w:themeColor="text1"/>
              <w:right w:val="single" w:sz="4" w:space="0" w:color="auto"/>
            </w:tcBorders>
          </w:tcPr>
          <w:p w14:paraId="665B8D2C" w14:textId="77777777" w:rsidR="00C67231" w:rsidRPr="00AD33E8" w:rsidRDefault="00C67231" w:rsidP="00D57B77">
            <w:pPr>
              <w:pStyle w:val="TableText"/>
              <w:rPr>
                <w:rFonts w:ascii="Cambria Math" w:hAnsi="Cambria Math"/>
              </w:rPr>
            </w:pPr>
            <w:r>
              <w:rPr>
                <w:rFonts w:ascii="Cambria Math" w:hAnsi="Cambria Math"/>
              </w:rPr>
              <w:t>W/m</w:t>
            </w:r>
            <w:r>
              <w:rPr>
                <w:rFonts w:ascii="Cambria Math" w:hAnsi="Cambria Math"/>
                <w:vertAlign w:val="superscript"/>
              </w:rPr>
              <w:t>2</w:t>
            </w:r>
          </w:p>
        </w:tc>
      </w:tr>
      <w:tr w:rsidR="00C67231" w:rsidRPr="0074556C" w14:paraId="5DA63193" w14:textId="77777777" w:rsidTr="00AE2101">
        <w:trPr>
          <w:trHeight w:val="300"/>
        </w:trPr>
        <w:tc>
          <w:tcPr>
            <w:tcW w:w="2970" w:type="dxa"/>
            <w:tcBorders>
              <w:top w:val="single" w:sz="4" w:space="0" w:color="000000" w:themeColor="text1"/>
              <w:left w:val="single" w:sz="4" w:space="0" w:color="auto"/>
              <w:bottom w:val="single" w:sz="4" w:space="0" w:color="000000" w:themeColor="text1"/>
              <w:right w:val="single" w:sz="4" w:space="0" w:color="auto"/>
            </w:tcBorders>
            <w:shd w:val="clear" w:color="auto" w:fill="auto"/>
            <w:noWrap/>
            <w:vAlign w:val="bottom"/>
            <w:hideMark/>
          </w:tcPr>
          <w:p w14:paraId="7F448C8F" w14:textId="77777777" w:rsidR="00C67231" w:rsidRPr="0074556C" w:rsidRDefault="00C67231" w:rsidP="00D57B77">
            <w:pPr>
              <w:pStyle w:val="TableText"/>
            </w:pPr>
            <w:r>
              <w:t>Thermal Contact Conductance</w:t>
            </w:r>
          </w:p>
        </w:tc>
        <w:tc>
          <w:tcPr>
            <w:tcW w:w="1530" w:type="dxa"/>
            <w:tcBorders>
              <w:top w:val="single" w:sz="4" w:space="0" w:color="000000" w:themeColor="text1"/>
              <w:left w:val="single" w:sz="4" w:space="0" w:color="auto"/>
              <w:bottom w:val="single" w:sz="4" w:space="0" w:color="000000" w:themeColor="text1"/>
              <w:right w:val="single" w:sz="4" w:space="0" w:color="auto"/>
            </w:tcBorders>
          </w:tcPr>
          <w:p w14:paraId="03D13B9F" w14:textId="77777777" w:rsidR="00C67231" w:rsidRPr="0074556C" w:rsidRDefault="00C67231" w:rsidP="00D57B77">
            <w:pPr>
              <w:pStyle w:val="TableText"/>
              <w:rPr>
                <w:rFonts w:ascii="Cambria Math" w:hAnsi="Cambria Math"/>
              </w:rPr>
            </w:pPr>
            <w:r>
              <w:rPr>
                <w:rFonts w:ascii="Cambria Math" w:hAnsi="Cambria Math"/>
              </w:rPr>
              <w:t>TCC</w:t>
            </w:r>
          </w:p>
        </w:tc>
        <w:tc>
          <w:tcPr>
            <w:tcW w:w="1530" w:type="dxa"/>
            <w:tcBorders>
              <w:top w:val="single" w:sz="4" w:space="0" w:color="000000" w:themeColor="text1"/>
              <w:left w:val="single" w:sz="4" w:space="0" w:color="auto"/>
              <w:bottom w:val="single" w:sz="4" w:space="0" w:color="000000" w:themeColor="text1"/>
              <w:right w:val="single" w:sz="4" w:space="0" w:color="auto"/>
            </w:tcBorders>
          </w:tcPr>
          <w:p w14:paraId="0CE8E502" w14:textId="77777777" w:rsidR="00C67231" w:rsidRPr="00AD33E8" w:rsidRDefault="00C67231" w:rsidP="00D57B77">
            <w:pPr>
              <w:pStyle w:val="TableText"/>
              <w:rPr>
                <w:rFonts w:ascii="Cambria Math" w:hAnsi="Cambria Math"/>
              </w:rPr>
            </w:pPr>
            <w:r>
              <w:rPr>
                <w:rFonts w:ascii="Cambria Math" w:hAnsi="Cambria Math"/>
              </w:rPr>
              <w:t>W/m</w:t>
            </w:r>
            <w:r>
              <w:rPr>
                <w:rFonts w:ascii="Cambria Math" w:hAnsi="Cambria Math"/>
                <w:vertAlign w:val="superscript"/>
              </w:rPr>
              <w:t>2</w:t>
            </w:r>
            <w:r>
              <w:rPr>
                <w:rFonts w:ascii="Cambria Math" w:hAnsi="Cambria Math"/>
              </w:rPr>
              <w:t>K</w:t>
            </w:r>
          </w:p>
        </w:tc>
      </w:tr>
      <w:tr w:rsidR="00C67231" w:rsidRPr="0074556C" w14:paraId="34729B12" w14:textId="77777777" w:rsidTr="00AE2101">
        <w:trPr>
          <w:trHeight w:val="300"/>
        </w:trPr>
        <w:tc>
          <w:tcPr>
            <w:tcW w:w="29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bottom"/>
            <w:hideMark/>
          </w:tcPr>
          <w:p w14:paraId="4BC8C8EA" w14:textId="77777777" w:rsidR="00C67231" w:rsidRPr="0074556C" w:rsidRDefault="00C67231" w:rsidP="00D57B77">
            <w:pPr>
              <w:pStyle w:val="TableText"/>
            </w:pPr>
            <w:r>
              <w:t>Solid Spot Conductance</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0D0A427" w14:textId="77777777" w:rsidR="00C67231" w:rsidRPr="00BD70E5" w:rsidRDefault="00C67231" w:rsidP="00D57B77">
            <w:pPr>
              <w:pStyle w:val="TableText"/>
              <w:rPr>
                <w:rFonts w:ascii="Cambria Math" w:hAnsi="Cambria Math"/>
                <w:vertAlign w:val="subscript"/>
              </w:rPr>
            </w:pPr>
            <w:r>
              <w:rPr>
                <w:rFonts w:ascii="Cambria Math" w:hAnsi="Cambria Math"/>
              </w:rPr>
              <w:t>h</w:t>
            </w:r>
            <w:r>
              <w:rPr>
                <w:rFonts w:ascii="Cambria Math" w:hAnsi="Cambria Math"/>
                <w:vertAlign w:val="subscript"/>
              </w:rPr>
              <w:t>s</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F3662A2" w14:textId="77777777" w:rsidR="00C67231" w:rsidRDefault="00C67231" w:rsidP="00D57B77">
            <w:pPr>
              <w:pStyle w:val="TableText"/>
              <w:rPr>
                <w:rFonts w:ascii="Cambria Math" w:hAnsi="Cambria Math"/>
              </w:rPr>
            </w:pPr>
            <w:r>
              <w:rPr>
                <w:rFonts w:ascii="Cambria Math" w:hAnsi="Cambria Math"/>
              </w:rPr>
              <w:t>W/m</w:t>
            </w:r>
            <w:r>
              <w:rPr>
                <w:rFonts w:ascii="Cambria Math" w:hAnsi="Cambria Math"/>
                <w:vertAlign w:val="superscript"/>
              </w:rPr>
              <w:t>2</w:t>
            </w:r>
            <w:r>
              <w:rPr>
                <w:rFonts w:ascii="Cambria Math" w:hAnsi="Cambria Math"/>
              </w:rPr>
              <w:t>K</w:t>
            </w:r>
          </w:p>
        </w:tc>
      </w:tr>
      <w:tr w:rsidR="00C67231" w:rsidRPr="0074556C" w14:paraId="7498EA7C" w14:textId="77777777" w:rsidTr="00AE2101">
        <w:trPr>
          <w:trHeight w:val="300"/>
        </w:trPr>
        <w:tc>
          <w:tcPr>
            <w:tcW w:w="29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bottom"/>
            <w:hideMark/>
          </w:tcPr>
          <w:p w14:paraId="2BB3E08D" w14:textId="77777777" w:rsidR="00C67231" w:rsidRPr="0074556C" w:rsidRDefault="00C67231" w:rsidP="00D57B77">
            <w:pPr>
              <w:pStyle w:val="TableText"/>
            </w:pPr>
            <w:r>
              <w:t>Gas Gap Conductance</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EBA40FD" w14:textId="77777777" w:rsidR="00C67231" w:rsidRPr="00BD70E5" w:rsidRDefault="00C67231" w:rsidP="00D57B77">
            <w:pPr>
              <w:pStyle w:val="TableText"/>
              <w:rPr>
                <w:rFonts w:ascii="Cambria Math" w:hAnsi="Cambria Math"/>
                <w:vertAlign w:val="subscript"/>
              </w:rPr>
            </w:pPr>
            <w:r>
              <w:rPr>
                <w:rFonts w:ascii="Cambria Math" w:hAnsi="Cambria Math"/>
              </w:rPr>
              <w:t>h</w:t>
            </w:r>
            <w:r>
              <w:rPr>
                <w:rFonts w:ascii="Cambria Math" w:hAnsi="Cambria Math"/>
                <w:vertAlign w:val="subscript"/>
              </w:rPr>
              <w:t>g</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A5BF37E" w14:textId="77777777" w:rsidR="00C67231" w:rsidRDefault="00C67231" w:rsidP="00D57B77">
            <w:pPr>
              <w:pStyle w:val="TableText"/>
              <w:rPr>
                <w:rFonts w:ascii="Cambria Math" w:hAnsi="Cambria Math"/>
              </w:rPr>
            </w:pPr>
            <w:r>
              <w:rPr>
                <w:rFonts w:ascii="Cambria Math" w:hAnsi="Cambria Math"/>
              </w:rPr>
              <w:t>W/m</w:t>
            </w:r>
            <w:r>
              <w:rPr>
                <w:rFonts w:ascii="Cambria Math" w:hAnsi="Cambria Math"/>
                <w:vertAlign w:val="superscript"/>
              </w:rPr>
              <w:t>2</w:t>
            </w:r>
            <w:r>
              <w:rPr>
                <w:rFonts w:ascii="Cambria Math" w:hAnsi="Cambria Math"/>
              </w:rPr>
              <w:t>K</w:t>
            </w:r>
          </w:p>
        </w:tc>
      </w:tr>
      <w:tr w:rsidR="00C67231" w:rsidRPr="0074556C" w14:paraId="651DB70E" w14:textId="77777777" w:rsidTr="00AE2101">
        <w:trPr>
          <w:trHeight w:val="300"/>
        </w:trPr>
        <w:tc>
          <w:tcPr>
            <w:tcW w:w="2970" w:type="dxa"/>
            <w:tcBorders>
              <w:top w:val="single" w:sz="4" w:space="0" w:color="000000" w:themeColor="text1"/>
              <w:left w:val="single" w:sz="4" w:space="0" w:color="auto"/>
              <w:bottom w:val="single" w:sz="4" w:space="0" w:color="000000" w:themeColor="text1"/>
              <w:right w:val="single" w:sz="4" w:space="0" w:color="auto"/>
            </w:tcBorders>
            <w:shd w:val="clear" w:color="auto" w:fill="auto"/>
            <w:noWrap/>
            <w:vAlign w:val="bottom"/>
          </w:tcPr>
          <w:p w14:paraId="29687C5A" w14:textId="77777777" w:rsidR="00C67231" w:rsidRPr="0074556C" w:rsidRDefault="00C67231" w:rsidP="00D57B77">
            <w:pPr>
              <w:pStyle w:val="TableText"/>
            </w:pPr>
            <w:r>
              <w:t>Thermal Conductivity</w:t>
            </w:r>
          </w:p>
        </w:tc>
        <w:tc>
          <w:tcPr>
            <w:tcW w:w="1530" w:type="dxa"/>
            <w:tcBorders>
              <w:top w:val="single" w:sz="4" w:space="0" w:color="000000" w:themeColor="text1"/>
              <w:left w:val="single" w:sz="4" w:space="0" w:color="auto"/>
              <w:bottom w:val="single" w:sz="4" w:space="0" w:color="000000" w:themeColor="text1"/>
              <w:right w:val="single" w:sz="4" w:space="0" w:color="auto"/>
            </w:tcBorders>
          </w:tcPr>
          <w:p w14:paraId="2877525A" w14:textId="77777777" w:rsidR="00C67231" w:rsidRPr="0074556C" w:rsidRDefault="00C67231" w:rsidP="00D57B77">
            <w:pPr>
              <w:pStyle w:val="TableText"/>
              <w:rPr>
                <w:rFonts w:ascii="Cambria Math" w:hAnsi="Cambria Math"/>
              </w:rPr>
            </w:pPr>
            <w:r>
              <w:rPr>
                <w:rFonts w:ascii="Cambria Math" w:hAnsi="Cambria Math"/>
              </w:rPr>
              <w:t>k</w:t>
            </w:r>
          </w:p>
        </w:tc>
        <w:tc>
          <w:tcPr>
            <w:tcW w:w="1530" w:type="dxa"/>
            <w:tcBorders>
              <w:top w:val="single" w:sz="4" w:space="0" w:color="000000" w:themeColor="text1"/>
              <w:left w:val="single" w:sz="4" w:space="0" w:color="auto"/>
              <w:bottom w:val="single" w:sz="4" w:space="0" w:color="000000" w:themeColor="text1"/>
              <w:right w:val="single" w:sz="4" w:space="0" w:color="auto"/>
            </w:tcBorders>
          </w:tcPr>
          <w:p w14:paraId="049F0F61" w14:textId="77777777" w:rsidR="00C67231" w:rsidRDefault="00C67231" w:rsidP="00D57B77">
            <w:pPr>
              <w:pStyle w:val="TableText"/>
              <w:rPr>
                <w:rFonts w:ascii="Cambria Math" w:hAnsi="Cambria Math"/>
              </w:rPr>
            </w:pPr>
            <w:r>
              <w:rPr>
                <w:rFonts w:ascii="Cambria Math" w:hAnsi="Cambria Math"/>
              </w:rPr>
              <w:t>W/m</w:t>
            </w:r>
            <w:r>
              <w:rPr>
                <w:rFonts w:ascii="Cambria Math" w:hAnsi="Cambria Math"/>
                <w:vertAlign w:val="superscript"/>
              </w:rPr>
              <w:t>2</w:t>
            </w:r>
            <w:r>
              <w:rPr>
                <w:rFonts w:ascii="Cambria Math" w:hAnsi="Cambria Math"/>
              </w:rPr>
              <w:t>K</w:t>
            </w:r>
          </w:p>
        </w:tc>
      </w:tr>
      <w:tr w:rsidR="00C67231" w:rsidRPr="0074556C" w14:paraId="6369A241" w14:textId="77777777" w:rsidTr="00AE2101">
        <w:trPr>
          <w:trHeight w:val="300"/>
        </w:trPr>
        <w:tc>
          <w:tcPr>
            <w:tcW w:w="2970" w:type="dxa"/>
            <w:tcBorders>
              <w:top w:val="single" w:sz="4" w:space="0" w:color="000000" w:themeColor="text1"/>
              <w:left w:val="single" w:sz="4" w:space="0" w:color="auto"/>
              <w:bottom w:val="single" w:sz="4" w:space="0" w:color="000000" w:themeColor="text1"/>
              <w:right w:val="single" w:sz="4" w:space="0" w:color="auto"/>
            </w:tcBorders>
            <w:shd w:val="clear" w:color="auto" w:fill="auto"/>
            <w:noWrap/>
            <w:vAlign w:val="center"/>
          </w:tcPr>
          <w:p w14:paraId="4004847B" w14:textId="77777777" w:rsidR="00C67231" w:rsidRDefault="00C67231" w:rsidP="00D57B77">
            <w:pPr>
              <w:pStyle w:val="TableText"/>
            </w:pPr>
            <w:r>
              <w:t>Mean Harmonic Thermal Conductivity</w:t>
            </w:r>
          </w:p>
          <w:p w14:paraId="085B27D9" w14:textId="77777777" w:rsidR="00C67231" w:rsidRDefault="00C67231" w:rsidP="00D57B77">
            <w:pPr>
              <w:pStyle w:val="TableText"/>
            </w:pPr>
            <w:r>
              <w:t>k</w:t>
            </w:r>
            <w:r>
              <w:rPr>
                <w:vertAlign w:val="subscript"/>
              </w:rPr>
              <w:t>m</w:t>
            </w:r>
            <w:r>
              <w:t xml:space="preserve"> = </w:t>
            </w:r>
            <m:oMath>
              <m:rad>
                <m:radPr>
                  <m:degHide m:val="1"/>
                  <m:ctrlPr>
                    <w:rPr>
                      <w:rFonts w:ascii="Cambria Math" w:hAnsi="Cambria Math"/>
                      <w:i/>
                    </w:rPr>
                  </m:ctrlPr>
                </m:radPr>
                <m:deg/>
                <m:e>
                  <m:sSubSup>
                    <m:sSubSupPr>
                      <m:ctrlPr>
                        <w:rPr>
                          <w:rFonts w:ascii="Cambria Math" w:hAnsi="Cambria Math"/>
                          <w:i/>
                        </w:rPr>
                      </m:ctrlPr>
                    </m:sSubSupPr>
                    <m:e>
                      <m:r>
                        <w:rPr>
                          <w:rFonts w:ascii="Cambria Math" w:hAnsi="Cambria Math"/>
                        </w:rPr>
                        <m:t>k</m:t>
                      </m:r>
                    </m:e>
                    <m:sub>
                      <m:r>
                        <w:rPr>
                          <w:rFonts w:ascii="Cambria Math" w:hAnsi="Cambria Math"/>
                        </w:rPr>
                        <m:t>1</m:t>
                      </m:r>
                    </m:sub>
                    <m:sup>
                      <m:r>
                        <w:rPr>
                          <w:rFonts w:ascii="Cambria Math" w:hAnsi="Cambria Math"/>
                        </w:rPr>
                        <m:t>2</m:t>
                      </m:r>
                    </m:sup>
                  </m:sSubSup>
                  <m:r>
                    <w:rPr>
                      <w:rFonts w:ascii="Cambria Math" w:hAnsi="Cambria Math"/>
                    </w:rPr>
                    <m:t>+</m:t>
                  </m:r>
                  <m:sSubSup>
                    <m:sSubSupPr>
                      <m:ctrlPr>
                        <w:rPr>
                          <w:rFonts w:ascii="Cambria Math" w:hAnsi="Cambria Math"/>
                          <w:i/>
                        </w:rPr>
                      </m:ctrlPr>
                    </m:sSubSupPr>
                    <m:e>
                      <m:r>
                        <w:rPr>
                          <w:rFonts w:ascii="Cambria Math" w:hAnsi="Cambria Math"/>
                        </w:rPr>
                        <m:t>k</m:t>
                      </m:r>
                    </m:e>
                    <m:sub>
                      <m:r>
                        <w:rPr>
                          <w:rFonts w:ascii="Cambria Math" w:hAnsi="Cambria Math"/>
                        </w:rPr>
                        <m:t>2</m:t>
                      </m:r>
                    </m:sub>
                    <m:sup>
                      <m:r>
                        <w:rPr>
                          <w:rFonts w:ascii="Cambria Math" w:hAnsi="Cambria Math"/>
                        </w:rPr>
                        <m:t>2</m:t>
                      </m:r>
                    </m:sup>
                  </m:sSubSup>
                </m:e>
              </m:rad>
              <m:r>
                <w:rPr>
                  <w:rFonts w:ascii="Cambria Math" w:hAnsi="Cambria Math"/>
                </w:rPr>
                <m:t xml:space="preserve"> </m:t>
              </m:r>
            </m:oMath>
          </w:p>
        </w:tc>
        <w:tc>
          <w:tcPr>
            <w:tcW w:w="1530" w:type="dxa"/>
            <w:tcBorders>
              <w:top w:val="single" w:sz="4" w:space="0" w:color="000000" w:themeColor="text1"/>
              <w:left w:val="single" w:sz="4" w:space="0" w:color="auto"/>
              <w:bottom w:val="single" w:sz="4" w:space="0" w:color="000000" w:themeColor="text1"/>
              <w:right w:val="single" w:sz="4" w:space="0" w:color="auto"/>
            </w:tcBorders>
            <w:vAlign w:val="center"/>
          </w:tcPr>
          <w:p w14:paraId="2C14560C" w14:textId="77777777" w:rsidR="00C67231" w:rsidRDefault="00C67231" w:rsidP="00D57B77">
            <w:pPr>
              <w:pStyle w:val="TableText"/>
              <w:rPr>
                <w:rFonts w:ascii="Cambria Math" w:hAnsi="Cambria Math"/>
              </w:rPr>
            </w:pPr>
            <w:r>
              <w:rPr>
                <w:rFonts w:ascii="Cambria Math" w:hAnsi="Cambria Math"/>
              </w:rPr>
              <w:t>k</w:t>
            </w:r>
            <w:r>
              <w:rPr>
                <w:rFonts w:ascii="Cambria Math" w:hAnsi="Cambria Math"/>
                <w:vertAlign w:val="subscript"/>
              </w:rPr>
              <w:t>m</w:t>
            </w:r>
          </w:p>
        </w:tc>
        <w:tc>
          <w:tcPr>
            <w:tcW w:w="1530" w:type="dxa"/>
            <w:tcBorders>
              <w:top w:val="single" w:sz="4" w:space="0" w:color="000000" w:themeColor="text1"/>
              <w:left w:val="single" w:sz="4" w:space="0" w:color="auto"/>
              <w:bottom w:val="single" w:sz="4" w:space="0" w:color="000000" w:themeColor="text1"/>
              <w:right w:val="single" w:sz="4" w:space="0" w:color="auto"/>
            </w:tcBorders>
            <w:vAlign w:val="center"/>
          </w:tcPr>
          <w:p w14:paraId="2335D644" w14:textId="77777777" w:rsidR="00C67231" w:rsidRDefault="00C67231" w:rsidP="00D57B77">
            <w:pPr>
              <w:pStyle w:val="TableText"/>
              <w:rPr>
                <w:rFonts w:ascii="Cambria Math" w:hAnsi="Cambria Math"/>
              </w:rPr>
            </w:pPr>
            <w:r>
              <w:rPr>
                <w:rFonts w:ascii="Cambria Math" w:hAnsi="Cambria Math"/>
              </w:rPr>
              <w:t>W/m</w:t>
            </w:r>
            <w:r>
              <w:rPr>
                <w:rFonts w:ascii="Cambria Math" w:hAnsi="Cambria Math"/>
                <w:vertAlign w:val="superscript"/>
              </w:rPr>
              <w:t>2</w:t>
            </w:r>
            <w:r>
              <w:rPr>
                <w:rFonts w:ascii="Cambria Math" w:hAnsi="Cambria Math"/>
              </w:rPr>
              <w:t>K</w:t>
            </w:r>
          </w:p>
        </w:tc>
      </w:tr>
      <w:tr w:rsidR="00C67231" w:rsidRPr="0074556C" w14:paraId="2AEB2480" w14:textId="77777777" w:rsidTr="00AE2101">
        <w:trPr>
          <w:trHeight w:val="300"/>
        </w:trPr>
        <w:tc>
          <w:tcPr>
            <w:tcW w:w="2970" w:type="dxa"/>
            <w:tcBorders>
              <w:top w:val="single" w:sz="4" w:space="0" w:color="000000" w:themeColor="text1"/>
              <w:left w:val="single" w:sz="4" w:space="0" w:color="auto"/>
              <w:bottom w:val="single" w:sz="4" w:space="0" w:color="000000" w:themeColor="text1"/>
              <w:right w:val="single" w:sz="4" w:space="0" w:color="auto"/>
            </w:tcBorders>
            <w:shd w:val="clear" w:color="auto" w:fill="auto"/>
            <w:noWrap/>
            <w:vAlign w:val="bottom"/>
          </w:tcPr>
          <w:p w14:paraId="66827040" w14:textId="77777777" w:rsidR="00C67231" w:rsidRDefault="00C67231" w:rsidP="00D57B77">
            <w:pPr>
              <w:pStyle w:val="TableText"/>
            </w:pPr>
            <w:r>
              <w:t>Effective Slope of Asperities</w:t>
            </w:r>
          </w:p>
          <w:p w14:paraId="351942E2" w14:textId="77777777" w:rsidR="00C67231" w:rsidRPr="00405396" w:rsidRDefault="00C67231" w:rsidP="00D57B77">
            <w:pPr>
              <w:pStyle w:val="TableText"/>
            </w:pPr>
            <w:r>
              <w:t>tan</w:t>
            </w:r>
            <w:r>
              <w:sym w:font="Symbol" w:char="F071"/>
            </w:r>
            <w:r>
              <w:t xml:space="preserve"> = </w:t>
            </w:r>
            <m:oMath>
              <m:rad>
                <m:radPr>
                  <m:degHide m:val="1"/>
                  <m:ctrlPr>
                    <w:rPr>
                      <w:rFonts w:ascii="Cambria Math" w:hAnsi="Cambria Math"/>
                      <w:i/>
                    </w:rPr>
                  </m:ctrlPr>
                </m:radPr>
                <m:deg/>
                <m:e>
                  <m:r>
                    <w:rPr>
                      <w:rFonts w:ascii="Cambria Math" w:hAnsi="Cambria Math"/>
                    </w:rPr>
                    <m:t>tan</m:t>
                  </m:r>
                  <m:sSubSup>
                    <m:sSubSupPr>
                      <m:ctrlPr>
                        <w:rPr>
                          <w:rFonts w:ascii="Cambria Math" w:hAnsi="Cambria Math"/>
                          <w:i/>
                        </w:rPr>
                      </m:ctrlPr>
                    </m:sSubSupPr>
                    <m:e>
                      <m:r>
                        <w:rPr>
                          <w:rFonts w:ascii="Cambria Math" w:hAnsi="Cambria Math"/>
                        </w:rPr>
                        <m:t>θ</m:t>
                      </m:r>
                    </m:e>
                    <m:sub>
                      <m:r>
                        <w:rPr>
                          <w:rFonts w:ascii="Cambria Math" w:hAnsi="Cambria Math"/>
                        </w:rPr>
                        <m:t>1</m:t>
                      </m:r>
                    </m:sub>
                    <m:sup>
                      <m:r>
                        <w:rPr>
                          <w:rFonts w:ascii="Cambria Math" w:hAnsi="Cambria Math"/>
                        </w:rPr>
                        <m:t>2</m:t>
                      </m:r>
                    </m:sup>
                  </m:sSubSup>
                  <m:r>
                    <w:rPr>
                      <w:rFonts w:ascii="Cambria Math" w:hAnsi="Cambria Math"/>
                    </w:rPr>
                    <m:t>+tan</m:t>
                  </m:r>
                  <m:sSubSup>
                    <m:sSubSupPr>
                      <m:ctrlPr>
                        <w:rPr>
                          <w:rFonts w:ascii="Cambria Math" w:hAnsi="Cambria Math"/>
                          <w:i/>
                        </w:rPr>
                      </m:ctrlPr>
                    </m:sSubSupPr>
                    <m:e>
                      <m:r>
                        <w:rPr>
                          <w:rFonts w:ascii="Cambria Math" w:hAnsi="Cambria Math"/>
                        </w:rPr>
                        <m:t>θ</m:t>
                      </m:r>
                    </m:e>
                    <m:sub>
                      <m:r>
                        <w:rPr>
                          <w:rFonts w:ascii="Cambria Math" w:hAnsi="Cambria Math"/>
                        </w:rPr>
                        <m:t>2</m:t>
                      </m:r>
                    </m:sub>
                    <m:sup>
                      <m:r>
                        <w:rPr>
                          <w:rFonts w:ascii="Cambria Math" w:hAnsi="Cambria Math"/>
                        </w:rPr>
                        <m:t>2</m:t>
                      </m:r>
                    </m:sup>
                  </m:sSubSup>
                </m:e>
              </m:rad>
            </m:oMath>
          </w:p>
        </w:tc>
        <w:tc>
          <w:tcPr>
            <w:tcW w:w="1530" w:type="dxa"/>
            <w:tcBorders>
              <w:top w:val="single" w:sz="4" w:space="0" w:color="000000" w:themeColor="text1"/>
              <w:left w:val="single" w:sz="4" w:space="0" w:color="auto"/>
              <w:bottom w:val="single" w:sz="4" w:space="0" w:color="000000" w:themeColor="text1"/>
              <w:right w:val="single" w:sz="4" w:space="0" w:color="auto"/>
            </w:tcBorders>
            <w:vAlign w:val="center"/>
          </w:tcPr>
          <w:p w14:paraId="2527A6B4" w14:textId="77777777" w:rsidR="00C67231" w:rsidRPr="00BD70E5" w:rsidRDefault="00C67231" w:rsidP="00D57B77">
            <w:pPr>
              <w:pStyle w:val="TableText"/>
              <w:rPr>
                <w:rFonts w:ascii="Cambria Math" w:hAnsi="Cambria Math"/>
                <w:vertAlign w:val="subscript"/>
              </w:rPr>
            </w:pPr>
            <w:r>
              <w:rPr>
                <w:rFonts w:ascii="Cambria Math" w:hAnsi="Cambria Math"/>
              </w:rPr>
              <w:t>tan</w:t>
            </w:r>
            <w:r>
              <w:rPr>
                <w:rFonts w:ascii="Cambria Math" w:hAnsi="Cambria Math"/>
              </w:rPr>
              <w:sym w:font="Symbol" w:char="F071"/>
            </w:r>
          </w:p>
        </w:tc>
        <w:tc>
          <w:tcPr>
            <w:tcW w:w="1530" w:type="dxa"/>
            <w:tcBorders>
              <w:top w:val="single" w:sz="4" w:space="0" w:color="000000" w:themeColor="text1"/>
              <w:left w:val="single" w:sz="4" w:space="0" w:color="auto"/>
              <w:bottom w:val="single" w:sz="4" w:space="0" w:color="000000" w:themeColor="text1"/>
              <w:right w:val="single" w:sz="4" w:space="0" w:color="auto"/>
            </w:tcBorders>
          </w:tcPr>
          <w:p w14:paraId="7D330F9E" w14:textId="77777777" w:rsidR="00C67231" w:rsidRDefault="00C67231" w:rsidP="00D57B77">
            <w:pPr>
              <w:pStyle w:val="TableText"/>
              <w:rPr>
                <w:rFonts w:ascii="Cambria Math" w:hAnsi="Cambria Math"/>
              </w:rPr>
            </w:pPr>
          </w:p>
        </w:tc>
      </w:tr>
      <w:tr w:rsidR="00C67231" w:rsidRPr="0074556C" w14:paraId="709FF1D0" w14:textId="77777777" w:rsidTr="00AE2101">
        <w:trPr>
          <w:trHeight w:val="300"/>
        </w:trPr>
        <w:tc>
          <w:tcPr>
            <w:tcW w:w="2970" w:type="dxa"/>
            <w:tcBorders>
              <w:top w:val="single" w:sz="4" w:space="0" w:color="000000" w:themeColor="text1"/>
              <w:left w:val="single" w:sz="4" w:space="0" w:color="auto"/>
              <w:bottom w:val="single" w:sz="4" w:space="0" w:color="000000" w:themeColor="text1"/>
              <w:right w:val="single" w:sz="4" w:space="0" w:color="auto"/>
            </w:tcBorders>
            <w:shd w:val="clear" w:color="auto" w:fill="auto"/>
            <w:noWrap/>
            <w:vAlign w:val="bottom"/>
          </w:tcPr>
          <w:p w14:paraId="19E3FEF8" w14:textId="77777777" w:rsidR="00C67231" w:rsidRPr="0074556C" w:rsidRDefault="00C67231" w:rsidP="00D57B77">
            <w:pPr>
              <w:pStyle w:val="TableText"/>
            </w:pPr>
            <w:r>
              <w:t>Surface Roughness</w:t>
            </w:r>
          </w:p>
        </w:tc>
        <w:tc>
          <w:tcPr>
            <w:tcW w:w="1530" w:type="dxa"/>
            <w:tcBorders>
              <w:top w:val="single" w:sz="4" w:space="0" w:color="000000" w:themeColor="text1"/>
              <w:left w:val="single" w:sz="4" w:space="0" w:color="auto"/>
              <w:bottom w:val="single" w:sz="4" w:space="0" w:color="000000" w:themeColor="text1"/>
              <w:right w:val="single" w:sz="4" w:space="0" w:color="auto"/>
            </w:tcBorders>
          </w:tcPr>
          <w:p w14:paraId="5AB939F9" w14:textId="77777777" w:rsidR="00C67231" w:rsidRPr="0074556C" w:rsidRDefault="00C67231" w:rsidP="00D57B77">
            <w:pPr>
              <w:pStyle w:val="TableText"/>
              <w:rPr>
                <w:rFonts w:ascii="Cambria Math" w:hAnsi="Cambria Math"/>
              </w:rPr>
            </w:pPr>
            <w:r>
              <w:rPr>
                <w:rFonts w:ascii="Cambria Math" w:hAnsi="Cambria Math"/>
              </w:rPr>
              <w:sym w:font="Symbol" w:char="F073"/>
            </w:r>
          </w:p>
        </w:tc>
        <w:tc>
          <w:tcPr>
            <w:tcW w:w="1530" w:type="dxa"/>
            <w:tcBorders>
              <w:top w:val="single" w:sz="4" w:space="0" w:color="000000" w:themeColor="text1"/>
              <w:left w:val="single" w:sz="4" w:space="0" w:color="auto"/>
              <w:bottom w:val="single" w:sz="4" w:space="0" w:color="000000" w:themeColor="text1"/>
              <w:right w:val="single" w:sz="4" w:space="0" w:color="auto"/>
            </w:tcBorders>
          </w:tcPr>
          <w:p w14:paraId="0EF1E30C" w14:textId="77777777" w:rsidR="00C67231" w:rsidRDefault="00C67231" w:rsidP="00D57B77">
            <w:pPr>
              <w:pStyle w:val="TableText"/>
              <w:rPr>
                <w:rFonts w:ascii="Cambria Math" w:hAnsi="Cambria Math"/>
              </w:rPr>
            </w:pPr>
            <w:r>
              <w:rPr>
                <w:rFonts w:ascii="Cambria Math" w:hAnsi="Cambria Math"/>
              </w:rPr>
              <w:t>m</w:t>
            </w:r>
          </w:p>
        </w:tc>
      </w:tr>
      <w:tr w:rsidR="00C67231" w:rsidRPr="0074556C" w14:paraId="772AF993" w14:textId="77777777" w:rsidTr="00AE2101">
        <w:trPr>
          <w:trHeight w:val="300"/>
        </w:trPr>
        <w:tc>
          <w:tcPr>
            <w:tcW w:w="2970" w:type="dxa"/>
            <w:tcBorders>
              <w:top w:val="single" w:sz="4" w:space="0" w:color="000000" w:themeColor="text1"/>
              <w:left w:val="single" w:sz="4" w:space="0" w:color="auto"/>
              <w:bottom w:val="single" w:sz="4" w:space="0" w:color="000000" w:themeColor="text1"/>
              <w:right w:val="single" w:sz="4" w:space="0" w:color="auto"/>
            </w:tcBorders>
            <w:shd w:val="clear" w:color="auto" w:fill="auto"/>
            <w:noWrap/>
            <w:vAlign w:val="bottom"/>
          </w:tcPr>
          <w:p w14:paraId="430CAA14" w14:textId="77777777" w:rsidR="00C67231" w:rsidRPr="0074556C" w:rsidRDefault="00C67231" w:rsidP="00D57B77">
            <w:pPr>
              <w:pStyle w:val="TableText"/>
            </w:pPr>
            <w:r>
              <w:t>Contact Pressure</w:t>
            </w:r>
          </w:p>
        </w:tc>
        <w:tc>
          <w:tcPr>
            <w:tcW w:w="1530" w:type="dxa"/>
            <w:tcBorders>
              <w:top w:val="single" w:sz="4" w:space="0" w:color="000000" w:themeColor="text1"/>
              <w:left w:val="single" w:sz="4" w:space="0" w:color="auto"/>
              <w:bottom w:val="single" w:sz="4" w:space="0" w:color="000000" w:themeColor="text1"/>
              <w:right w:val="single" w:sz="4" w:space="0" w:color="auto"/>
            </w:tcBorders>
          </w:tcPr>
          <w:p w14:paraId="57E5A24C" w14:textId="77777777" w:rsidR="00C67231" w:rsidRPr="0074556C" w:rsidRDefault="00C67231" w:rsidP="00D57B77">
            <w:pPr>
              <w:pStyle w:val="TableText"/>
              <w:rPr>
                <w:rFonts w:ascii="Cambria Math" w:hAnsi="Cambria Math"/>
              </w:rPr>
            </w:pPr>
            <w:r>
              <w:rPr>
                <w:rFonts w:ascii="Cambria Math" w:hAnsi="Cambria Math"/>
              </w:rPr>
              <w:t>P</w:t>
            </w:r>
            <w:r>
              <w:rPr>
                <w:rFonts w:ascii="Cambria Math" w:hAnsi="Cambria Math"/>
                <w:vertAlign w:val="subscript"/>
              </w:rPr>
              <w:t>c</w:t>
            </w:r>
          </w:p>
        </w:tc>
        <w:tc>
          <w:tcPr>
            <w:tcW w:w="1530" w:type="dxa"/>
            <w:tcBorders>
              <w:top w:val="single" w:sz="4" w:space="0" w:color="000000" w:themeColor="text1"/>
              <w:left w:val="single" w:sz="4" w:space="0" w:color="auto"/>
              <w:bottom w:val="single" w:sz="4" w:space="0" w:color="000000" w:themeColor="text1"/>
              <w:right w:val="single" w:sz="4" w:space="0" w:color="auto"/>
            </w:tcBorders>
          </w:tcPr>
          <w:p w14:paraId="1F902011" w14:textId="77777777" w:rsidR="00C67231" w:rsidRDefault="00C67231" w:rsidP="00D57B77">
            <w:pPr>
              <w:pStyle w:val="TableText"/>
              <w:rPr>
                <w:rFonts w:ascii="Cambria Math" w:hAnsi="Cambria Math"/>
              </w:rPr>
            </w:pPr>
            <w:r>
              <w:rPr>
                <w:rFonts w:ascii="Cambria Math" w:hAnsi="Cambria Math"/>
              </w:rPr>
              <w:t>Pa</w:t>
            </w:r>
          </w:p>
        </w:tc>
      </w:tr>
      <w:tr w:rsidR="00C67231" w:rsidRPr="0074556C" w14:paraId="7104143C" w14:textId="77777777" w:rsidTr="00AE2101">
        <w:trPr>
          <w:trHeight w:val="300"/>
        </w:trPr>
        <w:tc>
          <w:tcPr>
            <w:tcW w:w="2970" w:type="dxa"/>
            <w:tcBorders>
              <w:top w:val="single" w:sz="4" w:space="0" w:color="000000" w:themeColor="text1"/>
              <w:left w:val="single" w:sz="4" w:space="0" w:color="auto"/>
              <w:bottom w:val="single" w:sz="4" w:space="0" w:color="000000" w:themeColor="text1"/>
              <w:right w:val="single" w:sz="4" w:space="0" w:color="auto"/>
            </w:tcBorders>
            <w:shd w:val="clear" w:color="auto" w:fill="auto"/>
            <w:noWrap/>
            <w:vAlign w:val="bottom"/>
          </w:tcPr>
          <w:p w14:paraId="46B56E98" w14:textId="77777777" w:rsidR="00C67231" w:rsidRDefault="00C67231" w:rsidP="00D57B77">
            <w:pPr>
              <w:pStyle w:val="TableText"/>
            </w:pPr>
            <w:r>
              <w:t>Effective Microhardness</w:t>
            </w:r>
          </w:p>
          <w:p w14:paraId="3960902A" w14:textId="77777777" w:rsidR="00C67231" w:rsidRPr="0074556C" w:rsidRDefault="00C67231" w:rsidP="00D57B77">
            <w:pPr>
              <w:pStyle w:val="TableText"/>
            </w:pPr>
            <w:r>
              <w:t xml:space="preserve">(softer of </w:t>
            </w:r>
            <w:r w:rsidRPr="00405396">
              <w:t>H</w:t>
            </w:r>
            <w:r>
              <w:rPr>
                <w:vertAlign w:val="subscript"/>
              </w:rPr>
              <w:t>S1</w:t>
            </w:r>
            <w:r>
              <w:t xml:space="preserve"> and H</w:t>
            </w:r>
            <w:r>
              <w:rPr>
                <w:vertAlign w:val="subscript"/>
              </w:rPr>
              <w:t>S2</w:t>
            </w:r>
            <w:r>
              <w:t>)</w:t>
            </w:r>
          </w:p>
        </w:tc>
        <w:tc>
          <w:tcPr>
            <w:tcW w:w="1530" w:type="dxa"/>
            <w:tcBorders>
              <w:top w:val="single" w:sz="4" w:space="0" w:color="000000" w:themeColor="text1"/>
              <w:left w:val="single" w:sz="4" w:space="0" w:color="auto"/>
              <w:bottom w:val="single" w:sz="4" w:space="0" w:color="000000" w:themeColor="text1"/>
              <w:right w:val="single" w:sz="4" w:space="0" w:color="auto"/>
            </w:tcBorders>
            <w:vAlign w:val="center"/>
          </w:tcPr>
          <w:p w14:paraId="48877805" w14:textId="77777777" w:rsidR="00C67231" w:rsidRPr="00BD70E5" w:rsidRDefault="00C67231" w:rsidP="00D57B77">
            <w:pPr>
              <w:pStyle w:val="TableText"/>
              <w:rPr>
                <w:rFonts w:ascii="Cambria Math" w:hAnsi="Cambria Math"/>
                <w:vertAlign w:val="subscript"/>
              </w:rPr>
            </w:pPr>
            <w:r>
              <w:rPr>
                <w:rFonts w:ascii="Cambria Math" w:hAnsi="Cambria Math"/>
              </w:rPr>
              <w:t>H</w:t>
            </w:r>
            <w:r>
              <w:rPr>
                <w:rFonts w:ascii="Cambria Math" w:hAnsi="Cambria Math"/>
                <w:vertAlign w:val="subscript"/>
              </w:rPr>
              <w:t>eff</w:t>
            </w:r>
          </w:p>
        </w:tc>
        <w:tc>
          <w:tcPr>
            <w:tcW w:w="1530" w:type="dxa"/>
            <w:tcBorders>
              <w:top w:val="single" w:sz="4" w:space="0" w:color="000000" w:themeColor="text1"/>
              <w:left w:val="single" w:sz="4" w:space="0" w:color="auto"/>
              <w:bottom w:val="single" w:sz="4" w:space="0" w:color="000000" w:themeColor="text1"/>
              <w:right w:val="single" w:sz="4" w:space="0" w:color="auto"/>
            </w:tcBorders>
            <w:vAlign w:val="center"/>
          </w:tcPr>
          <w:p w14:paraId="10142CB7" w14:textId="77777777" w:rsidR="00C67231" w:rsidRDefault="00C67231" w:rsidP="00D57B77">
            <w:pPr>
              <w:pStyle w:val="TableText"/>
              <w:rPr>
                <w:rFonts w:ascii="Cambria Math" w:hAnsi="Cambria Math"/>
              </w:rPr>
            </w:pPr>
            <w:r>
              <w:rPr>
                <w:rFonts w:ascii="Cambria Math" w:hAnsi="Cambria Math"/>
              </w:rPr>
              <w:t>N/m</w:t>
            </w:r>
            <w:r>
              <w:rPr>
                <w:rFonts w:ascii="Cambria Math" w:hAnsi="Cambria Math"/>
                <w:vertAlign w:val="superscript"/>
              </w:rPr>
              <w:t>2</w:t>
            </w:r>
          </w:p>
        </w:tc>
      </w:tr>
      <w:tr w:rsidR="00C67231" w:rsidRPr="0074556C" w14:paraId="409E779A" w14:textId="77777777" w:rsidTr="00AE2101">
        <w:trPr>
          <w:trHeight w:val="300"/>
        </w:trPr>
        <w:tc>
          <w:tcPr>
            <w:tcW w:w="2970" w:type="dxa"/>
            <w:tcBorders>
              <w:top w:val="single" w:sz="4" w:space="0" w:color="000000" w:themeColor="text1"/>
              <w:left w:val="single" w:sz="4" w:space="0" w:color="auto"/>
              <w:bottom w:val="single" w:sz="4" w:space="0" w:color="000000" w:themeColor="text1"/>
              <w:right w:val="single" w:sz="4" w:space="0" w:color="auto"/>
            </w:tcBorders>
            <w:shd w:val="clear" w:color="auto" w:fill="auto"/>
            <w:noWrap/>
            <w:vAlign w:val="bottom"/>
          </w:tcPr>
          <w:p w14:paraId="448944FF" w14:textId="77777777" w:rsidR="00C67231" w:rsidRPr="00405396" w:rsidRDefault="00C67231" w:rsidP="00D57B77">
            <w:pPr>
              <w:pStyle w:val="TableText"/>
            </w:pPr>
            <w:r>
              <w:t>Gap Distance</w:t>
            </w:r>
          </w:p>
        </w:tc>
        <w:tc>
          <w:tcPr>
            <w:tcW w:w="1530" w:type="dxa"/>
            <w:tcBorders>
              <w:top w:val="single" w:sz="4" w:space="0" w:color="000000" w:themeColor="text1"/>
              <w:left w:val="single" w:sz="4" w:space="0" w:color="auto"/>
              <w:bottom w:val="single" w:sz="4" w:space="0" w:color="000000" w:themeColor="text1"/>
              <w:right w:val="single" w:sz="4" w:space="0" w:color="auto"/>
            </w:tcBorders>
          </w:tcPr>
          <w:p w14:paraId="6128C692" w14:textId="77777777" w:rsidR="00C67231" w:rsidRPr="00BD70E5" w:rsidRDefault="00C67231" w:rsidP="00D57B77">
            <w:pPr>
              <w:pStyle w:val="TableText"/>
              <w:rPr>
                <w:rFonts w:ascii="Cambria Math" w:hAnsi="Cambria Math"/>
                <w:vertAlign w:val="subscript"/>
              </w:rPr>
            </w:pPr>
            <w:r>
              <w:rPr>
                <w:rFonts w:ascii="Cambria Math" w:hAnsi="Cambria Math"/>
              </w:rPr>
              <w:sym w:font="Symbol" w:char="F064"/>
            </w:r>
          </w:p>
        </w:tc>
        <w:tc>
          <w:tcPr>
            <w:tcW w:w="1530" w:type="dxa"/>
            <w:tcBorders>
              <w:top w:val="single" w:sz="4" w:space="0" w:color="000000" w:themeColor="text1"/>
              <w:left w:val="single" w:sz="4" w:space="0" w:color="auto"/>
              <w:bottom w:val="single" w:sz="4" w:space="0" w:color="000000" w:themeColor="text1"/>
              <w:right w:val="single" w:sz="4" w:space="0" w:color="auto"/>
            </w:tcBorders>
          </w:tcPr>
          <w:p w14:paraId="7456CA5E" w14:textId="77777777" w:rsidR="00C67231" w:rsidRPr="00BE6D83" w:rsidRDefault="00C67231" w:rsidP="00D57B77">
            <w:pPr>
              <w:pStyle w:val="TableText"/>
              <w:rPr>
                <w:rFonts w:ascii="Cambria Math" w:hAnsi="Cambria Math"/>
              </w:rPr>
            </w:pPr>
            <w:r>
              <w:rPr>
                <w:rFonts w:ascii="Cambria Math" w:hAnsi="Cambria Math"/>
              </w:rPr>
              <w:t>m</w:t>
            </w:r>
          </w:p>
        </w:tc>
      </w:tr>
      <w:tr w:rsidR="00C67231" w:rsidRPr="0074556C" w14:paraId="0D64ACB1" w14:textId="77777777" w:rsidTr="00AE2101">
        <w:trPr>
          <w:trHeight w:val="300"/>
        </w:trPr>
        <w:tc>
          <w:tcPr>
            <w:tcW w:w="2970" w:type="dxa"/>
            <w:tcBorders>
              <w:top w:val="single" w:sz="4" w:space="0" w:color="000000" w:themeColor="text1"/>
              <w:left w:val="single" w:sz="4" w:space="0" w:color="auto"/>
              <w:bottom w:val="single" w:sz="4" w:space="0" w:color="000000" w:themeColor="text1"/>
              <w:right w:val="single" w:sz="4" w:space="0" w:color="auto"/>
            </w:tcBorders>
            <w:shd w:val="clear" w:color="auto" w:fill="auto"/>
            <w:noWrap/>
            <w:vAlign w:val="bottom"/>
          </w:tcPr>
          <w:p w14:paraId="1A5F27BD" w14:textId="77777777" w:rsidR="00C67231" w:rsidRPr="0074556C" w:rsidRDefault="00C67231" w:rsidP="00D57B77">
            <w:pPr>
              <w:pStyle w:val="TableText"/>
            </w:pPr>
            <w:r>
              <w:t>Temperature Jump Distance</w:t>
            </w:r>
          </w:p>
        </w:tc>
        <w:tc>
          <w:tcPr>
            <w:tcW w:w="1530" w:type="dxa"/>
            <w:tcBorders>
              <w:top w:val="single" w:sz="4" w:space="0" w:color="000000" w:themeColor="text1"/>
              <w:left w:val="single" w:sz="4" w:space="0" w:color="auto"/>
              <w:bottom w:val="single" w:sz="4" w:space="0" w:color="000000" w:themeColor="text1"/>
              <w:right w:val="single" w:sz="4" w:space="0" w:color="auto"/>
            </w:tcBorders>
          </w:tcPr>
          <w:p w14:paraId="4F843A80" w14:textId="77777777" w:rsidR="00C67231" w:rsidRPr="0074556C" w:rsidRDefault="00C67231" w:rsidP="00D57B77">
            <w:pPr>
              <w:pStyle w:val="TableText"/>
              <w:rPr>
                <w:rFonts w:ascii="Cambria Math" w:hAnsi="Cambria Math"/>
              </w:rPr>
            </w:pPr>
            <w:r>
              <w:rPr>
                <w:rFonts w:ascii="Cambria Math" w:hAnsi="Cambria Math"/>
              </w:rPr>
              <w:t>g</w:t>
            </w:r>
          </w:p>
        </w:tc>
        <w:tc>
          <w:tcPr>
            <w:tcW w:w="1530" w:type="dxa"/>
            <w:tcBorders>
              <w:top w:val="single" w:sz="4" w:space="0" w:color="000000" w:themeColor="text1"/>
              <w:left w:val="single" w:sz="4" w:space="0" w:color="auto"/>
              <w:bottom w:val="single" w:sz="4" w:space="0" w:color="000000" w:themeColor="text1"/>
              <w:right w:val="single" w:sz="4" w:space="0" w:color="auto"/>
            </w:tcBorders>
          </w:tcPr>
          <w:p w14:paraId="1EC52D39" w14:textId="77777777" w:rsidR="00C67231" w:rsidRDefault="00C67231" w:rsidP="00D57B77">
            <w:pPr>
              <w:pStyle w:val="TableText"/>
              <w:rPr>
                <w:rFonts w:ascii="Cambria Math" w:hAnsi="Cambria Math"/>
              </w:rPr>
            </w:pPr>
            <w:r>
              <w:rPr>
                <w:rFonts w:ascii="Cambria Math" w:hAnsi="Cambria Math"/>
              </w:rPr>
              <w:t>m</w:t>
            </w:r>
          </w:p>
        </w:tc>
      </w:tr>
      <w:tr w:rsidR="00C67231" w:rsidRPr="0074556C" w14:paraId="5BF9180B" w14:textId="77777777" w:rsidTr="00AE2101">
        <w:trPr>
          <w:trHeight w:val="300"/>
        </w:trPr>
        <w:tc>
          <w:tcPr>
            <w:tcW w:w="2970" w:type="dxa"/>
            <w:tcBorders>
              <w:top w:val="single" w:sz="4" w:space="0" w:color="000000" w:themeColor="text1"/>
              <w:left w:val="single" w:sz="4" w:space="0" w:color="auto"/>
              <w:bottom w:val="single" w:sz="4" w:space="0" w:color="000000" w:themeColor="text1"/>
              <w:right w:val="single" w:sz="4" w:space="0" w:color="auto"/>
            </w:tcBorders>
            <w:shd w:val="clear" w:color="auto" w:fill="auto"/>
            <w:noWrap/>
            <w:vAlign w:val="bottom"/>
          </w:tcPr>
          <w:p w14:paraId="6A41B2A1" w14:textId="77777777" w:rsidR="00C67231" w:rsidRPr="0074556C" w:rsidRDefault="00C67231" w:rsidP="00D57B77">
            <w:pPr>
              <w:pStyle w:val="TableText"/>
            </w:pPr>
            <w:r>
              <w:t>Gas Pressure</w:t>
            </w:r>
          </w:p>
        </w:tc>
        <w:tc>
          <w:tcPr>
            <w:tcW w:w="1530" w:type="dxa"/>
            <w:tcBorders>
              <w:top w:val="single" w:sz="4" w:space="0" w:color="000000" w:themeColor="text1"/>
              <w:left w:val="single" w:sz="4" w:space="0" w:color="auto"/>
              <w:bottom w:val="single" w:sz="4" w:space="0" w:color="000000" w:themeColor="text1"/>
              <w:right w:val="single" w:sz="4" w:space="0" w:color="auto"/>
            </w:tcBorders>
          </w:tcPr>
          <w:p w14:paraId="756EAA65" w14:textId="77777777" w:rsidR="00C67231" w:rsidRPr="0074556C" w:rsidRDefault="00C67231" w:rsidP="00D57B77">
            <w:pPr>
              <w:pStyle w:val="TableText"/>
              <w:rPr>
                <w:rFonts w:ascii="Cambria Math" w:hAnsi="Cambria Math"/>
              </w:rPr>
            </w:pPr>
            <w:r>
              <w:rPr>
                <w:rFonts w:ascii="Cambria Math" w:hAnsi="Cambria Math"/>
              </w:rPr>
              <w:t>P</w:t>
            </w:r>
            <w:r>
              <w:rPr>
                <w:rFonts w:ascii="Cambria Math" w:hAnsi="Cambria Math"/>
                <w:vertAlign w:val="subscript"/>
              </w:rPr>
              <w:t>g</w:t>
            </w:r>
          </w:p>
        </w:tc>
        <w:tc>
          <w:tcPr>
            <w:tcW w:w="1530" w:type="dxa"/>
            <w:tcBorders>
              <w:top w:val="single" w:sz="4" w:space="0" w:color="000000" w:themeColor="text1"/>
              <w:left w:val="single" w:sz="4" w:space="0" w:color="auto"/>
              <w:bottom w:val="single" w:sz="4" w:space="0" w:color="000000" w:themeColor="text1"/>
              <w:right w:val="single" w:sz="4" w:space="0" w:color="auto"/>
            </w:tcBorders>
          </w:tcPr>
          <w:p w14:paraId="318BD1B7" w14:textId="77777777" w:rsidR="00C67231" w:rsidRDefault="00C67231" w:rsidP="00D57B77">
            <w:pPr>
              <w:pStyle w:val="TableText"/>
              <w:rPr>
                <w:rFonts w:ascii="Cambria Math" w:hAnsi="Cambria Math"/>
              </w:rPr>
            </w:pPr>
            <w:r>
              <w:rPr>
                <w:rFonts w:ascii="Cambria Math" w:hAnsi="Cambria Math"/>
              </w:rPr>
              <w:t>Pa</w:t>
            </w:r>
          </w:p>
        </w:tc>
      </w:tr>
      <w:tr w:rsidR="00C67231" w:rsidRPr="0074556C" w14:paraId="50FDD833" w14:textId="77777777" w:rsidTr="00AE2101">
        <w:trPr>
          <w:trHeight w:val="300"/>
        </w:trPr>
        <w:tc>
          <w:tcPr>
            <w:tcW w:w="2970" w:type="dxa"/>
            <w:tcBorders>
              <w:top w:val="single" w:sz="4" w:space="0" w:color="000000" w:themeColor="text1"/>
              <w:left w:val="single" w:sz="4" w:space="0" w:color="auto"/>
              <w:bottom w:val="single" w:sz="4" w:space="0" w:color="000000" w:themeColor="text1"/>
              <w:right w:val="single" w:sz="4" w:space="0" w:color="auto"/>
            </w:tcBorders>
            <w:shd w:val="clear" w:color="auto" w:fill="auto"/>
            <w:noWrap/>
            <w:vAlign w:val="bottom"/>
          </w:tcPr>
          <w:p w14:paraId="7E1C5188" w14:textId="77777777" w:rsidR="00C67231" w:rsidRPr="0074556C" w:rsidRDefault="00C67231" w:rsidP="00D57B77">
            <w:pPr>
              <w:pStyle w:val="TableText"/>
            </w:pPr>
            <w:r>
              <w:t>Accommodation Coefficient</w:t>
            </w:r>
          </w:p>
        </w:tc>
        <w:tc>
          <w:tcPr>
            <w:tcW w:w="1530" w:type="dxa"/>
            <w:tcBorders>
              <w:top w:val="single" w:sz="4" w:space="0" w:color="000000" w:themeColor="text1"/>
              <w:left w:val="single" w:sz="4" w:space="0" w:color="auto"/>
              <w:bottom w:val="single" w:sz="4" w:space="0" w:color="000000" w:themeColor="text1"/>
              <w:right w:val="single" w:sz="4" w:space="0" w:color="auto"/>
            </w:tcBorders>
          </w:tcPr>
          <w:p w14:paraId="1F70D20F" w14:textId="77777777" w:rsidR="00C67231" w:rsidRPr="008725EA" w:rsidRDefault="00C67231" w:rsidP="00D57B77">
            <w:pPr>
              <w:pStyle w:val="TableText"/>
              <w:rPr>
                <w:rFonts w:ascii="Cambria Math" w:hAnsi="Cambria Math"/>
                <w:vertAlign w:val="subscript"/>
              </w:rPr>
            </w:pPr>
            <w:r>
              <w:rPr>
                <w:rFonts w:ascii="Cambria Math" w:hAnsi="Cambria Math"/>
              </w:rPr>
              <w:sym w:font="Symbol" w:char="F061"/>
            </w:r>
          </w:p>
        </w:tc>
        <w:tc>
          <w:tcPr>
            <w:tcW w:w="1530" w:type="dxa"/>
            <w:tcBorders>
              <w:top w:val="single" w:sz="4" w:space="0" w:color="000000" w:themeColor="text1"/>
              <w:left w:val="single" w:sz="4" w:space="0" w:color="auto"/>
              <w:bottom w:val="single" w:sz="4" w:space="0" w:color="000000" w:themeColor="text1"/>
              <w:right w:val="single" w:sz="4" w:space="0" w:color="auto"/>
            </w:tcBorders>
          </w:tcPr>
          <w:p w14:paraId="46374278" w14:textId="77777777" w:rsidR="00C67231" w:rsidRDefault="00C67231" w:rsidP="00D57B77">
            <w:pPr>
              <w:pStyle w:val="TableText"/>
              <w:rPr>
                <w:rFonts w:ascii="Cambria Math" w:hAnsi="Cambria Math"/>
              </w:rPr>
            </w:pPr>
          </w:p>
        </w:tc>
      </w:tr>
      <w:tr w:rsidR="00C67231" w:rsidRPr="0074556C" w14:paraId="7FD916D1" w14:textId="77777777" w:rsidTr="00AE2101">
        <w:trPr>
          <w:trHeight w:val="300"/>
        </w:trPr>
        <w:tc>
          <w:tcPr>
            <w:tcW w:w="2970" w:type="dxa"/>
            <w:tcBorders>
              <w:top w:val="single" w:sz="4" w:space="0" w:color="000000" w:themeColor="text1"/>
              <w:left w:val="single" w:sz="4" w:space="0" w:color="auto"/>
              <w:bottom w:val="single" w:sz="4" w:space="0" w:color="000000" w:themeColor="text1"/>
              <w:right w:val="single" w:sz="4" w:space="0" w:color="auto"/>
            </w:tcBorders>
            <w:shd w:val="clear" w:color="auto" w:fill="auto"/>
            <w:noWrap/>
            <w:vAlign w:val="bottom"/>
          </w:tcPr>
          <w:p w14:paraId="355BF7DE" w14:textId="77777777" w:rsidR="00C67231" w:rsidRDefault="00C67231" w:rsidP="00D57B77">
            <w:pPr>
              <w:pStyle w:val="TableText"/>
            </w:pPr>
            <w:r>
              <w:t>Ratio of specific heats</w:t>
            </w:r>
          </w:p>
          <w:p w14:paraId="2440C33C" w14:textId="77777777" w:rsidR="00C67231" w:rsidRPr="0074556C" w:rsidRDefault="00C67231" w:rsidP="00D57B77">
            <w:pPr>
              <w:pStyle w:val="TableText"/>
            </w:pPr>
            <w:r>
              <w:rPr>
                <w:rFonts w:ascii="Cambria Math" w:hAnsi="Cambria Math"/>
              </w:rPr>
              <w:sym w:font="Symbol" w:char="F067"/>
            </w:r>
            <w:r>
              <w:rPr>
                <w:rFonts w:ascii="Cambria Math" w:hAnsi="Cambria Math"/>
              </w:rPr>
              <w:t xml:space="preserve"> = C</w:t>
            </w:r>
            <w:r>
              <w:rPr>
                <w:rFonts w:ascii="Cambria Math" w:hAnsi="Cambria Math"/>
                <w:vertAlign w:val="subscript"/>
              </w:rPr>
              <w:t>p</w:t>
            </w:r>
            <w:r>
              <w:rPr>
                <w:rFonts w:ascii="Cambria Math" w:hAnsi="Cambria Math"/>
              </w:rPr>
              <w:t>/C</w:t>
            </w:r>
            <w:r>
              <w:rPr>
                <w:rFonts w:ascii="Cambria Math" w:hAnsi="Cambria Math"/>
                <w:vertAlign w:val="subscript"/>
              </w:rPr>
              <w:t>v</w:t>
            </w:r>
          </w:p>
        </w:tc>
        <w:tc>
          <w:tcPr>
            <w:tcW w:w="1530" w:type="dxa"/>
            <w:tcBorders>
              <w:top w:val="single" w:sz="4" w:space="0" w:color="000000" w:themeColor="text1"/>
              <w:left w:val="single" w:sz="4" w:space="0" w:color="auto"/>
              <w:bottom w:val="single" w:sz="4" w:space="0" w:color="000000" w:themeColor="text1"/>
              <w:right w:val="single" w:sz="4" w:space="0" w:color="auto"/>
            </w:tcBorders>
            <w:vAlign w:val="center"/>
          </w:tcPr>
          <w:p w14:paraId="638EA87D" w14:textId="77777777" w:rsidR="00C67231" w:rsidRPr="008725EA" w:rsidRDefault="00C67231" w:rsidP="00D57B77">
            <w:pPr>
              <w:pStyle w:val="TableText"/>
              <w:rPr>
                <w:rFonts w:ascii="Cambria Math" w:hAnsi="Cambria Math"/>
              </w:rPr>
            </w:pPr>
            <w:r>
              <w:rPr>
                <w:rFonts w:ascii="Cambria Math" w:hAnsi="Cambria Math"/>
              </w:rPr>
              <w:sym w:font="Symbol" w:char="F067"/>
            </w:r>
          </w:p>
        </w:tc>
        <w:tc>
          <w:tcPr>
            <w:tcW w:w="1530" w:type="dxa"/>
            <w:tcBorders>
              <w:top w:val="single" w:sz="4" w:space="0" w:color="000000" w:themeColor="text1"/>
              <w:left w:val="single" w:sz="4" w:space="0" w:color="auto"/>
              <w:bottom w:val="single" w:sz="4" w:space="0" w:color="000000" w:themeColor="text1"/>
              <w:right w:val="single" w:sz="4" w:space="0" w:color="auto"/>
            </w:tcBorders>
            <w:vAlign w:val="center"/>
          </w:tcPr>
          <w:p w14:paraId="72E2BF7D" w14:textId="77777777" w:rsidR="00C67231" w:rsidRDefault="00C67231" w:rsidP="00D57B77">
            <w:pPr>
              <w:pStyle w:val="TableText"/>
              <w:rPr>
                <w:rFonts w:ascii="Cambria Math" w:hAnsi="Cambria Math"/>
              </w:rPr>
            </w:pPr>
          </w:p>
        </w:tc>
      </w:tr>
      <w:tr w:rsidR="00C67231" w:rsidRPr="0074556C" w14:paraId="7642B397" w14:textId="77777777" w:rsidTr="00AE2101">
        <w:trPr>
          <w:trHeight w:val="300"/>
        </w:trPr>
        <w:tc>
          <w:tcPr>
            <w:tcW w:w="2970" w:type="dxa"/>
            <w:tcBorders>
              <w:top w:val="single" w:sz="4" w:space="0" w:color="000000" w:themeColor="text1"/>
              <w:left w:val="single" w:sz="4" w:space="0" w:color="auto"/>
              <w:bottom w:val="single" w:sz="4" w:space="0" w:color="000000" w:themeColor="text1"/>
              <w:right w:val="single" w:sz="4" w:space="0" w:color="auto"/>
            </w:tcBorders>
            <w:shd w:val="clear" w:color="auto" w:fill="auto"/>
            <w:noWrap/>
            <w:vAlign w:val="bottom"/>
          </w:tcPr>
          <w:p w14:paraId="464D4C3B" w14:textId="77777777" w:rsidR="00C67231" w:rsidRPr="0074556C" w:rsidRDefault="00C67231" w:rsidP="00D57B77">
            <w:pPr>
              <w:pStyle w:val="TableText"/>
            </w:pPr>
            <w:r>
              <w:t>Molecular weight</w:t>
            </w:r>
          </w:p>
        </w:tc>
        <w:tc>
          <w:tcPr>
            <w:tcW w:w="1530" w:type="dxa"/>
            <w:tcBorders>
              <w:top w:val="single" w:sz="4" w:space="0" w:color="000000" w:themeColor="text1"/>
              <w:left w:val="single" w:sz="4" w:space="0" w:color="auto"/>
              <w:bottom w:val="single" w:sz="4" w:space="0" w:color="000000" w:themeColor="text1"/>
              <w:right w:val="single" w:sz="4" w:space="0" w:color="auto"/>
            </w:tcBorders>
          </w:tcPr>
          <w:p w14:paraId="1E725A76" w14:textId="77777777" w:rsidR="00C67231" w:rsidRPr="0074556C" w:rsidRDefault="00C67231" w:rsidP="00D57B77">
            <w:pPr>
              <w:pStyle w:val="TableText"/>
              <w:rPr>
                <w:rFonts w:ascii="Cambria Math" w:hAnsi="Cambria Math"/>
              </w:rPr>
            </w:pPr>
            <w:r>
              <w:rPr>
                <w:rFonts w:ascii="Cambria Math" w:hAnsi="Cambria Math"/>
              </w:rPr>
              <w:t>MW</w:t>
            </w:r>
          </w:p>
        </w:tc>
        <w:tc>
          <w:tcPr>
            <w:tcW w:w="1530" w:type="dxa"/>
            <w:tcBorders>
              <w:top w:val="single" w:sz="4" w:space="0" w:color="000000" w:themeColor="text1"/>
              <w:left w:val="single" w:sz="4" w:space="0" w:color="auto"/>
              <w:bottom w:val="single" w:sz="4" w:space="0" w:color="000000" w:themeColor="text1"/>
              <w:right w:val="single" w:sz="4" w:space="0" w:color="auto"/>
            </w:tcBorders>
          </w:tcPr>
          <w:p w14:paraId="24053158" w14:textId="77777777" w:rsidR="00C67231" w:rsidRDefault="00C67231" w:rsidP="00D57B77">
            <w:pPr>
              <w:pStyle w:val="TableText"/>
              <w:rPr>
                <w:rFonts w:ascii="Cambria Math" w:hAnsi="Cambria Math"/>
              </w:rPr>
            </w:pPr>
            <w:r>
              <w:rPr>
                <w:rFonts w:ascii="Cambria Math" w:hAnsi="Cambria Math"/>
              </w:rPr>
              <w:t>kg/kmol</w:t>
            </w:r>
          </w:p>
        </w:tc>
      </w:tr>
      <w:tr w:rsidR="00C67231" w:rsidRPr="0074556C" w14:paraId="01366A82" w14:textId="77777777" w:rsidTr="00AE2101">
        <w:trPr>
          <w:trHeight w:val="300"/>
        </w:trPr>
        <w:tc>
          <w:tcPr>
            <w:tcW w:w="2970" w:type="dxa"/>
            <w:tcBorders>
              <w:top w:val="single" w:sz="4" w:space="0" w:color="000000" w:themeColor="text1"/>
              <w:left w:val="single" w:sz="4" w:space="0" w:color="auto"/>
              <w:bottom w:val="single" w:sz="4" w:space="0" w:color="000000" w:themeColor="text1"/>
              <w:right w:val="single" w:sz="4" w:space="0" w:color="auto"/>
            </w:tcBorders>
            <w:shd w:val="clear" w:color="auto" w:fill="auto"/>
            <w:noWrap/>
            <w:vAlign w:val="bottom"/>
          </w:tcPr>
          <w:p w14:paraId="77F091A7" w14:textId="77777777" w:rsidR="00C67231" w:rsidRDefault="00C67231" w:rsidP="00D57B77">
            <w:pPr>
              <w:pStyle w:val="TableText"/>
            </w:pPr>
            <w:r>
              <w:t>Ideal Gas Constant</w:t>
            </w:r>
          </w:p>
          <w:p w14:paraId="63109FCA" w14:textId="77777777" w:rsidR="00C67231" w:rsidRPr="0074556C" w:rsidRDefault="00C67231" w:rsidP="00D57B77">
            <w:pPr>
              <w:pStyle w:val="TableText"/>
            </w:pPr>
            <w:r>
              <w:rPr>
                <w:rFonts w:ascii="Cambria Math" w:hAnsi="Cambria Math"/>
              </w:rPr>
              <w:t>R</w:t>
            </w:r>
            <w:r>
              <w:rPr>
                <w:rFonts w:ascii="Cambria Math" w:hAnsi="Cambria Math"/>
                <w:vertAlign w:val="subscript"/>
              </w:rPr>
              <w:t xml:space="preserve">g </w:t>
            </w:r>
            <w:r>
              <w:rPr>
                <w:rFonts w:ascii="Cambria Math" w:hAnsi="Cambria Math"/>
              </w:rPr>
              <w:t>= R/MW</w:t>
            </w:r>
            <w:r>
              <w:t xml:space="preserve"> </w:t>
            </w:r>
          </w:p>
        </w:tc>
        <w:tc>
          <w:tcPr>
            <w:tcW w:w="1530" w:type="dxa"/>
            <w:tcBorders>
              <w:top w:val="single" w:sz="4" w:space="0" w:color="000000" w:themeColor="text1"/>
              <w:left w:val="single" w:sz="4" w:space="0" w:color="auto"/>
              <w:bottom w:val="single" w:sz="4" w:space="0" w:color="000000" w:themeColor="text1"/>
              <w:right w:val="single" w:sz="4" w:space="0" w:color="auto"/>
            </w:tcBorders>
            <w:vAlign w:val="center"/>
          </w:tcPr>
          <w:p w14:paraId="0FCEE66C" w14:textId="77777777" w:rsidR="00C67231" w:rsidRPr="0074556C" w:rsidRDefault="00C67231" w:rsidP="00D57B77">
            <w:pPr>
              <w:pStyle w:val="TableText"/>
              <w:rPr>
                <w:rFonts w:ascii="Cambria Math" w:hAnsi="Cambria Math"/>
              </w:rPr>
            </w:pPr>
            <w:r>
              <w:rPr>
                <w:rFonts w:ascii="Cambria Math" w:hAnsi="Cambria Math"/>
              </w:rPr>
              <w:t>R</w:t>
            </w:r>
            <w:r>
              <w:rPr>
                <w:rFonts w:ascii="Cambria Math" w:hAnsi="Cambria Math"/>
                <w:vertAlign w:val="subscript"/>
              </w:rPr>
              <w:t>g</w:t>
            </w:r>
          </w:p>
        </w:tc>
        <w:tc>
          <w:tcPr>
            <w:tcW w:w="1530" w:type="dxa"/>
            <w:tcBorders>
              <w:top w:val="single" w:sz="4" w:space="0" w:color="000000" w:themeColor="text1"/>
              <w:left w:val="single" w:sz="4" w:space="0" w:color="auto"/>
              <w:bottom w:val="single" w:sz="4" w:space="0" w:color="000000" w:themeColor="text1"/>
              <w:right w:val="single" w:sz="4" w:space="0" w:color="auto"/>
            </w:tcBorders>
            <w:vAlign w:val="center"/>
          </w:tcPr>
          <w:p w14:paraId="0F6A6F24" w14:textId="77777777" w:rsidR="00C67231" w:rsidRDefault="00C67231" w:rsidP="00D57B77">
            <w:pPr>
              <w:pStyle w:val="TableText"/>
              <w:rPr>
                <w:rFonts w:ascii="Cambria Math" w:hAnsi="Cambria Math"/>
              </w:rPr>
            </w:pPr>
            <w:r>
              <w:rPr>
                <w:rFonts w:ascii="Cambria Math" w:hAnsi="Cambria Math"/>
              </w:rPr>
              <w:t>J/kmol</w:t>
            </w:r>
            <w:r>
              <w:rPr>
                <w:rFonts w:ascii="Cambria Math" w:hAnsi="Cambria Math"/>
              </w:rPr>
              <w:sym w:font="Symbol" w:char="F0D7"/>
            </w:r>
            <w:r>
              <w:rPr>
                <w:rFonts w:ascii="Cambria Math" w:hAnsi="Cambria Math"/>
              </w:rPr>
              <w:t>K</w:t>
            </w:r>
          </w:p>
        </w:tc>
      </w:tr>
      <w:tr w:rsidR="00C67231" w:rsidRPr="0074556C" w14:paraId="30B5B4A6" w14:textId="77777777" w:rsidTr="00AE2101">
        <w:trPr>
          <w:trHeight w:val="300"/>
        </w:trPr>
        <w:tc>
          <w:tcPr>
            <w:tcW w:w="2970" w:type="dxa"/>
            <w:tcBorders>
              <w:top w:val="single" w:sz="4" w:space="0" w:color="000000" w:themeColor="text1"/>
              <w:left w:val="single" w:sz="4" w:space="0" w:color="auto"/>
              <w:bottom w:val="single" w:sz="4" w:space="0" w:color="000000" w:themeColor="text1"/>
              <w:right w:val="single" w:sz="4" w:space="0" w:color="auto"/>
            </w:tcBorders>
            <w:shd w:val="clear" w:color="auto" w:fill="auto"/>
            <w:noWrap/>
            <w:vAlign w:val="bottom"/>
          </w:tcPr>
          <w:p w14:paraId="1FA0BA12" w14:textId="77777777" w:rsidR="00C67231" w:rsidRDefault="00C67231" w:rsidP="00D57B77">
            <w:pPr>
              <w:pStyle w:val="TableText"/>
            </w:pPr>
            <w:r>
              <w:t>Temperature Fitting</w:t>
            </w:r>
          </w:p>
        </w:tc>
        <w:tc>
          <w:tcPr>
            <w:tcW w:w="1530" w:type="dxa"/>
            <w:tcBorders>
              <w:top w:val="single" w:sz="4" w:space="0" w:color="000000" w:themeColor="text1"/>
              <w:left w:val="single" w:sz="4" w:space="0" w:color="auto"/>
              <w:bottom w:val="single" w:sz="4" w:space="0" w:color="000000" w:themeColor="text1"/>
              <w:right w:val="single" w:sz="4" w:space="0" w:color="auto"/>
            </w:tcBorders>
          </w:tcPr>
          <w:p w14:paraId="740F0AE5" w14:textId="77777777" w:rsidR="00C67231" w:rsidRPr="00DA699C" w:rsidRDefault="00C67231" w:rsidP="00D57B77">
            <w:pPr>
              <w:pStyle w:val="TableText"/>
              <w:rPr>
                <w:rFonts w:ascii="Cambria Math" w:hAnsi="Cambria Math"/>
              </w:rPr>
            </w:pPr>
            <w:r>
              <w:rPr>
                <w:rFonts w:ascii="Cambria Math" w:hAnsi="Cambria Math"/>
              </w:rPr>
              <w:t>F(T)</w:t>
            </w:r>
          </w:p>
        </w:tc>
        <w:tc>
          <w:tcPr>
            <w:tcW w:w="1530" w:type="dxa"/>
            <w:tcBorders>
              <w:top w:val="single" w:sz="4" w:space="0" w:color="000000" w:themeColor="text1"/>
              <w:left w:val="single" w:sz="4" w:space="0" w:color="auto"/>
              <w:bottom w:val="single" w:sz="4" w:space="0" w:color="000000" w:themeColor="text1"/>
              <w:right w:val="single" w:sz="4" w:space="0" w:color="auto"/>
            </w:tcBorders>
          </w:tcPr>
          <w:p w14:paraId="0021EE0A" w14:textId="77777777" w:rsidR="00C67231" w:rsidRDefault="00C67231" w:rsidP="00D57B77">
            <w:pPr>
              <w:pStyle w:val="TableText"/>
              <w:rPr>
                <w:rFonts w:ascii="Cambria Math" w:hAnsi="Cambria Math"/>
              </w:rPr>
            </w:pPr>
          </w:p>
        </w:tc>
      </w:tr>
      <w:tr w:rsidR="00C67231" w:rsidRPr="0074556C" w14:paraId="71827A72" w14:textId="77777777" w:rsidTr="00AE2101">
        <w:trPr>
          <w:trHeight w:val="300"/>
        </w:trPr>
        <w:tc>
          <w:tcPr>
            <w:tcW w:w="2970" w:type="dxa"/>
            <w:tcBorders>
              <w:top w:val="single" w:sz="4" w:space="0" w:color="000000" w:themeColor="text1"/>
              <w:left w:val="single" w:sz="4" w:space="0" w:color="auto"/>
              <w:bottom w:val="single" w:sz="4" w:space="0" w:color="000000" w:themeColor="text1"/>
              <w:right w:val="single" w:sz="4" w:space="0" w:color="auto"/>
            </w:tcBorders>
            <w:shd w:val="clear" w:color="auto" w:fill="auto"/>
            <w:noWrap/>
            <w:vAlign w:val="bottom"/>
          </w:tcPr>
          <w:p w14:paraId="45E014EE" w14:textId="77777777" w:rsidR="00C67231" w:rsidRDefault="00C67231" w:rsidP="00D57B77">
            <w:pPr>
              <w:pStyle w:val="TableText"/>
            </w:pPr>
            <w:r>
              <w:t>Ratio of Molecular weights</w:t>
            </w:r>
          </w:p>
          <w:p w14:paraId="408FC168" w14:textId="77777777" w:rsidR="00C67231" w:rsidRDefault="00C67231" w:rsidP="00D57B77">
            <w:pPr>
              <w:pStyle w:val="TableText"/>
            </w:pPr>
            <w:r>
              <w:rPr>
                <w:rFonts w:ascii="Cambria Math" w:hAnsi="Cambria Math"/>
              </w:rPr>
              <w:sym w:font="Symbol" w:char="F06D"/>
            </w:r>
            <w:r>
              <w:rPr>
                <w:rFonts w:ascii="Cambria Math" w:hAnsi="Cambria Math"/>
              </w:rPr>
              <w:t xml:space="preserve"> = MW</w:t>
            </w:r>
            <w:r>
              <w:rPr>
                <w:rFonts w:ascii="Cambria Math" w:hAnsi="Cambria Math"/>
                <w:vertAlign w:val="subscript"/>
              </w:rPr>
              <w:t>g</w:t>
            </w:r>
            <w:r>
              <w:rPr>
                <w:rFonts w:ascii="Cambria Math" w:hAnsi="Cambria Math"/>
              </w:rPr>
              <w:t>/MW</w:t>
            </w:r>
            <w:r>
              <w:rPr>
                <w:rFonts w:ascii="Cambria Math" w:hAnsi="Cambria Math"/>
                <w:vertAlign w:val="subscript"/>
              </w:rPr>
              <w:t>s</w:t>
            </w:r>
          </w:p>
        </w:tc>
        <w:tc>
          <w:tcPr>
            <w:tcW w:w="1530" w:type="dxa"/>
            <w:tcBorders>
              <w:top w:val="single" w:sz="4" w:space="0" w:color="000000" w:themeColor="text1"/>
              <w:left w:val="single" w:sz="4" w:space="0" w:color="auto"/>
              <w:bottom w:val="single" w:sz="4" w:space="0" w:color="000000" w:themeColor="text1"/>
              <w:right w:val="single" w:sz="4" w:space="0" w:color="auto"/>
            </w:tcBorders>
            <w:vAlign w:val="center"/>
          </w:tcPr>
          <w:p w14:paraId="65FB8F8A" w14:textId="77777777" w:rsidR="00C67231" w:rsidRDefault="00C67231" w:rsidP="00D57B77">
            <w:pPr>
              <w:pStyle w:val="TableText"/>
              <w:rPr>
                <w:rFonts w:ascii="Cambria Math" w:hAnsi="Cambria Math"/>
              </w:rPr>
            </w:pPr>
            <w:r>
              <w:rPr>
                <w:rFonts w:ascii="Cambria Math" w:hAnsi="Cambria Math"/>
              </w:rPr>
              <w:sym w:font="Symbol" w:char="F06D"/>
            </w:r>
          </w:p>
        </w:tc>
        <w:tc>
          <w:tcPr>
            <w:tcW w:w="1530" w:type="dxa"/>
            <w:tcBorders>
              <w:top w:val="single" w:sz="4" w:space="0" w:color="000000" w:themeColor="text1"/>
              <w:left w:val="single" w:sz="4" w:space="0" w:color="auto"/>
              <w:bottom w:val="single" w:sz="4" w:space="0" w:color="000000" w:themeColor="text1"/>
              <w:right w:val="single" w:sz="4" w:space="0" w:color="auto"/>
            </w:tcBorders>
            <w:vAlign w:val="center"/>
          </w:tcPr>
          <w:p w14:paraId="7EBE9C63" w14:textId="77777777" w:rsidR="00C67231" w:rsidRDefault="00C67231" w:rsidP="00D57B77">
            <w:pPr>
              <w:pStyle w:val="TableText"/>
              <w:rPr>
                <w:rFonts w:ascii="Cambria Math" w:hAnsi="Cambria Math"/>
              </w:rPr>
            </w:pPr>
          </w:p>
        </w:tc>
      </w:tr>
      <w:tr w:rsidR="00C67231" w:rsidRPr="0074556C" w14:paraId="74AFA3AF" w14:textId="77777777" w:rsidTr="00AE2101">
        <w:trPr>
          <w:trHeight w:val="300"/>
        </w:trPr>
        <w:tc>
          <w:tcPr>
            <w:tcW w:w="2970" w:type="dxa"/>
            <w:tcBorders>
              <w:top w:val="single" w:sz="4" w:space="0" w:color="000000" w:themeColor="text1"/>
              <w:left w:val="single" w:sz="4" w:space="0" w:color="auto"/>
              <w:bottom w:val="single" w:sz="4" w:space="0" w:color="000000" w:themeColor="text1"/>
              <w:right w:val="single" w:sz="4" w:space="0" w:color="auto"/>
            </w:tcBorders>
            <w:shd w:val="clear" w:color="auto" w:fill="auto"/>
            <w:noWrap/>
            <w:vAlign w:val="bottom"/>
          </w:tcPr>
          <w:p w14:paraId="35A06A9D" w14:textId="77777777" w:rsidR="00C67231" w:rsidRDefault="00C67231" w:rsidP="00D57B77">
            <w:pPr>
              <w:pStyle w:val="TableText"/>
            </w:pPr>
            <w:r>
              <w:t>Empirical Constants</w:t>
            </w:r>
          </w:p>
        </w:tc>
        <w:tc>
          <w:tcPr>
            <w:tcW w:w="1530" w:type="dxa"/>
            <w:tcBorders>
              <w:top w:val="single" w:sz="4" w:space="0" w:color="000000" w:themeColor="text1"/>
              <w:left w:val="single" w:sz="4" w:space="0" w:color="auto"/>
              <w:bottom w:val="single" w:sz="4" w:space="0" w:color="000000" w:themeColor="text1"/>
              <w:right w:val="single" w:sz="4" w:space="0" w:color="auto"/>
            </w:tcBorders>
            <w:vAlign w:val="center"/>
          </w:tcPr>
          <w:p w14:paraId="6626E4F8" w14:textId="77777777" w:rsidR="00C67231" w:rsidRPr="007E54C1" w:rsidRDefault="00C67231" w:rsidP="00D57B77">
            <w:pPr>
              <w:pStyle w:val="TableText"/>
              <w:rPr>
                <w:rFonts w:ascii="Cambria Math" w:hAnsi="Cambria Math"/>
              </w:rPr>
            </w:pPr>
            <w:r>
              <w:rPr>
                <w:rFonts w:ascii="Cambria Math" w:hAnsi="Cambria Math"/>
              </w:rPr>
              <w:t>C</w:t>
            </w:r>
            <w:r w:rsidRPr="00994D03">
              <w:rPr>
                <w:rFonts w:ascii="Cambria Math" w:hAnsi="Cambria Math"/>
              </w:rPr>
              <w:t>1</w:t>
            </w:r>
            <w:r>
              <w:rPr>
                <w:rFonts w:ascii="Cambria Math" w:hAnsi="Cambria Math"/>
              </w:rPr>
              <w:t>, C</w:t>
            </w:r>
            <w:r w:rsidRPr="00994D03">
              <w:rPr>
                <w:rFonts w:ascii="Cambria Math" w:hAnsi="Cambria Math"/>
              </w:rPr>
              <w:t>2</w:t>
            </w:r>
          </w:p>
        </w:tc>
        <w:tc>
          <w:tcPr>
            <w:tcW w:w="1530" w:type="dxa"/>
            <w:tcBorders>
              <w:top w:val="single" w:sz="4" w:space="0" w:color="000000" w:themeColor="text1"/>
              <w:left w:val="single" w:sz="4" w:space="0" w:color="auto"/>
              <w:bottom w:val="single" w:sz="4" w:space="0" w:color="000000" w:themeColor="text1"/>
              <w:right w:val="single" w:sz="4" w:space="0" w:color="auto"/>
            </w:tcBorders>
            <w:vAlign w:val="center"/>
          </w:tcPr>
          <w:p w14:paraId="7D2AF96C" w14:textId="77777777" w:rsidR="00C67231" w:rsidRDefault="00C67231" w:rsidP="00D57B77">
            <w:pPr>
              <w:pStyle w:val="TableText"/>
              <w:rPr>
                <w:rFonts w:ascii="Cambria Math" w:hAnsi="Cambria Math"/>
              </w:rPr>
            </w:pPr>
          </w:p>
        </w:tc>
      </w:tr>
      <w:tr w:rsidR="00C67231" w:rsidRPr="0074556C" w14:paraId="042CEE8B" w14:textId="77777777" w:rsidTr="00AE2101">
        <w:trPr>
          <w:trHeight w:val="300"/>
        </w:trPr>
        <w:tc>
          <w:tcPr>
            <w:tcW w:w="2970" w:type="dxa"/>
            <w:tcBorders>
              <w:top w:val="single" w:sz="4" w:space="0" w:color="000000" w:themeColor="text1"/>
              <w:left w:val="single" w:sz="4" w:space="0" w:color="auto"/>
              <w:bottom w:val="single" w:sz="4" w:space="0" w:color="000000" w:themeColor="text1"/>
              <w:right w:val="single" w:sz="4" w:space="0" w:color="auto"/>
            </w:tcBorders>
            <w:shd w:val="clear" w:color="auto" w:fill="auto"/>
            <w:noWrap/>
            <w:vAlign w:val="bottom"/>
          </w:tcPr>
          <w:p w14:paraId="11276FBB" w14:textId="77777777" w:rsidR="00C67231" w:rsidRDefault="00C67231" w:rsidP="00D57B77">
            <w:pPr>
              <w:pStyle w:val="TableText"/>
            </w:pPr>
            <w:r>
              <w:t>Side 1</w:t>
            </w:r>
          </w:p>
        </w:tc>
        <w:tc>
          <w:tcPr>
            <w:tcW w:w="1530" w:type="dxa"/>
            <w:tcBorders>
              <w:top w:val="single" w:sz="4" w:space="0" w:color="000000" w:themeColor="text1"/>
              <w:left w:val="single" w:sz="4" w:space="0" w:color="auto"/>
              <w:bottom w:val="single" w:sz="4" w:space="0" w:color="000000" w:themeColor="text1"/>
              <w:right w:val="single" w:sz="4" w:space="0" w:color="auto"/>
            </w:tcBorders>
            <w:vAlign w:val="center"/>
          </w:tcPr>
          <w:p w14:paraId="30F615DA" w14:textId="77777777" w:rsidR="00C67231" w:rsidRPr="004840D1" w:rsidRDefault="00C67231" w:rsidP="00D57B77">
            <w:pPr>
              <w:pStyle w:val="TableText"/>
              <w:rPr>
                <w:rFonts w:ascii="Cambria Math" w:hAnsi="Cambria Math"/>
              </w:rPr>
            </w:pPr>
            <w:r>
              <w:rPr>
                <w:rFonts w:ascii="Cambria Math" w:hAnsi="Cambria Math"/>
              </w:rPr>
              <w:t>s</w:t>
            </w:r>
            <w:r w:rsidRPr="00994D03">
              <w:rPr>
                <w:rFonts w:ascii="Cambria Math" w:hAnsi="Cambria Math"/>
              </w:rPr>
              <w:t>1</w:t>
            </w:r>
          </w:p>
        </w:tc>
        <w:tc>
          <w:tcPr>
            <w:tcW w:w="1530" w:type="dxa"/>
            <w:tcBorders>
              <w:top w:val="single" w:sz="4" w:space="0" w:color="000000" w:themeColor="text1"/>
              <w:left w:val="single" w:sz="4" w:space="0" w:color="auto"/>
              <w:bottom w:val="single" w:sz="4" w:space="0" w:color="000000" w:themeColor="text1"/>
              <w:right w:val="single" w:sz="4" w:space="0" w:color="auto"/>
            </w:tcBorders>
            <w:vAlign w:val="center"/>
          </w:tcPr>
          <w:p w14:paraId="6BB11985" w14:textId="77777777" w:rsidR="00C67231" w:rsidRDefault="00C67231" w:rsidP="00D57B77">
            <w:pPr>
              <w:pStyle w:val="TableText"/>
              <w:rPr>
                <w:rFonts w:ascii="Cambria Math" w:hAnsi="Cambria Math"/>
              </w:rPr>
            </w:pPr>
          </w:p>
        </w:tc>
      </w:tr>
      <w:tr w:rsidR="00C67231" w:rsidRPr="0074556C" w14:paraId="13FF723E" w14:textId="77777777" w:rsidTr="00AE2101">
        <w:trPr>
          <w:trHeight w:val="300"/>
        </w:trPr>
        <w:tc>
          <w:tcPr>
            <w:tcW w:w="2970" w:type="dxa"/>
            <w:tcBorders>
              <w:top w:val="single" w:sz="4" w:space="0" w:color="000000" w:themeColor="text1"/>
              <w:left w:val="single" w:sz="4" w:space="0" w:color="auto"/>
              <w:bottom w:val="single" w:sz="4" w:space="0" w:color="000000" w:themeColor="text1"/>
              <w:right w:val="single" w:sz="4" w:space="0" w:color="auto"/>
            </w:tcBorders>
            <w:shd w:val="clear" w:color="auto" w:fill="auto"/>
            <w:noWrap/>
            <w:vAlign w:val="bottom"/>
          </w:tcPr>
          <w:p w14:paraId="4AC7FB46" w14:textId="77777777" w:rsidR="00C67231" w:rsidRDefault="00C67231" w:rsidP="00D57B77">
            <w:pPr>
              <w:pStyle w:val="TableText"/>
            </w:pPr>
            <w:r>
              <w:t>Side 2</w:t>
            </w:r>
          </w:p>
        </w:tc>
        <w:tc>
          <w:tcPr>
            <w:tcW w:w="1530" w:type="dxa"/>
            <w:tcBorders>
              <w:top w:val="single" w:sz="4" w:space="0" w:color="000000" w:themeColor="text1"/>
              <w:left w:val="single" w:sz="4" w:space="0" w:color="auto"/>
              <w:bottom w:val="single" w:sz="4" w:space="0" w:color="000000" w:themeColor="text1"/>
              <w:right w:val="single" w:sz="4" w:space="0" w:color="auto"/>
            </w:tcBorders>
            <w:vAlign w:val="center"/>
          </w:tcPr>
          <w:p w14:paraId="74FF8FC8" w14:textId="77777777" w:rsidR="00C67231" w:rsidRPr="004840D1" w:rsidRDefault="00C67231" w:rsidP="00D57B77">
            <w:pPr>
              <w:pStyle w:val="TableText"/>
              <w:rPr>
                <w:rFonts w:ascii="Cambria Math" w:hAnsi="Cambria Math"/>
                <w:vertAlign w:val="subscript"/>
              </w:rPr>
            </w:pPr>
            <w:r>
              <w:rPr>
                <w:rFonts w:ascii="Cambria Math" w:hAnsi="Cambria Math"/>
              </w:rPr>
              <w:t>s</w:t>
            </w:r>
            <w:r w:rsidRPr="00994D03">
              <w:rPr>
                <w:rFonts w:ascii="Cambria Math" w:hAnsi="Cambria Math"/>
              </w:rPr>
              <w:t>2</w:t>
            </w:r>
          </w:p>
        </w:tc>
        <w:tc>
          <w:tcPr>
            <w:tcW w:w="1530" w:type="dxa"/>
            <w:tcBorders>
              <w:top w:val="single" w:sz="4" w:space="0" w:color="000000" w:themeColor="text1"/>
              <w:left w:val="single" w:sz="4" w:space="0" w:color="auto"/>
              <w:bottom w:val="single" w:sz="4" w:space="0" w:color="000000" w:themeColor="text1"/>
              <w:right w:val="single" w:sz="4" w:space="0" w:color="auto"/>
            </w:tcBorders>
            <w:vAlign w:val="center"/>
          </w:tcPr>
          <w:p w14:paraId="0B3BE651" w14:textId="77777777" w:rsidR="00C67231" w:rsidRDefault="00C67231" w:rsidP="00D57B77">
            <w:pPr>
              <w:pStyle w:val="TableText"/>
              <w:rPr>
                <w:rFonts w:ascii="Cambria Math" w:hAnsi="Cambria Math"/>
              </w:rPr>
            </w:pPr>
          </w:p>
        </w:tc>
      </w:tr>
      <w:tr w:rsidR="00C67231" w:rsidRPr="0074556C" w14:paraId="09A45FF9" w14:textId="77777777" w:rsidTr="00AE2101">
        <w:trPr>
          <w:trHeight w:val="300"/>
        </w:trPr>
        <w:tc>
          <w:tcPr>
            <w:tcW w:w="2970" w:type="dxa"/>
            <w:tcBorders>
              <w:top w:val="single" w:sz="4" w:space="0" w:color="000000" w:themeColor="text1"/>
              <w:left w:val="single" w:sz="4" w:space="0" w:color="auto"/>
              <w:bottom w:val="single" w:sz="4" w:space="0" w:color="000000" w:themeColor="text1"/>
              <w:right w:val="single" w:sz="4" w:space="0" w:color="auto"/>
            </w:tcBorders>
            <w:shd w:val="clear" w:color="auto" w:fill="auto"/>
            <w:noWrap/>
            <w:vAlign w:val="bottom"/>
          </w:tcPr>
          <w:p w14:paraId="49CE6C92" w14:textId="77777777" w:rsidR="00C67231" w:rsidRDefault="00C67231" w:rsidP="00D57B77">
            <w:pPr>
              <w:pStyle w:val="TableText"/>
            </w:pPr>
            <w:r>
              <w:t>Average</w:t>
            </w:r>
          </w:p>
        </w:tc>
        <w:tc>
          <w:tcPr>
            <w:tcW w:w="1530" w:type="dxa"/>
            <w:tcBorders>
              <w:top w:val="single" w:sz="4" w:space="0" w:color="000000" w:themeColor="text1"/>
              <w:left w:val="single" w:sz="4" w:space="0" w:color="auto"/>
              <w:bottom w:val="single" w:sz="4" w:space="0" w:color="000000" w:themeColor="text1"/>
              <w:right w:val="single" w:sz="4" w:space="0" w:color="auto"/>
            </w:tcBorders>
            <w:vAlign w:val="center"/>
          </w:tcPr>
          <w:p w14:paraId="0F27F1C9" w14:textId="77777777" w:rsidR="00C67231" w:rsidRDefault="00C67231" w:rsidP="00D57B77">
            <w:pPr>
              <w:pStyle w:val="TableText"/>
              <w:rPr>
                <w:rFonts w:ascii="Cambria Math" w:hAnsi="Cambria Math"/>
              </w:rPr>
            </w:pPr>
            <w:r>
              <w:rPr>
                <w:rFonts w:ascii="Cambria Math" w:hAnsi="Cambria Math"/>
              </w:rPr>
              <w:t>avg</w:t>
            </w:r>
          </w:p>
        </w:tc>
        <w:tc>
          <w:tcPr>
            <w:tcW w:w="1530" w:type="dxa"/>
            <w:tcBorders>
              <w:top w:val="single" w:sz="4" w:space="0" w:color="000000" w:themeColor="text1"/>
              <w:left w:val="single" w:sz="4" w:space="0" w:color="auto"/>
              <w:bottom w:val="single" w:sz="4" w:space="0" w:color="000000" w:themeColor="text1"/>
              <w:right w:val="single" w:sz="4" w:space="0" w:color="auto"/>
            </w:tcBorders>
            <w:vAlign w:val="center"/>
          </w:tcPr>
          <w:p w14:paraId="0A737035" w14:textId="77777777" w:rsidR="00C67231" w:rsidRDefault="00C67231" w:rsidP="00D57B77">
            <w:pPr>
              <w:pStyle w:val="TableText"/>
              <w:rPr>
                <w:rFonts w:ascii="Cambria Math" w:hAnsi="Cambria Math"/>
              </w:rPr>
            </w:pPr>
          </w:p>
        </w:tc>
      </w:tr>
    </w:tbl>
    <w:p w14:paraId="36302E4C" w14:textId="77777777" w:rsidR="00C67231" w:rsidRDefault="00C67231" w:rsidP="00C67231"/>
    <w:p w14:paraId="7CB300B7" w14:textId="30A37C3C" w:rsidR="00C67231" w:rsidRDefault="00C67231" w:rsidP="00C67231">
      <w:r>
        <w:br w:type="page"/>
      </w:r>
    </w:p>
    <w:p w14:paraId="7A2F6663" w14:textId="74ECB2B1" w:rsidR="00C67231" w:rsidRPr="0074556C" w:rsidRDefault="00C67231" w:rsidP="00874CBB">
      <w:pPr>
        <w:pStyle w:val="Caption"/>
      </w:pPr>
      <w:bookmarkStart w:id="282" w:name="_Toc202957533"/>
      <w:r w:rsidRPr="009D2AA9">
        <w:lastRenderedPageBreak/>
        <w:t xml:space="preserve">Table </w:t>
      </w:r>
      <w:fldSimple w:instr=" SEQ Table \* ARABIC \s 1 ">
        <w:r w:rsidR="00BF7E93">
          <w:rPr>
            <w:noProof/>
          </w:rPr>
          <w:t>4</w:t>
        </w:r>
      </w:fldSimple>
      <w:r w:rsidRPr="0074556C">
        <w:t xml:space="preserve">. </w:t>
      </w:r>
      <w:r>
        <w:t xml:space="preserve">Sensitivity Analysis Parameter </w:t>
      </w:r>
      <w:r w:rsidRPr="0074556C">
        <w:t>Abbreviations</w:t>
      </w:r>
      <w:bookmarkEnd w:id="282"/>
    </w:p>
    <w:tbl>
      <w:tblPr>
        <w:tblW w:w="4500" w:type="dxa"/>
        <w:tblInd w:w="2101" w:type="dxa"/>
        <w:tblLayout w:type="fixed"/>
        <w:tblLook w:val="04A0" w:firstRow="1" w:lastRow="0" w:firstColumn="1" w:lastColumn="0" w:noHBand="0" w:noVBand="1"/>
      </w:tblPr>
      <w:tblGrid>
        <w:gridCol w:w="2970"/>
        <w:gridCol w:w="1530"/>
      </w:tblGrid>
      <w:tr w:rsidR="00C67231" w:rsidRPr="0074556C" w14:paraId="677F0BBF" w14:textId="77777777" w:rsidTr="00AE2101">
        <w:trPr>
          <w:trHeight w:val="300"/>
        </w:trPr>
        <w:tc>
          <w:tcPr>
            <w:tcW w:w="2970" w:type="dxa"/>
            <w:tcBorders>
              <w:top w:val="single" w:sz="4" w:space="0" w:color="auto"/>
              <w:left w:val="single" w:sz="4" w:space="0" w:color="auto"/>
              <w:bottom w:val="single" w:sz="4" w:space="0" w:color="auto"/>
              <w:right w:val="single" w:sz="4" w:space="0" w:color="auto"/>
            </w:tcBorders>
            <w:shd w:val="clear" w:color="auto" w:fill="auto"/>
            <w:noWrap/>
            <w:hideMark/>
          </w:tcPr>
          <w:p w14:paraId="0777D230" w14:textId="77777777" w:rsidR="00C67231" w:rsidRPr="00D57B77" w:rsidRDefault="00C67231" w:rsidP="00D57B77">
            <w:pPr>
              <w:pStyle w:val="TableText"/>
              <w:rPr>
                <w:rFonts w:cs="Times New Roman"/>
              </w:rPr>
            </w:pPr>
            <w:r w:rsidRPr="00D57B77">
              <w:rPr>
                <w:rFonts w:cs="Times New Roman"/>
              </w:rPr>
              <w:t>Name</w:t>
            </w:r>
          </w:p>
        </w:tc>
        <w:tc>
          <w:tcPr>
            <w:tcW w:w="1530" w:type="dxa"/>
            <w:tcBorders>
              <w:top w:val="single" w:sz="4" w:space="0" w:color="auto"/>
              <w:left w:val="nil"/>
              <w:bottom w:val="single" w:sz="4" w:space="0" w:color="auto"/>
              <w:right w:val="single" w:sz="4" w:space="0" w:color="auto"/>
            </w:tcBorders>
          </w:tcPr>
          <w:p w14:paraId="1AC73669" w14:textId="77777777" w:rsidR="00C67231" w:rsidRPr="00D57B77" w:rsidRDefault="00C67231" w:rsidP="00D57B77">
            <w:pPr>
              <w:pStyle w:val="TableText"/>
              <w:rPr>
                <w:rFonts w:cs="Times New Roman"/>
              </w:rPr>
            </w:pPr>
            <w:r w:rsidRPr="00D57B77">
              <w:rPr>
                <w:rFonts w:cs="Times New Roman"/>
              </w:rPr>
              <w:t>Symbol</w:t>
            </w:r>
          </w:p>
        </w:tc>
      </w:tr>
      <w:tr w:rsidR="00C67231" w:rsidRPr="0074556C" w14:paraId="79E5E2A2" w14:textId="77777777" w:rsidTr="00AE2101">
        <w:trPr>
          <w:trHeight w:val="300"/>
        </w:trPr>
        <w:tc>
          <w:tcPr>
            <w:tcW w:w="2970" w:type="dxa"/>
            <w:tcBorders>
              <w:top w:val="single" w:sz="4" w:space="0" w:color="auto"/>
              <w:left w:val="single" w:sz="4" w:space="0" w:color="auto"/>
              <w:bottom w:val="nil"/>
              <w:right w:val="single" w:sz="4" w:space="0" w:color="auto"/>
            </w:tcBorders>
            <w:shd w:val="clear" w:color="auto" w:fill="auto"/>
            <w:noWrap/>
            <w:vAlign w:val="center"/>
            <w:hideMark/>
          </w:tcPr>
          <w:p w14:paraId="0FF281AC" w14:textId="77777777" w:rsidR="00C67231" w:rsidRPr="00D57B77" w:rsidRDefault="00C67231" w:rsidP="00D57B77">
            <w:pPr>
              <w:pStyle w:val="TableText"/>
              <w:rPr>
                <w:rFonts w:cs="Times New Roman"/>
              </w:rPr>
            </w:pPr>
            <w:r w:rsidRPr="00D57B77">
              <w:rPr>
                <w:rFonts w:cs="Times New Roman"/>
              </w:rPr>
              <w:t>Volumetric Heat Generation</w:t>
            </w:r>
          </w:p>
        </w:tc>
        <w:tc>
          <w:tcPr>
            <w:tcW w:w="1530" w:type="dxa"/>
            <w:tcBorders>
              <w:top w:val="single" w:sz="4" w:space="0" w:color="auto"/>
              <w:left w:val="single" w:sz="4" w:space="0" w:color="auto"/>
              <w:bottom w:val="nil"/>
              <w:right w:val="single" w:sz="4" w:space="0" w:color="auto"/>
            </w:tcBorders>
            <w:vAlign w:val="center"/>
          </w:tcPr>
          <w:p w14:paraId="65654A72" w14:textId="77777777" w:rsidR="00C67231" w:rsidRPr="00D57B77" w:rsidRDefault="00C67231" w:rsidP="00D57B77">
            <w:pPr>
              <w:pStyle w:val="TableText"/>
              <w:rPr>
                <w:rFonts w:cs="Times New Roman"/>
              </w:rPr>
            </w:pPr>
            <w:r w:rsidRPr="00D57B77">
              <w:rPr>
                <w:rFonts w:cs="Times New Roman"/>
              </w:rPr>
              <w:t>Q</w:t>
            </w:r>
          </w:p>
        </w:tc>
      </w:tr>
      <w:tr w:rsidR="00C67231" w:rsidRPr="0074556C" w14:paraId="44E688A8" w14:textId="77777777" w:rsidTr="00AE2101">
        <w:trPr>
          <w:trHeight w:val="300"/>
        </w:trPr>
        <w:tc>
          <w:tcPr>
            <w:tcW w:w="2970" w:type="dxa"/>
            <w:tcBorders>
              <w:top w:val="nil"/>
              <w:left w:val="single" w:sz="4" w:space="0" w:color="auto"/>
              <w:right w:val="single" w:sz="4" w:space="0" w:color="auto"/>
            </w:tcBorders>
            <w:shd w:val="clear" w:color="auto" w:fill="auto"/>
            <w:noWrap/>
            <w:vAlign w:val="center"/>
            <w:hideMark/>
          </w:tcPr>
          <w:p w14:paraId="03345E49" w14:textId="77777777" w:rsidR="00C67231" w:rsidRPr="00D57B77" w:rsidRDefault="00C67231" w:rsidP="00D57B77">
            <w:pPr>
              <w:pStyle w:val="TableText"/>
              <w:rPr>
                <w:rFonts w:cs="Times New Roman"/>
              </w:rPr>
            </w:pPr>
            <w:r w:rsidRPr="00D57B77">
              <w:rPr>
                <w:rFonts w:cs="Times New Roman"/>
              </w:rPr>
              <w:t>Thermal Conductivity</w:t>
            </w:r>
          </w:p>
        </w:tc>
        <w:tc>
          <w:tcPr>
            <w:tcW w:w="1530" w:type="dxa"/>
            <w:tcBorders>
              <w:top w:val="nil"/>
              <w:left w:val="single" w:sz="4" w:space="0" w:color="auto"/>
              <w:right w:val="single" w:sz="4" w:space="0" w:color="auto"/>
            </w:tcBorders>
            <w:vAlign w:val="center"/>
          </w:tcPr>
          <w:p w14:paraId="0B11CCB2" w14:textId="77777777" w:rsidR="00C67231" w:rsidRPr="00D57B77" w:rsidRDefault="00C67231" w:rsidP="00D57B77">
            <w:pPr>
              <w:pStyle w:val="TableText"/>
              <w:rPr>
                <w:rFonts w:cs="Times New Roman"/>
              </w:rPr>
            </w:pPr>
            <w:r w:rsidRPr="00D57B77">
              <w:rPr>
                <w:rFonts w:cs="Times New Roman"/>
              </w:rPr>
              <w:t>k</w:t>
            </w:r>
          </w:p>
        </w:tc>
      </w:tr>
      <w:tr w:rsidR="00C67231" w:rsidRPr="0074556C" w14:paraId="18C5356A" w14:textId="77777777" w:rsidTr="00AE2101">
        <w:trPr>
          <w:trHeight w:val="300"/>
        </w:trPr>
        <w:tc>
          <w:tcPr>
            <w:tcW w:w="2970" w:type="dxa"/>
            <w:tcBorders>
              <w:top w:val="nil"/>
              <w:left w:val="single" w:sz="4" w:space="0" w:color="auto"/>
              <w:right w:val="single" w:sz="4" w:space="0" w:color="auto"/>
            </w:tcBorders>
            <w:shd w:val="clear" w:color="auto" w:fill="auto"/>
            <w:noWrap/>
            <w:vAlign w:val="center"/>
            <w:hideMark/>
          </w:tcPr>
          <w:p w14:paraId="5B156425" w14:textId="77777777" w:rsidR="00C67231" w:rsidRPr="00D57B77" w:rsidRDefault="00C67231" w:rsidP="00D57B77">
            <w:pPr>
              <w:pStyle w:val="TableText"/>
              <w:rPr>
                <w:rFonts w:cs="Times New Roman"/>
              </w:rPr>
            </w:pPr>
            <w:r w:rsidRPr="00D57B77">
              <w:rPr>
                <w:rFonts w:cs="Times New Roman"/>
              </w:rPr>
              <w:t>Youngs Modulus</w:t>
            </w:r>
          </w:p>
        </w:tc>
        <w:tc>
          <w:tcPr>
            <w:tcW w:w="1530" w:type="dxa"/>
            <w:tcBorders>
              <w:top w:val="nil"/>
              <w:left w:val="single" w:sz="4" w:space="0" w:color="auto"/>
              <w:right w:val="single" w:sz="4" w:space="0" w:color="auto"/>
            </w:tcBorders>
            <w:vAlign w:val="center"/>
          </w:tcPr>
          <w:p w14:paraId="5EAFC92A" w14:textId="77777777" w:rsidR="00C67231" w:rsidRPr="00D57B77" w:rsidRDefault="00C67231" w:rsidP="00D57B77">
            <w:pPr>
              <w:pStyle w:val="TableText"/>
              <w:rPr>
                <w:rFonts w:cs="Times New Roman"/>
              </w:rPr>
            </w:pPr>
            <w:r w:rsidRPr="00D57B77">
              <w:rPr>
                <w:rFonts w:cs="Times New Roman"/>
              </w:rPr>
              <w:t>E</w:t>
            </w:r>
          </w:p>
        </w:tc>
      </w:tr>
      <w:tr w:rsidR="00C67231" w:rsidRPr="0074556C" w14:paraId="2B88E4B5" w14:textId="77777777" w:rsidTr="00AE2101">
        <w:trPr>
          <w:trHeight w:val="300"/>
        </w:trPr>
        <w:tc>
          <w:tcPr>
            <w:tcW w:w="2970" w:type="dxa"/>
            <w:tcBorders>
              <w:left w:val="single" w:sz="4" w:space="0" w:color="000000" w:themeColor="text1"/>
              <w:right w:val="single" w:sz="4" w:space="0" w:color="000000" w:themeColor="text1"/>
            </w:tcBorders>
            <w:shd w:val="clear" w:color="auto" w:fill="auto"/>
            <w:noWrap/>
            <w:vAlign w:val="center"/>
            <w:hideMark/>
          </w:tcPr>
          <w:p w14:paraId="609EDF39" w14:textId="77777777" w:rsidR="00C67231" w:rsidRPr="00D57B77" w:rsidRDefault="00C67231" w:rsidP="00D57B77">
            <w:pPr>
              <w:pStyle w:val="TableText"/>
              <w:rPr>
                <w:rFonts w:cs="Times New Roman"/>
              </w:rPr>
            </w:pPr>
            <w:r w:rsidRPr="00D57B77">
              <w:rPr>
                <w:rFonts w:cs="Times New Roman"/>
              </w:rPr>
              <w:t>Microhardness</w:t>
            </w:r>
          </w:p>
        </w:tc>
        <w:tc>
          <w:tcPr>
            <w:tcW w:w="1530" w:type="dxa"/>
            <w:tcBorders>
              <w:left w:val="single" w:sz="4" w:space="0" w:color="000000" w:themeColor="text1"/>
              <w:right w:val="single" w:sz="4" w:space="0" w:color="000000" w:themeColor="text1"/>
            </w:tcBorders>
            <w:vAlign w:val="center"/>
          </w:tcPr>
          <w:p w14:paraId="49E684FE" w14:textId="77777777" w:rsidR="00C67231" w:rsidRPr="00D57B77" w:rsidRDefault="00C67231" w:rsidP="00D57B77">
            <w:pPr>
              <w:pStyle w:val="TableText"/>
              <w:rPr>
                <w:rFonts w:cs="Times New Roman"/>
                <w:vertAlign w:val="subscript"/>
              </w:rPr>
            </w:pPr>
            <w:r w:rsidRPr="00D57B77">
              <w:rPr>
                <w:rFonts w:cs="Times New Roman"/>
              </w:rPr>
              <w:t>H</w:t>
            </w:r>
          </w:p>
        </w:tc>
      </w:tr>
      <w:tr w:rsidR="00C67231" w:rsidRPr="0074556C" w14:paraId="2D82CC03" w14:textId="77777777" w:rsidTr="00AE2101">
        <w:trPr>
          <w:trHeight w:val="300"/>
        </w:trPr>
        <w:tc>
          <w:tcPr>
            <w:tcW w:w="2970" w:type="dxa"/>
            <w:tcBorders>
              <w:left w:val="single" w:sz="4" w:space="0" w:color="000000" w:themeColor="text1"/>
              <w:right w:val="single" w:sz="4" w:space="0" w:color="000000" w:themeColor="text1"/>
            </w:tcBorders>
            <w:shd w:val="clear" w:color="auto" w:fill="auto"/>
            <w:noWrap/>
            <w:vAlign w:val="center"/>
            <w:hideMark/>
          </w:tcPr>
          <w:p w14:paraId="3DBAC4D4" w14:textId="77777777" w:rsidR="00C67231" w:rsidRPr="00D57B77" w:rsidRDefault="00C67231" w:rsidP="00D57B77">
            <w:pPr>
              <w:pStyle w:val="TableText"/>
              <w:rPr>
                <w:rFonts w:cs="Times New Roman"/>
              </w:rPr>
            </w:pPr>
            <w:r w:rsidRPr="00D57B77">
              <w:rPr>
                <w:rFonts w:cs="Times New Roman"/>
              </w:rPr>
              <w:t>Burnup</w:t>
            </w:r>
          </w:p>
        </w:tc>
        <w:tc>
          <w:tcPr>
            <w:tcW w:w="1530" w:type="dxa"/>
            <w:tcBorders>
              <w:left w:val="single" w:sz="4" w:space="0" w:color="000000" w:themeColor="text1"/>
              <w:right w:val="single" w:sz="4" w:space="0" w:color="000000" w:themeColor="text1"/>
            </w:tcBorders>
            <w:vAlign w:val="center"/>
          </w:tcPr>
          <w:p w14:paraId="411DC106" w14:textId="77777777" w:rsidR="00C67231" w:rsidRPr="00D57B77" w:rsidRDefault="00C67231" w:rsidP="00D57B77">
            <w:pPr>
              <w:pStyle w:val="TableText"/>
              <w:rPr>
                <w:rFonts w:cs="Times New Roman"/>
                <w:vertAlign w:val="subscript"/>
              </w:rPr>
            </w:pPr>
            <w:r w:rsidRPr="00D57B77">
              <w:rPr>
                <w:rFonts w:cs="Times New Roman"/>
              </w:rPr>
              <w:t>BU</w:t>
            </w:r>
          </w:p>
        </w:tc>
      </w:tr>
      <w:tr w:rsidR="00C67231" w:rsidRPr="0074556C" w14:paraId="70DB56AB" w14:textId="77777777" w:rsidTr="00AE2101">
        <w:trPr>
          <w:trHeight w:val="300"/>
        </w:trPr>
        <w:tc>
          <w:tcPr>
            <w:tcW w:w="2970" w:type="dxa"/>
            <w:tcBorders>
              <w:left w:val="single" w:sz="4" w:space="0" w:color="auto"/>
              <w:right w:val="single" w:sz="4" w:space="0" w:color="auto"/>
            </w:tcBorders>
            <w:shd w:val="clear" w:color="auto" w:fill="auto"/>
            <w:noWrap/>
            <w:vAlign w:val="center"/>
          </w:tcPr>
          <w:p w14:paraId="0DD957D9" w14:textId="77777777" w:rsidR="00C67231" w:rsidRPr="00D57B77" w:rsidRDefault="00C67231" w:rsidP="00D57B77">
            <w:pPr>
              <w:pStyle w:val="TableText"/>
              <w:rPr>
                <w:rFonts w:cs="Times New Roman"/>
              </w:rPr>
            </w:pPr>
            <w:r w:rsidRPr="00D57B77">
              <w:rPr>
                <w:rFonts w:cs="Times New Roman"/>
              </w:rPr>
              <w:t>Surface Roughness</w:t>
            </w:r>
          </w:p>
        </w:tc>
        <w:tc>
          <w:tcPr>
            <w:tcW w:w="1530" w:type="dxa"/>
            <w:tcBorders>
              <w:left w:val="single" w:sz="4" w:space="0" w:color="auto"/>
              <w:right w:val="single" w:sz="4" w:space="0" w:color="auto"/>
            </w:tcBorders>
            <w:vAlign w:val="center"/>
          </w:tcPr>
          <w:p w14:paraId="660BE19E" w14:textId="77777777" w:rsidR="00C67231" w:rsidRPr="00D57B77" w:rsidRDefault="00C67231" w:rsidP="00D57B77">
            <w:pPr>
              <w:pStyle w:val="TableText"/>
              <w:rPr>
                <w:rFonts w:cs="Times New Roman"/>
              </w:rPr>
            </w:pPr>
            <w:r w:rsidRPr="00D57B77">
              <w:rPr>
                <w:rFonts w:cs="Times New Roman"/>
              </w:rPr>
              <w:sym w:font="Symbol" w:char="F073"/>
            </w:r>
          </w:p>
        </w:tc>
      </w:tr>
      <w:tr w:rsidR="00C67231" w:rsidRPr="0074556C" w14:paraId="1D614AAD" w14:textId="77777777" w:rsidTr="00AE2101">
        <w:trPr>
          <w:trHeight w:val="300"/>
        </w:trPr>
        <w:tc>
          <w:tcPr>
            <w:tcW w:w="2970" w:type="dxa"/>
            <w:tcBorders>
              <w:top w:val="nil"/>
              <w:left w:val="single" w:sz="4" w:space="0" w:color="auto"/>
              <w:bottom w:val="single" w:sz="4" w:space="0" w:color="000000" w:themeColor="text1"/>
              <w:right w:val="single" w:sz="4" w:space="0" w:color="auto"/>
            </w:tcBorders>
            <w:shd w:val="clear" w:color="auto" w:fill="auto"/>
            <w:noWrap/>
            <w:vAlign w:val="center"/>
          </w:tcPr>
          <w:p w14:paraId="2998CA05" w14:textId="77777777" w:rsidR="00C67231" w:rsidRPr="00D57B77" w:rsidRDefault="00C67231" w:rsidP="00D57B77">
            <w:pPr>
              <w:pStyle w:val="TableText"/>
              <w:rPr>
                <w:rFonts w:cs="Times New Roman"/>
              </w:rPr>
            </w:pPr>
            <w:r w:rsidRPr="00D57B77">
              <w:rPr>
                <w:rFonts w:cs="Times New Roman"/>
              </w:rPr>
              <w:t>Contact Pressure</w:t>
            </w:r>
          </w:p>
        </w:tc>
        <w:tc>
          <w:tcPr>
            <w:tcW w:w="1530" w:type="dxa"/>
            <w:tcBorders>
              <w:top w:val="nil"/>
              <w:left w:val="single" w:sz="4" w:space="0" w:color="auto"/>
              <w:bottom w:val="single" w:sz="4" w:space="0" w:color="000000" w:themeColor="text1"/>
              <w:right w:val="single" w:sz="4" w:space="0" w:color="auto"/>
            </w:tcBorders>
            <w:vAlign w:val="center"/>
          </w:tcPr>
          <w:p w14:paraId="658AEADF" w14:textId="77777777" w:rsidR="00C67231" w:rsidRPr="00D57B77" w:rsidRDefault="00C67231" w:rsidP="00D57B77">
            <w:pPr>
              <w:pStyle w:val="TableText"/>
              <w:rPr>
                <w:rFonts w:cs="Times New Roman"/>
                <w:vertAlign w:val="subscript"/>
              </w:rPr>
            </w:pPr>
            <w:r w:rsidRPr="00D57B77">
              <w:rPr>
                <w:rFonts w:cs="Times New Roman"/>
              </w:rPr>
              <w:t>P</w:t>
            </w:r>
            <w:r w:rsidRPr="00D57B77">
              <w:rPr>
                <w:rFonts w:cs="Times New Roman"/>
                <w:vertAlign w:val="subscript"/>
              </w:rPr>
              <w:t>c</w:t>
            </w:r>
          </w:p>
        </w:tc>
      </w:tr>
    </w:tbl>
    <w:p w14:paraId="67A207E9" w14:textId="719EAA54" w:rsidR="00F31B26" w:rsidRDefault="00F31B26">
      <w:pPr>
        <w:rPr>
          <w:rFonts w:cs="Times New Roman"/>
          <w:b/>
          <w:caps/>
          <w:color w:val="000000" w:themeColor="text1"/>
        </w:rPr>
      </w:pPr>
    </w:p>
    <w:p w14:paraId="562C03E7" w14:textId="7B3C3498" w:rsidR="00811AF3" w:rsidRDefault="00F31B26">
      <w:pPr>
        <w:rPr>
          <w:rFonts w:cs="Times New Roman"/>
          <w:b/>
          <w:caps/>
          <w:color w:val="000000" w:themeColor="text1"/>
        </w:rPr>
      </w:pPr>
      <w:r>
        <w:rPr>
          <w:rFonts w:cs="Times New Roman"/>
          <w:b/>
          <w:caps/>
          <w:color w:val="000000" w:themeColor="text1"/>
        </w:rPr>
        <w:br w:type="page"/>
      </w:r>
    </w:p>
    <w:p w14:paraId="225B63CD" w14:textId="5B1815BE" w:rsidR="00191DD7" w:rsidRPr="00AE430C" w:rsidRDefault="007D538B" w:rsidP="007D291F">
      <w:pPr>
        <w:pStyle w:val="AltHeading1"/>
        <w:spacing w:line="480" w:lineRule="auto"/>
      </w:pPr>
      <w:bookmarkStart w:id="283" w:name="_Toc420995913"/>
      <w:bookmarkStart w:id="284" w:name="_Toc422997500"/>
      <w:bookmarkStart w:id="285" w:name="_Toc427156485"/>
      <w:bookmarkStart w:id="286" w:name="_Toc202957515"/>
      <w:bookmarkEnd w:id="271"/>
      <w:bookmarkEnd w:id="272"/>
      <w:bookmarkEnd w:id="274"/>
      <w:r w:rsidRPr="00AE430C">
        <w:lastRenderedPageBreak/>
        <w:t>V</w:t>
      </w:r>
      <w:r w:rsidR="00E91931" w:rsidRPr="00AE430C">
        <w:t>ita</w:t>
      </w:r>
      <w:bookmarkEnd w:id="283"/>
      <w:bookmarkEnd w:id="284"/>
      <w:bookmarkEnd w:id="285"/>
      <w:bookmarkEnd w:id="286"/>
    </w:p>
    <w:p w14:paraId="3B13F939" w14:textId="13181F47" w:rsidR="004942CD" w:rsidRDefault="003D63DF" w:rsidP="007D291F">
      <w:pPr>
        <w:rPr>
          <w:rFonts w:cs="Times New Roman"/>
        </w:rPr>
      </w:pPr>
      <w:r w:rsidRPr="009D2AA9">
        <w:rPr>
          <w:rFonts w:cs="Times New Roman"/>
        </w:rPr>
        <w:tab/>
      </w:r>
      <w:r w:rsidR="00BD435E">
        <w:t>Nicholas A. Meehan graduated from North Carolina State University with a Bachelor of Science</w:t>
      </w:r>
      <w:r w:rsidR="0059722C">
        <w:t xml:space="preserve"> Degree</w:t>
      </w:r>
      <w:r w:rsidR="00BD435E">
        <w:t xml:space="preserve"> in Nuclear Engineering in May of 2020. In the summer of 2020, he began research at the University of Tennessee, Knoxville. </w:t>
      </w:r>
      <w:r w:rsidR="0005695D">
        <w:t>He graduated with a Master of Science</w:t>
      </w:r>
      <w:r w:rsidR="0059722C">
        <w:t xml:space="preserve"> Degree</w:t>
      </w:r>
      <w:r w:rsidR="0005695D">
        <w:t xml:space="preserve"> in Nuclear Engineering in May 2022. </w:t>
      </w:r>
      <w:r w:rsidR="00BD435E">
        <w:t xml:space="preserve">Nicholas has </w:t>
      </w:r>
      <w:r w:rsidR="0005695D">
        <w:t xml:space="preserve">since begun work on this project and has </w:t>
      </w:r>
      <w:r w:rsidR="00BD435E">
        <w:t>presented this work at the American Nuclear Society Annual Meeting in 202</w:t>
      </w:r>
      <w:r w:rsidR="0005695D">
        <w:t>3</w:t>
      </w:r>
      <w:r w:rsidR="00BD435E">
        <w:t xml:space="preserve">, the </w:t>
      </w:r>
      <w:r w:rsidR="003E1BE9">
        <w:t xml:space="preserve">International </w:t>
      </w:r>
      <w:r w:rsidR="0005695D">
        <w:t>RELAP User Group Meeting</w:t>
      </w:r>
      <w:r w:rsidR="00BD435E">
        <w:t xml:space="preserve"> in 202</w:t>
      </w:r>
      <w:r w:rsidR="0005695D">
        <w:t>3</w:t>
      </w:r>
      <w:r w:rsidR="00BD435E">
        <w:t xml:space="preserve">, at NURETH </w:t>
      </w:r>
      <w:r w:rsidR="0005695D">
        <w:t>20</w:t>
      </w:r>
      <w:r w:rsidR="00BD435E">
        <w:t xml:space="preserve"> in 202</w:t>
      </w:r>
      <w:r w:rsidR="0005695D">
        <w:t>3</w:t>
      </w:r>
      <w:r w:rsidR="00392454">
        <w:t>, and the M</w:t>
      </w:r>
      <w:r w:rsidR="00FD1C98">
        <w:t>OOSE International</w:t>
      </w:r>
      <w:r w:rsidR="00392454">
        <w:t xml:space="preserve"> Workshop in 2025</w:t>
      </w:r>
      <w:r w:rsidR="00BD435E">
        <w:t>.</w:t>
      </w:r>
      <w:r w:rsidR="00D42EC1">
        <w:t xml:space="preserve"> </w:t>
      </w:r>
      <w:r w:rsidR="00E038B5">
        <w:t xml:space="preserve">He </w:t>
      </w:r>
      <w:r w:rsidR="00392454">
        <w:t>intends</w:t>
      </w:r>
      <w:r w:rsidR="00E038B5">
        <w:t xml:space="preserve"> to graduate with a Doctor of Philosophy</w:t>
      </w:r>
      <w:r w:rsidR="0059722C">
        <w:t xml:space="preserve"> Degree</w:t>
      </w:r>
      <w:r w:rsidR="00E038B5">
        <w:t xml:space="preserve"> in Nuclear Engineering in </w:t>
      </w:r>
      <w:r w:rsidR="00054C64">
        <w:t>August</w:t>
      </w:r>
      <w:r w:rsidR="00E038B5">
        <w:t xml:space="preserve"> 2025.</w:t>
      </w:r>
    </w:p>
    <w:sectPr w:rsidR="004942CD" w:rsidSect="008110D5">
      <w:pgSz w:w="12240" w:h="15840" w:code="1"/>
      <w:pgMar w:top="1440" w:right="1800" w:bottom="1872" w:left="1800" w:header="720" w:footer="1440" w:gutter="0"/>
      <w:pgNumType w:start="118"/>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02C416" w14:textId="77777777" w:rsidR="00335DD4" w:rsidRDefault="00335DD4">
      <w:r>
        <w:separator/>
      </w:r>
    </w:p>
    <w:p w14:paraId="37296838" w14:textId="77777777" w:rsidR="00335DD4" w:rsidRDefault="00335DD4"/>
  </w:endnote>
  <w:endnote w:type="continuationSeparator" w:id="0">
    <w:p w14:paraId="1058C11F" w14:textId="77777777" w:rsidR="00335DD4" w:rsidRDefault="00335DD4">
      <w:r>
        <w:continuationSeparator/>
      </w:r>
    </w:p>
    <w:p w14:paraId="37F58BB1" w14:textId="77777777" w:rsidR="00335DD4" w:rsidRDefault="00335DD4"/>
  </w:endnote>
  <w:endnote w:type="continuationNotice" w:id="1">
    <w:p w14:paraId="3D14B93C" w14:textId="77777777" w:rsidR="00335DD4" w:rsidRDefault="00335DD4"/>
    <w:p w14:paraId="5F12FBB3" w14:textId="77777777" w:rsidR="00335DD4" w:rsidRDefault="00335DD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Malgun Gothic">
    <w:panose1 w:val="020B0503020000020004"/>
    <w:charset w:val="81"/>
    <w:family w:val="swiss"/>
    <w:pitch w:val="variable"/>
    <w:sig w:usb0="9000002F" w:usb1="29D77CFB" w:usb2="00000012" w:usb3="00000000" w:csb0="00080001"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n-ea">
    <w:altName w:val="Cambria"/>
    <w:panose1 w:val="00000000000000000000"/>
    <w:charset w:val="00"/>
    <w:family w:val="roman"/>
    <w:notTrueType/>
    <w:pitch w:val="default"/>
  </w:font>
  <w:font w:name="MTSY">
    <w:altName w:val="Cambria"/>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944265713"/>
      <w:docPartObj>
        <w:docPartGallery w:val="Page Numbers (Bottom of Page)"/>
        <w:docPartUnique/>
      </w:docPartObj>
    </w:sdtPr>
    <w:sdtContent>
      <w:p w14:paraId="702318B6" w14:textId="25AF0567" w:rsidR="00335C6E" w:rsidRDefault="00335C6E" w:rsidP="00A44C41">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374C2B0" w14:textId="77777777" w:rsidR="00335C6E" w:rsidRDefault="00335C6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707691205"/>
      <w:docPartObj>
        <w:docPartGallery w:val="Page Numbers (Bottom of Page)"/>
        <w:docPartUnique/>
      </w:docPartObj>
    </w:sdtPr>
    <w:sdtContent>
      <w:p w14:paraId="24EA9575" w14:textId="6C7D4E6F" w:rsidR="00335C6E" w:rsidRDefault="00335C6E" w:rsidP="00B36C79">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11</w:t>
        </w:r>
        <w:r>
          <w:rPr>
            <w:rStyle w:val="PageNumber"/>
          </w:rPr>
          <w:fldChar w:fldCharType="end"/>
        </w:r>
      </w:p>
    </w:sdtContent>
  </w:sdt>
  <w:p w14:paraId="50FDFD4C" w14:textId="12B18BE5" w:rsidR="00D83B30" w:rsidRPr="00566A32" w:rsidRDefault="00D83B30" w:rsidP="00A44C41">
    <w:pPr>
      <w:pStyle w:val="Footer"/>
    </w:pPr>
  </w:p>
  <w:p w14:paraId="3AEB1D9C" w14:textId="77777777" w:rsidR="00683F5B" w:rsidRDefault="00683F5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13D20C" w14:textId="77777777" w:rsidR="00335DD4" w:rsidRDefault="00335DD4">
      <w:r>
        <w:separator/>
      </w:r>
    </w:p>
    <w:p w14:paraId="5D6DE9AE" w14:textId="77777777" w:rsidR="00335DD4" w:rsidRDefault="00335DD4"/>
  </w:footnote>
  <w:footnote w:type="continuationSeparator" w:id="0">
    <w:p w14:paraId="169ACF6F" w14:textId="77777777" w:rsidR="00335DD4" w:rsidRDefault="00335DD4">
      <w:r>
        <w:continuationSeparator/>
      </w:r>
    </w:p>
    <w:p w14:paraId="4C1482F5" w14:textId="77777777" w:rsidR="00335DD4" w:rsidRDefault="00335DD4"/>
  </w:footnote>
  <w:footnote w:type="continuationNotice" w:id="1">
    <w:p w14:paraId="33720B5C" w14:textId="77777777" w:rsidR="00335DD4" w:rsidRDefault="00335DD4"/>
    <w:p w14:paraId="392A9FCA" w14:textId="77777777" w:rsidR="00335DD4" w:rsidRDefault="00335DD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5EA87C" w14:textId="77777777" w:rsidR="00683F5B" w:rsidRDefault="00683F5B">
    <w:pPr>
      <w:spacing w:line="34" w:lineRule="auto"/>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952522" w14:textId="77777777" w:rsidR="00683F5B" w:rsidRDefault="00683F5B">
    <w:pPr>
      <w:spacing w:line="34" w:lineRule="aut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D7D78"/>
    <w:multiLevelType w:val="multilevel"/>
    <w:tmpl w:val="37EE1592"/>
    <w:name w:val="Table2"/>
    <w:styleLink w:val="Caption2"/>
    <w:lvl w:ilvl="0">
      <w:start w:val="1"/>
      <w:numFmt w:val="decimal"/>
      <w:lvlText w:val="%1"/>
      <w:lvlJc w:val="left"/>
      <w:pPr>
        <w:ind w:left="360" w:hanging="360"/>
      </w:pPr>
      <w:rPr>
        <w:rFonts w:hint="default"/>
        <w:spacing w:val="0"/>
        <w:w w:val="100"/>
        <w:position w:val="0"/>
        <w:sz w:val="20"/>
        <w14:numForm w14:val="default"/>
        <w14:numSpacing w14:val="default"/>
        <w14:stylisticSets/>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76848AD"/>
    <w:multiLevelType w:val="multilevel"/>
    <w:tmpl w:val="1160DED6"/>
    <w:name w:val="Table322242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 w15:restartNumberingAfterBreak="0">
    <w:nsid w:val="082825CA"/>
    <w:multiLevelType w:val="singleLevel"/>
    <w:tmpl w:val="C62AAE20"/>
    <w:name w:val="Table322222"/>
    <w:lvl w:ilvl="0">
      <w:start w:val="1"/>
      <w:numFmt w:val="decimal"/>
      <w:lvlText w:val="%1"/>
      <w:lvlJc w:val="left"/>
      <w:pPr>
        <w:ind w:left="360" w:hanging="360"/>
      </w:pPr>
      <w:rPr>
        <w:rFonts w:hint="default"/>
      </w:rPr>
    </w:lvl>
  </w:abstractNum>
  <w:abstractNum w:abstractNumId="3" w15:restartNumberingAfterBreak="0">
    <w:nsid w:val="093F7076"/>
    <w:multiLevelType w:val="multilevel"/>
    <w:tmpl w:val="A70046C4"/>
    <w:name w:val="Table32222"/>
    <w:styleLink w:val="111111"/>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0DE473E"/>
    <w:multiLevelType w:val="multilevel"/>
    <w:tmpl w:val="FD10FB5C"/>
    <w:name w:val="Table3222422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5" w15:restartNumberingAfterBreak="0">
    <w:nsid w:val="11D65F94"/>
    <w:multiLevelType w:val="multilevel"/>
    <w:tmpl w:val="8466B0F2"/>
    <w:styleLink w:val="CurrentList1"/>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6" w15:restartNumberingAfterBreak="0">
    <w:nsid w:val="14746548"/>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1509298E"/>
    <w:multiLevelType w:val="multilevel"/>
    <w:tmpl w:val="B524B6C2"/>
    <w:name w:val="Table3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8" w15:restartNumberingAfterBreak="0">
    <w:nsid w:val="16782351"/>
    <w:multiLevelType w:val="hybridMultilevel"/>
    <w:tmpl w:val="3A320624"/>
    <w:lvl w:ilvl="0" w:tplc="0409000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 w15:restartNumberingAfterBreak="0">
    <w:nsid w:val="19976850"/>
    <w:multiLevelType w:val="multilevel"/>
    <w:tmpl w:val="B524B6C2"/>
    <w:name w:val="Table3223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0" w15:restartNumberingAfterBreak="0">
    <w:nsid w:val="1E5D1544"/>
    <w:multiLevelType w:val="hybridMultilevel"/>
    <w:tmpl w:val="B3CC4284"/>
    <w:lvl w:ilvl="0" w:tplc="79F8B8F2">
      <w:start w:val="1"/>
      <w:numFmt w:val="decimal"/>
      <w:lvlText w:val="%1."/>
      <w:lvlJc w:val="left"/>
      <w:pPr>
        <w:tabs>
          <w:tab w:val="num" w:pos="1080"/>
        </w:tabs>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1" w15:restartNumberingAfterBreak="0">
    <w:nsid w:val="20440B3E"/>
    <w:multiLevelType w:val="multilevel"/>
    <w:tmpl w:val="04E4F848"/>
    <w:name w:val="Table3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12" w15:restartNumberingAfterBreak="0">
    <w:nsid w:val="25196574"/>
    <w:multiLevelType w:val="multilevel"/>
    <w:tmpl w:val="FD10FB5C"/>
    <w:name w:val="Table3"/>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3" w15:restartNumberingAfterBreak="0">
    <w:nsid w:val="299873C5"/>
    <w:multiLevelType w:val="hybridMultilevel"/>
    <w:tmpl w:val="C090D442"/>
    <w:name w:val="Table22"/>
    <w:lvl w:ilvl="0" w:tplc="81C86C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DC63FF4"/>
    <w:multiLevelType w:val="multilevel"/>
    <w:tmpl w:val="3F1EF484"/>
    <w:styleLink w:val="CurrentList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2DFA0C20"/>
    <w:multiLevelType w:val="hybridMultilevel"/>
    <w:tmpl w:val="5F98A3D8"/>
    <w:lvl w:ilvl="0" w:tplc="2B52361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324B34D6"/>
    <w:multiLevelType w:val="multilevel"/>
    <w:tmpl w:val="45C4F84E"/>
    <w:name w:val="Table"/>
    <w:lvl w:ilvl="0">
      <w:start w:val="1"/>
      <w:numFmt w:val="decimal"/>
      <w:lvlText w:val="%1"/>
      <w:lvlJc w:val="left"/>
      <w:pPr>
        <w:ind w:left="360" w:hanging="360"/>
      </w:pPr>
      <w:rPr>
        <w:rFonts w:hint="default"/>
        <w:sz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3419734B"/>
    <w:multiLevelType w:val="multilevel"/>
    <w:tmpl w:val="1160DED6"/>
    <w:name w:val="Table32224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8" w15:restartNumberingAfterBreak="0">
    <w:nsid w:val="38E911CE"/>
    <w:multiLevelType w:val="multilevel"/>
    <w:tmpl w:val="A37A0FB0"/>
    <w:name w:val="Table322242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9" w15:restartNumberingAfterBreak="0">
    <w:nsid w:val="491C7990"/>
    <w:multiLevelType w:val="multilevel"/>
    <w:tmpl w:val="7EE6DF74"/>
    <w:styleLink w:val="CurrentList3"/>
    <w:lvl w:ilvl="0">
      <w:start w:val="1"/>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0" w15:restartNumberingAfterBreak="0">
    <w:nsid w:val="4BCD41A3"/>
    <w:multiLevelType w:val="multilevel"/>
    <w:tmpl w:val="49D250F4"/>
    <w:lvl w:ilvl="0">
      <w:start w:val="1"/>
      <w:numFmt w:val="decimal"/>
      <w:pStyle w:val="Heading1"/>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1" w15:restartNumberingAfterBreak="0">
    <w:nsid w:val="50C313CF"/>
    <w:multiLevelType w:val="multilevel"/>
    <w:tmpl w:val="96C0ED8E"/>
    <w:styleLink w:val="CurrentList5"/>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2" w15:restartNumberingAfterBreak="0">
    <w:nsid w:val="56C17872"/>
    <w:multiLevelType w:val="multilevel"/>
    <w:tmpl w:val="7BA4C848"/>
    <w:name w:val="Table32224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3" w15:restartNumberingAfterBreak="0">
    <w:nsid w:val="58574C48"/>
    <w:multiLevelType w:val="multilevel"/>
    <w:tmpl w:val="9FEA7116"/>
    <w:name w:val="Table32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4" w15:restartNumberingAfterBreak="0">
    <w:nsid w:val="5A0D6035"/>
    <w:multiLevelType w:val="hybridMultilevel"/>
    <w:tmpl w:val="4B28AB02"/>
    <w:lvl w:ilvl="0" w:tplc="1A905C68">
      <w:start w:val="1"/>
      <w:numFmt w:val="decimal"/>
      <w:lvlText w:val="%1."/>
      <w:lvlJc w:val="left"/>
      <w:pPr>
        <w:tabs>
          <w:tab w:val="num" w:pos="720"/>
        </w:tabs>
        <w:ind w:left="720" w:hanging="360"/>
      </w:pPr>
    </w:lvl>
    <w:lvl w:ilvl="1" w:tplc="79F8B8F2">
      <w:start w:val="1"/>
      <w:numFmt w:val="decimal"/>
      <w:lvlText w:val="%2."/>
      <w:lvlJc w:val="left"/>
      <w:pPr>
        <w:tabs>
          <w:tab w:val="num" w:pos="1440"/>
        </w:tabs>
        <w:ind w:left="1440" w:hanging="360"/>
      </w:pPr>
    </w:lvl>
    <w:lvl w:ilvl="2" w:tplc="BF4A24B4" w:tentative="1">
      <w:start w:val="1"/>
      <w:numFmt w:val="decimal"/>
      <w:lvlText w:val="%3."/>
      <w:lvlJc w:val="left"/>
      <w:pPr>
        <w:tabs>
          <w:tab w:val="num" w:pos="2160"/>
        </w:tabs>
        <w:ind w:left="2160" w:hanging="360"/>
      </w:pPr>
    </w:lvl>
    <w:lvl w:ilvl="3" w:tplc="6922C1C6" w:tentative="1">
      <w:start w:val="1"/>
      <w:numFmt w:val="decimal"/>
      <w:lvlText w:val="%4."/>
      <w:lvlJc w:val="left"/>
      <w:pPr>
        <w:tabs>
          <w:tab w:val="num" w:pos="2880"/>
        </w:tabs>
        <w:ind w:left="2880" w:hanging="360"/>
      </w:pPr>
    </w:lvl>
    <w:lvl w:ilvl="4" w:tplc="85B4C21A" w:tentative="1">
      <w:start w:val="1"/>
      <w:numFmt w:val="decimal"/>
      <w:lvlText w:val="%5."/>
      <w:lvlJc w:val="left"/>
      <w:pPr>
        <w:tabs>
          <w:tab w:val="num" w:pos="3600"/>
        </w:tabs>
        <w:ind w:left="3600" w:hanging="360"/>
      </w:pPr>
    </w:lvl>
    <w:lvl w:ilvl="5" w:tplc="DCDC77FE" w:tentative="1">
      <w:start w:val="1"/>
      <w:numFmt w:val="decimal"/>
      <w:lvlText w:val="%6."/>
      <w:lvlJc w:val="left"/>
      <w:pPr>
        <w:tabs>
          <w:tab w:val="num" w:pos="4320"/>
        </w:tabs>
        <w:ind w:left="4320" w:hanging="360"/>
      </w:pPr>
    </w:lvl>
    <w:lvl w:ilvl="6" w:tplc="C3A08B9E" w:tentative="1">
      <w:start w:val="1"/>
      <w:numFmt w:val="decimal"/>
      <w:lvlText w:val="%7."/>
      <w:lvlJc w:val="left"/>
      <w:pPr>
        <w:tabs>
          <w:tab w:val="num" w:pos="5040"/>
        </w:tabs>
        <w:ind w:left="5040" w:hanging="360"/>
      </w:pPr>
    </w:lvl>
    <w:lvl w:ilvl="7" w:tplc="BE1E2B04" w:tentative="1">
      <w:start w:val="1"/>
      <w:numFmt w:val="decimal"/>
      <w:lvlText w:val="%8."/>
      <w:lvlJc w:val="left"/>
      <w:pPr>
        <w:tabs>
          <w:tab w:val="num" w:pos="5760"/>
        </w:tabs>
        <w:ind w:left="5760" w:hanging="360"/>
      </w:pPr>
    </w:lvl>
    <w:lvl w:ilvl="8" w:tplc="C2A0E5BC" w:tentative="1">
      <w:start w:val="1"/>
      <w:numFmt w:val="decimal"/>
      <w:lvlText w:val="%9."/>
      <w:lvlJc w:val="left"/>
      <w:pPr>
        <w:tabs>
          <w:tab w:val="num" w:pos="6480"/>
        </w:tabs>
        <w:ind w:left="6480" w:hanging="360"/>
      </w:pPr>
    </w:lvl>
  </w:abstractNum>
  <w:abstractNum w:abstractNumId="25" w15:restartNumberingAfterBreak="0">
    <w:nsid w:val="5B047685"/>
    <w:multiLevelType w:val="hybridMultilevel"/>
    <w:tmpl w:val="A06CFD6A"/>
    <w:lvl w:ilvl="0" w:tplc="B3CADDDA">
      <w:start w:val="4"/>
      <w:numFmt w:val="bullet"/>
      <w:lvlText w:val=""/>
      <w:lvlJc w:val="left"/>
      <w:pPr>
        <w:ind w:left="720" w:hanging="360"/>
      </w:pPr>
      <w:rPr>
        <w:rFonts w:ascii="Wingdings" w:eastAsia="Times New Roman"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B744D70"/>
    <w:multiLevelType w:val="multilevel"/>
    <w:tmpl w:val="7BA4C848"/>
    <w:name w:val="Table3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7" w15:restartNumberingAfterBreak="0">
    <w:nsid w:val="623A2602"/>
    <w:multiLevelType w:val="multilevel"/>
    <w:tmpl w:val="0409001D"/>
    <w:name w:val="Table32223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639C341F"/>
    <w:multiLevelType w:val="hybridMultilevel"/>
    <w:tmpl w:val="78665E14"/>
    <w:lvl w:ilvl="0" w:tplc="79F8B8F2">
      <w:start w:val="1"/>
      <w:numFmt w:val="decimal"/>
      <w:lvlText w:val="%1."/>
      <w:lvlJc w:val="left"/>
      <w:pPr>
        <w:tabs>
          <w:tab w:val="num" w:pos="1440"/>
        </w:tabs>
        <w:ind w:left="14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44501E8"/>
    <w:multiLevelType w:val="hybridMultilevel"/>
    <w:tmpl w:val="7C4E3492"/>
    <w:lvl w:ilvl="0" w:tplc="828CAAA8">
      <w:start w:val="5"/>
      <w:numFmt w:val="bullet"/>
      <w:lvlText w:val="-"/>
      <w:lvlJc w:val="left"/>
      <w:pPr>
        <w:ind w:left="72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6FB079B"/>
    <w:multiLevelType w:val="hybridMultilevel"/>
    <w:tmpl w:val="5726BC46"/>
    <w:lvl w:ilvl="0" w:tplc="7AD2420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811179B"/>
    <w:multiLevelType w:val="hybridMultilevel"/>
    <w:tmpl w:val="A7EC9C4C"/>
    <w:lvl w:ilvl="0" w:tplc="0409000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2" w15:restartNumberingAfterBreak="0">
    <w:nsid w:val="6DFF2418"/>
    <w:multiLevelType w:val="multilevel"/>
    <w:tmpl w:val="FE08FD52"/>
    <w:name w:val="Table32224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3" w15:restartNumberingAfterBreak="0">
    <w:nsid w:val="7DF87107"/>
    <w:multiLevelType w:val="multilevel"/>
    <w:tmpl w:val="A676AFD4"/>
    <w:styleLink w:val="CurrentList4"/>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num w:numId="1" w16cid:durableId="1964386489">
    <w:abstractNumId w:val="0"/>
  </w:num>
  <w:num w:numId="2" w16cid:durableId="584190394">
    <w:abstractNumId w:val="11"/>
  </w:num>
  <w:num w:numId="3" w16cid:durableId="2130123528">
    <w:abstractNumId w:val="3"/>
  </w:num>
  <w:num w:numId="4" w16cid:durableId="1385062158">
    <w:abstractNumId w:val="20"/>
  </w:num>
  <w:num w:numId="5" w16cid:durableId="258877363">
    <w:abstractNumId w:val="2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460225762">
    <w:abstractNumId w:val="29"/>
  </w:num>
  <w:num w:numId="7" w16cid:durableId="23362611">
    <w:abstractNumId w:val="15"/>
  </w:num>
  <w:num w:numId="8" w16cid:durableId="1027635063">
    <w:abstractNumId w:val="6"/>
  </w:num>
  <w:num w:numId="9" w16cid:durableId="1818647057">
    <w:abstractNumId w:val="5"/>
  </w:num>
  <w:num w:numId="10" w16cid:durableId="368728981">
    <w:abstractNumId w:val="14"/>
  </w:num>
  <w:num w:numId="11" w16cid:durableId="742609968">
    <w:abstractNumId w:val="24"/>
  </w:num>
  <w:num w:numId="12" w16cid:durableId="1823040627">
    <w:abstractNumId w:val="25"/>
  </w:num>
  <w:num w:numId="13" w16cid:durableId="1399280369">
    <w:abstractNumId w:val="19"/>
  </w:num>
  <w:num w:numId="14" w16cid:durableId="393940909">
    <w:abstractNumId w:val="8"/>
  </w:num>
  <w:num w:numId="15" w16cid:durableId="1299533567">
    <w:abstractNumId w:val="31"/>
  </w:num>
  <w:num w:numId="16" w16cid:durableId="1700547640">
    <w:abstractNumId w:val="33"/>
  </w:num>
  <w:num w:numId="17" w16cid:durableId="888152231">
    <w:abstractNumId w:val="30"/>
  </w:num>
  <w:num w:numId="18" w16cid:durableId="514614590">
    <w:abstractNumId w:val="21"/>
  </w:num>
  <w:num w:numId="19" w16cid:durableId="1704094696">
    <w:abstractNumId w:val="28"/>
  </w:num>
  <w:num w:numId="20" w16cid:durableId="136724062">
    <w:abstractNumId w:val="1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2"/>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CategoryHeadingStyles" w:val="&lt;section-heading-styles&gt;&lt;category-title alignment=&quot;1&quot;&gt;&lt;/category-title&gt;&lt;category-heading alignment=&quot;1&quot;&gt;&lt;/category-heading&gt;&lt;/section-heading-styles&gt;"/>
    <w:docVar w:name="EN.DefaultReferenceGroups" w:val="&lt;reference-groups&gt;&lt;reference-group&gt;&lt;kind&gt;1&lt;/kind&gt;&lt;heading&gt;&lt;/heading&gt;&lt;alignment&gt;0&lt;/alignment&gt;&lt;records&gt;&lt;record&gt;&lt;key app=&quot;EN&quot; db-id=&quot;eseee05sfe5vt6efvr0xapvq20vfdsfp5fvf&quot; timestamp=&quot;1701286281&quot;&gt;374&lt;/key&gt;&lt;/record&gt;&lt;record&gt;&lt;key app=&quot;EN&quot; db-id=&quot;eseee05sfe5vt6efvr0xapvq20vfdsfp5fvf&quot; timestamp=&quot;1707774333&quot;&gt;396&lt;/key&gt;&lt;/record&gt;&lt;record&gt;&lt;key app=&quot;EN&quot; db-id=&quot;eseee05sfe5vt6efvr0xapvq20vfdsfp5fvf&quot; timestamp=&quot;1701293831&quot;&gt;378&lt;/key&gt;&lt;/record&gt;&lt;record&gt;&lt;key app=&quot;EN&quot; db-id=&quot;eseee05sfe5vt6efvr0xapvq20vfdsfp5fvf&quot; timestamp=&quot;1694799015&quot;&gt;329&lt;/key&gt;&lt;/record&gt;&lt;record&gt;&lt;key app=&quot;EN&quot; db-id=&quot;eseee05sfe5vt6efvr0xapvq20vfdsfp5fvf&quot; timestamp=&quot;1709245510&quot;&gt;416&lt;/key&gt;&lt;/record&gt;&lt;record&gt;&lt;key app=&quot;EN&quot; db-id=&quot;eseee05sfe5vt6efvr0xapvq20vfdsfp5fvf&quot; timestamp=&quot;1709320194&quot;&gt;417&lt;/key&gt;&lt;/record&gt;&lt;record&gt;&lt;key app=&quot;EN&quot; db-id=&quot;eseee05sfe5vt6efvr0xapvq20vfdsfp5fvf&quot; timestamp=&quot;1709320683&quot;&gt;418&lt;/key&gt;&lt;/record&gt;&lt;record&gt;&lt;key app=&quot;EN&quot; db-id=&quot;eseee05sfe5vt6efvr0xapvq20vfdsfp5fvf&quot; timestamp=&quot;1709321177&quot;&gt;419&lt;/key&gt;&lt;/record&gt;&lt;record&gt;&lt;key app=&quot;EN&quot; db-id=&quot;eseee05sfe5vt6efvr0xapvq20vfdsfp5fvf&quot; timestamp=&quot;1708364563&quot;&gt;403&lt;/key&gt;&lt;/record&gt;&lt;record&gt;&lt;key app=&quot;EN&quot; db-id=&quot;eseee05sfe5vt6efvr0xapvq20vfdsfp5fvf&quot; timestamp=&quot;1708364084&quot;&gt;401&lt;/key&gt;&lt;/record&gt;&lt;record&gt;&lt;key app=&quot;EN&quot; db-id=&quot;eseee05sfe5vt6efvr0xapvq20vfdsfp5fvf&quot; timestamp=&quot;1708364315&quot;&gt;402&lt;/key&gt;&lt;/record&gt;&lt;record&gt;&lt;key app=&quot;EN&quot; db-id=&quot;eseee05sfe5vt6efvr0xapvq20vfdsfp5fvf&quot; timestamp=&quot;1652058310&quot;&gt;172&lt;/key&gt;&lt;/record&gt;&lt;record&gt;&lt;key app=&quot;EN&quot; db-id=&quot;eseee05sfe5vt6efvr0xapvq20vfdsfp5fvf&quot; timestamp=&quot;1671046812&quot;&gt;207&lt;/key&gt;&lt;/record&gt;&lt;record&gt;&lt;key app=&quot;EN&quot; db-id=&quot;eseee05sfe5vt6efvr0xapvq20vfdsfp5fvf&quot; timestamp=&quot;1671069138&quot;&gt;210&lt;/key&gt;&lt;/record&gt;&lt;record&gt;&lt;key app=&quot;EN&quot; db-id=&quot;eseee05sfe5vt6efvr0xapvq20vfdsfp5fvf&quot; timestamp=&quot;1687804618&quot;&gt;315&lt;/key&gt;&lt;/record&gt;&lt;record&gt;&lt;key app=&quot;EN&quot; db-id=&quot;eseee05sfe5vt6efvr0xapvq20vfdsfp5fvf&quot; timestamp=&quot;1694799017&quot;&gt;330&lt;/key&gt;&lt;/record&gt;&lt;record&gt;&lt;key app=&quot;EN&quot; db-id=&quot;eseee05sfe5vt6efvr0xapvq20vfdsfp5fvf&quot; timestamp=&quot;1684260390&quot;&gt;286&lt;/key&gt;&lt;/record&gt;&lt;record&gt;&lt;key app=&quot;EN&quot; db-id=&quot;eseee05sfe5vt6efvr0xapvq20vfdsfp5fvf&quot; timestamp=&quot;1723561798&quot;&gt;511&lt;/key&gt;&lt;/record&gt;&lt;record&gt;&lt;key app=&quot;EN&quot; db-id=&quot;eseee05sfe5vt6efvr0xapvq20vfdsfp5fvf&quot; timestamp=&quot;1742483734&quot;&gt;542&lt;/key&gt;&lt;/record&gt;&lt;record&gt;&lt;key app=&quot;EN&quot; db-id=&quot;eseee05sfe5vt6efvr0xapvq20vfdsfp5fvf&quot; timestamp=&quot;1745869147&quot;&gt;568&lt;/key&gt;&lt;/record&gt;&lt;record&gt;&lt;key app=&quot;EN&quot; db-id=&quot;eseee05sfe5vt6efvr0xapvq20vfdsfp5fvf&quot; timestamp=&quot;1746820522&quot;&gt;572&lt;/key&gt;&lt;/record&gt;&lt;record&gt;&lt;key app=&quot;EN&quot; db-id=&quot;eseee05sfe5vt6efvr0xapvq20vfdsfp5fvf&quot; timestamp=&quot;1746825737&quot;&gt;573&lt;/key&gt;&lt;/record&gt;&lt;record&gt;&lt;key app=&quot;EN&quot; db-id=&quot;eseee05sfe5vt6efvr0xapvq20vfdsfp5fvf&quot; timestamp=&quot;1709239398&quot;&gt;410&lt;/key&gt;&lt;/record&gt;&lt;record&gt;&lt;key app=&quot;EN&quot; db-id=&quot;eseee05sfe5vt6efvr0xapvq20vfdsfp5fvf&quot; timestamp=&quot;1709239630&quot;&gt;411&lt;/key&gt;&lt;/record&gt;&lt;record&gt;&lt;key app=&quot;EN&quot; db-id=&quot;eseee05sfe5vt6efvr0xapvq20vfdsfp5fvf&quot; timestamp=&quot;1709239841&quot;&gt;412&lt;/key&gt;&lt;/record&gt;&lt;record&gt;&lt;key app=&quot;EN&quot; db-id=&quot;eseee05sfe5vt6efvr0xapvq20vfdsfp5fvf&quot; timestamp=&quot;1709060580&quot;&gt;404&lt;/key&gt;&lt;/record&gt;&lt;record&gt;&lt;key app=&quot;EN&quot; db-id=&quot;eseee05sfe5vt6efvr0xapvq20vfdsfp5fvf&quot; timestamp=&quot;1709242557&quot;&gt;414&lt;/key&gt;&lt;/record&gt;&lt;record&gt;&lt;key app=&quot;EN&quot; db-id=&quot;eseee05sfe5vt6efvr0xapvq20vfdsfp5fvf&quot; timestamp=&quot;1709061718&quot;&gt;405&lt;/key&gt;&lt;/record&gt;&lt;record&gt;&lt;key app=&quot;EN&quot; db-id=&quot;eseee05sfe5vt6efvr0xapvq20vfdsfp5fvf&quot; timestamp=&quot;1709065790&quot;&gt;406&lt;/key&gt;&lt;/record&gt;&lt;record&gt;&lt;key app=&quot;EN&quot; db-id=&quot;eseee05sfe5vt6efvr0xapvq20vfdsfp5fvf&quot; timestamp=&quot;1709065792&quot;&gt;407&lt;/key&gt;&lt;/record&gt;&lt;record&gt;&lt;key app=&quot;EN&quot; db-id=&quot;eseee05sfe5vt6efvr0xapvq20vfdsfp5fvf&quot; timestamp=&quot;1672456485&quot;&gt;256&lt;/key&gt;&lt;/record&gt;&lt;record&gt;&lt;key app=&quot;EN&quot; db-id=&quot;eseee05sfe5vt6efvr0xapvq20vfdsfp5fvf&quot; timestamp=&quot;1696547849&quot;&gt;333&lt;/key&gt;&lt;/record&gt;&lt;record&gt;&lt;key app=&quot;EN&quot; db-id=&quot;eseee05sfe5vt6efvr0xapvq20vfdsfp5fvf&quot; timestamp=&quot;1671688347&quot;&gt;250&lt;/key&gt;&lt;/record&gt;&lt;record&gt;&lt;key app=&quot;EN&quot; db-id=&quot;eseee05sfe5vt6efvr0xapvq20vfdsfp5fvf&quot; timestamp=&quot;1671688447&quot;&gt;251&lt;/key&gt;&lt;/record&gt;&lt;record&gt;&lt;key app=&quot;EN&quot; db-id=&quot;eseee05sfe5vt6efvr0xapvq20vfdsfp5fvf&quot; timestamp=&quot;1750106927&quot;&gt;582&lt;/key&gt;&lt;/record&gt;&lt;record&gt;&lt;key app=&quot;EN&quot; db-id=&quot;eseee05sfe5vt6efvr0xapvq20vfdsfp5fvf&quot; timestamp=&quot;1750099215&quot;&gt;581&lt;/key&gt;&lt;/record&gt;&lt;record&gt;&lt;key app=&quot;EN&quot; db-id=&quot;eseee05sfe5vt6efvr0xapvq20vfdsfp5fvf&quot; timestamp=&quot;1665414997&quot;&gt;199&lt;/key&gt;&lt;/record&gt;&lt;record&gt;&lt;key app=&quot;EN&quot; db-id=&quot;eseee05sfe5vt6efvr0xapvq20vfdsfp5fvf&quot; timestamp=&quot;1671069304&quot;&gt;212&lt;/key&gt;&lt;/record&gt;&lt;record&gt;&lt;key app=&quot;EN&quot; db-id=&quot;eseee05sfe5vt6efvr0xapvq20vfdsfp5fvf&quot; timestamp=&quot;1671069683&quot;&gt;213&lt;/key&gt;&lt;/record&gt;&lt;record&gt;&lt;key app=&quot;EN&quot; db-id=&quot;eseee05sfe5vt6efvr0xapvq20vfdsfp5fvf&quot; timestamp=&quot;1671046678&quot;&gt;206&lt;/key&gt;&lt;/record&gt;&lt;record&gt;&lt;key app=&quot;EN&quot; db-id=&quot;eseee05sfe5vt6efvr0xapvq20vfdsfp5fvf&quot; timestamp=&quot;1663769128&quot;&gt;196&lt;/key&gt;&lt;/record&gt;&lt;record&gt;&lt;key app=&quot;EN&quot; db-id=&quot;eseee05sfe5vt6efvr0xapvq20vfdsfp5fvf&quot; timestamp=&quot;1671069988&quot;&gt;215&lt;/key&gt;&lt;/record&gt;&lt;record&gt;&lt;key app=&quot;EN&quot; db-id=&quot;eseee05sfe5vt6efvr0xapvq20vfdsfp5fvf&quot; timestamp=&quot;1706217847&quot;&gt;388&lt;/key&gt;&lt;/record&gt;&lt;record&gt;&lt;key app=&quot;EN&quot; db-id=&quot;eseee05sfe5vt6efvr0xapvq20vfdsfp5fvf&quot; timestamp=&quot;1706476588&quot;&gt;391&lt;/key&gt;&lt;/record&gt;&lt;record&gt;&lt;key app=&quot;EN&quot; db-id=&quot;eseee05sfe5vt6efvr0xapvq20vfdsfp5fvf&quot; timestamp=&quot;1661188483&quot;&gt;189&lt;/key&gt;&lt;/record&gt;&lt;record&gt;&lt;key app=&quot;EN&quot; db-id=&quot;eseee05sfe5vt6efvr0xapvq20vfdsfp5fvf&quot; timestamp=&quot;1706201798&quot;&gt;384&lt;/key&gt;&lt;/record&gt;&lt;record&gt;&lt;key app=&quot;EN&quot; db-id=&quot;eseee05sfe5vt6efvr0xapvq20vfdsfp5fvf&quot; timestamp=&quot;1671685158&quot;&gt;240&lt;/key&gt;&lt;/record&gt;&lt;record&gt;&lt;key app=&quot;EN&quot; db-id=&quot;eseee05sfe5vt6efvr0xapvq20vfdsfp5fvf&quot; timestamp=&quot;1706201916&quot;&gt;386&lt;/key&gt;&lt;/record&gt;&lt;record&gt;&lt;key app=&quot;EN&quot; db-id=&quot;eseee05sfe5vt6efvr0xapvq20vfdsfp5fvf&quot; timestamp=&quot;1706201745&quot;&gt;383&lt;/key&gt;&lt;/record&gt;&lt;record&gt;&lt;key app=&quot;EN&quot; db-id=&quot;eseee05sfe5vt6efvr0xapvq20vfdsfp5fvf&quot; timestamp=&quot;1690338671&quot;&gt;321&lt;/key&gt;&lt;/record&gt;&lt;record&gt;&lt;key app=&quot;EN&quot; db-id=&quot;eseee05sfe5vt6efvr0xapvq20vfdsfp5fvf&quot; timestamp=&quot;1671681055&quot;&gt;217&lt;/key&gt;&lt;/record&gt;&lt;record&gt;&lt;key app=&quot;EN&quot; db-id=&quot;eseee05sfe5vt6efvr0xapvq20vfdsfp5fvf&quot; timestamp=&quot;1671681393&quot;&gt;218&lt;/key&gt;&lt;/record&gt;&lt;record&gt;&lt;key app=&quot;EN&quot; db-id=&quot;eseee05sfe5vt6efvr0xapvq20vfdsfp5fvf&quot; timestamp=&quot;1671681738&quot;&gt;219&lt;/key&gt;&lt;/record&gt;&lt;record&gt;&lt;key app=&quot;EN&quot; db-id=&quot;eseee05sfe5vt6efvr0xapvq20vfdsfp5fvf&quot; timestamp=&quot;1671681832&quot;&gt;220&lt;/key&gt;&lt;/record&gt;&lt;record&gt;&lt;key app=&quot;EN&quot; db-id=&quot;eseee05sfe5vt6efvr0xapvq20vfdsfp5fvf&quot; timestamp=&quot;1671681963&quot;&gt;221&lt;/key&gt;&lt;/record&gt;&lt;record&gt;&lt;key app=&quot;EN&quot; db-id=&quot;eseee05sfe5vt6efvr0xapvq20vfdsfp5fvf&quot; timestamp=&quot;1671682040&quot;&gt;222&lt;/key&gt;&lt;/record&gt;&lt;record&gt;&lt;key app=&quot;EN&quot; db-id=&quot;eseee05sfe5vt6efvr0xapvq20vfdsfp5fvf&quot; timestamp=&quot;1671682432&quot;&gt;224&lt;/key&gt;&lt;/record&gt;&lt;record&gt;&lt;key app=&quot;EN&quot; db-id=&quot;eseee05sfe5vt6efvr0xapvq20vfdsfp5fvf&quot; timestamp=&quot;1671682567&quot;&gt;225&lt;/key&gt;&lt;/record&gt;&lt;record&gt;&lt;key app=&quot;EN&quot; db-id=&quot;eseee05sfe5vt6efvr0xapvq20vfdsfp5fvf&quot; timestamp=&quot;1671682656&quot;&gt;226&lt;/key&gt;&lt;/record&gt;&lt;record&gt;&lt;key app=&quot;EN&quot; db-id=&quot;eseee05sfe5vt6efvr0xapvq20vfdsfp5fvf&quot; timestamp=&quot;1652058315&quot;&gt;174&lt;/key&gt;&lt;/record&gt;&lt;record&gt;&lt;key app=&quot;EN&quot; db-id=&quot;eseee05sfe5vt6efvr0xapvq20vfdsfp5fvf&quot; timestamp=&quot;1652058313&quot;&gt;173&lt;/key&gt;&lt;/record&gt;&lt;record&gt;&lt;key app=&quot;EN&quot; db-id=&quot;eseee05sfe5vt6efvr0xapvq20vfdsfp5fvf&quot; timestamp=&quot;1671682945&quot;&gt;227&lt;/key&gt;&lt;/record&gt;&lt;record&gt;&lt;key app=&quot;EN&quot; db-id=&quot;eseee05sfe5vt6efvr0xapvq20vfdsfp5fvf&quot; timestamp=&quot;1671683014&quot;&gt;228&lt;/key&gt;&lt;/record&gt;&lt;record&gt;&lt;key app=&quot;EN&quot; db-id=&quot;eseee05sfe5vt6efvr0xapvq20vfdsfp5fvf&quot; timestamp=&quot;1671683210&quot;&gt;229&lt;/key&gt;&lt;/record&gt;&lt;record&gt;&lt;key app=&quot;EN&quot; db-id=&quot;eseee05sfe5vt6efvr0xapvq20vfdsfp5fvf&quot; timestamp=&quot;1671683280&quot;&gt;230&lt;/key&gt;&lt;/record&gt;&lt;record&gt;&lt;key app=&quot;EN&quot; db-id=&quot;eseee05sfe5vt6efvr0xapvq20vfdsfp5fvf&quot; timestamp=&quot;1671683406&quot;&gt;231&lt;/key&gt;&lt;/record&gt;&lt;record&gt;&lt;key app=&quot;EN&quot; db-id=&quot;eseee05sfe5vt6efvr0xapvq20vfdsfp5fvf&quot; timestamp=&quot;1671684331&quot;&gt;233&lt;/key&gt;&lt;/record&gt;&lt;record&gt;&lt;key app=&quot;EN&quot; db-id=&quot;eseee05sfe5vt6efvr0xapvq20vfdsfp5fvf&quot; timestamp=&quot;1671684389&quot;&gt;234&lt;/key&gt;&lt;/record&gt;&lt;record&gt;&lt;key app=&quot;EN&quot; db-id=&quot;eseee05sfe5vt6efvr0xapvq20vfdsfp5fvf&quot; timestamp=&quot;1671684493&quot;&gt;235&lt;/key&gt;&lt;/record&gt;&lt;record&gt;&lt;key app=&quot;EN&quot; db-id=&quot;eseee05sfe5vt6efvr0xapvq20vfdsfp5fvf&quot; timestamp=&quot;1671684608&quot;&gt;236&lt;/key&gt;&lt;/record&gt;&lt;record&gt;&lt;key app=&quot;EN&quot; db-id=&quot;eseee05sfe5vt6efvr0xapvq20vfdsfp5fvf&quot; timestamp=&quot;1671685067&quot;&gt;239&lt;/key&gt;&lt;/record&gt;&lt;record&gt;&lt;key app=&quot;EN&quot; db-id=&quot;eseee05sfe5vt6efvr0xapvq20vfdsfp5fvf&quot; timestamp=&quot;1671685274&quot;&gt;241&lt;/key&gt;&lt;/record&gt;&lt;record&gt;&lt;key app=&quot;EN&quot; db-id=&quot;eseee05sfe5vt6efvr0xapvq20vfdsfp5fvf&quot; timestamp=&quot;1671685851&quot;&gt;246&lt;/key&gt;&lt;/record&gt;&lt;record&gt;&lt;key app=&quot;EN&quot; db-id=&quot;eseee05sfe5vt6efvr0xapvq20vfdsfp5fvf&quot; timestamp=&quot;1671687251&quot;&gt;247&lt;/key&gt;&lt;/record&gt;&lt;record&gt;&lt;key app=&quot;EN&quot; db-id=&quot;eseee05sfe5vt6efvr0xapvq20vfdsfp5fvf&quot; timestamp=&quot;1663186217&quot;&gt;193&lt;/key&gt;&lt;/record&gt;&lt;record&gt;&lt;key app=&quot;EN&quot; db-id=&quot;eseee05sfe5vt6efvr0xapvq20vfdsfp5fvf&quot; timestamp=&quot;1663186297&quot;&gt;194&lt;/key&gt;&lt;/record&gt;&lt;record&gt;&lt;key app=&quot;EN&quot; db-id=&quot;eseee05sfe5vt6efvr0xapvq20vfdsfp5fvf&quot; timestamp=&quot;1663700033&quot;&gt;195&lt;/key&gt;&lt;/record&gt;&lt;record&gt;&lt;key app=&quot;EN&quot; db-id=&quot;eseee05sfe5vt6efvr0xapvq20vfdsfp5fvf&quot; timestamp=&quot;1709673225&quot;&gt;420&lt;/key&gt;&lt;/record&gt;&lt;record&gt;&lt;key app=&quot;EN&quot; db-id=&quot;eseee05sfe5vt6efvr0xapvq20vfdsfp5fvf&quot; timestamp=&quot;1676918079&quot;&gt;262&lt;/key&gt;&lt;/record&gt;&lt;record&gt;&lt;key app=&quot;EN&quot; db-id=&quot;eseee05sfe5vt6efvr0xapvq20vfdsfp5fvf&quot; timestamp=&quot;1662936254&quot;&gt;192&lt;/key&gt;&lt;/record&gt;&lt;record&gt;&lt;key app=&quot;EN&quot; db-id=&quot;eseee05sfe5vt6efvr0xapvq20vfdsfp5fvf&quot; timestamp=&quot;1661188478&quot;&gt;187&lt;/key&gt;&lt;/record&gt;&lt;record&gt;&lt;key app=&quot;EN&quot; db-id=&quot;eseee05sfe5vt6efvr0xapvq20vfdsfp5fvf&quot; timestamp=&quot;1661187511&quot;&gt;184&lt;/key&gt;&lt;/record&gt;&lt;record&gt;&lt;key app=&quot;EN&quot; db-id=&quot;eseee05sfe5vt6efvr0xapvq20vfdsfp5fvf&quot; timestamp=&quot;1671689304&quot;&gt;253&lt;/key&gt;&lt;/record&gt;&lt;record&gt;&lt;key app=&quot;EN&quot; db-id=&quot;eseee05sfe5vt6efvr0xapvq20vfdsfp5fvf&quot; timestamp=&quot;1711315330&quot;&gt;443&lt;/key&gt;&lt;/record&gt;&lt;record&gt;&lt;key app=&quot;EN&quot; db-id=&quot;eseee05sfe5vt6efvr0xapvq20vfdsfp5fvf&quot; timestamp=&quot;1747331467&quot;&gt;576&lt;/key&gt;&lt;/record&gt;&lt;record&gt;&lt;key app=&quot;EN&quot; db-id=&quot;eseee05sfe5vt6efvr0xapvq20vfdsfp5fvf&quot; timestamp=&quot;1696882580&quot;&gt;334&lt;/key&gt;&lt;/record&gt;&lt;record&gt;&lt;key app=&quot;EN&quot; db-id=&quot;eseee05sfe5vt6efvr0xapvq20vfdsfp5fvf&quot; timestamp=&quot;1687794088&quot;&gt;312&lt;/key&gt;&lt;/record&gt;&lt;record&gt;&lt;key app=&quot;EN&quot; db-id=&quot;eseee05sfe5vt6efvr0xapvq20vfdsfp5fvf&quot; timestamp=&quot;1689869977&quot;&gt;319&lt;/key&gt;&lt;/record&gt;&lt;record&gt;&lt;key app=&quot;EN&quot; db-id=&quot;eseee05sfe5vt6efvr0xapvq20vfdsfp5fvf&quot; timestamp=&quot;1699826534&quot;&gt;359&lt;/key&gt;&lt;/record&gt;&lt;record&gt;&lt;key app=&quot;EN&quot; db-id=&quot;eseee05sfe5vt6efvr0xapvq20vfdsfp5fvf&quot; timestamp=&quot;1750090757&quot;&gt;580&lt;/key&gt;&lt;/record&gt;&lt;record&gt;&lt;key app=&quot;EN&quot; db-id=&quot;eseee05sfe5vt6efvr0xapvq20vfdsfp5fvf&quot; timestamp=&quot;1747852729&quot;&gt;578&lt;/key&gt;&lt;/record&gt;&lt;record&gt;&lt;key app=&quot;EN&quot; db-id=&quot;eseee05sfe5vt6efvr0xapvq20vfdsfp5fvf&quot; timestamp=&quot;1746979966&quot;&gt;575&lt;/key&gt;&lt;/record&gt;&lt;record&gt;&lt;key app=&quot;EN&quot; db-id=&quot;eseee05sfe5vt6efvr0xapvq20vfdsfp5fvf&quot; timestamp=&quot;1723582638&quot;&gt;513&lt;/key&gt;&lt;/record&gt;&lt;record&gt;&lt;key app=&quot;EN&quot; db-id=&quot;eseee05sfe5vt6efvr0xapvq20vfdsfp5fvf&quot; timestamp=&quot;1746915827&quot;&gt;574&lt;/key&gt;&lt;/record&gt;&lt;record&gt;&lt;key app=&quot;EN&quot; db-id=&quot;eseee05sfe5vt6efvr0xapvq20vfdsfp5fvf&quot; timestamp=&quot;1713901234&quot;&gt;469&lt;/key&gt;&lt;/record&gt;&lt;record&gt;&lt;key app=&quot;EN&quot; db-id=&quot;eseee05sfe5vt6efvr0xapvq20vfdsfp5fvf&quot; timestamp=&quot;1721161778&quot;&gt;507&lt;/key&gt;&lt;/record&gt;&lt;record&gt;&lt;key app=&quot;EN&quot; db-id=&quot;eseee05sfe5vt6efvr0xapvq20vfdsfp5fvf&quot; timestamp=&quot;1710043936&quot;&gt;426&lt;/key&gt;&lt;/record&gt;&lt;record&gt;&lt;key app=&quot;EN&quot; db-id=&quot;eseee05sfe5vt6efvr0xapvq20vfdsfp5fvf&quot; timestamp=&quot;1713807426&quot;&gt;467&lt;/key&gt;&lt;/record&gt;&lt;record&gt;&lt;key app=&quot;EN&quot; db-id=&quot;eseee05sfe5vt6efvr0xapvq20vfdsfp5fvf&quot; timestamp=&quot;1710037058&quot;&gt;422&lt;/key&gt;&lt;/record&gt;&lt;record&gt;&lt;key app=&quot;EN&quot; db-id=&quot;eseee05sfe5vt6efvr0xapvq20vfdsfp5fvf&quot; timestamp=&quot;1746455771&quot;&gt;569&lt;/key&gt;&lt;/record&gt;&lt;record&gt;&lt;key app=&quot;EN&quot; db-id=&quot;eseee05sfe5vt6efvr0xapvq20vfdsfp5fvf&quot; timestamp=&quot;1698083234&quot;&gt;348&lt;/key&gt;&lt;/record&gt;&lt;record&gt;&lt;key app=&quot;EN&quot; db-id=&quot;eseee05sfe5vt6efvr0xapvq20vfdsfp5fvf&quot; timestamp=&quot;1740694142&quot;&gt;534&lt;/key&gt;&lt;/record&gt;&lt;record&gt;&lt;key app=&quot;EN&quot; db-id=&quot;eseee05sfe5vt6efvr0xapvq20vfdsfp5fvf&quot; timestamp=&quot;1698074937&quot;&gt;346&lt;/key&gt;&lt;/record&gt;&lt;record&gt;&lt;key app=&quot;EN&quot; db-id=&quot;eseee05sfe5vt6efvr0xapvq20vfdsfp5fvf&quot; timestamp=&quot;1715880499&quot;&gt;491&lt;/key&gt;&lt;/record&gt;&lt;record&gt;&lt;key app=&quot;EN&quot; db-id=&quot;eseee05sfe5vt6efvr0xapvq20vfdsfp5fvf&quot; timestamp=&quot;1715880289&quot;&gt;490&lt;/key&gt;&lt;/record&gt;&lt;record&gt;&lt;key app=&quot;EN&quot; db-id=&quot;eseee05sfe5vt6efvr0xapvq20vfdsfp5fvf&quot; timestamp=&quot;1712615404&quot;&gt;454&lt;/key&gt;&lt;/record&gt;&lt;record&gt;&lt;key app=&quot;EN&quot; db-id=&quot;eseee05sfe5vt6efvr0xapvq20vfdsfp5fvf&quot; timestamp=&quot;1712250992&quot;&gt;445&lt;/key&gt;&lt;/record&gt;&lt;record&gt;&lt;key app=&quot;EN&quot; db-id=&quot;eseee05sfe5vt6efvr0xapvq20vfdsfp5fvf&quot; timestamp=&quot;1710172001&quot;&gt;434&lt;/key&gt;&lt;/record&gt;&lt;record&gt;&lt;key app=&quot;EN&quot; db-id=&quot;eseee05sfe5vt6efvr0xapvq20vfdsfp5fvf&quot; timestamp=&quot;1710172083&quot;&gt;435&lt;/key&gt;&lt;/record&gt;&lt;record&gt;&lt;key app=&quot;EN&quot; db-id=&quot;eseee05sfe5vt6efvr0xapvq20vfdsfp5fvf&quot; timestamp=&quot;1715267778&quot;&gt;478&lt;/key&gt;&lt;/record&gt;&lt;record&gt;&lt;key app=&quot;EN&quot; db-id=&quot;eseee05sfe5vt6efvr0xapvq20vfdsfp5fvf&quot; timestamp=&quot;1715280940&quot;&gt;485&lt;/key&gt;&lt;/record&gt;&lt;record&gt;&lt;key app=&quot;EN&quot; db-id=&quot;eseee05sfe5vt6efvr0xapvq20vfdsfp5fvf&quot; timestamp=&quot;1715265513&quot;&gt;476&lt;/key&gt;&lt;/record&gt;&lt;record&gt;&lt;key app=&quot;EN&quot; db-id=&quot;eseee05sfe5vt6efvr0xapvq20vfdsfp5fvf&quot; timestamp=&quot;1715268325&quot;&gt;479&lt;/key&gt;&lt;/record&gt;&lt;record&gt;&lt;key app=&quot;EN&quot; db-id=&quot;eseee05sfe5vt6efvr0xapvq20vfdsfp5fvf&quot; timestamp=&quot;1715266769&quot;&gt;477&lt;/key&gt;&lt;/record&gt;&lt;record&gt;&lt;key app=&quot;EN&quot; db-id=&quot;eseee05sfe5vt6efvr0xapvq20vfdsfp5fvf&quot; timestamp=&quot;1715359067&quot;&gt;486&lt;/key&gt;&lt;/record&gt;&lt;record&gt;&lt;key app=&quot;EN&quot; db-id=&quot;eseee05sfe5vt6efvr0xapvq20vfdsfp5fvf&quot; timestamp=&quot;1715359552&quot;&gt;487&lt;/key&gt;&lt;/record&gt;&lt;record&gt;&lt;key app=&quot;EN&quot; db-id=&quot;eseee05sfe5vt6efvr0xapvq20vfdsfp5fvf&quot; timestamp=&quot;1715359679&quot;&gt;488&lt;/key&gt;&lt;/record&gt;&lt;record&gt;&lt;key app=&quot;EN&quot; db-id=&quot;eseee05sfe5vt6efvr0xapvq20vfdsfp5fvf&quot; timestamp=&quot;1714766823&quot;&gt;474&lt;/key&gt;&lt;/record&gt;&lt;record&gt;&lt;key app=&quot;EN&quot; db-id=&quot;eseee05sfe5vt6efvr0xapvq20vfdsfp5fvf&quot; timestamp=&quot;1717616309&quot;&gt;496&lt;/key&gt;&lt;/record&gt;&lt;record&gt;&lt;key app=&quot;EN&quot; db-id=&quot;eseee05sfe5vt6efvr0xapvq20vfdsfp5fvf&quot; timestamp=&quot;1717619415&quot;&gt;497&lt;/key&gt;&lt;/record&gt;&lt;record&gt;&lt;key app=&quot;EN&quot; db-id=&quot;eseee05sfe5vt6efvr0xapvq20vfdsfp5fvf&quot; timestamp=&quot;1713373610&quot;&gt;463&lt;/key&gt;&lt;/record&gt;&lt;record&gt;&lt;key app=&quot;EN&quot; db-id=&quot;eseee05sfe5vt6efvr0xapvq20vfdsfp5fvf&quot; timestamp=&quot;1717688004&quot;&gt;499&lt;/key&gt;&lt;/record&gt;&lt;record&gt;&lt;key app=&quot;EN&quot; db-id=&quot;eseee05sfe5vt6efvr0xapvq20vfdsfp5fvf&quot; timestamp=&quot;1713369197&quot;&gt;462&lt;/key&gt;&lt;/record&gt;&lt;record&gt;&lt;key app=&quot;EN&quot; db-id=&quot;eseee05sfe5vt6efvr0xapvq20vfdsfp5fvf&quot; timestamp=&quot;1717689573&quot;&gt;500&lt;/key&gt;&lt;/record&gt;&lt;record&gt;&lt;key app=&quot;EN&quot; db-id=&quot;eseee05sfe5vt6efvr0xapvq20vfdsfp5fvf&quot; timestamp=&quot;1710037058&quot;&gt;423&lt;/key&gt;&lt;/record&gt;&lt;record&gt;&lt;key app=&quot;EN&quot; db-id=&quot;eseee05sfe5vt6efvr0xapvq20vfdsfp5fvf&quot; timestamp=&quot;1741380996&quot;&gt;538&lt;/key&gt;&lt;/record&gt;&lt;record&gt;&lt;key app=&quot;EN&quot; db-id=&quot;eseee05sfe5vt6efvr0xapvq20vfdsfp5fvf&quot; timestamp=&quot;1714491209&quot;&gt;473&lt;/key&gt;&lt;/record&gt;&lt;record&gt;&lt;key app=&quot;EN&quot; db-id=&quot;eseee05sfe5vt6efvr0xapvq20vfdsfp5fvf&quot; timestamp=&quot;1744302256&quot;&gt;549&lt;/key&gt;&lt;/record&gt;&lt;record&gt;&lt;key app=&quot;EN&quot; db-id=&quot;eseee05sfe5vt6efvr0xapvq20vfdsfp5fvf&quot; timestamp=&quot;1722454793&quot;&gt;509&lt;/key&gt;&lt;/record&gt;&lt;record&gt;&lt;key app=&quot;EN&quot; db-id=&quot;eseee05sfe5vt6efvr0xapvq20vfdsfp5fvf&quot; timestamp=&quot;1671689540&quot;&gt;254&lt;/key&gt;&lt;/record&gt;&lt;record&gt;&lt;key app=&quot;EN&quot; db-id=&quot;eseee05sfe5vt6efvr0xapvq20vfdsfp5fvf&quot; timestamp=&quot;1742490345&quot;&gt;543&lt;/key&gt;&lt;/record&gt;&lt;record&gt;&lt;key app=&quot;EN&quot; db-id=&quot;eseee05sfe5vt6efvr0xapvq20vfdsfp5fvf&quot; timestamp=&quot;1744755169&quot;&gt;556&lt;/key&gt;&lt;/record&gt;&lt;record&gt;&lt;key app=&quot;EN&quot; db-id=&quot;eseee05sfe5vt6efvr0xapvq20vfdsfp5fvf&quot; timestamp=&quot;1745254273&quot;&gt;561&lt;/key&gt;&lt;/record&gt;&lt;record&gt;&lt;key app=&quot;EN&quot; db-id=&quot;eseee05sfe5vt6efvr0xapvq20vfdsfp5fvf&quot; timestamp=&quot;1744725683&quot;&gt;551&lt;/key&gt;&lt;/record&gt;&lt;record&gt;&lt;key app=&quot;EN&quot; db-id=&quot;eseee05sfe5vt6efvr0xapvq20vfdsfp5fvf&quot; timestamp=&quot;1744727079&quot;&gt;554&lt;/key&gt;&lt;/record&gt;&lt;record&gt;&lt;key app=&quot;EN&quot; db-id=&quot;eseee05sfe5vt6efvr0xapvq20vfdsfp5fvf&quot; timestamp=&quot;1744727055&quot;&gt;553&lt;/key&gt;&lt;/record&gt;&lt;record&gt;&lt;key app=&quot;EN&quot; db-id=&quot;eseee05sfe5vt6efvr0xapvq20vfdsfp5fvf&quot; timestamp=&quot;1745264629&quot;&gt;563&lt;/key&gt;&lt;/record&gt;&lt;record&gt;&lt;key app=&quot;EN&quot; db-id=&quot;eseee05sfe5vt6efvr0xapvq20vfdsfp5fvf&quot; timestamp=&quot;1744814987&quot;&gt;557&lt;/key&gt;&lt;/record&gt;&lt;record&gt;&lt;key app=&quot;EN&quot; db-id=&quot;eseee05sfe5vt6efvr0xapvq20vfdsfp5fvf&quot; timestamp=&quot;1746559952&quot;&gt;570&lt;/key&gt;&lt;/record&gt;&lt;record&gt;&lt;key app=&quot;EN&quot; db-id=&quot;eseee05sfe5vt6efvr0xapvq20vfdsfp5fvf&quot; timestamp=&quot;1744824063&quot;&gt;558&lt;/key&gt;&lt;/record&gt;&lt;record&gt;&lt;key app=&quot;EN&quot; db-id=&quot;eseee05sfe5vt6efvr0xapvq20vfdsfp5fvf&quot; timestamp=&quot;1744824446&quot;&gt;559&lt;/key&gt;&lt;/record&gt;&lt;record&gt;&lt;key app=&quot;EN&quot; db-id=&quot;eseee05sfe5vt6efvr0xapvq20vfdsfp5fvf&quot; timestamp=&quot;1744825255&quot;&gt;560&lt;/key&gt;&lt;/record&gt;&lt;record&gt;&lt;key app=&quot;EN&quot; db-id=&quot;eseee05sfe5vt6efvr0xapvq20vfdsfp5fvf&quot; timestamp=&quot;1709155341&quot;&gt;409&lt;/key&gt;&lt;/record&gt;&lt;record&gt;&lt;key app=&quot;EN&quot; db-id=&quot;eseee05sfe5vt6efvr0xapvq20vfdsfp5fvf&quot; timestamp=&quot;1632157311&quot;&gt;32&lt;/key&gt;&lt;/record&gt;&lt;record&gt;&lt;key app=&quot;EN&quot; db-id=&quot;eseee05sfe5vt6efvr0xapvq20vfdsfp5fvf&quot; timestamp=&quot;1663770389&quot;&gt;198&lt;/key&gt;&lt;/record&gt;&lt;record&gt;&lt;key app=&quot;EN&quot; db-id=&quot;eseee05sfe5vt6efvr0xapvq20vfdsfp5fvf&quot; timestamp=&quot;1671038265&quot;&gt;202&lt;/key&gt;&lt;/record&gt;&lt;record&gt;&lt;key app=&quot;EN&quot; db-id=&quot;eseee05sfe5vt6efvr0xapvq20vfdsfp5fvf&quot; timestamp=&quot;1671045978&quot;&gt;203&lt;/key&gt;&lt;/record&gt;&lt;record&gt;&lt;key app=&quot;EN&quot; db-id=&quot;eseee05sfe5vt6efvr0xapvq20vfdsfp5fvf&quot; timestamp=&quot;1663769978&quot;&gt;197&lt;/key&gt;&lt;/record&gt;&lt;record&gt;&lt;key app=&quot;EN&quot; db-id=&quot;eseee05sfe5vt6efvr0xapvq20vfdsfp5fvf&quot; timestamp=&quot;1661187710&quot;&gt;185&lt;/key&gt;&lt;/record&gt;&lt;record&gt;&lt;key app=&quot;EN&quot; db-id=&quot;eseee05sfe5vt6efvr0xapvq20vfdsfp5fvf&quot; timestamp=&quot;1661187507&quot;&gt;182&lt;/key&gt;&lt;/record&gt;&lt;record&gt;&lt;key app=&quot;EN&quot; db-id=&quot;eseee05sfe5vt6efvr0xapvq20vfdsfp5fvf&quot; timestamp=&quot;1661187509&quot;&gt;183&lt;/key&gt;&lt;/record&gt;&lt;record&gt;&lt;key app=&quot;EN&quot; db-id=&quot;eseee05sfe5vt6efvr0xapvq20vfdsfp5fvf&quot; timestamp=&quot;1672501620&quot;&gt;257&lt;/key&gt;&lt;/record&gt;&lt;record&gt;&lt;key app=&quot;EN&quot; db-id=&quot;eseee05sfe5vt6efvr0xapvq20vfdsfp5fvf&quot; timestamp=&quot;1715882027&quot;&gt;494&lt;/key&gt;&lt;/record&gt;&lt;record&gt;&lt;key app=&quot;EN&quot; db-id=&quot;eseee05sfe5vt6efvr0xapvq20vfdsfp5fvf&quot; timestamp=&quot;1717622772&quot;&gt;498&lt;/key&gt;&lt;/record&gt;&lt;record&gt;&lt;key app=&quot;EN&quot; db-id=&quot;eseee05sfe5vt6efvr0xapvq20vfdsfp5fvf&quot; timestamp=&quot;1740768285&quot;&gt;535&lt;/key&gt;&lt;/record&gt;&lt;record&gt;&lt;key app=&quot;EN&quot; db-id=&quot;eseee05sfe5vt6efvr0xapvq20vfdsfp5fvf&quot; timestamp=&quot;1744752323&quot;&gt;555&lt;/key&gt;&lt;/record&gt;&lt;record&gt;&lt;key app=&quot;EN&quot; db-id=&quot;eseee05sfe5vt6efvr0xapvq20vfdsfp5fvf&quot; timestamp=&quot;1671069245&quot;&gt;211&lt;/key&gt;&lt;/record&gt;&lt;record&gt;&lt;key app=&quot;EN&quot; db-id=&quot;eseee05sfe5vt6efvr0xapvq20vfdsfp5fvf&quot; timestamp=&quot;1671069904&quot;&gt;214&lt;/key&gt;&lt;/record&gt;&lt;record&gt;&lt;key app=&quot;EN&quot; db-id=&quot;eseee05sfe5vt6efvr0xapvq20vfdsfp5fvf&quot; timestamp=&quot;1671684147&quot;&gt;232&lt;/key&gt;&lt;/record&gt;&lt;record&gt;&lt;key app=&quot;EN&quot; db-id=&quot;eseee05sfe5vt6efvr0xapvq20vfdsfp5fvf&quot; timestamp=&quot;1708215487&quot;&gt;397&lt;/key&gt;&lt;/record&gt;&lt;record&gt;&lt;key app=&quot;EN&quot; db-id=&quot;eseee05sfe5vt6efvr0xapvq20vfdsfp5fvf&quot; timestamp=&quot;1710193037&quot;&gt;439&lt;/key&gt;&lt;/record&gt;&lt;record&gt;&lt;key app=&quot;EN&quot; db-id=&quot;eseee05sfe5vt6efvr0xapvq20vfdsfp5fvf&quot; timestamp=&quot;1709240828&quot;&gt;413&lt;/key&gt;&lt;/record&gt;&lt;record&gt;&lt;key app=&quot;EN&quot; db-id=&quot;eseee05sfe5vt6efvr0xapvq20vfdsfp5fvf&quot; timestamp=&quot;1671687635&quot;&gt;248&lt;/key&gt;&lt;/record&gt;&lt;record&gt;&lt;key app=&quot;EN&quot; db-id=&quot;eseee05sfe5vt6efvr0xapvq20vfdsfp5fvf&quot; timestamp=&quot;1719884725&quot;&gt;505&lt;/key&gt;&lt;/record&gt;&lt;record&gt;&lt;key app=&quot;EN&quot; db-id=&quot;eseee05sfe5vt6efvr0xapvq20vfdsfp5fvf&quot; timestamp=&quot;1719884621&quot;&gt;503&lt;/key&gt;&lt;/record&gt;&lt;record&gt;&lt;key app=&quot;EN&quot; db-id=&quot;eseee05sfe5vt6efvr0xapvq20vfdsfp5fvf&quot; timestamp=&quot;1713809829&quot;&gt;468&lt;/key&gt;&lt;/record&gt;&lt;record&gt;&lt;key app=&quot;EN&quot; db-id=&quot;eseee05sfe5vt6efvr0xapvq20vfdsfp5fvf&quot; timestamp=&quot;1710039912&quot;&gt;425&lt;/key&gt;&lt;/record&gt;&lt;record&gt;&lt;key app=&quot;EN&quot; db-id=&quot;eseee05sfe5vt6efvr0xapvq20vfdsfp5fvf&quot; timestamp=&quot;1710099420&quot;&gt;428&lt;/key&gt;&lt;/record&gt;&lt;record&gt;&lt;key app=&quot;EN&quot; db-id=&quot;eseee05sfe5vt6efvr0xapvq20vfdsfp5fvf&quot; timestamp=&quot;1723656387&quot;&gt;514&lt;/key&gt;&lt;/record&gt;&lt;record&gt;&lt;key app=&quot;EN&quot; db-id=&quot;eseee05sfe5vt6efvr0xapvq20vfdsfp5fvf&quot; timestamp=&quot;1710107137&quot;&gt;429&lt;/key&gt;&lt;/record&gt;&lt;record&gt;&lt;key app=&quot;EN&quot; db-id=&quot;eseee05sfe5vt6efvr0xapvq20vfdsfp5fvf&quot; timestamp=&quot;1710107222&quot;&gt;430&lt;/key&gt;&lt;/record&gt;&lt;record&gt;&lt;key app=&quot;EN&quot; db-id=&quot;eseee05sfe5vt6efvr0xapvq20vfdsfp5fvf&quot; timestamp=&quot;1710107360&quot;&gt;431&lt;/key&gt;&lt;/record&gt;&lt;record&gt;&lt;key app=&quot;EN&quot; db-id=&quot;eseee05sfe5vt6efvr0xapvq20vfdsfp5fvf&quot; timestamp=&quot;1710107405&quot;&gt;432&lt;/key&gt;&lt;/record&gt;&lt;record&gt;&lt;key app=&quot;EN&quot; db-id=&quot;eseee05sfe5vt6efvr0xapvq20vfdsfp5fvf&quot; timestamp=&quot;1710107520&quot;&gt;433&lt;/key&gt;&lt;/record&gt;&lt;record&gt;&lt;key app=&quot;EN&quot; db-id=&quot;eseee05sfe5vt6efvr0xapvq20vfdsfp5fvf&quot; timestamp=&quot;1712614469&quot;&gt;447&lt;/key&gt;&lt;/record&gt;&lt;record&gt;&lt;key app=&quot;EN&quot; db-id=&quot;eseee05sfe5vt6efvr0xapvq20vfdsfp5fvf&quot; timestamp=&quot;1698074956&quot;&gt;347&lt;/key&gt;&lt;/record&gt;&lt;record&gt;&lt;key app=&quot;EN&quot; db-id=&quot;eseee05sfe5vt6efvr0xapvq20vfdsfp5fvf&quot; timestamp=&quot;1698074896&quot;&gt;345&lt;/key&gt;&lt;/record&gt;&lt;record&gt;&lt;key app=&quot;EN&quot; db-id=&quot;eseee05sfe5vt6efvr0xapvq20vfdsfp5fvf&quot; timestamp=&quot;1712615103&quot;&gt;451&lt;/key&gt;&lt;/record&gt;&lt;record&gt;&lt;key app=&quot;EN&quot; db-id=&quot;eseee05sfe5vt6efvr0xapvq20vfdsfp5fvf&quot; timestamp=&quot;1678219743&quot;&gt;271&lt;/key&gt;&lt;/record&gt;&lt;record&gt;&lt;key app=&quot;EN&quot; db-id=&quot;eseee05sfe5vt6efvr0xapvq20vfdsfp5fvf&quot; timestamp=&quot;1712614564&quot;&gt;449&lt;/key&gt;&lt;/record&gt;&lt;record&gt;&lt;key app=&quot;EN&quot; db-id=&quot;eseee05sfe5vt6efvr0xapvq20vfdsfp5fvf&quot; timestamp=&quot;1712615708&quot;&gt;459&lt;/key&gt;&lt;/record&gt;&lt;record&gt;&lt;key app=&quot;EN&quot; db-id=&quot;eseee05sfe5vt6efvr0xapvq20vfdsfp5fvf&quot; timestamp=&quot;1712614525&quot;&gt;448&lt;/key&gt;&lt;/record&gt;&lt;record&gt;&lt;key app=&quot;EN&quot; db-id=&quot;eseee05sfe5vt6efvr0xapvq20vfdsfp5fvf&quot; timestamp=&quot;1744394991&quot;&gt;550&lt;/key&gt;&lt;/record&gt;&lt;record&gt;&lt;key app=&quot;EN&quot; db-id=&quot;eseee05sfe5vt6efvr0xapvq20vfdsfp5fvf&quot; timestamp=&quot;1745846716&quot;&gt;567&lt;/key&gt;&lt;/record&gt;&lt;record&gt;&lt;key app=&quot;EN&quot; db-id=&quot;eseee05sfe5vt6efvr0xapvq20vfdsfp5fvf&quot; timestamp=&quot;1671679340&quot;&gt;216&lt;/key&gt;&lt;/record&gt;&lt;record&gt;&lt;key app=&quot;EN&quot; db-id=&quot;eseee05sfe5vt6efvr0xapvq20vfdsfp5fvf&quot; timestamp=&quot;1671682128&quot;&gt;223&lt;/key&gt;&lt;/record&gt;&lt;record&gt;&lt;key app=&quot;EN&quot; db-id=&quot;eseee05sfe5vt6efvr0xapvq20vfdsfp5fvf&quot; timestamp=&quot;1671684707&quot;&gt;237&lt;/key&gt;&lt;/record&gt;&lt;record&gt;&lt;key app=&quot;EN&quot; db-id=&quot;eseee05sfe5vt6efvr0xapvq20vfdsfp5fvf&quot; timestamp=&quot;1671684764&quot;&gt;238&lt;/key&gt;&lt;/record&gt;&lt;record&gt;&lt;key app=&quot;EN&quot; db-id=&quot;eseee05sfe5vt6efvr0xapvq20vfdsfp5fvf&quot; timestamp=&quot;1671685371&quot;&gt;242&lt;/key&gt;&lt;/record&gt;&lt;record&gt;&lt;key app=&quot;EN&quot; db-id=&quot;eseee05sfe5vt6efvr0xapvq20vfdsfp5fvf&quot; timestamp=&quot;1671685534&quot;&gt;244&lt;/key&gt;&lt;/record&gt;&lt;record&gt;&lt;key app=&quot;EN&quot; db-id=&quot;eseee05sfe5vt6efvr0xapvq20vfdsfp5fvf&quot; timestamp=&quot;1671685669&quot;&gt;245&lt;/key&gt;&lt;/record&gt;&lt;record&gt;&lt;key app=&quot;EN&quot; db-id=&quot;eseee05sfe5vt6efvr0xapvq20vfdsfp5fvf&quot; timestamp=&quot;1699987687&quot;&gt;363&lt;/key&gt;&lt;/record&gt;&lt;record&gt;&lt;key app=&quot;EN&quot; db-id=&quot;eseee05sfe5vt6efvr0xapvq20vfdsfp5fvf&quot; timestamp=&quot;1699028378&quot;&gt;356&lt;/key&gt;&lt;/record&gt;&lt;record&gt;&lt;key app=&quot;EN&quot; db-id=&quot;eseee05sfe5vt6efvr0xapvq20vfdsfp5fvf&quot; timestamp=&quot;1699650818&quot;&gt;358&lt;/key&gt;&lt;/record&gt;&lt;record&gt;&lt;key app=&quot;EN&quot; db-id=&quot;eseee05sfe5vt6efvr0xapvq20vfdsfp5fvf&quot; timestamp=&quot;1750088669&quot;&gt;579&lt;/key&gt;&lt;/record&gt;&lt;record&gt;&lt;key app=&quot;EN&quot; db-id=&quot;eseee05sfe5vt6efvr0xapvq20vfdsfp5fvf&quot; timestamp=&quot;1710045524&quot;&gt;427&lt;/key&gt;&lt;/record&gt;&lt;record&gt;&lt;key app=&quot;EN&quot; db-id=&quot;eseee05sfe5vt6efvr0xapvq20vfdsfp5fvf&quot; timestamp=&quot;1737664815&quot;&gt;525&lt;/key&gt;&lt;/record&gt;&lt;record&gt;&lt;key app=&quot;EN&quot; db-id=&quot;eseee05sfe5vt6efvr0xapvq20vfdsfp5fvf&quot; timestamp=&quot;1701290244&quot;&gt;376&lt;/key&gt;&lt;/record&gt;&lt;record&gt;&lt;key app=&quot;EN&quot; db-id=&quot;eseee05sfe5vt6efvr0xapvq20vfdsfp5fvf&quot; timestamp=&quot;1745844216&quot;&gt;564&lt;/key&gt;&lt;/record&gt;&lt;record&gt;&lt;key app=&quot;EN&quot; db-id=&quot;eseee05sfe5vt6efvr0xapvq20vfdsfp5fvf&quot; timestamp=&quot;1708230917&quot;&gt;400&lt;/key&gt;&lt;/record&gt;&lt;record&gt;&lt;key app=&quot;EN&quot; db-id=&quot;eseee05sfe5vt6efvr0xapvq20vfdsfp5fvf&quot; timestamp=&quot;1719884670&quot;&gt;504&lt;/key&gt;&lt;/record&gt;&lt;record&gt;&lt;key app=&quot;EN&quot; db-id=&quot;eseee05sfe5vt6efvr0xapvq20vfdsfp5fvf&quot; timestamp=&quot;1719885232&quot;&gt;506&lt;/key&gt;&lt;/record&gt;&lt;record&gt;&lt;key app=&quot;EN&quot; db-id=&quot;eseee05sfe5vt6efvr0xapvq20vfdsfp5fvf&quot; timestamp=&quot;1712615754&quot;&gt;460&lt;/key&gt;&lt;/record&gt;&lt;record&gt;&lt;key app=&quot;EN&quot; db-id=&quot;eseee05sfe5vt6efvr0xapvq20vfdsfp5fvf&quot; timestamp=&quot;1713384902&quot;&gt;466&lt;/key&gt;&lt;/record&gt;&lt;/records&gt;&lt;/reference-group&gt;&lt;/reference-groups&gt;"/>
    <w:docVar w:name="EN.InstantFormat" w:val="&lt;ENInstantFormat&gt;&lt;Enabled&gt;1&lt;/Enabled&gt;&lt;ScanUnformatted&gt;1&lt;/ScanUnformatted&gt;&lt;ScanChanges&gt;1&lt;/ScanChanges&gt;&lt;Suspended&gt;0&lt;/Suspended&gt;&lt;/ENInstantFormat&gt;"/>
    <w:docVar w:name="EN.Layout" w:val="&lt;ENLayout&gt;&lt;Style&gt;ANS Reference List Style&lt;/Style&gt;&lt;LeftDelim&gt;{&lt;/LeftDelim&gt;&lt;RightDelim&gt;}&lt;/RightDelim&gt;&lt;FontName&gt;Arial&lt;/FontName&gt;&lt;FontSize&gt;12&lt;/FontSize&gt;&lt;ReflistTitle&gt;&lt;/ReflistTitle&gt;&lt;StartingRefnum&gt;1&lt;/StartingRefnum&gt;&lt;FirstLineIndent&gt;0&lt;/FirstLineIndent&gt;&lt;HangingIndent&gt;720&lt;/HangingIndent&gt;&lt;LineSpacing&gt;0&lt;/LineSpacing&gt;&lt;SpaceAfter&gt;1&lt;/SpaceAfter&gt;&lt;HyperlinksEnabled&gt;0&lt;/HyperlinksEnabled&gt;&lt;HyperlinksVisible&gt;0&lt;/HyperlinksVisible&gt;&lt;EnableBibliographyCategories&gt;0&lt;/EnableBibliographyCategories&gt;&lt;/ENLayout&gt;"/>
    <w:docVar w:name="EN.Libraries" w:val="&lt;Libraries&gt;&lt;item db-id=&quot;eseee05sfe5vt6efvr0xapvq20vfdsfp5fvf&quot;&gt;My EndNote Library&lt;record-ids&gt;&lt;item&gt;32&lt;/item&gt;&lt;item&gt;172&lt;/item&gt;&lt;item&gt;173&lt;/item&gt;&lt;item&gt;174&lt;/item&gt;&lt;item&gt;182&lt;/item&gt;&lt;item&gt;183&lt;/item&gt;&lt;item&gt;184&lt;/item&gt;&lt;item&gt;185&lt;/item&gt;&lt;item&gt;187&lt;/item&gt;&lt;item&gt;189&lt;/item&gt;&lt;item&gt;192&lt;/item&gt;&lt;item&gt;193&lt;/item&gt;&lt;item&gt;194&lt;/item&gt;&lt;item&gt;195&lt;/item&gt;&lt;item&gt;196&lt;/item&gt;&lt;item&gt;197&lt;/item&gt;&lt;item&gt;198&lt;/item&gt;&lt;item&gt;199&lt;/item&gt;&lt;item&gt;200&lt;/item&gt;&lt;item&gt;202&lt;/item&gt;&lt;item&gt;203&lt;/item&gt;&lt;item&gt;206&lt;/item&gt;&lt;item&gt;207&lt;/item&gt;&lt;item&gt;210&lt;/item&gt;&lt;item&gt;211&lt;/item&gt;&lt;item&gt;212&lt;/item&gt;&lt;item&gt;213&lt;/item&gt;&lt;item&gt;214&lt;/item&gt;&lt;item&gt;215&lt;/item&gt;&lt;item&gt;216&lt;/item&gt;&lt;item&gt;217&lt;/item&gt;&lt;item&gt;218&lt;/item&gt;&lt;item&gt;219&lt;/item&gt;&lt;item&gt;220&lt;/item&gt;&lt;item&gt;221&lt;/item&gt;&lt;item&gt;222&lt;/item&gt;&lt;item&gt;223&lt;/item&gt;&lt;item&gt;224&lt;/item&gt;&lt;item&gt;225&lt;/item&gt;&lt;item&gt;226&lt;/item&gt;&lt;item&gt;227&lt;/item&gt;&lt;item&gt;228&lt;/item&gt;&lt;item&gt;229&lt;/item&gt;&lt;item&gt;230&lt;/item&gt;&lt;item&gt;231&lt;/item&gt;&lt;item&gt;232&lt;/item&gt;&lt;item&gt;233&lt;/item&gt;&lt;item&gt;234&lt;/item&gt;&lt;item&gt;235&lt;/item&gt;&lt;item&gt;236&lt;/item&gt;&lt;item&gt;237&lt;/item&gt;&lt;item&gt;238&lt;/item&gt;&lt;item&gt;239&lt;/item&gt;&lt;item&gt;240&lt;/item&gt;&lt;item&gt;241&lt;/item&gt;&lt;item&gt;242&lt;/item&gt;&lt;item&gt;244&lt;/item&gt;&lt;item&gt;245&lt;/item&gt;&lt;item&gt;246&lt;/item&gt;&lt;item&gt;247&lt;/item&gt;&lt;item&gt;248&lt;/item&gt;&lt;item&gt;250&lt;/item&gt;&lt;item&gt;251&lt;/item&gt;&lt;item&gt;253&lt;/item&gt;&lt;item&gt;254&lt;/item&gt;&lt;item&gt;256&lt;/item&gt;&lt;item&gt;257&lt;/item&gt;&lt;item&gt;262&lt;/item&gt;&lt;item&gt;271&lt;/item&gt;&lt;item&gt;286&lt;/item&gt;&lt;item&gt;312&lt;/item&gt;&lt;item&gt;315&lt;/item&gt;&lt;item&gt;319&lt;/item&gt;&lt;item&gt;321&lt;/item&gt;&lt;item&gt;329&lt;/item&gt;&lt;item&gt;330&lt;/item&gt;&lt;item&gt;333&lt;/item&gt;&lt;item&gt;334&lt;/item&gt;&lt;item&gt;345&lt;/item&gt;&lt;item&gt;346&lt;/item&gt;&lt;item&gt;347&lt;/item&gt;&lt;item&gt;348&lt;/item&gt;&lt;item&gt;356&lt;/item&gt;&lt;item&gt;358&lt;/item&gt;&lt;item&gt;359&lt;/item&gt;&lt;item&gt;363&lt;/item&gt;&lt;item&gt;374&lt;/item&gt;&lt;item&gt;376&lt;/item&gt;&lt;item&gt;378&lt;/item&gt;&lt;item&gt;383&lt;/item&gt;&lt;item&gt;384&lt;/item&gt;&lt;item&gt;386&lt;/item&gt;&lt;item&gt;387&lt;/item&gt;&lt;item&gt;388&lt;/item&gt;&lt;item&gt;391&lt;/item&gt;&lt;item&gt;396&lt;/item&gt;&lt;item&gt;397&lt;/item&gt;&lt;item&gt;400&lt;/item&gt;&lt;item&gt;401&lt;/item&gt;&lt;item&gt;402&lt;/item&gt;&lt;item&gt;403&lt;/item&gt;&lt;item&gt;404&lt;/item&gt;&lt;item&gt;405&lt;/item&gt;&lt;item&gt;406&lt;/item&gt;&lt;item&gt;407&lt;/item&gt;&lt;item&gt;409&lt;/item&gt;&lt;item&gt;410&lt;/item&gt;&lt;item&gt;411&lt;/item&gt;&lt;item&gt;412&lt;/item&gt;&lt;item&gt;413&lt;/item&gt;&lt;item&gt;414&lt;/item&gt;&lt;item&gt;416&lt;/item&gt;&lt;item&gt;417&lt;/item&gt;&lt;item&gt;418&lt;/item&gt;&lt;item&gt;419&lt;/item&gt;&lt;item&gt;420&lt;/item&gt;&lt;item&gt;422&lt;/item&gt;&lt;item&gt;423&lt;/item&gt;&lt;item&gt;425&lt;/item&gt;&lt;item&gt;426&lt;/item&gt;&lt;item&gt;427&lt;/item&gt;&lt;item&gt;428&lt;/item&gt;&lt;item&gt;429&lt;/item&gt;&lt;item&gt;430&lt;/item&gt;&lt;item&gt;431&lt;/item&gt;&lt;item&gt;432&lt;/item&gt;&lt;item&gt;433&lt;/item&gt;&lt;item&gt;434&lt;/item&gt;&lt;item&gt;435&lt;/item&gt;&lt;item&gt;439&lt;/item&gt;&lt;item&gt;443&lt;/item&gt;&lt;item&gt;445&lt;/item&gt;&lt;item&gt;447&lt;/item&gt;&lt;item&gt;448&lt;/item&gt;&lt;item&gt;449&lt;/item&gt;&lt;item&gt;451&lt;/item&gt;&lt;item&gt;454&lt;/item&gt;&lt;item&gt;459&lt;/item&gt;&lt;item&gt;460&lt;/item&gt;&lt;item&gt;462&lt;/item&gt;&lt;item&gt;463&lt;/item&gt;&lt;item&gt;466&lt;/item&gt;&lt;item&gt;467&lt;/item&gt;&lt;item&gt;468&lt;/item&gt;&lt;item&gt;469&lt;/item&gt;&lt;item&gt;473&lt;/item&gt;&lt;item&gt;474&lt;/item&gt;&lt;item&gt;476&lt;/item&gt;&lt;item&gt;477&lt;/item&gt;&lt;item&gt;478&lt;/item&gt;&lt;item&gt;479&lt;/item&gt;&lt;item&gt;485&lt;/item&gt;&lt;item&gt;486&lt;/item&gt;&lt;item&gt;487&lt;/item&gt;&lt;item&gt;488&lt;/item&gt;&lt;item&gt;490&lt;/item&gt;&lt;item&gt;491&lt;/item&gt;&lt;item&gt;494&lt;/item&gt;&lt;item&gt;496&lt;/item&gt;&lt;item&gt;497&lt;/item&gt;&lt;item&gt;498&lt;/item&gt;&lt;item&gt;499&lt;/item&gt;&lt;item&gt;500&lt;/item&gt;&lt;item&gt;503&lt;/item&gt;&lt;item&gt;504&lt;/item&gt;&lt;item&gt;505&lt;/item&gt;&lt;item&gt;506&lt;/item&gt;&lt;item&gt;507&lt;/item&gt;&lt;item&gt;509&lt;/item&gt;&lt;item&gt;511&lt;/item&gt;&lt;item&gt;513&lt;/item&gt;&lt;item&gt;514&lt;/item&gt;&lt;item&gt;525&lt;/item&gt;&lt;item&gt;534&lt;/item&gt;&lt;item&gt;535&lt;/item&gt;&lt;item&gt;538&lt;/item&gt;&lt;item&gt;542&lt;/item&gt;&lt;item&gt;543&lt;/item&gt;&lt;item&gt;549&lt;/item&gt;&lt;item&gt;550&lt;/item&gt;&lt;item&gt;551&lt;/item&gt;&lt;item&gt;553&lt;/item&gt;&lt;item&gt;554&lt;/item&gt;&lt;item&gt;555&lt;/item&gt;&lt;item&gt;556&lt;/item&gt;&lt;item&gt;557&lt;/item&gt;&lt;item&gt;558&lt;/item&gt;&lt;item&gt;559&lt;/item&gt;&lt;item&gt;560&lt;/item&gt;&lt;item&gt;561&lt;/item&gt;&lt;item&gt;563&lt;/item&gt;&lt;item&gt;564&lt;/item&gt;&lt;item&gt;567&lt;/item&gt;&lt;item&gt;568&lt;/item&gt;&lt;item&gt;569&lt;/item&gt;&lt;item&gt;570&lt;/item&gt;&lt;item&gt;572&lt;/item&gt;&lt;item&gt;573&lt;/item&gt;&lt;item&gt;574&lt;/item&gt;&lt;item&gt;575&lt;/item&gt;&lt;item&gt;576&lt;/item&gt;&lt;item&gt;578&lt;/item&gt;&lt;item&gt;579&lt;/item&gt;&lt;item&gt;580&lt;/item&gt;&lt;item&gt;581&lt;/item&gt;&lt;item&gt;582&lt;/item&gt;&lt;/record-ids&gt;&lt;/item&gt;&lt;/Libraries&gt;"/>
  </w:docVars>
  <w:rsids>
    <w:rsidRoot w:val="009D2AA9"/>
    <w:rsid w:val="000002CC"/>
    <w:rsid w:val="00000429"/>
    <w:rsid w:val="000004A1"/>
    <w:rsid w:val="00000E38"/>
    <w:rsid w:val="000010AF"/>
    <w:rsid w:val="00006770"/>
    <w:rsid w:val="00010721"/>
    <w:rsid w:val="00011DBE"/>
    <w:rsid w:val="00012296"/>
    <w:rsid w:val="00013097"/>
    <w:rsid w:val="00014A3E"/>
    <w:rsid w:val="00015920"/>
    <w:rsid w:val="000166A9"/>
    <w:rsid w:val="00017048"/>
    <w:rsid w:val="0002037F"/>
    <w:rsid w:val="00020AC5"/>
    <w:rsid w:val="00020ADD"/>
    <w:rsid w:val="000245FD"/>
    <w:rsid w:val="00024790"/>
    <w:rsid w:val="00024E11"/>
    <w:rsid w:val="00025204"/>
    <w:rsid w:val="000259D8"/>
    <w:rsid w:val="00030DDA"/>
    <w:rsid w:val="00032057"/>
    <w:rsid w:val="00035E2C"/>
    <w:rsid w:val="000360CF"/>
    <w:rsid w:val="00040315"/>
    <w:rsid w:val="00041BC1"/>
    <w:rsid w:val="0004271C"/>
    <w:rsid w:val="0004286D"/>
    <w:rsid w:val="00043BBA"/>
    <w:rsid w:val="00045BC9"/>
    <w:rsid w:val="000460FA"/>
    <w:rsid w:val="0004615D"/>
    <w:rsid w:val="00046ABA"/>
    <w:rsid w:val="00051667"/>
    <w:rsid w:val="00053CD7"/>
    <w:rsid w:val="00054636"/>
    <w:rsid w:val="00054C64"/>
    <w:rsid w:val="00056906"/>
    <w:rsid w:val="0005695D"/>
    <w:rsid w:val="00057004"/>
    <w:rsid w:val="000577DC"/>
    <w:rsid w:val="00063152"/>
    <w:rsid w:val="000632A5"/>
    <w:rsid w:val="00065577"/>
    <w:rsid w:val="0006647B"/>
    <w:rsid w:val="00067E3E"/>
    <w:rsid w:val="00071076"/>
    <w:rsid w:val="0007186C"/>
    <w:rsid w:val="00071FB8"/>
    <w:rsid w:val="00072977"/>
    <w:rsid w:val="00072D84"/>
    <w:rsid w:val="0007399D"/>
    <w:rsid w:val="00073E48"/>
    <w:rsid w:val="00076814"/>
    <w:rsid w:val="000769EC"/>
    <w:rsid w:val="00076A95"/>
    <w:rsid w:val="00076C40"/>
    <w:rsid w:val="00076E64"/>
    <w:rsid w:val="000805EC"/>
    <w:rsid w:val="0008067B"/>
    <w:rsid w:val="00081003"/>
    <w:rsid w:val="000812D9"/>
    <w:rsid w:val="00082D4C"/>
    <w:rsid w:val="000830DE"/>
    <w:rsid w:val="00083610"/>
    <w:rsid w:val="00083A9C"/>
    <w:rsid w:val="000846AB"/>
    <w:rsid w:val="00084C94"/>
    <w:rsid w:val="00085BA0"/>
    <w:rsid w:val="00087305"/>
    <w:rsid w:val="00087795"/>
    <w:rsid w:val="00092709"/>
    <w:rsid w:val="00092CC7"/>
    <w:rsid w:val="0009324F"/>
    <w:rsid w:val="000957C1"/>
    <w:rsid w:val="000957C6"/>
    <w:rsid w:val="000966FE"/>
    <w:rsid w:val="00096CE7"/>
    <w:rsid w:val="00097770"/>
    <w:rsid w:val="00097FA1"/>
    <w:rsid w:val="000A392D"/>
    <w:rsid w:val="000A3F8B"/>
    <w:rsid w:val="000A4369"/>
    <w:rsid w:val="000A4BB0"/>
    <w:rsid w:val="000A624F"/>
    <w:rsid w:val="000A7C3B"/>
    <w:rsid w:val="000A7D4D"/>
    <w:rsid w:val="000B0066"/>
    <w:rsid w:val="000B0181"/>
    <w:rsid w:val="000B0A40"/>
    <w:rsid w:val="000B1737"/>
    <w:rsid w:val="000B2954"/>
    <w:rsid w:val="000B2D33"/>
    <w:rsid w:val="000B3A73"/>
    <w:rsid w:val="000B4F41"/>
    <w:rsid w:val="000B5C42"/>
    <w:rsid w:val="000B5CB3"/>
    <w:rsid w:val="000B6672"/>
    <w:rsid w:val="000B7B68"/>
    <w:rsid w:val="000C0483"/>
    <w:rsid w:val="000C12FB"/>
    <w:rsid w:val="000C15AC"/>
    <w:rsid w:val="000C17F7"/>
    <w:rsid w:val="000C2346"/>
    <w:rsid w:val="000C38AD"/>
    <w:rsid w:val="000C57F1"/>
    <w:rsid w:val="000C5E89"/>
    <w:rsid w:val="000D0F8C"/>
    <w:rsid w:val="000D17EF"/>
    <w:rsid w:val="000D253C"/>
    <w:rsid w:val="000D479F"/>
    <w:rsid w:val="000D59AD"/>
    <w:rsid w:val="000D621A"/>
    <w:rsid w:val="000D76AB"/>
    <w:rsid w:val="000D7D89"/>
    <w:rsid w:val="000E07D1"/>
    <w:rsid w:val="000E0D31"/>
    <w:rsid w:val="000E21E4"/>
    <w:rsid w:val="000E288C"/>
    <w:rsid w:val="000E335E"/>
    <w:rsid w:val="000E3DA3"/>
    <w:rsid w:val="000E3F12"/>
    <w:rsid w:val="000E54AC"/>
    <w:rsid w:val="000E58D6"/>
    <w:rsid w:val="000F3058"/>
    <w:rsid w:val="000F545D"/>
    <w:rsid w:val="000F5CA2"/>
    <w:rsid w:val="001002C2"/>
    <w:rsid w:val="00100AEE"/>
    <w:rsid w:val="0010217F"/>
    <w:rsid w:val="00102F6B"/>
    <w:rsid w:val="00103539"/>
    <w:rsid w:val="00104766"/>
    <w:rsid w:val="00104E0A"/>
    <w:rsid w:val="00107421"/>
    <w:rsid w:val="00107E3B"/>
    <w:rsid w:val="00110E73"/>
    <w:rsid w:val="001129E5"/>
    <w:rsid w:val="00112DDF"/>
    <w:rsid w:val="00112F00"/>
    <w:rsid w:val="00114808"/>
    <w:rsid w:val="00116007"/>
    <w:rsid w:val="00117CB9"/>
    <w:rsid w:val="00121D68"/>
    <w:rsid w:val="00122D57"/>
    <w:rsid w:val="00123428"/>
    <w:rsid w:val="00123554"/>
    <w:rsid w:val="00125172"/>
    <w:rsid w:val="00125F67"/>
    <w:rsid w:val="001265DC"/>
    <w:rsid w:val="00126AE7"/>
    <w:rsid w:val="00127397"/>
    <w:rsid w:val="00127A58"/>
    <w:rsid w:val="00131838"/>
    <w:rsid w:val="00134FDE"/>
    <w:rsid w:val="001400C4"/>
    <w:rsid w:val="0014151A"/>
    <w:rsid w:val="00141FE6"/>
    <w:rsid w:val="00142F32"/>
    <w:rsid w:val="0014366B"/>
    <w:rsid w:val="00143C5C"/>
    <w:rsid w:val="001457CB"/>
    <w:rsid w:val="00145A18"/>
    <w:rsid w:val="00145BDD"/>
    <w:rsid w:val="00146150"/>
    <w:rsid w:val="00147085"/>
    <w:rsid w:val="0015016E"/>
    <w:rsid w:val="001501B2"/>
    <w:rsid w:val="00150D9E"/>
    <w:rsid w:val="00150F7F"/>
    <w:rsid w:val="0015206A"/>
    <w:rsid w:val="00152F47"/>
    <w:rsid w:val="00153607"/>
    <w:rsid w:val="00153FBC"/>
    <w:rsid w:val="001545D1"/>
    <w:rsid w:val="00154657"/>
    <w:rsid w:val="00155AC4"/>
    <w:rsid w:val="00160971"/>
    <w:rsid w:val="001609BE"/>
    <w:rsid w:val="0016271E"/>
    <w:rsid w:val="00162B88"/>
    <w:rsid w:val="00162BC8"/>
    <w:rsid w:val="001635C3"/>
    <w:rsid w:val="0016530C"/>
    <w:rsid w:val="00166285"/>
    <w:rsid w:val="001669A7"/>
    <w:rsid w:val="00166F9C"/>
    <w:rsid w:val="00167022"/>
    <w:rsid w:val="00167F82"/>
    <w:rsid w:val="00170582"/>
    <w:rsid w:val="001707DD"/>
    <w:rsid w:val="0017173A"/>
    <w:rsid w:val="00171F6A"/>
    <w:rsid w:val="001721FA"/>
    <w:rsid w:val="00172D01"/>
    <w:rsid w:val="00173751"/>
    <w:rsid w:val="00175E4F"/>
    <w:rsid w:val="00176016"/>
    <w:rsid w:val="00176AEE"/>
    <w:rsid w:val="001774CF"/>
    <w:rsid w:val="00177D09"/>
    <w:rsid w:val="001803E0"/>
    <w:rsid w:val="00180967"/>
    <w:rsid w:val="001819CB"/>
    <w:rsid w:val="00182C4D"/>
    <w:rsid w:val="001848E0"/>
    <w:rsid w:val="00185233"/>
    <w:rsid w:val="001854FB"/>
    <w:rsid w:val="00185CFB"/>
    <w:rsid w:val="00186D04"/>
    <w:rsid w:val="0018741E"/>
    <w:rsid w:val="0019075F"/>
    <w:rsid w:val="00190C05"/>
    <w:rsid w:val="00191DD7"/>
    <w:rsid w:val="00193642"/>
    <w:rsid w:val="00193B77"/>
    <w:rsid w:val="00193D66"/>
    <w:rsid w:val="001961CE"/>
    <w:rsid w:val="001A0D20"/>
    <w:rsid w:val="001A0FE0"/>
    <w:rsid w:val="001A1CED"/>
    <w:rsid w:val="001A23F2"/>
    <w:rsid w:val="001A3AF4"/>
    <w:rsid w:val="001A3C8D"/>
    <w:rsid w:val="001A436E"/>
    <w:rsid w:val="001A5680"/>
    <w:rsid w:val="001A6036"/>
    <w:rsid w:val="001A61C6"/>
    <w:rsid w:val="001A6DF9"/>
    <w:rsid w:val="001A6EE0"/>
    <w:rsid w:val="001B06CC"/>
    <w:rsid w:val="001B1260"/>
    <w:rsid w:val="001B14C0"/>
    <w:rsid w:val="001B1C52"/>
    <w:rsid w:val="001B1E7A"/>
    <w:rsid w:val="001B35BD"/>
    <w:rsid w:val="001B36B0"/>
    <w:rsid w:val="001B4846"/>
    <w:rsid w:val="001B6F2A"/>
    <w:rsid w:val="001C0936"/>
    <w:rsid w:val="001C39F6"/>
    <w:rsid w:val="001C5AA2"/>
    <w:rsid w:val="001C66FE"/>
    <w:rsid w:val="001D4908"/>
    <w:rsid w:val="001D57E3"/>
    <w:rsid w:val="001D6904"/>
    <w:rsid w:val="001D7CDF"/>
    <w:rsid w:val="001E0639"/>
    <w:rsid w:val="001E3182"/>
    <w:rsid w:val="001E3B8E"/>
    <w:rsid w:val="001E4318"/>
    <w:rsid w:val="001E44A6"/>
    <w:rsid w:val="001E520F"/>
    <w:rsid w:val="001E6DEF"/>
    <w:rsid w:val="001E6EE7"/>
    <w:rsid w:val="001F069D"/>
    <w:rsid w:val="001F08C4"/>
    <w:rsid w:val="001F197E"/>
    <w:rsid w:val="001F1EFD"/>
    <w:rsid w:val="001F1FBC"/>
    <w:rsid w:val="001F39DD"/>
    <w:rsid w:val="001F438A"/>
    <w:rsid w:val="001F4FC0"/>
    <w:rsid w:val="001F522F"/>
    <w:rsid w:val="002033EE"/>
    <w:rsid w:val="00203E98"/>
    <w:rsid w:val="00204921"/>
    <w:rsid w:val="00204E2B"/>
    <w:rsid w:val="00207219"/>
    <w:rsid w:val="00207378"/>
    <w:rsid w:val="00210BB6"/>
    <w:rsid w:val="00211901"/>
    <w:rsid w:val="002123D6"/>
    <w:rsid w:val="00212BB6"/>
    <w:rsid w:val="00212D0E"/>
    <w:rsid w:val="00213EFD"/>
    <w:rsid w:val="002140B1"/>
    <w:rsid w:val="002150BD"/>
    <w:rsid w:val="00215723"/>
    <w:rsid w:val="00217ECC"/>
    <w:rsid w:val="00220D18"/>
    <w:rsid w:val="00220ED1"/>
    <w:rsid w:val="002212E9"/>
    <w:rsid w:val="002213FB"/>
    <w:rsid w:val="00222896"/>
    <w:rsid w:val="002250AE"/>
    <w:rsid w:val="002264A6"/>
    <w:rsid w:val="002323F9"/>
    <w:rsid w:val="0023254D"/>
    <w:rsid w:val="00232CF9"/>
    <w:rsid w:val="00233376"/>
    <w:rsid w:val="00233F02"/>
    <w:rsid w:val="0023473E"/>
    <w:rsid w:val="002348CF"/>
    <w:rsid w:val="00235D46"/>
    <w:rsid w:val="0023624B"/>
    <w:rsid w:val="00236803"/>
    <w:rsid w:val="002368D9"/>
    <w:rsid w:val="002369FF"/>
    <w:rsid w:val="00236D65"/>
    <w:rsid w:val="00236E6D"/>
    <w:rsid w:val="0023724C"/>
    <w:rsid w:val="002377B5"/>
    <w:rsid w:val="00240865"/>
    <w:rsid w:val="002429E5"/>
    <w:rsid w:val="00242AA5"/>
    <w:rsid w:val="00242BA3"/>
    <w:rsid w:val="00242C4C"/>
    <w:rsid w:val="0024358E"/>
    <w:rsid w:val="00244231"/>
    <w:rsid w:val="002470A2"/>
    <w:rsid w:val="00253877"/>
    <w:rsid w:val="00254B8E"/>
    <w:rsid w:val="00257B2C"/>
    <w:rsid w:val="0026261E"/>
    <w:rsid w:val="00262FAA"/>
    <w:rsid w:val="002641BC"/>
    <w:rsid w:val="00266901"/>
    <w:rsid w:val="00267325"/>
    <w:rsid w:val="00267CBC"/>
    <w:rsid w:val="002704FA"/>
    <w:rsid w:val="00270F40"/>
    <w:rsid w:val="0027163B"/>
    <w:rsid w:val="00271A92"/>
    <w:rsid w:val="00272FF1"/>
    <w:rsid w:val="0027306C"/>
    <w:rsid w:val="00274348"/>
    <w:rsid w:val="00274F73"/>
    <w:rsid w:val="00275C3B"/>
    <w:rsid w:val="002766D1"/>
    <w:rsid w:val="00280CEF"/>
    <w:rsid w:val="00281E03"/>
    <w:rsid w:val="00282506"/>
    <w:rsid w:val="00282F64"/>
    <w:rsid w:val="0028324C"/>
    <w:rsid w:val="00283CAB"/>
    <w:rsid w:val="00284D1D"/>
    <w:rsid w:val="00284FAE"/>
    <w:rsid w:val="0028757A"/>
    <w:rsid w:val="002900E1"/>
    <w:rsid w:val="002907B5"/>
    <w:rsid w:val="002910A7"/>
    <w:rsid w:val="0029185A"/>
    <w:rsid w:val="0029535E"/>
    <w:rsid w:val="00295AA6"/>
    <w:rsid w:val="0029623D"/>
    <w:rsid w:val="00296602"/>
    <w:rsid w:val="00297488"/>
    <w:rsid w:val="00297DCD"/>
    <w:rsid w:val="002A1B79"/>
    <w:rsid w:val="002A35F5"/>
    <w:rsid w:val="002A4154"/>
    <w:rsid w:val="002A47B4"/>
    <w:rsid w:val="002A586E"/>
    <w:rsid w:val="002A6561"/>
    <w:rsid w:val="002A6583"/>
    <w:rsid w:val="002A6D46"/>
    <w:rsid w:val="002B0C13"/>
    <w:rsid w:val="002B1294"/>
    <w:rsid w:val="002B192A"/>
    <w:rsid w:val="002B2A23"/>
    <w:rsid w:val="002B2D7A"/>
    <w:rsid w:val="002B3E3E"/>
    <w:rsid w:val="002B5BBF"/>
    <w:rsid w:val="002B5F1F"/>
    <w:rsid w:val="002B672B"/>
    <w:rsid w:val="002C0C86"/>
    <w:rsid w:val="002C1405"/>
    <w:rsid w:val="002C1D92"/>
    <w:rsid w:val="002C328E"/>
    <w:rsid w:val="002C332A"/>
    <w:rsid w:val="002C3582"/>
    <w:rsid w:val="002C3E81"/>
    <w:rsid w:val="002C494F"/>
    <w:rsid w:val="002C5848"/>
    <w:rsid w:val="002C73F8"/>
    <w:rsid w:val="002D0D7A"/>
    <w:rsid w:val="002D1DE9"/>
    <w:rsid w:val="002D1FE4"/>
    <w:rsid w:val="002D31DD"/>
    <w:rsid w:val="002D470F"/>
    <w:rsid w:val="002D4780"/>
    <w:rsid w:val="002D5973"/>
    <w:rsid w:val="002D5CD4"/>
    <w:rsid w:val="002D7211"/>
    <w:rsid w:val="002D74F2"/>
    <w:rsid w:val="002E0E25"/>
    <w:rsid w:val="002E1121"/>
    <w:rsid w:val="002E11AA"/>
    <w:rsid w:val="002E1D4F"/>
    <w:rsid w:val="002E2263"/>
    <w:rsid w:val="002E2492"/>
    <w:rsid w:val="002E25E9"/>
    <w:rsid w:val="002E5A08"/>
    <w:rsid w:val="002E643C"/>
    <w:rsid w:val="002E78D3"/>
    <w:rsid w:val="002F01B9"/>
    <w:rsid w:val="002F13A8"/>
    <w:rsid w:val="002F15D8"/>
    <w:rsid w:val="002F20B3"/>
    <w:rsid w:val="002F3415"/>
    <w:rsid w:val="002F37DA"/>
    <w:rsid w:val="002F3ADE"/>
    <w:rsid w:val="002F5817"/>
    <w:rsid w:val="002F5A78"/>
    <w:rsid w:val="002F64FD"/>
    <w:rsid w:val="002F726C"/>
    <w:rsid w:val="002F7639"/>
    <w:rsid w:val="002F7A37"/>
    <w:rsid w:val="00300718"/>
    <w:rsid w:val="003026BC"/>
    <w:rsid w:val="00304BD0"/>
    <w:rsid w:val="0030611D"/>
    <w:rsid w:val="00306697"/>
    <w:rsid w:val="003070E2"/>
    <w:rsid w:val="00307B9D"/>
    <w:rsid w:val="00307D77"/>
    <w:rsid w:val="003106CD"/>
    <w:rsid w:val="003109C4"/>
    <w:rsid w:val="00310C76"/>
    <w:rsid w:val="00311F1A"/>
    <w:rsid w:val="003128EF"/>
    <w:rsid w:val="00313367"/>
    <w:rsid w:val="00313E9E"/>
    <w:rsid w:val="00314B87"/>
    <w:rsid w:val="003150D5"/>
    <w:rsid w:val="00315384"/>
    <w:rsid w:val="003156D1"/>
    <w:rsid w:val="0031654F"/>
    <w:rsid w:val="00317591"/>
    <w:rsid w:val="00320EC4"/>
    <w:rsid w:val="00320F78"/>
    <w:rsid w:val="00321171"/>
    <w:rsid w:val="003213F0"/>
    <w:rsid w:val="00321674"/>
    <w:rsid w:val="00321FDC"/>
    <w:rsid w:val="003229AF"/>
    <w:rsid w:val="003230DC"/>
    <w:rsid w:val="0032390E"/>
    <w:rsid w:val="00324644"/>
    <w:rsid w:val="0032593E"/>
    <w:rsid w:val="0032594B"/>
    <w:rsid w:val="003261A5"/>
    <w:rsid w:val="0033204D"/>
    <w:rsid w:val="00332B2E"/>
    <w:rsid w:val="00334D8B"/>
    <w:rsid w:val="00334F65"/>
    <w:rsid w:val="00335A5C"/>
    <w:rsid w:val="00335A8A"/>
    <w:rsid w:val="00335C6E"/>
    <w:rsid w:val="00335D42"/>
    <w:rsid w:val="00335DD4"/>
    <w:rsid w:val="003369D9"/>
    <w:rsid w:val="00336D2A"/>
    <w:rsid w:val="0034017E"/>
    <w:rsid w:val="00340874"/>
    <w:rsid w:val="00341BBB"/>
    <w:rsid w:val="00341D0F"/>
    <w:rsid w:val="0034353D"/>
    <w:rsid w:val="00343D14"/>
    <w:rsid w:val="00344B74"/>
    <w:rsid w:val="00344C4F"/>
    <w:rsid w:val="00347C3B"/>
    <w:rsid w:val="00351CF1"/>
    <w:rsid w:val="0035422D"/>
    <w:rsid w:val="00354895"/>
    <w:rsid w:val="003553D6"/>
    <w:rsid w:val="0035768F"/>
    <w:rsid w:val="0035780D"/>
    <w:rsid w:val="003578F4"/>
    <w:rsid w:val="00360834"/>
    <w:rsid w:val="00360CC8"/>
    <w:rsid w:val="003610F7"/>
    <w:rsid w:val="003627FF"/>
    <w:rsid w:val="00363927"/>
    <w:rsid w:val="00364F06"/>
    <w:rsid w:val="0036630E"/>
    <w:rsid w:val="003665F5"/>
    <w:rsid w:val="003668AA"/>
    <w:rsid w:val="003708E1"/>
    <w:rsid w:val="00370A28"/>
    <w:rsid w:val="00373DFA"/>
    <w:rsid w:val="00375348"/>
    <w:rsid w:val="00375A3F"/>
    <w:rsid w:val="0037671D"/>
    <w:rsid w:val="00377123"/>
    <w:rsid w:val="00380F6D"/>
    <w:rsid w:val="0038177C"/>
    <w:rsid w:val="00381876"/>
    <w:rsid w:val="00382350"/>
    <w:rsid w:val="00382424"/>
    <w:rsid w:val="00382657"/>
    <w:rsid w:val="003836EB"/>
    <w:rsid w:val="0038393E"/>
    <w:rsid w:val="00383D1E"/>
    <w:rsid w:val="0038422F"/>
    <w:rsid w:val="00384CE1"/>
    <w:rsid w:val="00385434"/>
    <w:rsid w:val="00386BAF"/>
    <w:rsid w:val="00386D14"/>
    <w:rsid w:val="00387000"/>
    <w:rsid w:val="00387024"/>
    <w:rsid w:val="00387E01"/>
    <w:rsid w:val="003911BB"/>
    <w:rsid w:val="0039133B"/>
    <w:rsid w:val="00391BFF"/>
    <w:rsid w:val="00392454"/>
    <w:rsid w:val="0039365D"/>
    <w:rsid w:val="003963D3"/>
    <w:rsid w:val="0039764E"/>
    <w:rsid w:val="003A01F2"/>
    <w:rsid w:val="003A403D"/>
    <w:rsid w:val="003A48BB"/>
    <w:rsid w:val="003A4FFB"/>
    <w:rsid w:val="003A58F0"/>
    <w:rsid w:val="003A691E"/>
    <w:rsid w:val="003A6FFE"/>
    <w:rsid w:val="003A7E5D"/>
    <w:rsid w:val="003B0F32"/>
    <w:rsid w:val="003B1658"/>
    <w:rsid w:val="003B27CD"/>
    <w:rsid w:val="003B2848"/>
    <w:rsid w:val="003B3750"/>
    <w:rsid w:val="003B4E7F"/>
    <w:rsid w:val="003B561E"/>
    <w:rsid w:val="003B7297"/>
    <w:rsid w:val="003B72A1"/>
    <w:rsid w:val="003C1575"/>
    <w:rsid w:val="003C1DA6"/>
    <w:rsid w:val="003C1F8C"/>
    <w:rsid w:val="003C2549"/>
    <w:rsid w:val="003C2592"/>
    <w:rsid w:val="003C364B"/>
    <w:rsid w:val="003C378F"/>
    <w:rsid w:val="003C40BF"/>
    <w:rsid w:val="003C43A7"/>
    <w:rsid w:val="003C494F"/>
    <w:rsid w:val="003C4A61"/>
    <w:rsid w:val="003C4A71"/>
    <w:rsid w:val="003C5061"/>
    <w:rsid w:val="003C5F45"/>
    <w:rsid w:val="003C67E4"/>
    <w:rsid w:val="003D06D1"/>
    <w:rsid w:val="003D07F7"/>
    <w:rsid w:val="003D2472"/>
    <w:rsid w:val="003D296B"/>
    <w:rsid w:val="003D3A57"/>
    <w:rsid w:val="003D5275"/>
    <w:rsid w:val="003D59F6"/>
    <w:rsid w:val="003D63DF"/>
    <w:rsid w:val="003D6FA9"/>
    <w:rsid w:val="003D737F"/>
    <w:rsid w:val="003E155B"/>
    <w:rsid w:val="003E1967"/>
    <w:rsid w:val="003E1BE9"/>
    <w:rsid w:val="003E2944"/>
    <w:rsid w:val="003E2B8A"/>
    <w:rsid w:val="003E33D4"/>
    <w:rsid w:val="003E3920"/>
    <w:rsid w:val="003E3DC0"/>
    <w:rsid w:val="003E428A"/>
    <w:rsid w:val="003E557B"/>
    <w:rsid w:val="003E5627"/>
    <w:rsid w:val="003E5EA7"/>
    <w:rsid w:val="003E606C"/>
    <w:rsid w:val="003E6A9C"/>
    <w:rsid w:val="003E6CEC"/>
    <w:rsid w:val="003E72B2"/>
    <w:rsid w:val="003F09D0"/>
    <w:rsid w:val="003F0EA6"/>
    <w:rsid w:val="003F2174"/>
    <w:rsid w:val="003F2F6A"/>
    <w:rsid w:val="003F38DD"/>
    <w:rsid w:val="003F463F"/>
    <w:rsid w:val="003F4B9A"/>
    <w:rsid w:val="003F5764"/>
    <w:rsid w:val="003F5B97"/>
    <w:rsid w:val="003F7474"/>
    <w:rsid w:val="003F7C98"/>
    <w:rsid w:val="003F7CD8"/>
    <w:rsid w:val="003F7FED"/>
    <w:rsid w:val="00400BCB"/>
    <w:rsid w:val="00400D8A"/>
    <w:rsid w:val="004034F3"/>
    <w:rsid w:val="00404616"/>
    <w:rsid w:val="004050CE"/>
    <w:rsid w:val="00407B6A"/>
    <w:rsid w:val="00410276"/>
    <w:rsid w:val="004105F3"/>
    <w:rsid w:val="004125C7"/>
    <w:rsid w:val="00412AE6"/>
    <w:rsid w:val="00413E5A"/>
    <w:rsid w:val="00414400"/>
    <w:rsid w:val="00414DDD"/>
    <w:rsid w:val="00415089"/>
    <w:rsid w:val="00415F86"/>
    <w:rsid w:val="00416D8D"/>
    <w:rsid w:val="00417325"/>
    <w:rsid w:val="00417FE9"/>
    <w:rsid w:val="00420910"/>
    <w:rsid w:val="00420A07"/>
    <w:rsid w:val="00421A76"/>
    <w:rsid w:val="00421CD4"/>
    <w:rsid w:val="00421D1C"/>
    <w:rsid w:val="0042368F"/>
    <w:rsid w:val="00424967"/>
    <w:rsid w:val="004267E5"/>
    <w:rsid w:val="00426BE8"/>
    <w:rsid w:val="00427833"/>
    <w:rsid w:val="00427F0E"/>
    <w:rsid w:val="00430FD4"/>
    <w:rsid w:val="004311A5"/>
    <w:rsid w:val="004327D9"/>
    <w:rsid w:val="00436644"/>
    <w:rsid w:val="00437698"/>
    <w:rsid w:val="00440655"/>
    <w:rsid w:val="0044196E"/>
    <w:rsid w:val="004456CE"/>
    <w:rsid w:val="00445BF2"/>
    <w:rsid w:val="00445C91"/>
    <w:rsid w:val="00445E1C"/>
    <w:rsid w:val="00446B5F"/>
    <w:rsid w:val="00446CF8"/>
    <w:rsid w:val="00447121"/>
    <w:rsid w:val="00447304"/>
    <w:rsid w:val="00447B0A"/>
    <w:rsid w:val="004502F5"/>
    <w:rsid w:val="00452E1D"/>
    <w:rsid w:val="0045743D"/>
    <w:rsid w:val="004608CE"/>
    <w:rsid w:val="00462B43"/>
    <w:rsid w:val="00462BE2"/>
    <w:rsid w:val="00463523"/>
    <w:rsid w:val="004651D3"/>
    <w:rsid w:val="0046724E"/>
    <w:rsid w:val="004735BC"/>
    <w:rsid w:val="00473A9C"/>
    <w:rsid w:val="00474210"/>
    <w:rsid w:val="00474609"/>
    <w:rsid w:val="00474E39"/>
    <w:rsid w:val="004750B3"/>
    <w:rsid w:val="0047619B"/>
    <w:rsid w:val="00480B96"/>
    <w:rsid w:val="0048190E"/>
    <w:rsid w:val="00482E7E"/>
    <w:rsid w:val="0048303E"/>
    <w:rsid w:val="00483134"/>
    <w:rsid w:val="004841F7"/>
    <w:rsid w:val="0048452F"/>
    <w:rsid w:val="00485020"/>
    <w:rsid w:val="0048556E"/>
    <w:rsid w:val="0048612F"/>
    <w:rsid w:val="00486B6B"/>
    <w:rsid w:val="00491847"/>
    <w:rsid w:val="00492049"/>
    <w:rsid w:val="004920F6"/>
    <w:rsid w:val="00492CC9"/>
    <w:rsid w:val="00493E5A"/>
    <w:rsid w:val="004942CD"/>
    <w:rsid w:val="00495288"/>
    <w:rsid w:val="004956F3"/>
    <w:rsid w:val="0049588D"/>
    <w:rsid w:val="00495A82"/>
    <w:rsid w:val="0049710F"/>
    <w:rsid w:val="004A1B3F"/>
    <w:rsid w:val="004A611D"/>
    <w:rsid w:val="004A652A"/>
    <w:rsid w:val="004A67E8"/>
    <w:rsid w:val="004A7DF1"/>
    <w:rsid w:val="004A7FD0"/>
    <w:rsid w:val="004A7FD2"/>
    <w:rsid w:val="004B00A8"/>
    <w:rsid w:val="004B09F6"/>
    <w:rsid w:val="004B0A7A"/>
    <w:rsid w:val="004B13D8"/>
    <w:rsid w:val="004B3A23"/>
    <w:rsid w:val="004B4182"/>
    <w:rsid w:val="004B5F40"/>
    <w:rsid w:val="004B60C4"/>
    <w:rsid w:val="004C2B65"/>
    <w:rsid w:val="004C356F"/>
    <w:rsid w:val="004C3D65"/>
    <w:rsid w:val="004C55B9"/>
    <w:rsid w:val="004C6432"/>
    <w:rsid w:val="004C6458"/>
    <w:rsid w:val="004C76F4"/>
    <w:rsid w:val="004D05F5"/>
    <w:rsid w:val="004D1563"/>
    <w:rsid w:val="004D25D8"/>
    <w:rsid w:val="004D39E5"/>
    <w:rsid w:val="004D3F24"/>
    <w:rsid w:val="004D406E"/>
    <w:rsid w:val="004D5EF3"/>
    <w:rsid w:val="004D6472"/>
    <w:rsid w:val="004D6A00"/>
    <w:rsid w:val="004E3EC6"/>
    <w:rsid w:val="004E5BBA"/>
    <w:rsid w:val="004F08CE"/>
    <w:rsid w:val="004F258B"/>
    <w:rsid w:val="004F4531"/>
    <w:rsid w:val="004F5769"/>
    <w:rsid w:val="004F597A"/>
    <w:rsid w:val="004F75D7"/>
    <w:rsid w:val="004F7E39"/>
    <w:rsid w:val="00500FB5"/>
    <w:rsid w:val="005010C3"/>
    <w:rsid w:val="005020B9"/>
    <w:rsid w:val="00502E26"/>
    <w:rsid w:val="00504198"/>
    <w:rsid w:val="00504399"/>
    <w:rsid w:val="00504526"/>
    <w:rsid w:val="005067E4"/>
    <w:rsid w:val="00512849"/>
    <w:rsid w:val="00513BB6"/>
    <w:rsid w:val="00515F89"/>
    <w:rsid w:val="00516355"/>
    <w:rsid w:val="00520361"/>
    <w:rsid w:val="00520607"/>
    <w:rsid w:val="00522E44"/>
    <w:rsid w:val="005239F5"/>
    <w:rsid w:val="0052540E"/>
    <w:rsid w:val="005262C6"/>
    <w:rsid w:val="005266B3"/>
    <w:rsid w:val="00530ACA"/>
    <w:rsid w:val="0053113E"/>
    <w:rsid w:val="0053157A"/>
    <w:rsid w:val="0053161D"/>
    <w:rsid w:val="00532D5F"/>
    <w:rsid w:val="005335BF"/>
    <w:rsid w:val="0053472A"/>
    <w:rsid w:val="00536498"/>
    <w:rsid w:val="0053695F"/>
    <w:rsid w:val="00536FF1"/>
    <w:rsid w:val="00540E0A"/>
    <w:rsid w:val="00541194"/>
    <w:rsid w:val="00541A71"/>
    <w:rsid w:val="00541CC5"/>
    <w:rsid w:val="0054238E"/>
    <w:rsid w:val="005425B9"/>
    <w:rsid w:val="00542D07"/>
    <w:rsid w:val="00543CD5"/>
    <w:rsid w:val="00544319"/>
    <w:rsid w:val="0054545B"/>
    <w:rsid w:val="0054605D"/>
    <w:rsid w:val="00546798"/>
    <w:rsid w:val="00551ACF"/>
    <w:rsid w:val="005522CF"/>
    <w:rsid w:val="00555EAD"/>
    <w:rsid w:val="005573ED"/>
    <w:rsid w:val="00560A5E"/>
    <w:rsid w:val="00560F1B"/>
    <w:rsid w:val="005617AA"/>
    <w:rsid w:val="0056258F"/>
    <w:rsid w:val="00562EB1"/>
    <w:rsid w:val="00564EBB"/>
    <w:rsid w:val="00566A32"/>
    <w:rsid w:val="00567677"/>
    <w:rsid w:val="0057019D"/>
    <w:rsid w:val="005716AE"/>
    <w:rsid w:val="005723B6"/>
    <w:rsid w:val="00573B14"/>
    <w:rsid w:val="00573D19"/>
    <w:rsid w:val="0057492C"/>
    <w:rsid w:val="00575596"/>
    <w:rsid w:val="00577FE3"/>
    <w:rsid w:val="005803F7"/>
    <w:rsid w:val="0058075A"/>
    <w:rsid w:val="005809A7"/>
    <w:rsid w:val="005817D8"/>
    <w:rsid w:val="00581C26"/>
    <w:rsid w:val="005833C4"/>
    <w:rsid w:val="0058357D"/>
    <w:rsid w:val="005838A1"/>
    <w:rsid w:val="005844A5"/>
    <w:rsid w:val="0058507F"/>
    <w:rsid w:val="0058633E"/>
    <w:rsid w:val="00587F0E"/>
    <w:rsid w:val="00591419"/>
    <w:rsid w:val="00591923"/>
    <w:rsid w:val="005919BC"/>
    <w:rsid w:val="00592EA9"/>
    <w:rsid w:val="00593950"/>
    <w:rsid w:val="00593CBB"/>
    <w:rsid w:val="005950AA"/>
    <w:rsid w:val="00596DCB"/>
    <w:rsid w:val="0059722C"/>
    <w:rsid w:val="00597D3F"/>
    <w:rsid w:val="00597FF5"/>
    <w:rsid w:val="005A0EB0"/>
    <w:rsid w:val="005A113E"/>
    <w:rsid w:val="005A1DC2"/>
    <w:rsid w:val="005A256C"/>
    <w:rsid w:val="005A389B"/>
    <w:rsid w:val="005A48CD"/>
    <w:rsid w:val="005A4E42"/>
    <w:rsid w:val="005A4FA6"/>
    <w:rsid w:val="005A7E1C"/>
    <w:rsid w:val="005B01E8"/>
    <w:rsid w:val="005B0516"/>
    <w:rsid w:val="005B14EE"/>
    <w:rsid w:val="005B1DB5"/>
    <w:rsid w:val="005B2DC2"/>
    <w:rsid w:val="005B3270"/>
    <w:rsid w:val="005B43EC"/>
    <w:rsid w:val="005B4B00"/>
    <w:rsid w:val="005B6E66"/>
    <w:rsid w:val="005B7691"/>
    <w:rsid w:val="005B79E9"/>
    <w:rsid w:val="005C073D"/>
    <w:rsid w:val="005C154F"/>
    <w:rsid w:val="005C191F"/>
    <w:rsid w:val="005C1D36"/>
    <w:rsid w:val="005C2BB1"/>
    <w:rsid w:val="005C3127"/>
    <w:rsid w:val="005C4D31"/>
    <w:rsid w:val="005C521F"/>
    <w:rsid w:val="005C706E"/>
    <w:rsid w:val="005D0273"/>
    <w:rsid w:val="005D086A"/>
    <w:rsid w:val="005D1743"/>
    <w:rsid w:val="005D23F4"/>
    <w:rsid w:val="005D3200"/>
    <w:rsid w:val="005D3A2C"/>
    <w:rsid w:val="005D4335"/>
    <w:rsid w:val="005D4970"/>
    <w:rsid w:val="005D52B8"/>
    <w:rsid w:val="005D7DD2"/>
    <w:rsid w:val="005E161F"/>
    <w:rsid w:val="005E1699"/>
    <w:rsid w:val="005E1B62"/>
    <w:rsid w:val="005E2FFF"/>
    <w:rsid w:val="005E32F0"/>
    <w:rsid w:val="005E3632"/>
    <w:rsid w:val="005E3BC8"/>
    <w:rsid w:val="005E4912"/>
    <w:rsid w:val="005E4E03"/>
    <w:rsid w:val="005E5FA6"/>
    <w:rsid w:val="005E68D7"/>
    <w:rsid w:val="005E68ED"/>
    <w:rsid w:val="005E6F1F"/>
    <w:rsid w:val="005F0C06"/>
    <w:rsid w:val="005F0CA0"/>
    <w:rsid w:val="005F12A4"/>
    <w:rsid w:val="005F2B0B"/>
    <w:rsid w:val="005F44D1"/>
    <w:rsid w:val="005F50C9"/>
    <w:rsid w:val="005F5170"/>
    <w:rsid w:val="005F5212"/>
    <w:rsid w:val="005F6D33"/>
    <w:rsid w:val="005F6E61"/>
    <w:rsid w:val="005F7280"/>
    <w:rsid w:val="005F753C"/>
    <w:rsid w:val="0060069C"/>
    <w:rsid w:val="00600E41"/>
    <w:rsid w:val="00600F20"/>
    <w:rsid w:val="00601006"/>
    <w:rsid w:val="00602158"/>
    <w:rsid w:val="00605AFD"/>
    <w:rsid w:val="00611AA2"/>
    <w:rsid w:val="0061255E"/>
    <w:rsid w:val="00613826"/>
    <w:rsid w:val="00615D75"/>
    <w:rsid w:val="00615FC7"/>
    <w:rsid w:val="00617210"/>
    <w:rsid w:val="00621129"/>
    <w:rsid w:val="00621AF0"/>
    <w:rsid w:val="0062348B"/>
    <w:rsid w:val="0062360C"/>
    <w:rsid w:val="006239D4"/>
    <w:rsid w:val="00623EAC"/>
    <w:rsid w:val="00623FAF"/>
    <w:rsid w:val="00624D25"/>
    <w:rsid w:val="006254C7"/>
    <w:rsid w:val="006301D6"/>
    <w:rsid w:val="00633916"/>
    <w:rsid w:val="00635864"/>
    <w:rsid w:val="00637A79"/>
    <w:rsid w:val="00637AB3"/>
    <w:rsid w:val="00637CAA"/>
    <w:rsid w:val="00640E17"/>
    <w:rsid w:val="00641D2B"/>
    <w:rsid w:val="00642324"/>
    <w:rsid w:val="006428D0"/>
    <w:rsid w:val="00642F6E"/>
    <w:rsid w:val="0064374E"/>
    <w:rsid w:val="00644E95"/>
    <w:rsid w:val="00645DFA"/>
    <w:rsid w:val="0064691B"/>
    <w:rsid w:val="0065123B"/>
    <w:rsid w:val="00651816"/>
    <w:rsid w:val="00652D23"/>
    <w:rsid w:val="00653247"/>
    <w:rsid w:val="00654010"/>
    <w:rsid w:val="00657B51"/>
    <w:rsid w:val="00662575"/>
    <w:rsid w:val="00662D3E"/>
    <w:rsid w:val="0066419A"/>
    <w:rsid w:val="00665790"/>
    <w:rsid w:val="00665C7E"/>
    <w:rsid w:val="00666424"/>
    <w:rsid w:val="006672C7"/>
    <w:rsid w:val="0066739E"/>
    <w:rsid w:val="006703BD"/>
    <w:rsid w:val="0067149F"/>
    <w:rsid w:val="00671C1F"/>
    <w:rsid w:val="00672DDD"/>
    <w:rsid w:val="0067499B"/>
    <w:rsid w:val="00676C91"/>
    <w:rsid w:val="006805D9"/>
    <w:rsid w:val="0068206C"/>
    <w:rsid w:val="00682776"/>
    <w:rsid w:val="00683131"/>
    <w:rsid w:val="00683BF8"/>
    <w:rsid w:val="00683F4D"/>
    <w:rsid w:val="00683F5B"/>
    <w:rsid w:val="0068667D"/>
    <w:rsid w:val="0068676C"/>
    <w:rsid w:val="006867CC"/>
    <w:rsid w:val="00686822"/>
    <w:rsid w:val="00687CAE"/>
    <w:rsid w:val="00690B77"/>
    <w:rsid w:val="00690CD1"/>
    <w:rsid w:val="00693334"/>
    <w:rsid w:val="00693C5B"/>
    <w:rsid w:val="00694572"/>
    <w:rsid w:val="00694BBA"/>
    <w:rsid w:val="00694FBA"/>
    <w:rsid w:val="006966CC"/>
    <w:rsid w:val="00696DA3"/>
    <w:rsid w:val="00697155"/>
    <w:rsid w:val="006A062F"/>
    <w:rsid w:val="006A0A61"/>
    <w:rsid w:val="006A19A0"/>
    <w:rsid w:val="006A3959"/>
    <w:rsid w:val="006A4A63"/>
    <w:rsid w:val="006A5BC9"/>
    <w:rsid w:val="006A6C43"/>
    <w:rsid w:val="006A72B0"/>
    <w:rsid w:val="006B0C55"/>
    <w:rsid w:val="006B1E48"/>
    <w:rsid w:val="006B2147"/>
    <w:rsid w:val="006B28BC"/>
    <w:rsid w:val="006C227D"/>
    <w:rsid w:val="006C2300"/>
    <w:rsid w:val="006C2446"/>
    <w:rsid w:val="006C2D65"/>
    <w:rsid w:val="006C3CC9"/>
    <w:rsid w:val="006C4000"/>
    <w:rsid w:val="006C44F3"/>
    <w:rsid w:val="006C6B76"/>
    <w:rsid w:val="006C71D8"/>
    <w:rsid w:val="006D0555"/>
    <w:rsid w:val="006D0E11"/>
    <w:rsid w:val="006D2335"/>
    <w:rsid w:val="006D322D"/>
    <w:rsid w:val="006D3348"/>
    <w:rsid w:val="006D3B0F"/>
    <w:rsid w:val="006D44B1"/>
    <w:rsid w:val="006D474B"/>
    <w:rsid w:val="006D54A5"/>
    <w:rsid w:val="006D5D1E"/>
    <w:rsid w:val="006D69F4"/>
    <w:rsid w:val="006D7C50"/>
    <w:rsid w:val="006E1BC3"/>
    <w:rsid w:val="006E1E6D"/>
    <w:rsid w:val="006E2660"/>
    <w:rsid w:val="006E4BDD"/>
    <w:rsid w:val="006E56E8"/>
    <w:rsid w:val="006E6077"/>
    <w:rsid w:val="006E73AB"/>
    <w:rsid w:val="006E7684"/>
    <w:rsid w:val="006F1B2E"/>
    <w:rsid w:val="006F3AF1"/>
    <w:rsid w:val="007004BC"/>
    <w:rsid w:val="007017C8"/>
    <w:rsid w:val="00704129"/>
    <w:rsid w:val="0070441C"/>
    <w:rsid w:val="00704BC4"/>
    <w:rsid w:val="0070518D"/>
    <w:rsid w:val="00705A8D"/>
    <w:rsid w:val="00706ED1"/>
    <w:rsid w:val="0071030D"/>
    <w:rsid w:val="00710942"/>
    <w:rsid w:val="00710983"/>
    <w:rsid w:val="00710DE4"/>
    <w:rsid w:val="007110E6"/>
    <w:rsid w:val="00711200"/>
    <w:rsid w:val="00711E32"/>
    <w:rsid w:val="0071428D"/>
    <w:rsid w:val="00714F50"/>
    <w:rsid w:val="00715883"/>
    <w:rsid w:val="00717CC9"/>
    <w:rsid w:val="0072204A"/>
    <w:rsid w:val="0072397F"/>
    <w:rsid w:val="00724186"/>
    <w:rsid w:val="007245A9"/>
    <w:rsid w:val="007249A3"/>
    <w:rsid w:val="007258A1"/>
    <w:rsid w:val="00725A73"/>
    <w:rsid w:val="00726A56"/>
    <w:rsid w:val="007270A9"/>
    <w:rsid w:val="0072714C"/>
    <w:rsid w:val="007304D2"/>
    <w:rsid w:val="0073072F"/>
    <w:rsid w:val="0073088D"/>
    <w:rsid w:val="007314E5"/>
    <w:rsid w:val="00731606"/>
    <w:rsid w:val="00731922"/>
    <w:rsid w:val="00731ACB"/>
    <w:rsid w:val="00732543"/>
    <w:rsid w:val="007327FC"/>
    <w:rsid w:val="00732FF0"/>
    <w:rsid w:val="007330DA"/>
    <w:rsid w:val="007336CA"/>
    <w:rsid w:val="0073418E"/>
    <w:rsid w:val="007368AD"/>
    <w:rsid w:val="007368CB"/>
    <w:rsid w:val="00736DD8"/>
    <w:rsid w:val="00737F54"/>
    <w:rsid w:val="0074104B"/>
    <w:rsid w:val="00741289"/>
    <w:rsid w:val="0074133D"/>
    <w:rsid w:val="00741590"/>
    <w:rsid w:val="0074293C"/>
    <w:rsid w:val="007444D0"/>
    <w:rsid w:val="0074493C"/>
    <w:rsid w:val="00750B0B"/>
    <w:rsid w:val="00751695"/>
    <w:rsid w:val="0075196D"/>
    <w:rsid w:val="00751A39"/>
    <w:rsid w:val="007520DC"/>
    <w:rsid w:val="0075276C"/>
    <w:rsid w:val="00753EAD"/>
    <w:rsid w:val="007546F8"/>
    <w:rsid w:val="007548A7"/>
    <w:rsid w:val="0075558C"/>
    <w:rsid w:val="00756DCE"/>
    <w:rsid w:val="00760060"/>
    <w:rsid w:val="00761AAF"/>
    <w:rsid w:val="00761B97"/>
    <w:rsid w:val="00761EFA"/>
    <w:rsid w:val="0076420A"/>
    <w:rsid w:val="00764873"/>
    <w:rsid w:val="00764F93"/>
    <w:rsid w:val="0076659B"/>
    <w:rsid w:val="00766A7B"/>
    <w:rsid w:val="00767FDD"/>
    <w:rsid w:val="00771157"/>
    <w:rsid w:val="00771641"/>
    <w:rsid w:val="0077291D"/>
    <w:rsid w:val="007731E5"/>
    <w:rsid w:val="00773E3A"/>
    <w:rsid w:val="00774823"/>
    <w:rsid w:val="007767D1"/>
    <w:rsid w:val="0077684A"/>
    <w:rsid w:val="00776F68"/>
    <w:rsid w:val="007778DD"/>
    <w:rsid w:val="00780A2E"/>
    <w:rsid w:val="00783FEC"/>
    <w:rsid w:val="00785451"/>
    <w:rsid w:val="0078662F"/>
    <w:rsid w:val="0078678D"/>
    <w:rsid w:val="00790329"/>
    <w:rsid w:val="007904CD"/>
    <w:rsid w:val="00790B6C"/>
    <w:rsid w:val="0079131D"/>
    <w:rsid w:val="00791BCD"/>
    <w:rsid w:val="00792375"/>
    <w:rsid w:val="00793622"/>
    <w:rsid w:val="0079377F"/>
    <w:rsid w:val="00793E5D"/>
    <w:rsid w:val="00794805"/>
    <w:rsid w:val="00794E60"/>
    <w:rsid w:val="00795D03"/>
    <w:rsid w:val="00796693"/>
    <w:rsid w:val="00797B03"/>
    <w:rsid w:val="007A0B57"/>
    <w:rsid w:val="007A1B0D"/>
    <w:rsid w:val="007A1C7D"/>
    <w:rsid w:val="007A2C9E"/>
    <w:rsid w:val="007A3FD1"/>
    <w:rsid w:val="007A5DC5"/>
    <w:rsid w:val="007A6B3C"/>
    <w:rsid w:val="007A7469"/>
    <w:rsid w:val="007B14B9"/>
    <w:rsid w:val="007B1A8E"/>
    <w:rsid w:val="007B1C57"/>
    <w:rsid w:val="007B34D6"/>
    <w:rsid w:val="007B3BA9"/>
    <w:rsid w:val="007B4507"/>
    <w:rsid w:val="007B452C"/>
    <w:rsid w:val="007B47EE"/>
    <w:rsid w:val="007B72A2"/>
    <w:rsid w:val="007B7A69"/>
    <w:rsid w:val="007B7B92"/>
    <w:rsid w:val="007C0023"/>
    <w:rsid w:val="007C0DE1"/>
    <w:rsid w:val="007C1592"/>
    <w:rsid w:val="007C1858"/>
    <w:rsid w:val="007C3E4D"/>
    <w:rsid w:val="007C4716"/>
    <w:rsid w:val="007C4D6A"/>
    <w:rsid w:val="007C62F8"/>
    <w:rsid w:val="007C7591"/>
    <w:rsid w:val="007D0FB9"/>
    <w:rsid w:val="007D127D"/>
    <w:rsid w:val="007D24ED"/>
    <w:rsid w:val="007D291F"/>
    <w:rsid w:val="007D34B8"/>
    <w:rsid w:val="007D538B"/>
    <w:rsid w:val="007D5CD5"/>
    <w:rsid w:val="007D6356"/>
    <w:rsid w:val="007D6473"/>
    <w:rsid w:val="007D65A8"/>
    <w:rsid w:val="007D7AD5"/>
    <w:rsid w:val="007D7BF0"/>
    <w:rsid w:val="007D7DEB"/>
    <w:rsid w:val="007E0317"/>
    <w:rsid w:val="007E21B9"/>
    <w:rsid w:val="007E290A"/>
    <w:rsid w:val="007E632E"/>
    <w:rsid w:val="007E6A8D"/>
    <w:rsid w:val="007E7064"/>
    <w:rsid w:val="007F2BCC"/>
    <w:rsid w:val="007F31B9"/>
    <w:rsid w:val="007F3649"/>
    <w:rsid w:val="007F598B"/>
    <w:rsid w:val="007F6AE9"/>
    <w:rsid w:val="0080011F"/>
    <w:rsid w:val="0080056A"/>
    <w:rsid w:val="00800ECF"/>
    <w:rsid w:val="00801019"/>
    <w:rsid w:val="00801F0D"/>
    <w:rsid w:val="00802027"/>
    <w:rsid w:val="008027D5"/>
    <w:rsid w:val="0080292D"/>
    <w:rsid w:val="0080421C"/>
    <w:rsid w:val="008058C4"/>
    <w:rsid w:val="00806A64"/>
    <w:rsid w:val="00807303"/>
    <w:rsid w:val="0081061C"/>
    <w:rsid w:val="00810E78"/>
    <w:rsid w:val="008110D5"/>
    <w:rsid w:val="00811AF3"/>
    <w:rsid w:val="00811FD8"/>
    <w:rsid w:val="008121F9"/>
    <w:rsid w:val="00813868"/>
    <w:rsid w:val="0081725E"/>
    <w:rsid w:val="00817804"/>
    <w:rsid w:val="00820E45"/>
    <w:rsid w:val="008210E1"/>
    <w:rsid w:val="008215F8"/>
    <w:rsid w:val="0082204A"/>
    <w:rsid w:val="00822B49"/>
    <w:rsid w:val="00822C27"/>
    <w:rsid w:val="008231F8"/>
    <w:rsid w:val="00824751"/>
    <w:rsid w:val="00824C04"/>
    <w:rsid w:val="00826D54"/>
    <w:rsid w:val="00827867"/>
    <w:rsid w:val="00832ABA"/>
    <w:rsid w:val="00833F0D"/>
    <w:rsid w:val="00834594"/>
    <w:rsid w:val="0083486F"/>
    <w:rsid w:val="00834CBF"/>
    <w:rsid w:val="00835592"/>
    <w:rsid w:val="00836099"/>
    <w:rsid w:val="008364B8"/>
    <w:rsid w:val="00836A41"/>
    <w:rsid w:val="00836F89"/>
    <w:rsid w:val="00837F8C"/>
    <w:rsid w:val="00840546"/>
    <w:rsid w:val="00840AD0"/>
    <w:rsid w:val="00840DFB"/>
    <w:rsid w:val="008415D4"/>
    <w:rsid w:val="00842198"/>
    <w:rsid w:val="00843553"/>
    <w:rsid w:val="008439AC"/>
    <w:rsid w:val="008447A5"/>
    <w:rsid w:val="00844F17"/>
    <w:rsid w:val="00844F62"/>
    <w:rsid w:val="00845A4F"/>
    <w:rsid w:val="00846459"/>
    <w:rsid w:val="00846AEB"/>
    <w:rsid w:val="00847363"/>
    <w:rsid w:val="00847A77"/>
    <w:rsid w:val="008502AA"/>
    <w:rsid w:val="00850B75"/>
    <w:rsid w:val="0085217B"/>
    <w:rsid w:val="00852266"/>
    <w:rsid w:val="00853C53"/>
    <w:rsid w:val="008565A1"/>
    <w:rsid w:val="00857514"/>
    <w:rsid w:val="00860127"/>
    <w:rsid w:val="00860316"/>
    <w:rsid w:val="00860B4B"/>
    <w:rsid w:val="00860F8B"/>
    <w:rsid w:val="00861CAB"/>
    <w:rsid w:val="00862692"/>
    <w:rsid w:val="00863435"/>
    <w:rsid w:val="00863F70"/>
    <w:rsid w:val="00864293"/>
    <w:rsid w:val="0086480E"/>
    <w:rsid w:val="00864F31"/>
    <w:rsid w:val="008671AB"/>
    <w:rsid w:val="00867532"/>
    <w:rsid w:val="00867AEE"/>
    <w:rsid w:val="00872827"/>
    <w:rsid w:val="0087349A"/>
    <w:rsid w:val="0087395F"/>
    <w:rsid w:val="00873985"/>
    <w:rsid w:val="00874CBB"/>
    <w:rsid w:val="008758EC"/>
    <w:rsid w:val="00875E0C"/>
    <w:rsid w:val="00880915"/>
    <w:rsid w:val="0088162B"/>
    <w:rsid w:val="00881737"/>
    <w:rsid w:val="008818C1"/>
    <w:rsid w:val="00881C93"/>
    <w:rsid w:val="00882D5B"/>
    <w:rsid w:val="00882FEA"/>
    <w:rsid w:val="00884409"/>
    <w:rsid w:val="008865B6"/>
    <w:rsid w:val="00887ED0"/>
    <w:rsid w:val="008903AA"/>
    <w:rsid w:val="00891A06"/>
    <w:rsid w:val="00891E98"/>
    <w:rsid w:val="00892068"/>
    <w:rsid w:val="00892F63"/>
    <w:rsid w:val="00893283"/>
    <w:rsid w:val="00893D1C"/>
    <w:rsid w:val="00894818"/>
    <w:rsid w:val="008959C4"/>
    <w:rsid w:val="00895DF4"/>
    <w:rsid w:val="00896467"/>
    <w:rsid w:val="00896FF7"/>
    <w:rsid w:val="00897306"/>
    <w:rsid w:val="008A02F6"/>
    <w:rsid w:val="008A06B1"/>
    <w:rsid w:val="008A14C0"/>
    <w:rsid w:val="008A1E17"/>
    <w:rsid w:val="008A1ED5"/>
    <w:rsid w:val="008A22EA"/>
    <w:rsid w:val="008A2747"/>
    <w:rsid w:val="008A4249"/>
    <w:rsid w:val="008A4E30"/>
    <w:rsid w:val="008A54AA"/>
    <w:rsid w:val="008A5D6D"/>
    <w:rsid w:val="008A6398"/>
    <w:rsid w:val="008A6BA8"/>
    <w:rsid w:val="008B0257"/>
    <w:rsid w:val="008B05FE"/>
    <w:rsid w:val="008B149D"/>
    <w:rsid w:val="008B15DB"/>
    <w:rsid w:val="008B172B"/>
    <w:rsid w:val="008B1A4D"/>
    <w:rsid w:val="008B398E"/>
    <w:rsid w:val="008B3C2D"/>
    <w:rsid w:val="008B431C"/>
    <w:rsid w:val="008B54BB"/>
    <w:rsid w:val="008B5EE4"/>
    <w:rsid w:val="008B66A4"/>
    <w:rsid w:val="008B76AE"/>
    <w:rsid w:val="008B7A32"/>
    <w:rsid w:val="008B7ADD"/>
    <w:rsid w:val="008C39B3"/>
    <w:rsid w:val="008C42C6"/>
    <w:rsid w:val="008C77CD"/>
    <w:rsid w:val="008C799D"/>
    <w:rsid w:val="008D015F"/>
    <w:rsid w:val="008D0C1D"/>
    <w:rsid w:val="008D181E"/>
    <w:rsid w:val="008D1D6F"/>
    <w:rsid w:val="008D240A"/>
    <w:rsid w:val="008D2933"/>
    <w:rsid w:val="008D589C"/>
    <w:rsid w:val="008D712D"/>
    <w:rsid w:val="008E0BD3"/>
    <w:rsid w:val="008E1D33"/>
    <w:rsid w:val="008E297C"/>
    <w:rsid w:val="008E29E0"/>
    <w:rsid w:val="008E3986"/>
    <w:rsid w:val="008E3F0A"/>
    <w:rsid w:val="008E647B"/>
    <w:rsid w:val="008E6F9E"/>
    <w:rsid w:val="008E7085"/>
    <w:rsid w:val="008E7373"/>
    <w:rsid w:val="008F04CA"/>
    <w:rsid w:val="008F0908"/>
    <w:rsid w:val="008F218B"/>
    <w:rsid w:val="008F2A6C"/>
    <w:rsid w:val="008F2E54"/>
    <w:rsid w:val="008F60C3"/>
    <w:rsid w:val="008F6651"/>
    <w:rsid w:val="008F7948"/>
    <w:rsid w:val="00902390"/>
    <w:rsid w:val="0090406D"/>
    <w:rsid w:val="00911702"/>
    <w:rsid w:val="00911BE6"/>
    <w:rsid w:val="0091202C"/>
    <w:rsid w:val="00912B6E"/>
    <w:rsid w:val="00912F88"/>
    <w:rsid w:val="00915469"/>
    <w:rsid w:val="0091580F"/>
    <w:rsid w:val="009179E1"/>
    <w:rsid w:val="00921EA0"/>
    <w:rsid w:val="00922F55"/>
    <w:rsid w:val="009239A8"/>
    <w:rsid w:val="00924432"/>
    <w:rsid w:val="009254D6"/>
    <w:rsid w:val="00925C37"/>
    <w:rsid w:val="00925D53"/>
    <w:rsid w:val="009262D7"/>
    <w:rsid w:val="0092653D"/>
    <w:rsid w:val="0092669B"/>
    <w:rsid w:val="00926905"/>
    <w:rsid w:val="00926EE0"/>
    <w:rsid w:val="009272B4"/>
    <w:rsid w:val="00927A00"/>
    <w:rsid w:val="00927B7B"/>
    <w:rsid w:val="0093095B"/>
    <w:rsid w:val="0093163E"/>
    <w:rsid w:val="00932E70"/>
    <w:rsid w:val="00933806"/>
    <w:rsid w:val="009341D6"/>
    <w:rsid w:val="00936436"/>
    <w:rsid w:val="00936F38"/>
    <w:rsid w:val="00937044"/>
    <w:rsid w:val="00937317"/>
    <w:rsid w:val="0093742D"/>
    <w:rsid w:val="009414F3"/>
    <w:rsid w:val="0094193C"/>
    <w:rsid w:val="00941F6F"/>
    <w:rsid w:val="0094351E"/>
    <w:rsid w:val="00943DE1"/>
    <w:rsid w:val="00946B01"/>
    <w:rsid w:val="00946DD7"/>
    <w:rsid w:val="0094721A"/>
    <w:rsid w:val="009500D7"/>
    <w:rsid w:val="009541CB"/>
    <w:rsid w:val="009544F3"/>
    <w:rsid w:val="00954BC8"/>
    <w:rsid w:val="009564F6"/>
    <w:rsid w:val="00957183"/>
    <w:rsid w:val="00960D00"/>
    <w:rsid w:val="00962021"/>
    <w:rsid w:val="00962D95"/>
    <w:rsid w:val="00964409"/>
    <w:rsid w:val="00965657"/>
    <w:rsid w:val="00965FBD"/>
    <w:rsid w:val="00966BAC"/>
    <w:rsid w:val="009678E3"/>
    <w:rsid w:val="00967D46"/>
    <w:rsid w:val="0097136C"/>
    <w:rsid w:val="00971D06"/>
    <w:rsid w:val="00972409"/>
    <w:rsid w:val="00972DD3"/>
    <w:rsid w:val="00973167"/>
    <w:rsid w:val="00973F64"/>
    <w:rsid w:val="0097448D"/>
    <w:rsid w:val="00976346"/>
    <w:rsid w:val="00976351"/>
    <w:rsid w:val="0097760C"/>
    <w:rsid w:val="00980607"/>
    <w:rsid w:val="00986AE5"/>
    <w:rsid w:val="00987A84"/>
    <w:rsid w:val="00991710"/>
    <w:rsid w:val="009927F3"/>
    <w:rsid w:val="00993C52"/>
    <w:rsid w:val="00996B8C"/>
    <w:rsid w:val="0099778E"/>
    <w:rsid w:val="009A155B"/>
    <w:rsid w:val="009A2ABE"/>
    <w:rsid w:val="009A41FF"/>
    <w:rsid w:val="009A43B1"/>
    <w:rsid w:val="009A6013"/>
    <w:rsid w:val="009A6A2F"/>
    <w:rsid w:val="009A6CB0"/>
    <w:rsid w:val="009B1D42"/>
    <w:rsid w:val="009B2031"/>
    <w:rsid w:val="009B25C5"/>
    <w:rsid w:val="009B2929"/>
    <w:rsid w:val="009B3791"/>
    <w:rsid w:val="009B45E8"/>
    <w:rsid w:val="009B6411"/>
    <w:rsid w:val="009B6D75"/>
    <w:rsid w:val="009B7352"/>
    <w:rsid w:val="009C166B"/>
    <w:rsid w:val="009C1998"/>
    <w:rsid w:val="009C27E7"/>
    <w:rsid w:val="009C2A0E"/>
    <w:rsid w:val="009C5601"/>
    <w:rsid w:val="009C6BDB"/>
    <w:rsid w:val="009C6E07"/>
    <w:rsid w:val="009C6FAD"/>
    <w:rsid w:val="009C755C"/>
    <w:rsid w:val="009C780F"/>
    <w:rsid w:val="009C7B9F"/>
    <w:rsid w:val="009D05BB"/>
    <w:rsid w:val="009D13AC"/>
    <w:rsid w:val="009D2408"/>
    <w:rsid w:val="009D285A"/>
    <w:rsid w:val="009D2AA9"/>
    <w:rsid w:val="009D2AEA"/>
    <w:rsid w:val="009D2EEF"/>
    <w:rsid w:val="009D3C0F"/>
    <w:rsid w:val="009D4185"/>
    <w:rsid w:val="009D52C3"/>
    <w:rsid w:val="009D68E7"/>
    <w:rsid w:val="009E1588"/>
    <w:rsid w:val="009E3996"/>
    <w:rsid w:val="009E4304"/>
    <w:rsid w:val="009E4F4C"/>
    <w:rsid w:val="009E4F54"/>
    <w:rsid w:val="009E561D"/>
    <w:rsid w:val="009E5895"/>
    <w:rsid w:val="009E5CA0"/>
    <w:rsid w:val="009E7202"/>
    <w:rsid w:val="009E7921"/>
    <w:rsid w:val="009F1199"/>
    <w:rsid w:val="009F1FE8"/>
    <w:rsid w:val="009F2C68"/>
    <w:rsid w:val="009F392A"/>
    <w:rsid w:val="009F5CE6"/>
    <w:rsid w:val="00A00CCB"/>
    <w:rsid w:val="00A0150E"/>
    <w:rsid w:val="00A03E5E"/>
    <w:rsid w:val="00A03F80"/>
    <w:rsid w:val="00A04936"/>
    <w:rsid w:val="00A04CB9"/>
    <w:rsid w:val="00A062CC"/>
    <w:rsid w:val="00A10A7F"/>
    <w:rsid w:val="00A110DE"/>
    <w:rsid w:val="00A11D54"/>
    <w:rsid w:val="00A11EC8"/>
    <w:rsid w:val="00A1265D"/>
    <w:rsid w:val="00A139C1"/>
    <w:rsid w:val="00A14AD0"/>
    <w:rsid w:val="00A14DCA"/>
    <w:rsid w:val="00A15EE0"/>
    <w:rsid w:val="00A1607E"/>
    <w:rsid w:val="00A161A5"/>
    <w:rsid w:val="00A17939"/>
    <w:rsid w:val="00A212AD"/>
    <w:rsid w:val="00A21614"/>
    <w:rsid w:val="00A24367"/>
    <w:rsid w:val="00A25353"/>
    <w:rsid w:val="00A261FB"/>
    <w:rsid w:val="00A306BC"/>
    <w:rsid w:val="00A31480"/>
    <w:rsid w:val="00A323F8"/>
    <w:rsid w:val="00A32C86"/>
    <w:rsid w:val="00A33748"/>
    <w:rsid w:val="00A34ABE"/>
    <w:rsid w:val="00A34F5F"/>
    <w:rsid w:val="00A35512"/>
    <w:rsid w:val="00A35C4D"/>
    <w:rsid w:val="00A35CD5"/>
    <w:rsid w:val="00A35D36"/>
    <w:rsid w:val="00A375D4"/>
    <w:rsid w:val="00A401A5"/>
    <w:rsid w:val="00A40588"/>
    <w:rsid w:val="00A428B4"/>
    <w:rsid w:val="00A43EC1"/>
    <w:rsid w:val="00A44236"/>
    <w:rsid w:val="00A44C41"/>
    <w:rsid w:val="00A44ED6"/>
    <w:rsid w:val="00A45610"/>
    <w:rsid w:val="00A46121"/>
    <w:rsid w:val="00A46A68"/>
    <w:rsid w:val="00A504C1"/>
    <w:rsid w:val="00A50EE9"/>
    <w:rsid w:val="00A5188E"/>
    <w:rsid w:val="00A518D9"/>
    <w:rsid w:val="00A519AA"/>
    <w:rsid w:val="00A51B06"/>
    <w:rsid w:val="00A557CD"/>
    <w:rsid w:val="00A55897"/>
    <w:rsid w:val="00A56241"/>
    <w:rsid w:val="00A56B44"/>
    <w:rsid w:val="00A60116"/>
    <w:rsid w:val="00A601E6"/>
    <w:rsid w:val="00A60CF1"/>
    <w:rsid w:val="00A611F4"/>
    <w:rsid w:val="00A61C5F"/>
    <w:rsid w:val="00A62E6D"/>
    <w:rsid w:val="00A6389D"/>
    <w:rsid w:val="00A65909"/>
    <w:rsid w:val="00A672B7"/>
    <w:rsid w:val="00A67650"/>
    <w:rsid w:val="00A706A8"/>
    <w:rsid w:val="00A709BF"/>
    <w:rsid w:val="00A7125E"/>
    <w:rsid w:val="00A73213"/>
    <w:rsid w:val="00A7446E"/>
    <w:rsid w:val="00A761D6"/>
    <w:rsid w:val="00A81323"/>
    <w:rsid w:val="00A81ED9"/>
    <w:rsid w:val="00A837B7"/>
    <w:rsid w:val="00A83878"/>
    <w:rsid w:val="00A84417"/>
    <w:rsid w:val="00A852D4"/>
    <w:rsid w:val="00A856A8"/>
    <w:rsid w:val="00A8697D"/>
    <w:rsid w:val="00A86F48"/>
    <w:rsid w:val="00A873DB"/>
    <w:rsid w:val="00A90E5D"/>
    <w:rsid w:val="00A9131B"/>
    <w:rsid w:val="00A91C3D"/>
    <w:rsid w:val="00A92225"/>
    <w:rsid w:val="00A92FFE"/>
    <w:rsid w:val="00A93C44"/>
    <w:rsid w:val="00A950C0"/>
    <w:rsid w:val="00A959D0"/>
    <w:rsid w:val="00A96185"/>
    <w:rsid w:val="00A966B0"/>
    <w:rsid w:val="00A96A83"/>
    <w:rsid w:val="00AA0D50"/>
    <w:rsid w:val="00AA13C0"/>
    <w:rsid w:val="00AA18CF"/>
    <w:rsid w:val="00AA1B26"/>
    <w:rsid w:val="00AA602B"/>
    <w:rsid w:val="00AA660C"/>
    <w:rsid w:val="00AB151D"/>
    <w:rsid w:val="00AB26D1"/>
    <w:rsid w:val="00AB2F7A"/>
    <w:rsid w:val="00AB4CE8"/>
    <w:rsid w:val="00AB4FA9"/>
    <w:rsid w:val="00AB5F10"/>
    <w:rsid w:val="00AB616A"/>
    <w:rsid w:val="00AB751C"/>
    <w:rsid w:val="00AB7955"/>
    <w:rsid w:val="00AC09EC"/>
    <w:rsid w:val="00AC0FCD"/>
    <w:rsid w:val="00AC1965"/>
    <w:rsid w:val="00AC1F36"/>
    <w:rsid w:val="00AC25F2"/>
    <w:rsid w:val="00AC2DB5"/>
    <w:rsid w:val="00AC517F"/>
    <w:rsid w:val="00AC5B0F"/>
    <w:rsid w:val="00AC6F7F"/>
    <w:rsid w:val="00AC7558"/>
    <w:rsid w:val="00AC78DD"/>
    <w:rsid w:val="00AD0391"/>
    <w:rsid w:val="00AD0A33"/>
    <w:rsid w:val="00AD0B2B"/>
    <w:rsid w:val="00AD1225"/>
    <w:rsid w:val="00AD290D"/>
    <w:rsid w:val="00AD3AE3"/>
    <w:rsid w:val="00AD3CBC"/>
    <w:rsid w:val="00AD6868"/>
    <w:rsid w:val="00AD7392"/>
    <w:rsid w:val="00AE084A"/>
    <w:rsid w:val="00AE0982"/>
    <w:rsid w:val="00AE09C0"/>
    <w:rsid w:val="00AE0FB9"/>
    <w:rsid w:val="00AE125E"/>
    <w:rsid w:val="00AE430C"/>
    <w:rsid w:val="00AE5B8C"/>
    <w:rsid w:val="00AF0941"/>
    <w:rsid w:val="00AF1690"/>
    <w:rsid w:val="00AF178E"/>
    <w:rsid w:val="00AF1CD8"/>
    <w:rsid w:val="00AF3809"/>
    <w:rsid w:val="00AF429A"/>
    <w:rsid w:val="00AF7909"/>
    <w:rsid w:val="00B003DC"/>
    <w:rsid w:val="00B02F76"/>
    <w:rsid w:val="00B045C3"/>
    <w:rsid w:val="00B047F4"/>
    <w:rsid w:val="00B065D9"/>
    <w:rsid w:val="00B06F27"/>
    <w:rsid w:val="00B07524"/>
    <w:rsid w:val="00B101A6"/>
    <w:rsid w:val="00B113E7"/>
    <w:rsid w:val="00B11A19"/>
    <w:rsid w:val="00B11EDD"/>
    <w:rsid w:val="00B12D2A"/>
    <w:rsid w:val="00B1317F"/>
    <w:rsid w:val="00B13529"/>
    <w:rsid w:val="00B13C5E"/>
    <w:rsid w:val="00B14EE3"/>
    <w:rsid w:val="00B15D4A"/>
    <w:rsid w:val="00B16F74"/>
    <w:rsid w:val="00B175AF"/>
    <w:rsid w:val="00B20143"/>
    <w:rsid w:val="00B20650"/>
    <w:rsid w:val="00B2074A"/>
    <w:rsid w:val="00B224BE"/>
    <w:rsid w:val="00B23619"/>
    <w:rsid w:val="00B2369D"/>
    <w:rsid w:val="00B24B82"/>
    <w:rsid w:val="00B26D3C"/>
    <w:rsid w:val="00B27DD3"/>
    <w:rsid w:val="00B30E07"/>
    <w:rsid w:val="00B30ED8"/>
    <w:rsid w:val="00B31D9B"/>
    <w:rsid w:val="00B3272F"/>
    <w:rsid w:val="00B331A0"/>
    <w:rsid w:val="00B359A0"/>
    <w:rsid w:val="00B35B7C"/>
    <w:rsid w:val="00B36D72"/>
    <w:rsid w:val="00B4046E"/>
    <w:rsid w:val="00B40547"/>
    <w:rsid w:val="00B42F7E"/>
    <w:rsid w:val="00B43800"/>
    <w:rsid w:val="00B43AC6"/>
    <w:rsid w:val="00B43B85"/>
    <w:rsid w:val="00B46571"/>
    <w:rsid w:val="00B46A53"/>
    <w:rsid w:val="00B47058"/>
    <w:rsid w:val="00B47E50"/>
    <w:rsid w:val="00B50449"/>
    <w:rsid w:val="00B50974"/>
    <w:rsid w:val="00B513D9"/>
    <w:rsid w:val="00B53260"/>
    <w:rsid w:val="00B53C15"/>
    <w:rsid w:val="00B55B93"/>
    <w:rsid w:val="00B6056D"/>
    <w:rsid w:val="00B6098A"/>
    <w:rsid w:val="00B613FC"/>
    <w:rsid w:val="00B61BFF"/>
    <w:rsid w:val="00B61EBA"/>
    <w:rsid w:val="00B62124"/>
    <w:rsid w:val="00B62C14"/>
    <w:rsid w:val="00B63703"/>
    <w:rsid w:val="00B6479A"/>
    <w:rsid w:val="00B6484C"/>
    <w:rsid w:val="00B66937"/>
    <w:rsid w:val="00B67699"/>
    <w:rsid w:val="00B6792C"/>
    <w:rsid w:val="00B70538"/>
    <w:rsid w:val="00B714A0"/>
    <w:rsid w:val="00B743FD"/>
    <w:rsid w:val="00B74E15"/>
    <w:rsid w:val="00B76E7C"/>
    <w:rsid w:val="00B771B0"/>
    <w:rsid w:val="00B7770A"/>
    <w:rsid w:val="00B80EFC"/>
    <w:rsid w:val="00B81030"/>
    <w:rsid w:val="00B81CB5"/>
    <w:rsid w:val="00B82FAB"/>
    <w:rsid w:val="00B85500"/>
    <w:rsid w:val="00B871A7"/>
    <w:rsid w:val="00B90095"/>
    <w:rsid w:val="00B93DDB"/>
    <w:rsid w:val="00B946A4"/>
    <w:rsid w:val="00B955BD"/>
    <w:rsid w:val="00B95A48"/>
    <w:rsid w:val="00B96D7A"/>
    <w:rsid w:val="00BA24F6"/>
    <w:rsid w:val="00BA37DA"/>
    <w:rsid w:val="00BA4116"/>
    <w:rsid w:val="00BA48A3"/>
    <w:rsid w:val="00BA6044"/>
    <w:rsid w:val="00BA6416"/>
    <w:rsid w:val="00BA790F"/>
    <w:rsid w:val="00BA7A24"/>
    <w:rsid w:val="00BA7DB3"/>
    <w:rsid w:val="00BB0E01"/>
    <w:rsid w:val="00BB487D"/>
    <w:rsid w:val="00BB4B91"/>
    <w:rsid w:val="00BB534B"/>
    <w:rsid w:val="00BB79B3"/>
    <w:rsid w:val="00BC14C1"/>
    <w:rsid w:val="00BC4000"/>
    <w:rsid w:val="00BC4DDB"/>
    <w:rsid w:val="00BC5179"/>
    <w:rsid w:val="00BD1076"/>
    <w:rsid w:val="00BD2D12"/>
    <w:rsid w:val="00BD2D6F"/>
    <w:rsid w:val="00BD3522"/>
    <w:rsid w:val="00BD36EA"/>
    <w:rsid w:val="00BD3A29"/>
    <w:rsid w:val="00BD3D17"/>
    <w:rsid w:val="00BD41F9"/>
    <w:rsid w:val="00BD435E"/>
    <w:rsid w:val="00BD43E6"/>
    <w:rsid w:val="00BD44F4"/>
    <w:rsid w:val="00BD4A00"/>
    <w:rsid w:val="00BD4CA3"/>
    <w:rsid w:val="00BD7182"/>
    <w:rsid w:val="00BE1828"/>
    <w:rsid w:val="00BE1E32"/>
    <w:rsid w:val="00BE3142"/>
    <w:rsid w:val="00BE3A60"/>
    <w:rsid w:val="00BE4526"/>
    <w:rsid w:val="00BE45EB"/>
    <w:rsid w:val="00BE58E3"/>
    <w:rsid w:val="00BF1247"/>
    <w:rsid w:val="00BF31A1"/>
    <w:rsid w:val="00BF355D"/>
    <w:rsid w:val="00BF3814"/>
    <w:rsid w:val="00BF3C8E"/>
    <w:rsid w:val="00BF3E7D"/>
    <w:rsid w:val="00BF4034"/>
    <w:rsid w:val="00BF4F4A"/>
    <w:rsid w:val="00BF5BBB"/>
    <w:rsid w:val="00BF5F3C"/>
    <w:rsid w:val="00BF6131"/>
    <w:rsid w:val="00BF7E17"/>
    <w:rsid w:val="00BF7E93"/>
    <w:rsid w:val="00C01CA6"/>
    <w:rsid w:val="00C04095"/>
    <w:rsid w:val="00C04323"/>
    <w:rsid w:val="00C0571E"/>
    <w:rsid w:val="00C067FC"/>
    <w:rsid w:val="00C06865"/>
    <w:rsid w:val="00C06FD7"/>
    <w:rsid w:val="00C0799A"/>
    <w:rsid w:val="00C07A11"/>
    <w:rsid w:val="00C10B1A"/>
    <w:rsid w:val="00C11D0D"/>
    <w:rsid w:val="00C12820"/>
    <w:rsid w:val="00C12A7E"/>
    <w:rsid w:val="00C13B8D"/>
    <w:rsid w:val="00C1403D"/>
    <w:rsid w:val="00C14268"/>
    <w:rsid w:val="00C17575"/>
    <w:rsid w:val="00C17806"/>
    <w:rsid w:val="00C20169"/>
    <w:rsid w:val="00C22303"/>
    <w:rsid w:val="00C228C9"/>
    <w:rsid w:val="00C23BD7"/>
    <w:rsid w:val="00C250F7"/>
    <w:rsid w:val="00C255FB"/>
    <w:rsid w:val="00C27577"/>
    <w:rsid w:val="00C3084D"/>
    <w:rsid w:val="00C30B33"/>
    <w:rsid w:val="00C30EC2"/>
    <w:rsid w:val="00C317E9"/>
    <w:rsid w:val="00C32D64"/>
    <w:rsid w:val="00C33C61"/>
    <w:rsid w:val="00C37959"/>
    <w:rsid w:val="00C37B50"/>
    <w:rsid w:val="00C45490"/>
    <w:rsid w:val="00C47B16"/>
    <w:rsid w:val="00C47E49"/>
    <w:rsid w:val="00C509C3"/>
    <w:rsid w:val="00C50A17"/>
    <w:rsid w:val="00C53D3E"/>
    <w:rsid w:val="00C54793"/>
    <w:rsid w:val="00C573B0"/>
    <w:rsid w:val="00C61041"/>
    <w:rsid w:val="00C610DE"/>
    <w:rsid w:val="00C63079"/>
    <w:rsid w:val="00C63864"/>
    <w:rsid w:val="00C65186"/>
    <w:rsid w:val="00C67231"/>
    <w:rsid w:val="00C67DB3"/>
    <w:rsid w:val="00C70397"/>
    <w:rsid w:val="00C703B1"/>
    <w:rsid w:val="00C70EAE"/>
    <w:rsid w:val="00C71031"/>
    <w:rsid w:val="00C7108D"/>
    <w:rsid w:val="00C710AD"/>
    <w:rsid w:val="00C71EC1"/>
    <w:rsid w:val="00C72D98"/>
    <w:rsid w:val="00C730AE"/>
    <w:rsid w:val="00C76538"/>
    <w:rsid w:val="00C7783E"/>
    <w:rsid w:val="00C77FB8"/>
    <w:rsid w:val="00C80A94"/>
    <w:rsid w:val="00C832C1"/>
    <w:rsid w:val="00C83B65"/>
    <w:rsid w:val="00C84296"/>
    <w:rsid w:val="00C842C9"/>
    <w:rsid w:val="00C85559"/>
    <w:rsid w:val="00C85F9B"/>
    <w:rsid w:val="00C87108"/>
    <w:rsid w:val="00C872CC"/>
    <w:rsid w:val="00C87374"/>
    <w:rsid w:val="00C875A4"/>
    <w:rsid w:val="00C87FEB"/>
    <w:rsid w:val="00C907E3"/>
    <w:rsid w:val="00C908A4"/>
    <w:rsid w:val="00C90D1D"/>
    <w:rsid w:val="00C92C00"/>
    <w:rsid w:val="00C93A40"/>
    <w:rsid w:val="00C94433"/>
    <w:rsid w:val="00C9484E"/>
    <w:rsid w:val="00C95526"/>
    <w:rsid w:val="00C95581"/>
    <w:rsid w:val="00C97CA9"/>
    <w:rsid w:val="00CA2169"/>
    <w:rsid w:val="00CA222D"/>
    <w:rsid w:val="00CA292D"/>
    <w:rsid w:val="00CA351D"/>
    <w:rsid w:val="00CA3673"/>
    <w:rsid w:val="00CA457A"/>
    <w:rsid w:val="00CA584F"/>
    <w:rsid w:val="00CA73AF"/>
    <w:rsid w:val="00CA7937"/>
    <w:rsid w:val="00CB0695"/>
    <w:rsid w:val="00CB09EA"/>
    <w:rsid w:val="00CB3C42"/>
    <w:rsid w:val="00CB5FAC"/>
    <w:rsid w:val="00CB77EA"/>
    <w:rsid w:val="00CC1B36"/>
    <w:rsid w:val="00CC3AD1"/>
    <w:rsid w:val="00CC4B1A"/>
    <w:rsid w:val="00CC5E36"/>
    <w:rsid w:val="00CC6A64"/>
    <w:rsid w:val="00CC7E0D"/>
    <w:rsid w:val="00CD0A0E"/>
    <w:rsid w:val="00CD190E"/>
    <w:rsid w:val="00CD440A"/>
    <w:rsid w:val="00CD4820"/>
    <w:rsid w:val="00CD50B5"/>
    <w:rsid w:val="00CD6042"/>
    <w:rsid w:val="00CD6862"/>
    <w:rsid w:val="00CD73A9"/>
    <w:rsid w:val="00CE1DC0"/>
    <w:rsid w:val="00CE60BA"/>
    <w:rsid w:val="00CE7A16"/>
    <w:rsid w:val="00CF2607"/>
    <w:rsid w:val="00CF314C"/>
    <w:rsid w:val="00CF3823"/>
    <w:rsid w:val="00CF42CB"/>
    <w:rsid w:val="00CF46DA"/>
    <w:rsid w:val="00CF56AC"/>
    <w:rsid w:val="00CF5777"/>
    <w:rsid w:val="00CF5E3D"/>
    <w:rsid w:val="00CF66C7"/>
    <w:rsid w:val="00D01A13"/>
    <w:rsid w:val="00D02AA7"/>
    <w:rsid w:val="00D03F3F"/>
    <w:rsid w:val="00D068CC"/>
    <w:rsid w:val="00D068CD"/>
    <w:rsid w:val="00D06F12"/>
    <w:rsid w:val="00D11BB7"/>
    <w:rsid w:val="00D1396D"/>
    <w:rsid w:val="00D13D12"/>
    <w:rsid w:val="00D1529E"/>
    <w:rsid w:val="00D1605E"/>
    <w:rsid w:val="00D165EF"/>
    <w:rsid w:val="00D16B0F"/>
    <w:rsid w:val="00D204A9"/>
    <w:rsid w:val="00D20781"/>
    <w:rsid w:val="00D2081A"/>
    <w:rsid w:val="00D21EF3"/>
    <w:rsid w:val="00D23D18"/>
    <w:rsid w:val="00D2716B"/>
    <w:rsid w:val="00D27759"/>
    <w:rsid w:val="00D302B3"/>
    <w:rsid w:val="00D303B3"/>
    <w:rsid w:val="00D30859"/>
    <w:rsid w:val="00D30FA4"/>
    <w:rsid w:val="00D3135C"/>
    <w:rsid w:val="00D32643"/>
    <w:rsid w:val="00D32875"/>
    <w:rsid w:val="00D32DCD"/>
    <w:rsid w:val="00D34714"/>
    <w:rsid w:val="00D34AF5"/>
    <w:rsid w:val="00D35AFE"/>
    <w:rsid w:val="00D360AF"/>
    <w:rsid w:val="00D363FC"/>
    <w:rsid w:val="00D40123"/>
    <w:rsid w:val="00D40B02"/>
    <w:rsid w:val="00D41371"/>
    <w:rsid w:val="00D41FC9"/>
    <w:rsid w:val="00D42001"/>
    <w:rsid w:val="00D4239A"/>
    <w:rsid w:val="00D423EE"/>
    <w:rsid w:val="00D42EC1"/>
    <w:rsid w:val="00D43B7D"/>
    <w:rsid w:val="00D43F7F"/>
    <w:rsid w:val="00D45129"/>
    <w:rsid w:val="00D45630"/>
    <w:rsid w:val="00D45685"/>
    <w:rsid w:val="00D45906"/>
    <w:rsid w:val="00D46790"/>
    <w:rsid w:val="00D4701A"/>
    <w:rsid w:val="00D47DBF"/>
    <w:rsid w:val="00D500F1"/>
    <w:rsid w:val="00D50EF1"/>
    <w:rsid w:val="00D51850"/>
    <w:rsid w:val="00D5296B"/>
    <w:rsid w:val="00D52B33"/>
    <w:rsid w:val="00D52F7F"/>
    <w:rsid w:val="00D53D7C"/>
    <w:rsid w:val="00D546C0"/>
    <w:rsid w:val="00D54CCE"/>
    <w:rsid w:val="00D56A84"/>
    <w:rsid w:val="00D5717A"/>
    <w:rsid w:val="00D57B77"/>
    <w:rsid w:val="00D60235"/>
    <w:rsid w:val="00D61DF2"/>
    <w:rsid w:val="00D623B1"/>
    <w:rsid w:val="00D629EA"/>
    <w:rsid w:val="00D62C23"/>
    <w:rsid w:val="00D65921"/>
    <w:rsid w:val="00D66F02"/>
    <w:rsid w:val="00D7237B"/>
    <w:rsid w:val="00D72F8C"/>
    <w:rsid w:val="00D73228"/>
    <w:rsid w:val="00D73F6A"/>
    <w:rsid w:val="00D80903"/>
    <w:rsid w:val="00D8193F"/>
    <w:rsid w:val="00D81B0C"/>
    <w:rsid w:val="00D823A6"/>
    <w:rsid w:val="00D83A60"/>
    <w:rsid w:val="00D83B30"/>
    <w:rsid w:val="00D83B64"/>
    <w:rsid w:val="00D84188"/>
    <w:rsid w:val="00D84A1C"/>
    <w:rsid w:val="00D858D7"/>
    <w:rsid w:val="00D8793F"/>
    <w:rsid w:val="00D87CF9"/>
    <w:rsid w:val="00D87DF5"/>
    <w:rsid w:val="00D9107F"/>
    <w:rsid w:val="00D91C27"/>
    <w:rsid w:val="00D92899"/>
    <w:rsid w:val="00D93CA9"/>
    <w:rsid w:val="00D94054"/>
    <w:rsid w:val="00D95E37"/>
    <w:rsid w:val="00D9629D"/>
    <w:rsid w:val="00D97568"/>
    <w:rsid w:val="00D97A8D"/>
    <w:rsid w:val="00DA0556"/>
    <w:rsid w:val="00DA2DDC"/>
    <w:rsid w:val="00DA3410"/>
    <w:rsid w:val="00DA5091"/>
    <w:rsid w:val="00DA5B26"/>
    <w:rsid w:val="00DA5B94"/>
    <w:rsid w:val="00DB1448"/>
    <w:rsid w:val="00DB2AB3"/>
    <w:rsid w:val="00DB332C"/>
    <w:rsid w:val="00DB3BB5"/>
    <w:rsid w:val="00DB3CF8"/>
    <w:rsid w:val="00DB43BE"/>
    <w:rsid w:val="00DB469B"/>
    <w:rsid w:val="00DB4739"/>
    <w:rsid w:val="00DB549E"/>
    <w:rsid w:val="00DB5DC0"/>
    <w:rsid w:val="00DB5F54"/>
    <w:rsid w:val="00DB794C"/>
    <w:rsid w:val="00DC1968"/>
    <w:rsid w:val="00DC1FDB"/>
    <w:rsid w:val="00DC31FC"/>
    <w:rsid w:val="00DC35B4"/>
    <w:rsid w:val="00DC5925"/>
    <w:rsid w:val="00DC60FA"/>
    <w:rsid w:val="00DC6D4A"/>
    <w:rsid w:val="00DD1F13"/>
    <w:rsid w:val="00DD2A0C"/>
    <w:rsid w:val="00DD3B16"/>
    <w:rsid w:val="00DD3CBA"/>
    <w:rsid w:val="00DD3E80"/>
    <w:rsid w:val="00DD55FF"/>
    <w:rsid w:val="00DE04D4"/>
    <w:rsid w:val="00DE1C18"/>
    <w:rsid w:val="00DE23AF"/>
    <w:rsid w:val="00DE31E4"/>
    <w:rsid w:val="00DE3509"/>
    <w:rsid w:val="00DE3A43"/>
    <w:rsid w:val="00DE5031"/>
    <w:rsid w:val="00DE585A"/>
    <w:rsid w:val="00DE620E"/>
    <w:rsid w:val="00DE6C7D"/>
    <w:rsid w:val="00DF03C7"/>
    <w:rsid w:val="00DF08E0"/>
    <w:rsid w:val="00DF12E0"/>
    <w:rsid w:val="00DF307D"/>
    <w:rsid w:val="00DF3085"/>
    <w:rsid w:val="00DF37BD"/>
    <w:rsid w:val="00DF3B9A"/>
    <w:rsid w:val="00DF6481"/>
    <w:rsid w:val="00E015C4"/>
    <w:rsid w:val="00E01802"/>
    <w:rsid w:val="00E02011"/>
    <w:rsid w:val="00E026E2"/>
    <w:rsid w:val="00E02C94"/>
    <w:rsid w:val="00E02CBF"/>
    <w:rsid w:val="00E038B5"/>
    <w:rsid w:val="00E0602F"/>
    <w:rsid w:val="00E06B84"/>
    <w:rsid w:val="00E07D61"/>
    <w:rsid w:val="00E07F3E"/>
    <w:rsid w:val="00E11089"/>
    <w:rsid w:val="00E1108A"/>
    <w:rsid w:val="00E11E67"/>
    <w:rsid w:val="00E12F75"/>
    <w:rsid w:val="00E1335E"/>
    <w:rsid w:val="00E14A09"/>
    <w:rsid w:val="00E14E0E"/>
    <w:rsid w:val="00E164C5"/>
    <w:rsid w:val="00E17598"/>
    <w:rsid w:val="00E2030C"/>
    <w:rsid w:val="00E21472"/>
    <w:rsid w:val="00E214B9"/>
    <w:rsid w:val="00E215BB"/>
    <w:rsid w:val="00E21F2A"/>
    <w:rsid w:val="00E22D15"/>
    <w:rsid w:val="00E23F8B"/>
    <w:rsid w:val="00E24329"/>
    <w:rsid w:val="00E24D14"/>
    <w:rsid w:val="00E24F48"/>
    <w:rsid w:val="00E25B26"/>
    <w:rsid w:val="00E2609C"/>
    <w:rsid w:val="00E27087"/>
    <w:rsid w:val="00E308D2"/>
    <w:rsid w:val="00E31871"/>
    <w:rsid w:val="00E320EB"/>
    <w:rsid w:val="00E361B2"/>
    <w:rsid w:val="00E367AC"/>
    <w:rsid w:val="00E4010D"/>
    <w:rsid w:val="00E40993"/>
    <w:rsid w:val="00E4125D"/>
    <w:rsid w:val="00E4136E"/>
    <w:rsid w:val="00E4278C"/>
    <w:rsid w:val="00E42E67"/>
    <w:rsid w:val="00E43D4F"/>
    <w:rsid w:val="00E43FFD"/>
    <w:rsid w:val="00E44365"/>
    <w:rsid w:val="00E45B1F"/>
    <w:rsid w:val="00E46FE7"/>
    <w:rsid w:val="00E5112F"/>
    <w:rsid w:val="00E518FC"/>
    <w:rsid w:val="00E52438"/>
    <w:rsid w:val="00E54AC5"/>
    <w:rsid w:val="00E551D3"/>
    <w:rsid w:val="00E552EF"/>
    <w:rsid w:val="00E5576F"/>
    <w:rsid w:val="00E55BDC"/>
    <w:rsid w:val="00E55BE5"/>
    <w:rsid w:val="00E5634C"/>
    <w:rsid w:val="00E577E0"/>
    <w:rsid w:val="00E57D1E"/>
    <w:rsid w:val="00E57E4B"/>
    <w:rsid w:val="00E61DB3"/>
    <w:rsid w:val="00E62F8F"/>
    <w:rsid w:val="00E6435D"/>
    <w:rsid w:val="00E65F0B"/>
    <w:rsid w:val="00E70CD2"/>
    <w:rsid w:val="00E71837"/>
    <w:rsid w:val="00E72C6A"/>
    <w:rsid w:val="00E73426"/>
    <w:rsid w:val="00E7509C"/>
    <w:rsid w:val="00E7514D"/>
    <w:rsid w:val="00E756C8"/>
    <w:rsid w:val="00E75F87"/>
    <w:rsid w:val="00E77933"/>
    <w:rsid w:val="00E77934"/>
    <w:rsid w:val="00E8144D"/>
    <w:rsid w:val="00E815B3"/>
    <w:rsid w:val="00E8287A"/>
    <w:rsid w:val="00E8515F"/>
    <w:rsid w:val="00E86C7F"/>
    <w:rsid w:val="00E86F71"/>
    <w:rsid w:val="00E8771C"/>
    <w:rsid w:val="00E90341"/>
    <w:rsid w:val="00E91693"/>
    <w:rsid w:val="00E91931"/>
    <w:rsid w:val="00E9517C"/>
    <w:rsid w:val="00E9542F"/>
    <w:rsid w:val="00E96262"/>
    <w:rsid w:val="00E97745"/>
    <w:rsid w:val="00E97FDB"/>
    <w:rsid w:val="00EA0600"/>
    <w:rsid w:val="00EA1A7D"/>
    <w:rsid w:val="00EA226A"/>
    <w:rsid w:val="00EA2BCE"/>
    <w:rsid w:val="00EA5199"/>
    <w:rsid w:val="00EA5479"/>
    <w:rsid w:val="00EA6C85"/>
    <w:rsid w:val="00EA7480"/>
    <w:rsid w:val="00EA7A49"/>
    <w:rsid w:val="00EC13BA"/>
    <w:rsid w:val="00EC1A62"/>
    <w:rsid w:val="00EC1C06"/>
    <w:rsid w:val="00EC2F4F"/>
    <w:rsid w:val="00EC3440"/>
    <w:rsid w:val="00EC3DAF"/>
    <w:rsid w:val="00EC424C"/>
    <w:rsid w:val="00EC5E0E"/>
    <w:rsid w:val="00EC64EE"/>
    <w:rsid w:val="00EC69EC"/>
    <w:rsid w:val="00EC71F2"/>
    <w:rsid w:val="00EC7341"/>
    <w:rsid w:val="00ED1C14"/>
    <w:rsid w:val="00ED2D3C"/>
    <w:rsid w:val="00ED41D0"/>
    <w:rsid w:val="00ED453F"/>
    <w:rsid w:val="00ED7261"/>
    <w:rsid w:val="00ED7498"/>
    <w:rsid w:val="00ED7579"/>
    <w:rsid w:val="00ED7A05"/>
    <w:rsid w:val="00EE3030"/>
    <w:rsid w:val="00EE334C"/>
    <w:rsid w:val="00EE4660"/>
    <w:rsid w:val="00EE51B6"/>
    <w:rsid w:val="00EE5D78"/>
    <w:rsid w:val="00EE6573"/>
    <w:rsid w:val="00EE6E12"/>
    <w:rsid w:val="00EE7940"/>
    <w:rsid w:val="00EF11A4"/>
    <w:rsid w:val="00EF151E"/>
    <w:rsid w:val="00EF507E"/>
    <w:rsid w:val="00EF69E0"/>
    <w:rsid w:val="00F00607"/>
    <w:rsid w:val="00F02153"/>
    <w:rsid w:val="00F028CB"/>
    <w:rsid w:val="00F03F4E"/>
    <w:rsid w:val="00F04886"/>
    <w:rsid w:val="00F0553B"/>
    <w:rsid w:val="00F058DF"/>
    <w:rsid w:val="00F05EED"/>
    <w:rsid w:val="00F064FD"/>
    <w:rsid w:val="00F06C52"/>
    <w:rsid w:val="00F077B9"/>
    <w:rsid w:val="00F102E6"/>
    <w:rsid w:val="00F14080"/>
    <w:rsid w:val="00F14F42"/>
    <w:rsid w:val="00F15675"/>
    <w:rsid w:val="00F16428"/>
    <w:rsid w:val="00F1795A"/>
    <w:rsid w:val="00F20467"/>
    <w:rsid w:val="00F21250"/>
    <w:rsid w:val="00F21C3F"/>
    <w:rsid w:val="00F22A75"/>
    <w:rsid w:val="00F22FAB"/>
    <w:rsid w:val="00F2398D"/>
    <w:rsid w:val="00F240F4"/>
    <w:rsid w:val="00F24CE4"/>
    <w:rsid w:val="00F25360"/>
    <w:rsid w:val="00F2648B"/>
    <w:rsid w:val="00F264AE"/>
    <w:rsid w:val="00F30E31"/>
    <w:rsid w:val="00F3166E"/>
    <w:rsid w:val="00F31B26"/>
    <w:rsid w:val="00F34C52"/>
    <w:rsid w:val="00F34CA2"/>
    <w:rsid w:val="00F370FF"/>
    <w:rsid w:val="00F371E4"/>
    <w:rsid w:val="00F374C3"/>
    <w:rsid w:val="00F40153"/>
    <w:rsid w:val="00F40726"/>
    <w:rsid w:val="00F409FA"/>
    <w:rsid w:val="00F40A1C"/>
    <w:rsid w:val="00F40E55"/>
    <w:rsid w:val="00F443F4"/>
    <w:rsid w:val="00F447D2"/>
    <w:rsid w:val="00F44891"/>
    <w:rsid w:val="00F45DB8"/>
    <w:rsid w:val="00F47488"/>
    <w:rsid w:val="00F50C22"/>
    <w:rsid w:val="00F5140B"/>
    <w:rsid w:val="00F51B32"/>
    <w:rsid w:val="00F51F15"/>
    <w:rsid w:val="00F5394D"/>
    <w:rsid w:val="00F5403A"/>
    <w:rsid w:val="00F55094"/>
    <w:rsid w:val="00F56D16"/>
    <w:rsid w:val="00F578D0"/>
    <w:rsid w:val="00F57A90"/>
    <w:rsid w:val="00F604A3"/>
    <w:rsid w:val="00F6064D"/>
    <w:rsid w:val="00F634A3"/>
    <w:rsid w:val="00F634C6"/>
    <w:rsid w:val="00F64E84"/>
    <w:rsid w:val="00F66869"/>
    <w:rsid w:val="00F6787F"/>
    <w:rsid w:val="00F67BD5"/>
    <w:rsid w:val="00F710F9"/>
    <w:rsid w:val="00F75A76"/>
    <w:rsid w:val="00F7620F"/>
    <w:rsid w:val="00F762AB"/>
    <w:rsid w:val="00F766DF"/>
    <w:rsid w:val="00F770E6"/>
    <w:rsid w:val="00F77245"/>
    <w:rsid w:val="00F77C49"/>
    <w:rsid w:val="00F817FC"/>
    <w:rsid w:val="00F81A0F"/>
    <w:rsid w:val="00F82886"/>
    <w:rsid w:val="00F832AA"/>
    <w:rsid w:val="00F8359A"/>
    <w:rsid w:val="00F83A5F"/>
    <w:rsid w:val="00F8462C"/>
    <w:rsid w:val="00F85061"/>
    <w:rsid w:val="00F87F40"/>
    <w:rsid w:val="00F93838"/>
    <w:rsid w:val="00F93CD9"/>
    <w:rsid w:val="00F942AA"/>
    <w:rsid w:val="00F964EB"/>
    <w:rsid w:val="00F9664F"/>
    <w:rsid w:val="00F96A72"/>
    <w:rsid w:val="00F97403"/>
    <w:rsid w:val="00F97C5E"/>
    <w:rsid w:val="00FA0AE4"/>
    <w:rsid w:val="00FA151B"/>
    <w:rsid w:val="00FA2FC2"/>
    <w:rsid w:val="00FA371F"/>
    <w:rsid w:val="00FA3EAE"/>
    <w:rsid w:val="00FA5283"/>
    <w:rsid w:val="00FA604B"/>
    <w:rsid w:val="00FA74A6"/>
    <w:rsid w:val="00FB086F"/>
    <w:rsid w:val="00FB268A"/>
    <w:rsid w:val="00FB2D58"/>
    <w:rsid w:val="00FB3EF0"/>
    <w:rsid w:val="00FB42AD"/>
    <w:rsid w:val="00FB49F4"/>
    <w:rsid w:val="00FB4A9A"/>
    <w:rsid w:val="00FB4DBA"/>
    <w:rsid w:val="00FB6274"/>
    <w:rsid w:val="00FB667E"/>
    <w:rsid w:val="00FB7CF2"/>
    <w:rsid w:val="00FC0B1E"/>
    <w:rsid w:val="00FC2AFC"/>
    <w:rsid w:val="00FC53C2"/>
    <w:rsid w:val="00FC5C33"/>
    <w:rsid w:val="00FD009F"/>
    <w:rsid w:val="00FD0A73"/>
    <w:rsid w:val="00FD1C98"/>
    <w:rsid w:val="00FD1E7B"/>
    <w:rsid w:val="00FD281C"/>
    <w:rsid w:val="00FD2BD1"/>
    <w:rsid w:val="00FD305A"/>
    <w:rsid w:val="00FD3EA3"/>
    <w:rsid w:val="00FD416E"/>
    <w:rsid w:val="00FD46B9"/>
    <w:rsid w:val="00FD55DD"/>
    <w:rsid w:val="00FE0811"/>
    <w:rsid w:val="00FE0F62"/>
    <w:rsid w:val="00FE136C"/>
    <w:rsid w:val="00FE16AD"/>
    <w:rsid w:val="00FE4DDF"/>
    <w:rsid w:val="00FE4F60"/>
    <w:rsid w:val="00FE552D"/>
    <w:rsid w:val="00FE7377"/>
    <w:rsid w:val="00FE797B"/>
    <w:rsid w:val="00FF0E87"/>
    <w:rsid w:val="00FF195C"/>
    <w:rsid w:val="00FF2210"/>
    <w:rsid w:val="00FF23A4"/>
    <w:rsid w:val="00FF2638"/>
    <w:rsid w:val="00FF2D04"/>
    <w:rsid w:val="00FF3F6E"/>
    <w:rsid w:val="00FF50F7"/>
    <w:rsid w:val="00FF551B"/>
    <w:rsid w:val="00FF6811"/>
    <w:rsid w:val="00FF7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83B20C"/>
  <w15:docId w15:val="{EF125B84-8FAA-CA44-975E-13811F94CB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Arial"/>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368D9"/>
    <w:pPr>
      <w:spacing w:line="480" w:lineRule="auto"/>
    </w:pPr>
  </w:style>
  <w:style w:type="paragraph" w:styleId="Heading1">
    <w:name w:val="heading 1"/>
    <w:basedOn w:val="Normal"/>
    <w:next w:val="Normal"/>
    <w:link w:val="Heading1Char"/>
    <w:autoRedefine/>
    <w:qFormat/>
    <w:rsid w:val="002323F9"/>
    <w:pPr>
      <w:numPr>
        <w:numId w:val="4"/>
      </w:numPr>
      <w:autoSpaceDE w:val="0"/>
      <w:autoSpaceDN w:val="0"/>
      <w:adjustRightInd w:val="0"/>
      <w:spacing w:line="360" w:lineRule="auto"/>
      <w:jc w:val="center"/>
      <w:outlineLvl w:val="0"/>
    </w:pPr>
    <w:rPr>
      <w:rFonts w:cs="Times New Roman"/>
      <w:b/>
      <w:bCs/>
      <w:caps/>
      <w:color w:val="000000" w:themeColor="text1"/>
    </w:rPr>
  </w:style>
  <w:style w:type="paragraph" w:styleId="Heading2">
    <w:name w:val="heading 2"/>
    <w:basedOn w:val="Normal"/>
    <w:next w:val="Normal"/>
    <w:autoRedefine/>
    <w:qFormat/>
    <w:rsid w:val="00324644"/>
    <w:pPr>
      <w:keepNext/>
      <w:jc w:val="center"/>
      <w:outlineLvl w:val="1"/>
    </w:pPr>
    <w:rPr>
      <w:rFonts w:eastAsiaTheme="minorEastAsia"/>
      <w:b/>
      <w:bCs/>
      <w:lang w:eastAsia="ko-KR"/>
    </w:rPr>
  </w:style>
  <w:style w:type="paragraph" w:styleId="Heading3">
    <w:name w:val="heading 3"/>
    <w:basedOn w:val="Normal"/>
    <w:next w:val="Normal"/>
    <w:link w:val="Heading3Char"/>
    <w:autoRedefine/>
    <w:qFormat/>
    <w:rsid w:val="007245A9"/>
    <w:pPr>
      <w:keepNext/>
      <w:spacing w:before="240" w:after="60"/>
      <w:outlineLvl w:val="2"/>
    </w:pPr>
    <w:rPr>
      <w:b/>
      <w:bCs/>
      <w:i/>
      <w:szCs w:val="26"/>
    </w:rPr>
  </w:style>
  <w:style w:type="paragraph" w:styleId="Heading4">
    <w:name w:val="heading 4"/>
    <w:basedOn w:val="Normal"/>
    <w:next w:val="Normal"/>
    <w:link w:val="Heading4Char"/>
    <w:unhideWhenUsed/>
    <w:qFormat/>
    <w:rsid w:val="00C067FC"/>
    <w:pPr>
      <w:keepNext/>
      <w:keepLines/>
      <w:numPr>
        <w:ilvl w:val="3"/>
        <w:numId w:val="2"/>
      </w:numPr>
      <w:spacing w:before="40"/>
      <w:outlineLvl w:val="3"/>
    </w:pPr>
    <w:rPr>
      <w:rFonts w:eastAsiaTheme="majorEastAsia" w:cstheme="majorBidi"/>
      <w:i/>
      <w:iCs/>
      <w:color w:val="365F91" w:themeColor="accent1" w:themeShade="BF"/>
    </w:rPr>
  </w:style>
  <w:style w:type="paragraph" w:styleId="Heading5">
    <w:name w:val="heading 5"/>
    <w:basedOn w:val="Normal"/>
    <w:next w:val="Normal"/>
    <w:link w:val="Heading5Char"/>
    <w:semiHidden/>
    <w:unhideWhenUsed/>
    <w:qFormat/>
    <w:rsid w:val="00C067FC"/>
    <w:pPr>
      <w:keepNext/>
      <w:keepLines/>
      <w:numPr>
        <w:ilvl w:val="4"/>
        <w:numId w:val="2"/>
      </w:numPr>
      <w:spacing w:before="40"/>
      <w:outlineLvl w:val="4"/>
    </w:pPr>
    <w:rPr>
      <w:rFonts w:eastAsiaTheme="majorEastAsia" w:cstheme="majorBidi"/>
      <w:color w:val="365F91" w:themeColor="accent1" w:themeShade="BF"/>
    </w:rPr>
  </w:style>
  <w:style w:type="paragraph" w:styleId="Heading6">
    <w:name w:val="heading 6"/>
    <w:basedOn w:val="Normal"/>
    <w:next w:val="Normal"/>
    <w:link w:val="Heading6Char"/>
    <w:semiHidden/>
    <w:unhideWhenUsed/>
    <w:qFormat/>
    <w:rsid w:val="00C067FC"/>
    <w:pPr>
      <w:keepNext/>
      <w:keepLines/>
      <w:numPr>
        <w:ilvl w:val="5"/>
        <w:numId w:val="2"/>
      </w:numPr>
      <w:spacing w:before="40"/>
      <w:outlineLvl w:val="5"/>
    </w:pPr>
    <w:rPr>
      <w:rFonts w:eastAsiaTheme="majorEastAsia" w:cstheme="majorBidi"/>
      <w:color w:val="243F60" w:themeColor="accent1" w:themeShade="7F"/>
    </w:rPr>
  </w:style>
  <w:style w:type="paragraph" w:styleId="Heading7">
    <w:name w:val="heading 7"/>
    <w:basedOn w:val="Normal"/>
    <w:next w:val="Normal"/>
    <w:link w:val="Heading7Char"/>
    <w:semiHidden/>
    <w:unhideWhenUsed/>
    <w:qFormat/>
    <w:rsid w:val="00C067FC"/>
    <w:pPr>
      <w:keepNext/>
      <w:keepLines/>
      <w:numPr>
        <w:ilvl w:val="6"/>
        <w:numId w:val="2"/>
      </w:numPr>
      <w:spacing w:before="40"/>
      <w:outlineLvl w:val="6"/>
    </w:pPr>
    <w:rPr>
      <w:rFonts w:eastAsiaTheme="majorEastAsia" w:cstheme="majorBidi"/>
      <w:i/>
      <w:iCs/>
      <w:color w:val="243F60" w:themeColor="accent1" w:themeShade="7F"/>
    </w:rPr>
  </w:style>
  <w:style w:type="paragraph" w:styleId="Heading8">
    <w:name w:val="heading 8"/>
    <w:basedOn w:val="Normal"/>
    <w:next w:val="Normal"/>
    <w:link w:val="Heading8Char"/>
    <w:semiHidden/>
    <w:unhideWhenUsed/>
    <w:qFormat/>
    <w:rsid w:val="00C067FC"/>
    <w:pPr>
      <w:keepNext/>
      <w:keepLines/>
      <w:numPr>
        <w:ilvl w:val="7"/>
        <w:numId w:val="2"/>
      </w:numPr>
      <w:spacing w:before="40"/>
      <w:outlineLvl w:val="7"/>
    </w:pPr>
    <w:rPr>
      <w:rFonts w:eastAsiaTheme="majorEastAsia" w:cstheme="majorBidi"/>
      <w:color w:val="272727" w:themeColor="text1" w:themeTint="D8"/>
      <w:sz w:val="21"/>
      <w:szCs w:val="21"/>
    </w:rPr>
  </w:style>
  <w:style w:type="paragraph" w:styleId="Heading9">
    <w:name w:val="heading 9"/>
    <w:basedOn w:val="Normal"/>
    <w:next w:val="Normal"/>
    <w:link w:val="Heading9Char"/>
    <w:semiHidden/>
    <w:unhideWhenUsed/>
    <w:qFormat/>
    <w:rsid w:val="00C067FC"/>
    <w:pPr>
      <w:keepNext/>
      <w:keepLines/>
      <w:numPr>
        <w:ilvl w:val="8"/>
        <w:numId w:val="2"/>
      </w:numPr>
      <w:spacing w:before="40"/>
      <w:outlineLvl w:val="8"/>
    </w:pPr>
    <w:rPr>
      <w:rFonts w:eastAsiaTheme="majorEastAsia"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rsid w:val="00665C7E"/>
    <w:pPr>
      <w:tabs>
        <w:tab w:val="center" w:pos="4320"/>
        <w:tab w:val="right" w:pos="8640"/>
      </w:tabs>
    </w:pPr>
  </w:style>
  <w:style w:type="paragraph" w:customStyle="1" w:styleId="Level1">
    <w:name w:val="Level 1"/>
    <w:rsid w:val="00665C7E"/>
    <w:pPr>
      <w:autoSpaceDE w:val="0"/>
      <w:autoSpaceDN w:val="0"/>
      <w:adjustRightInd w:val="0"/>
      <w:ind w:left="720"/>
    </w:pPr>
  </w:style>
  <w:style w:type="character" w:customStyle="1" w:styleId="SYSHYPERTEXT">
    <w:name w:val="SYS_HYPERTEXT"/>
    <w:rsid w:val="00665C7E"/>
    <w:rPr>
      <w:noProof/>
      <w:color w:val="0000FF"/>
      <w:u w:val="single"/>
    </w:rPr>
  </w:style>
  <w:style w:type="character" w:customStyle="1" w:styleId="QuickFormat2">
    <w:name w:val="QuickFormat2"/>
    <w:rsid w:val="00665C7E"/>
    <w:rPr>
      <w:rFonts w:ascii="Arial" w:hAnsi="Arial" w:cs="Arial"/>
    </w:rPr>
  </w:style>
  <w:style w:type="character" w:customStyle="1" w:styleId="QuickFormat3">
    <w:name w:val="QuickFormat3"/>
    <w:rsid w:val="00665C7E"/>
    <w:rPr>
      <w:rFonts w:ascii="Arial" w:hAnsi="Arial" w:cs="Arial"/>
      <w:b/>
      <w:bCs/>
      <w:i/>
      <w:iCs/>
    </w:rPr>
  </w:style>
  <w:style w:type="paragraph" w:styleId="Title">
    <w:name w:val="Title"/>
    <w:basedOn w:val="Normal"/>
    <w:autoRedefine/>
    <w:qFormat/>
    <w:rsid w:val="003F7FED"/>
    <w:pPr>
      <w:autoSpaceDE w:val="0"/>
      <w:autoSpaceDN w:val="0"/>
      <w:adjustRightInd w:val="0"/>
      <w:jc w:val="center"/>
    </w:pPr>
    <w:rPr>
      <w:sz w:val="28"/>
      <w:szCs w:val="28"/>
    </w:rPr>
  </w:style>
  <w:style w:type="paragraph" w:styleId="BodyText">
    <w:name w:val="Body Text"/>
    <w:basedOn w:val="Normal"/>
    <w:link w:val="BodyTextChar"/>
    <w:rsid w:val="00665C7E"/>
    <w:pPr>
      <w:autoSpaceDE w:val="0"/>
      <w:autoSpaceDN w:val="0"/>
      <w:adjustRightInd w:val="0"/>
    </w:pPr>
    <w:rPr>
      <w:sz w:val="22"/>
      <w:szCs w:val="22"/>
    </w:rPr>
  </w:style>
  <w:style w:type="paragraph" w:styleId="Subtitle">
    <w:name w:val="Subtitle"/>
    <w:basedOn w:val="Normal"/>
    <w:autoRedefine/>
    <w:qFormat/>
    <w:rsid w:val="00665C7E"/>
    <w:pPr>
      <w:autoSpaceDE w:val="0"/>
      <w:autoSpaceDN w:val="0"/>
      <w:adjustRightInd w:val="0"/>
    </w:pPr>
    <w:rPr>
      <w:b/>
      <w:bCs/>
    </w:rPr>
  </w:style>
  <w:style w:type="paragraph" w:styleId="BodyTextIndent">
    <w:name w:val="Body Text Indent"/>
    <w:basedOn w:val="Normal"/>
    <w:link w:val="BodyTextIndentChar"/>
    <w:rsid w:val="00665C7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rsid w:val="00665C7E"/>
    <w:pPr>
      <w:autoSpaceDE w:val="0"/>
      <w:autoSpaceDN w:val="0"/>
      <w:adjustRightInd w:val="0"/>
    </w:pPr>
  </w:style>
  <w:style w:type="character" w:styleId="PageNumber">
    <w:name w:val="page number"/>
    <w:basedOn w:val="DefaultParagraphFont"/>
    <w:rsid w:val="00665C7E"/>
  </w:style>
  <w:style w:type="paragraph" w:styleId="BodyText2">
    <w:name w:val="Body Tex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noProof/>
    </w:rPr>
  </w:style>
  <w:style w:type="paragraph" w:styleId="BodyTextIndent2">
    <w:name w:val="Body Text Inden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sz w:val="17"/>
      <w:szCs w:val="17"/>
    </w:rPr>
  </w:style>
  <w:style w:type="paragraph" w:styleId="BodyTextIndent3">
    <w:name w:val="Body Text Indent 3"/>
    <w:basedOn w:val="Normal"/>
    <w:rsid w:val="00665C7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sz w:val="20"/>
    </w:rPr>
  </w:style>
  <w:style w:type="paragraph" w:styleId="BlockText">
    <w:name w:val="Block Text"/>
    <w:basedOn w:val="Normal"/>
    <w:rsid w:val="00665C7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1440" w:right="630"/>
    </w:pPr>
    <w:rPr>
      <w:noProof/>
      <w:sz w:val="18"/>
      <w:szCs w:val="18"/>
    </w:rPr>
  </w:style>
  <w:style w:type="table" w:styleId="TableGrid">
    <w:name w:val="Table Grid"/>
    <w:basedOn w:val="TableNormal"/>
    <w:rsid w:val="00177D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rsid w:val="00452E1D"/>
    <w:pPr>
      <w:spacing w:line="240" w:lineRule="auto"/>
      <w:ind w:left="475" w:hanging="475"/>
    </w:pPr>
  </w:style>
  <w:style w:type="character" w:styleId="Hyperlink">
    <w:name w:val="Hyperlink"/>
    <w:uiPriority w:val="99"/>
    <w:qFormat/>
    <w:rsid w:val="00D83B30"/>
    <w:rPr>
      <w:rFonts w:ascii="Arial" w:hAnsi="Arial"/>
      <w:color w:val="auto"/>
      <w:sz w:val="24"/>
      <w:u w:val="none"/>
    </w:rPr>
  </w:style>
  <w:style w:type="paragraph" w:styleId="TOC1">
    <w:name w:val="toc 1"/>
    <w:basedOn w:val="Normal"/>
    <w:next w:val="Normal"/>
    <w:autoRedefine/>
    <w:uiPriority w:val="39"/>
    <w:rsid w:val="008A5D6D"/>
    <w:pPr>
      <w:tabs>
        <w:tab w:val="right" w:leader="dot" w:pos="8630"/>
      </w:tabs>
      <w:spacing w:line="240" w:lineRule="auto"/>
    </w:pPr>
  </w:style>
  <w:style w:type="paragraph" w:styleId="TOC2">
    <w:name w:val="toc 2"/>
    <w:basedOn w:val="Normal"/>
    <w:next w:val="Normal"/>
    <w:autoRedefine/>
    <w:uiPriority w:val="39"/>
    <w:rsid w:val="008A5D6D"/>
    <w:pPr>
      <w:spacing w:line="240" w:lineRule="auto"/>
      <w:ind w:left="245"/>
    </w:pPr>
  </w:style>
  <w:style w:type="paragraph" w:styleId="TOC3">
    <w:name w:val="toc 3"/>
    <w:basedOn w:val="Normal"/>
    <w:next w:val="Normal"/>
    <w:autoRedefine/>
    <w:uiPriority w:val="39"/>
    <w:rsid w:val="008A5D6D"/>
    <w:pPr>
      <w:spacing w:line="240" w:lineRule="auto"/>
      <w:ind w:left="475"/>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paragraph" w:customStyle="1" w:styleId="thesistext">
    <w:name w:val="thesis text"/>
    <w:basedOn w:val="Normal"/>
    <w:autoRedefine/>
    <w:rsid w:val="00665C7E"/>
    <w:pPr>
      <w:spacing w:after="240"/>
      <w:ind w:firstLine="540"/>
    </w:pPr>
    <w:rPr>
      <w:lang w:eastAsia="es-ES"/>
    </w:rPr>
  </w:style>
  <w:style w:type="paragraph" w:customStyle="1" w:styleId="StyleHeading1Centered">
    <w:name w:val="Style Heading 1 + Centered"/>
    <w:basedOn w:val="Heading1"/>
    <w:link w:val="StyleHeading1CenteredChar"/>
    <w:rsid w:val="000166A9"/>
    <w:rPr>
      <w:caps w:val="0"/>
      <w:szCs w:val="28"/>
    </w:rPr>
  </w:style>
  <w:style w:type="character" w:customStyle="1" w:styleId="Heading1Char">
    <w:name w:val="Heading 1 Char"/>
    <w:link w:val="Heading1"/>
    <w:rsid w:val="0081725E"/>
    <w:rPr>
      <w:rFonts w:ascii="Arial" w:hAnsi="Arial" w:cs="Times New Roman"/>
      <w:b/>
      <w:bCs/>
      <w:caps/>
      <w:color w:val="000000" w:themeColor="text1"/>
    </w:rPr>
  </w:style>
  <w:style w:type="character" w:customStyle="1" w:styleId="StyleHeading1CenteredChar">
    <w:name w:val="Style Heading 1 + Centered Char"/>
    <w:link w:val="StyleHeading1Centered"/>
    <w:rsid w:val="003C1575"/>
    <w:rPr>
      <w:rFonts w:ascii="Arial" w:hAnsi="Arial" w:cs="Times New Roman"/>
      <w:b/>
      <w:bCs/>
      <w:color w:val="000000" w:themeColor="text1"/>
      <w:szCs w:val="28"/>
    </w:rPr>
  </w:style>
  <w:style w:type="paragraph" w:styleId="TOCHeading">
    <w:name w:val="TOC Heading"/>
    <w:basedOn w:val="Heading1"/>
    <w:next w:val="Normal"/>
    <w:autoRedefine/>
    <w:uiPriority w:val="39"/>
    <w:unhideWhenUsed/>
    <w:qFormat/>
    <w:rsid w:val="00E91931"/>
    <w:pPr>
      <w:keepNext/>
      <w:keepLines/>
      <w:numPr>
        <w:numId w:val="0"/>
      </w:numPr>
      <w:autoSpaceDE/>
      <w:autoSpaceDN/>
      <w:adjustRightInd/>
      <w:spacing w:before="240" w:line="259" w:lineRule="auto"/>
      <w:outlineLvl w:val="9"/>
    </w:pPr>
    <w:rPr>
      <w:bCs w:val="0"/>
      <w:color w:val="auto"/>
    </w:rPr>
  </w:style>
  <w:style w:type="character" w:styleId="Strong">
    <w:name w:val="Strong"/>
    <w:basedOn w:val="DefaultParagraphFont"/>
    <w:qFormat/>
    <w:rsid w:val="003F7FED"/>
    <w:rPr>
      <w:rFonts w:asciiTheme="majorHAnsi" w:hAnsiTheme="majorHAnsi"/>
      <w:b/>
      <w:bCs/>
    </w:rPr>
  </w:style>
  <w:style w:type="character" w:styleId="IntenseEmphasis">
    <w:name w:val="Intense Emphasis"/>
    <w:basedOn w:val="DefaultParagraphFont"/>
    <w:uiPriority w:val="21"/>
    <w:qFormat/>
    <w:rsid w:val="003F7FED"/>
    <w:rPr>
      <w:rFonts w:asciiTheme="majorHAnsi" w:hAnsiTheme="majorHAnsi"/>
      <w:i/>
      <w:iCs/>
      <w:color w:val="000000" w:themeColor="text1"/>
    </w:rPr>
  </w:style>
  <w:style w:type="paragraph" w:styleId="IntenseQuote">
    <w:name w:val="Intense Quote"/>
    <w:basedOn w:val="Normal"/>
    <w:next w:val="Normal"/>
    <w:link w:val="IntenseQuoteChar"/>
    <w:autoRedefine/>
    <w:uiPriority w:val="30"/>
    <w:qFormat/>
    <w:rsid w:val="003F7FED"/>
    <w:pPr>
      <w:framePr w:wrap="around" w:vAnchor="text" w:hAnchor="text" w:y="1"/>
      <w:spacing w:before="360" w:after="360"/>
      <w:ind w:left="864" w:right="864"/>
      <w:jc w:val="center"/>
    </w:pPr>
    <w:rPr>
      <w:i/>
      <w:iCs/>
      <w:color w:val="000000" w:themeColor="text1"/>
    </w:rPr>
  </w:style>
  <w:style w:type="character" w:customStyle="1" w:styleId="IntenseQuoteChar">
    <w:name w:val="Intense Quote Char"/>
    <w:basedOn w:val="DefaultParagraphFont"/>
    <w:link w:val="IntenseQuote"/>
    <w:uiPriority w:val="30"/>
    <w:rsid w:val="003F7FED"/>
    <w:rPr>
      <w:rFonts w:asciiTheme="majorHAnsi" w:hAnsiTheme="majorHAnsi"/>
      <w:i/>
      <w:iCs/>
      <w:color w:val="000000" w:themeColor="text1"/>
    </w:rPr>
  </w:style>
  <w:style w:type="character" w:styleId="SubtleReference">
    <w:name w:val="Subtle Reference"/>
    <w:basedOn w:val="DefaultParagraphFont"/>
    <w:uiPriority w:val="31"/>
    <w:qFormat/>
    <w:rsid w:val="003F7FED"/>
    <w:rPr>
      <w:rFonts w:asciiTheme="majorHAnsi" w:hAnsiTheme="majorHAnsi"/>
      <w:smallCaps/>
      <w:color w:val="5A5A5A" w:themeColor="text1" w:themeTint="A5"/>
    </w:rPr>
  </w:style>
  <w:style w:type="character" w:styleId="IntenseReference">
    <w:name w:val="Intense Reference"/>
    <w:basedOn w:val="DefaultParagraphFont"/>
    <w:uiPriority w:val="32"/>
    <w:qFormat/>
    <w:rsid w:val="003F7FED"/>
    <w:rPr>
      <w:b/>
      <w:bCs/>
      <w:smallCaps/>
      <w:color w:val="000000" w:themeColor="text1"/>
      <w:spacing w:val="5"/>
    </w:rPr>
  </w:style>
  <w:style w:type="character" w:styleId="Emphasis">
    <w:name w:val="Emphasis"/>
    <w:basedOn w:val="DefaultParagraphFont"/>
    <w:qFormat/>
    <w:rsid w:val="003F7FED"/>
    <w:rPr>
      <w:rFonts w:asciiTheme="majorHAnsi" w:hAnsiTheme="majorHAnsi"/>
      <w:i/>
      <w:iCs/>
    </w:rPr>
  </w:style>
  <w:style w:type="paragraph" w:styleId="NoSpacing">
    <w:name w:val="No Spacing"/>
    <w:autoRedefine/>
    <w:uiPriority w:val="1"/>
    <w:qFormat/>
    <w:rsid w:val="003F7FED"/>
    <w:rPr>
      <w:rFonts w:asciiTheme="majorHAnsi" w:hAnsiTheme="majorHAnsi"/>
    </w:rPr>
  </w:style>
  <w:style w:type="character" w:styleId="SubtleEmphasis">
    <w:name w:val="Subtle Emphasis"/>
    <w:basedOn w:val="DefaultParagraphFont"/>
    <w:uiPriority w:val="19"/>
    <w:qFormat/>
    <w:rsid w:val="003F7FED"/>
    <w:rPr>
      <w:rFonts w:asciiTheme="majorHAnsi" w:hAnsiTheme="majorHAnsi"/>
      <w:i/>
      <w:iCs/>
      <w:color w:val="404040" w:themeColor="text1" w:themeTint="BF"/>
    </w:rPr>
  </w:style>
  <w:style w:type="paragraph" w:styleId="Quote">
    <w:name w:val="Quote"/>
    <w:basedOn w:val="Normal"/>
    <w:next w:val="Normal"/>
    <w:link w:val="QuoteChar"/>
    <w:autoRedefine/>
    <w:uiPriority w:val="29"/>
    <w:qFormat/>
    <w:rsid w:val="003F7FE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F7FED"/>
    <w:rPr>
      <w:i/>
      <w:iCs/>
      <w:color w:val="404040" w:themeColor="text1" w:themeTint="BF"/>
    </w:rPr>
  </w:style>
  <w:style w:type="paragraph" w:styleId="ListParagraph">
    <w:name w:val="List Paragraph"/>
    <w:basedOn w:val="Normal"/>
    <w:autoRedefine/>
    <w:uiPriority w:val="1"/>
    <w:qFormat/>
    <w:rsid w:val="00447B0A"/>
    <w:pPr>
      <w:numPr>
        <w:numId w:val="17"/>
      </w:numPr>
      <w:contextualSpacing/>
    </w:pPr>
  </w:style>
  <w:style w:type="character" w:customStyle="1" w:styleId="FooterChar">
    <w:name w:val="Footer Char"/>
    <w:basedOn w:val="DefaultParagraphFont"/>
    <w:link w:val="Footer"/>
    <w:uiPriority w:val="99"/>
    <w:rsid w:val="00852266"/>
    <w:rPr>
      <w:rFonts w:asciiTheme="majorHAnsi" w:hAnsiTheme="majorHAnsi"/>
    </w:rPr>
  </w:style>
  <w:style w:type="character" w:styleId="FollowedHyperlink">
    <w:name w:val="FollowedHyperlink"/>
    <w:basedOn w:val="DefaultParagraphFont"/>
    <w:semiHidden/>
    <w:unhideWhenUsed/>
    <w:rsid w:val="0065123B"/>
    <w:rPr>
      <w:color w:val="800080" w:themeColor="followedHyperlink"/>
      <w:u w:val="single"/>
    </w:rPr>
  </w:style>
  <w:style w:type="numbering" w:customStyle="1" w:styleId="Caption2">
    <w:name w:val="Caption2"/>
    <w:basedOn w:val="NoList"/>
    <w:uiPriority w:val="99"/>
    <w:rsid w:val="00861CAB"/>
    <w:pPr>
      <w:numPr>
        <w:numId w:val="1"/>
      </w:numPr>
    </w:pPr>
  </w:style>
  <w:style w:type="paragraph" w:customStyle="1" w:styleId="Chapter">
    <w:name w:val="Chapter"/>
    <w:basedOn w:val="Heading1"/>
    <w:next w:val="Heading1"/>
    <w:link w:val="ChapterChar"/>
    <w:autoRedefine/>
    <w:rsid w:val="00965FBD"/>
  </w:style>
  <w:style w:type="paragraph" w:styleId="Caption">
    <w:name w:val="caption"/>
    <w:basedOn w:val="Normal"/>
    <w:next w:val="Normal"/>
    <w:link w:val="CaptionChar"/>
    <w:autoRedefine/>
    <w:uiPriority w:val="35"/>
    <w:unhideWhenUsed/>
    <w:qFormat/>
    <w:rsid w:val="00874CBB"/>
    <w:pPr>
      <w:keepNext/>
      <w:spacing w:line="240" w:lineRule="auto"/>
    </w:pPr>
    <w:rPr>
      <w:iCs/>
      <w:color w:val="000000" w:themeColor="text1"/>
    </w:rPr>
  </w:style>
  <w:style w:type="character" w:customStyle="1" w:styleId="ChapterChar">
    <w:name w:val="Chapter Char"/>
    <w:basedOn w:val="StyleHeading1CenteredChar"/>
    <w:link w:val="Chapter"/>
    <w:rsid w:val="00965FBD"/>
    <w:rPr>
      <w:rFonts w:ascii="Arial" w:hAnsi="Arial" w:cs="Times New Roman"/>
      <w:b/>
      <w:bCs/>
      <w:caps/>
      <w:color w:val="000000" w:themeColor="text1"/>
      <w:szCs w:val="28"/>
    </w:rPr>
  </w:style>
  <w:style w:type="character" w:customStyle="1" w:styleId="Heading4Char">
    <w:name w:val="Heading 4 Char"/>
    <w:basedOn w:val="DefaultParagraphFont"/>
    <w:link w:val="Heading4"/>
    <w:rsid w:val="00C067FC"/>
    <w:rPr>
      <w:rFonts w:ascii="Arial" w:eastAsiaTheme="majorEastAsia" w:hAnsi="Arial" w:cstheme="majorBidi"/>
      <w:i/>
      <w:iCs/>
      <w:color w:val="365F91" w:themeColor="accent1" w:themeShade="BF"/>
    </w:rPr>
  </w:style>
  <w:style w:type="character" w:customStyle="1" w:styleId="Heading5Char">
    <w:name w:val="Heading 5 Char"/>
    <w:basedOn w:val="DefaultParagraphFont"/>
    <w:link w:val="Heading5"/>
    <w:semiHidden/>
    <w:rsid w:val="00C067FC"/>
    <w:rPr>
      <w:rFonts w:ascii="Arial" w:eastAsiaTheme="majorEastAsia" w:hAnsi="Arial" w:cstheme="majorBidi"/>
      <w:color w:val="365F91" w:themeColor="accent1" w:themeShade="BF"/>
    </w:rPr>
  </w:style>
  <w:style w:type="character" w:customStyle="1" w:styleId="Heading6Char">
    <w:name w:val="Heading 6 Char"/>
    <w:basedOn w:val="DefaultParagraphFont"/>
    <w:link w:val="Heading6"/>
    <w:semiHidden/>
    <w:rsid w:val="00C067FC"/>
    <w:rPr>
      <w:rFonts w:ascii="Arial" w:eastAsiaTheme="majorEastAsia" w:hAnsi="Arial" w:cstheme="majorBidi"/>
      <w:color w:val="243F60" w:themeColor="accent1" w:themeShade="7F"/>
    </w:rPr>
  </w:style>
  <w:style w:type="character" w:customStyle="1" w:styleId="Heading7Char">
    <w:name w:val="Heading 7 Char"/>
    <w:basedOn w:val="DefaultParagraphFont"/>
    <w:link w:val="Heading7"/>
    <w:semiHidden/>
    <w:rsid w:val="00C067FC"/>
    <w:rPr>
      <w:rFonts w:ascii="Arial" w:eastAsiaTheme="majorEastAsia" w:hAnsi="Arial" w:cstheme="majorBidi"/>
      <w:i/>
      <w:iCs/>
      <w:color w:val="243F60" w:themeColor="accent1" w:themeShade="7F"/>
    </w:rPr>
  </w:style>
  <w:style w:type="character" w:customStyle="1" w:styleId="Heading8Char">
    <w:name w:val="Heading 8 Char"/>
    <w:basedOn w:val="DefaultParagraphFont"/>
    <w:link w:val="Heading8"/>
    <w:semiHidden/>
    <w:rsid w:val="00C067FC"/>
    <w:rPr>
      <w:rFonts w:ascii="Arial" w:eastAsiaTheme="majorEastAsia" w:hAnsi="Arial" w:cstheme="majorBidi"/>
      <w:color w:val="272727" w:themeColor="text1" w:themeTint="D8"/>
      <w:sz w:val="21"/>
      <w:szCs w:val="21"/>
    </w:rPr>
  </w:style>
  <w:style w:type="character" w:customStyle="1" w:styleId="Heading9Char">
    <w:name w:val="Heading 9 Char"/>
    <w:basedOn w:val="DefaultParagraphFont"/>
    <w:link w:val="Heading9"/>
    <w:semiHidden/>
    <w:rsid w:val="00C067FC"/>
    <w:rPr>
      <w:rFonts w:ascii="Arial" w:eastAsiaTheme="majorEastAsia" w:hAnsi="Arial" w:cstheme="majorBidi"/>
      <w:i/>
      <w:iCs/>
      <w:color w:val="272727" w:themeColor="text1" w:themeTint="D8"/>
      <w:sz w:val="21"/>
      <w:szCs w:val="21"/>
    </w:rPr>
  </w:style>
  <w:style w:type="numbering" w:styleId="111111">
    <w:name w:val="Outline List 2"/>
    <w:basedOn w:val="NoList"/>
    <w:semiHidden/>
    <w:unhideWhenUsed/>
    <w:rsid w:val="00861CAB"/>
    <w:pPr>
      <w:numPr>
        <w:numId w:val="3"/>
      </w:numPr>
    </w:pPr>
  </w:style>
  <w:style w:type="table" w:styleId="GridTable5Dark">
    <w:name w:val="Grid Table 5 Dark"/>
    <w:basedOn w:val="TableNormal"/>
    <w:uiPriority w:val="50"/>
    <w:rsid w:val="00177D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ListTable7Colorful">
    <w:name w:val="List Table 7 Colorful"/>
    <w:basedOn w:val="TableNormal"/>
    <w:uiPriority w:val="52"/>
    <w:rsid w:val="00177D09"/>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BodyTextChar">
    <w:name w:val="Body Text Char"/>
    <w:basedOn w:val="DefaultParagraphFont"/>
    <w:link w:val="BodyText"/>
    <w:rsid w:val="00A56B44"/>
    <w:rPr>
      <w:rFonts w:asciiTheme="majorHAnsi" w:hAnsiTheme="majorHAnsi"/>
      <w:sz w:val="22"/>
      <w:szCs w:val="22"/>
    </w:rPr>
  </w:style>
  <w:style w:type="character" w:customStyle="1" w:styleId="BodyTextIndentChar">
    <w:name w:val="Body Text Indent Char"/>
    <w:basedOn w:val="DefaultParagraphFont"/>
    <w:link w:val="BodyTextIndent"/>
    <w:rsid w:val="00A56B44"/>
    <w:rPr>
      <w:rFonts w:asciiTheme="majorHAnsi" w:hAnsiTheme="majorHAnsi"/>
      <w:sz w:val="32"/>
      <w:szCs w:val="32"/>
    </w:rPr>
  </w:style>
  <w:style w:type="paragraph" w:customStyle="1" w:styleId="AltHeading1">
    <w:name w:val="AltHeading1"/>
    <w:basedOn w:val="Heading1"/>
    <w:autoRedefine/>
    <w:qFormat/>
    <w:rsid w:val="00C67231"/>
    <w:pPr>
      <w:numPr>
        <w:numId w:val="0"/>
      </w:numPr>
    </w:pPr>
    <w:rPr>
      <w:bCs w:val="0"/>
    </w:rPr>
  </w:style>
  <w:style w:type="paragraph" w:styleId="BodyText3">
    <w:name w:val="Body Text 3"/>
    <w:basedOn w:val="Normal"/>
    <w:link w:val="BodyText3Char"/>
    <w:unhideWhenUsed/>
    <w:rsid w:val="00504198"/>
    <w:pPr>
      <w:spacing w:after="120"/>
    </w:pPr>
    <w:rPr>
      <w:sz w:val="16"/>
      <w:szCs w:val="16"/>
    </w:rPr>
  </w:style>
  <w:style w:type="character" w:customStyle="1" w:styleId="BodyText3Char">
    <w:name w:val="Body Text 3 Char"/>
    <w:basedOn w:val="DefaultParagraphFont"/>
    <w:link w:val="BodyText3"/>
    <w:rsid w:val="00504198"/>
    <w:rPr>
      <w:rFonts w:ascii="Arial" w:hAnsi="Arial"/>
      <w:sz w:val="16"/>
      <w:szCs w:val="16"/>
    </w:rPr>
  </w:style>
  <w:style w:type="paragraph" w:customStyle="1" w:styleId="Paragraph">
    <w:name w:val="Paragraph"/>
    <w:basedOn w:val="Normal"/>
    <w:rsid w:val="00BD1076"/>
    <w:pPr>
      <w:ind w:firstLine="360"/>
    </w:pPr>
    <w:rPr>
      <w:rFonts w:eastAsiaTheme="minorEastAsia" w:cs="Times New Roman"/>
      <w:sz w:val="20"/>
      <w:szCs w:val="20"/>
    </w:rPr>
  </w:style>
  <w:style w:type="paragraph" w:customStyle="1" w:styleId="EndNoteBibliographyTitle">
    <w:name w:val="EndNote Bibliography Title"/>
    <w:basedOn w:val="Normal"/>
    <w:link w:val="EndNoteBibliographyTitleChar"/>
    <w:rsid w:val="004942CD"/>
    <w:pPr>
      <w:jc w:val="center"/>
    </w:pPr>
    <w:rPr>
      <w:rFonts w:ascii="Arial" w:hAnsi="Arial"/>
    </w:rPr>
  </w:style>
  <w:style w:type="character" w:customStyle="1" w:styleId="EndNoteBibliographyTitleChar">
    <w:name w:val="EndNote Bibliography Title Char"/>
    <w:basedOn w:val="DefaultParagraphFont"/>
    <w:link w:val="EndNoteBibliographyTitle"/>
    <w:rsid w:val="004942CD"/>
    <w:rPr>
      <w:rFonts w:ascii="Arial" w:hAnsi="Arial"/>
    </w:rPr>
  </w:style>
  <w:style w:type="paragraph" w:customStyle="1" w:styleId="EndNoteBibliography">
    <w:name w:val="EndNote Bibliography"/>
    <w:basedOn w:val="Normal"/>
    <w:link w:val="EndNoteBibliographyChar"/>
    <w:rsid w:val="007336CA"/>
    <w:pPr>
      <w:spacing w:line="240" w:lineRule="auto"/>
    </w:pPr>
    <w:rPr>
      <w:rFonts w:ascii="Arial" w:hAnsi="Arial"/>
    </w:rPr>
  </w:style>
  <w:style w:type="character" w:customStyle="1" w:styleId="EndNoteBibliographyChar">
    <w:name w:val="EndNote Bibliography Char"/>
    <w:basedOn w:val="DefaultParagraphFont"/>
    <w:link w:val="EndNoteBibliography"/>
    <w:rsid w:val="007336CA"/>
    <w:rPr>
      <w:rFonts w:ascii="Arial" w:hAnsi="Arial"/>
    </w:rPr>
  </w:style>
  <w:style w:type="paragraph" w:styleId="NormalWeb">
    <w:name w:val="Normal (Web)"/>
    <w:basedOn w:val="Normal"/>
    <w:uiPriority w:val="99"/>
    <w:rsid w:val="00296602"/>
    <w:pPr>
      <w:spacing w:before="100" w:beforeAutospacing="1" w:after="100" w:afterAutospacing="1" w:line="280" w:lineRule="exact"/>
    </w:pPr>
    <w:rPr>
      <w:rFonts w:ascii="Batang" w:eastAsia="Batang" w:hAnsi="Batang" w:cs="Times New Roman"/>
      <w:color w:val="000000"/>
      <w:lang w:eastAsia="ko-KR"/>
    </w:rPr>
  </w:style>
  <w:style w:type="character" w:styleId="PlaceholderText">
    <w:name w:val="Placeholder Text"/>
    <w:basedOn w:val="DefaultParagraphFont"/>
    <w:uiPriority w:val="99"/>
    <w:semiHidden/>
    <w:rsid w:val="004A7FD2"/>
    <w:rPr>
      <w:color w:val="808080"/>
    </w:rPr>
  </w:style>
  <w:style w:type="character" w:styleId="UnresolvedMention">
    <w:name w:val="Unresolved Mention"/>
    <w:basedOn w:val="DefaultParagraphFont"/>
    <w:uiPriority w:val="99"/>
    <w:semiHidden/>
    <w:unhideWhenUsed/>
    <w:rsid w:val="008231F8"/>
    <w:rPr>
      <w:color w:val="605E5C"/>
      <w:shd w:val="clear" w:color="auto" w:fill="E1DFDD"/>
    </w:rPr>
  </w:style>
  <w:style w:type="character" w:styleId="CommentReference">
    <w:name w:val="annotation reference"/>
    <w:basedOn w:val="DefaultParagraphFont"/>
    <w:semiHidden/>
    <w:unhideWhenUsed/>
    <w:rsid w:val="003A7E5D"/>
    <w:rPr>
      <w:sz w:val="16"/>
      <w:szCs w:val="16"/>
    </w:rPr>
  </w:style>
  <w:style w:type="paragraph" w:styleId="CommentText">
    <w:name w:val="annotation text"/>
    <w:basedOn w:val="Normal"/>
    <w:link w:val="CommentTextChar"/>
    <w:unhideWhenUsed/>
    <w:rsid w:val="003A7E5D"/>
    <w:rPr>
      <w:sz w:val="20"/>
      <w:szCs w:val="20"/>
    </w:rPr>
  </w:style>
  <w:style w:type="character" w:customStyle="1" w:styleId="CommentTextChar">
    <w:name w:val="Comment Text Char"/>
    <w:basedOn w:val="DefaultParagraphFont"/>
    <w:link w:val="CommentText"/>
    <w:rsid w:val="003A7E5D"/>
    <w:rPr>
      <w:rFonts w:ascii="Arial" w:hAnsi="Arial"/>
      <w:sz w:val="20"/>
      <w:szCs w:val="20"/>
    </w:rPr>
  </w:style>
  <w:style w:type="paragraph" w:styleId="CommentSubject">
    <w:name w:val="annotation subject"/>
    <w:basedOn w:val="CommentText"/>
    <w:next w:val="CommentText"/>
    <w:link w:val="CommentSubjectChar"/>
    <w:semiHidden/>
    <w:unhideWhenUsed/>
    <w:rsid w:val="003A7E5D"/>
    <w:rPr>
      <w:b/>
      <w:bCs/>
    </w:rPr>
  </w:style>
  <w:style w:type="character" w:customStyle="1" w:styleId="CommentSubjectChar">
    <w:name w:val="Comment Subject Char"/>
    <w:basedOn w:val="CommentTextChar"/>
    <w:link w:val="CommentSubject"/>
    <w:semiHidden/>
    <w:rsid w:val="003A7E5D"/>
    <w:rPr>
      <w:rFonts w:ascii="Arial" w:hAnsi="Arial"/>
      <w:b/>
      <w:bCs/>
      <w:sz w:val="20"/>
      <w:szCs w:val="20"/>
    </w:rPr>
  </w:style>
  <w:style w:type="paragraph" w:customStyle="1" w:styleId="EndNoteCategoryHeading">
    <w:name w:val="EndNote Category Heading"/>
    <w:basedOn w:val="Normal"/>
    <w:link w:val="EndNoteCategoryHeadingChar"/>
    <w:rsid w:val="00E367AC"/>
    <w:pPr>
      <w:spacing w:before="120" w:after="120"/>
    </w:pPr>
  </w:style>
  <w:style w:type="character" w:customStyle="1" w:styleId="EndNoteCategoryHeadingChar">
    <w:name w:val="EndNote Category Heading Char"/>
    <w:basedOn w:val="DefaultParagraphFont"/>
    <w:link w:val="EndNoteCategoryHeading"/>
    <w:rsid w:val="00E367AC"/>
    <w:rPr>
      <w:rFonts w:ascii="Arial" w:hAnsi="Arial"/>
    </w:rPr>
  </w:style>
  <w:style w:type="paragraph" w:customStyle="1" w:styleId="EndNoteCategoryTitle">
    <w:name w:val="EndNote Category Title"/>
    <w:basedOn w:val="Normal"/>
    <w:link w:val="EndNoteCategoryTitleChar"/>
    <w:rsid w:val="00E367AC"/>
    <w:pPr>
      <w:spacing w:before="120" w:after="120"/>
      <w:jc w:val="center"/>
    </w:pPr>
  </w:style>
  <w:style w:type="character" w:customStyle="1" w:styleId="EndNoteCategoryTitleChar">
    <w:name w:val="EndNote Category Title Char"/>
    <w:basedOn w:val="DefaultParagraphFont"/>
    <w:link w:val="EndNoteCategoryTitle"/>
    <w:rsid w:val="00E367AC"/>
    <w:rPr>
      <w:rFonts w:ascii="Arial" w:hAnsi="Arial"/>
    </w:rPr>
  </w:style>
  <w:style w:type="paragraph" w:customStyle="1" w:styleId="Displayedequation">
    <w:name w:val="Displayed equation"/>
    <w:basedOn w:val="Normal"/>
    <w:next w:val="Paragraph"/>
    <w:qFormat/>
    <w:rsid w:val="00B045C3"/>
    <w:pPr>
      <w:tabs>
        <w:tab w:val="center" w:pos="4253"/>
        <w:tab w:val="right" w:pos="8222"/>
      </w:tabs>
      <w:spacing w:before="240" w:after="240"/>
      <w:ind w:firstLine="720"/>
      <w:jc w:val="center"/>
    </w:pPr>
    <w:rPr>
      <w:rFonts w:cs="Times New Roman"/>
      <w:lang w:val="en-GB" w:eastAsia="en-GB"/>
    </w:rPr>
  </w:style>
  <w:style w:type="paragraph" w:customStyle="1" w:styleId="Newparagraph">
    <w:name w:val="New paragraph"/>
    <w:basedOn w:val="Normal"/>
    <w:link w:val="NewparagraphChar"/>
    <w:qFormat/>
    <w:rsid w:val="00B045C3"/>
    <w:pPr>
      <w:ind w:firstLine="720"/>
    </w:pPr>
    <w:rPr>
      <w:rFonts w:cs="Times New Roman"/>
      <w:lang w:val="en-GB" w:eastAsia="en-GB"/>
    </w:rPr>
  </w:style>
  <w:style w:type="character" w:customStyle="1" w:styleId="NewparagraphChar">
    <w:name w:val="New paragraph Char"/>
    <w:basedOn w:val="DefaultParagraphFont"/>
    <w:link w:val="Newparagraph"/>
    <w:rsid w:val="00B045C3"/>
    <w:rPr>
      <w:rFonts w:cs="Times New Roman"/>
      <w:lang w:val="en-GB" w:eastAsia="en-GB"/>
    </w:rPr>
  </w:style>
  <w:style w:type="paragraph" w:customStyle="1" w:styleId="Figurecaption">
    <w:name w:val="Figure caption"/>
    <w:basedOn w:val="Normal"/>
    <w:next w:val="Normal"/>
    <w:qFormat/>
    <w:rsid w:val="00BD2D6F"/>
    <w:pPr>
      <w:spacing w:before="240" w:line="360" w:lineRule="auto"/>
      <w:ind w:firstLine="720"/>
    </w:pPr>
    <w:rPr>
      <w:rFonts w:cs="Times New Roman"/>
      <w:lang w:val="en-GB" w:eastAsia="en-GB"/>
    </w:rPr>
  </w:style>
  <w:style w:type="character" w:customStyle="1" w:styleId="CaptionChar">
    <w:name w:val="Caption Char"/>
    <w:basedOn w:val="DefaultParagraphFont"/>
    <w:link w:val="Caption"/>
    <w:uiPriority w:val="35"/>
    <w:rsid w:val="00874CBB"/>
    <w:rPr>
      <w:iCs/>
      <w:color w:val="000000" w:themeColor="text1"/>
    </w:rPr>
  </w:style>
  <w:style w:type="table" w:customStyle="1" w:styleId="TableGrid1">
    <w:name w:val="Table Grid1"/>
    <w:basedOn w:val="TableNormal"/>
    <w:next w:val="TableGrid"/>
    <w:rsid w:val="00BD2D6F"/>
    <w:rPr>
      <w:rFonts w:eastAsia="Malgun Gothic" w:cs="Times New Roman"/>
      <w:sz w:val="20"/>
      <w:szCs w:val="20"/>
      <w:lang w:eastAsia="ko-K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igureCaption0">
    <w:name w:val="Figure Caption"/>
    <w:basedOn w:val="Normal"/>
    <w:link w:val="FigureCaptionChar"/>
    <w:qFormat/>
    <w:rsid w:val="00637CAA"/>
    <w:pPr>
      <w:overflowPunct w:val="0"/>
      <w:autoSpaceDE w:val="0"/>
      <w:autoSpaceDN w:val="0"/>
      <w:adjustRightInd w:val="0"/>
      <w:jc w:val="center"/>
      <w:textAlignment w:val="baseline"/>
    </w:pPr>
    <w:rPr>
      <w:rFonts w:cs="Times New Roman"/>
      <w:b/>
      <w:sz w:val="22"/>
      <w:szCs w:val="22"/>
    </w:rPr>
  </w:style>
  <w:style w:type="character" w:customStyle="1" w:styleId="FigureCaptionChar">
    <w:name w:val="Figure Caption Char"/>
    <w:basedOn w:val="BodyText3Char"/>
    <w:link w:val="FigureCaption0"/>
    <w:rsid w:val="00637CAA"/>
    <w:rPr>
      <w:rFonts w:ascii="Arial" w:hAnsi="Arial" w:cs="Times New Roman"/>
      <w:b/>
      <w:sz w:val="22"/>
      <w:szCs w:val="22"/>
    </w:rPr>
  </w:style>
  <w:style w:type="paragraph" w:styleId="Revision">
    <w:name w:val="Revision"/>
    <w:hidden/>
    <w:uiPriority w:val="99"/>
    <w:semiHidden/>
    <w:rsid w:val="009E7202"/>
    <w:rPr>
      <w:rFonts w:ascii="Arial" w:hAnsi="Arial"/>
    </w:rPr>
  </w:style>
  <w:style w:type="paragraph" w:customStyle="1" w:styleId="Articletitle">
    <w:name w:val="Article title"/>
    <w:basedOn w:val="Normal"/>
    <w:next w:val="Normal"/>
    <w:qFormat/>
    <w:rsid w:val="00540E0A"/>
    <w:pPr>
      <w:spacing w:after="120" w:line="360" w:lineRule="auto"/>
      <w:ind w:firstLine="720"/>
    </w:pPr>
    <w:rPr>
      <w:rFonts w:cs="Times New Roman"/>
      <w:b/>
      <w:sz w:val="28"/>
      <w:lang w:val="en-GB" w:eastAsia="en-GB"/>
    </w:rPr>
  </w:style>
  <w:style w:type="paragraph" w:customStyle="1" w:styleId="Authornames">
    <w:name w:val="Author names"/>
    <w:basedOn w:val="Normal"/>
    <w:next w:val="Normal"/>
    <w:qFormat/>
    <w:rsid w:val="00540E0A"/>
    <w:pPr>
      <w:spacing w:before="240" w:line="360" w:lineRule="auto"/>
      <w:ind w:firstLine="720"/>
    </w:pPr>
    <w:rPr>
      <w:rFonts w:cs="Times New Roman"/>
      <w:sz w:val="28"/>
      <w:lang w:val="en-GB" w:eastAsia="en-GB"/>
    </w:rPr>
  </w:style>
  <w:style w:type="paragraph" w:customStyle="1" w:styleId="Affiliation">
    <w:name w:val="Affiliation"/>
    <w:basedOn w:val="Normal"/>
    <w:qFormat/>
    <w:rsid w:val="00540E0A"/>
    <w:pPr>
      <w:spacing w:before="240" w:line="360" w:lineRule="auto"/>
      <w:ind w:firstLine="720"/>
    </w:pPr>
    <w:rPr>
      <w:rFonts w:cs="Times New Roman"/>
      <w:i/>
      <w:lang w:val="en-GB" w:eastAsia="en-GB"/>
    </w:rPr>
  </w:style>
  <w:style w:type="paragraph" w:customStyle="1" w:styleId="Correspondencedetails">
    <w:name w:val="Correspondence details"/>
    <w:basedOn w:val="Normal"/>
    <w:qFormat/>
    <w:rsid w:val="00540E0A"/>
    <w:pPr>
      <w:spacing w:before="240" w:line="360" w:lineRule="auto"/>
      <w:ind w:firstLine="720"/>
    </w:pPr>
    <w:rPr>
      <w:rFonts w:cs="Times New Roman"/>
      <w:lang w:val="en-GB" w:eastAsia="en-GB"/>
    </w:rPr>
  </w:style>
  <w:style w:type="character" w:customStyle="1" w:styleId="Heading3Char">
    <w:name w:val="Heading 3 Char"/>
    <w:basedOn w:val="DefaultParagraphFont"/>
    <w:link w:val="Heading3"/>
    <w:rsid w:val="007245A9"/>
    <w:rPr>
      <w:b/>
      <w:bCs/>
      <w:i/>
      <w:szCs w:val="26"/>
    </w:rPr>
  </w:style>
  <w:style w:type="character" w:styleId="LineNumber">
    <w:name w:val="line number"/>
    <w:basedOn w:val="DefaultParagraphFont"/>
    <w:semiHidden/>
    <w:unhideWhenUsed/>
    <w:rsid w:val="008A22EA"/>
  </w:style>
  <w:style w:type="numbering" w:styleId="1ai">
    <w:name w:val="Outline List 1"/>
    <w:basedOn w:val="NoList"/>
    <w:semiHidden/>
    <w:unhideWhenUsed/>
    <w:rsid w:val="008A22EA"/>
    <w:pPr>
      <w:numPr>
        <w:numId w:val="8"/>
      </w:numPr>
    </w:pPr>
  </w:style>
  <w:style w:type="numbering" w:customStyle="1" w:styleId="CurrentList1">
    <w:name w:val="Current List1"/>
    <w:uiPriority w:val="99"/>
    <w:rsid w:val="008A22EA"/>
    <w:pPr>
      <w:numPr>
        <w:numId w:val="9"/>
      </w:numPr>
    </w:pPr>
  </w:style>
  <w:style w:type="numbering" w:customStyle="1" w:styleId="CurrentList2">
    <w:name w:val="Current List2"/>
    <w:uiPriority w:val="99"/>
    <w:rsid w:val="008A22EA"/>
    <w:pPr>
      <w:numPr>
        <w:numId w:val="10"/>
      </w:numPr>
    </w:pPr>
  </w:style>
  <w:style w:type="paragraph" w:customStyle="1" w:styleId="m-6276123368645491741msolistparagraph">
    <w:name w:val="m_-6276123368645491741msolistparagraph"/>
    <w:basedOn w:val="Normal"/>
    <w:rsid w:val="008A22EA"/>
    <w:pPr>
      <w:spacing w:before="100" w:beforeAutospacing="1" w:after="100" w:afterAutospacing="1"/>
    </w:pPr>
    <w:rPr>
      <w:rFonts w:cs="Times New Roman"/>
    </w:rPr>
  </w:style>
  <w:style w:type="numbering" w:customStyle="1" w:styleId="CurrentList3">
    <w:name w:val="Current List3"/>
    <w:uiPriority w:val="99"/>
    <w:rsid w:val="006C6B76"/>
    <w:pPr>
      <w:numPr>
        <w:numId w:val="13"/>
      </w:numPr>
    </w:pPr>
  </w:style>
  <w:style w:type="numbering" w:customStyle="1" w:styleId="CurrentList4">
    <w:name w:val="Current List4"/>
    <w:uiPriority w:val="99"/>
    <w:rsid w:val="00A03E5E"/>
    <w:pPr>
      <w:numPr>
        <w:numId w:val="16"/>
      </w:numPr>
    </w:pPr>
  </w:style>
  <w:style w:type="numbering" w:customStyle="1" w:styleId="CurrentList5">
    <w:name w:val="Current List5"/>
    <w:uiPriority w:val="99"/>
    <w:rsid w:val="002323F9"/>
    <w:pPr>
      <w:numPr>
        <w:numId w:val="18"/>
      </w:numPr>
    </w:pPr>
  </w:style>
  <w:style w:type="paragraph" w:customStyle="1" w:styleId="Style1">
    <w:name w:val="Style1"/>
    <w:basedOn w:val="Caption"/>
    <w:qFormat/>
    <w:rsid w:val="0031654F"/>
    <w:pPr>
      <w:spacing w:before="120" w:after="120"/>
    </w:pPr>
  </w:style>
  <w:style w:type="paragraph" w:customStyle="1" w:styleId="Equation">
    <w:name w:val="Equation"/>
    <w:basedOn w:val="Caption"/>
    <w:qFormat/>
    <w:rsid w:val="00D3135C"/>
    <w:pPr>
      <w:spacing w:before="120" w:after="120"/>
    </w:pPr>
  </w:style>
  <w:style w:type="paragraph" w:customStyle="1" w:styleId="TableText">
    <w:name w:val="Table Text"/>
    <w:basedOn w:val="Normal"/>
    <w:qFormat/>
    <w:rsid w:val="002F64FD"/>
    <w:pPr>
      <w:spacing w:line="240" w:lineRule="auto"/>
    </w:pPr>
    <w:rPr>
      <w:rFonts w:cs="Calibri"/>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1620207">
      <w:bodyDiv w:val="1"/>
      <w:marLeft w:val="0"/>
      <w:marRight w:val="0"/>
      <w:marTop w:val="0"/>
      <w:marBottom w:val="0"/>
      <w:divBdr>
        <w:top w:val="none" w:sz="0" w:space="0" w:color="auto"/>
        <w:left w:val="none" w:sz="0" w:space="0" w:color="auto"/>
        <w:bottom w:val="none" w:sz="0" w:space="0" w:color="auto"/>
        <w:right w:val="none" w:sz="0" w:space="0" w:color="auto"/>
      </w:divBdr>
    </w:div>
    <w:div w:id="364215250">
      <w:bodyDiv w:val="1"/>
      <w:marLeft w:val="0"/>
      <w:marRight w:val="0"/>
      <w:marTop w:val="0"/>
      <w:marBottom w:val="0"/>
      <w:divBdr>
        <w:top w:val="none" w:sz="0" w:space="0" w:color="auto"/>
        <w:left w:val="none" w:sz="0" w:space="0" w:color="auto"/>
        <w:bottom w:val="none" w:sz="0" w:space="0" w:color="auto"/>
        <w:right w:val="none" w:sz="0" w:space="0" w:color="auto"/>
      </w:divBdr>
      <w:divsChild>
        <w:div w:id="1532263669">
          <w:marLeft w:val="0"/>
          <w:marRight w:val="0"/>
          <w:marTop w:val="0"/>
          <w:marBottom w:val="0"/>
          <w:divBdr>
            <w:top w:val="none" w:sz="0" w:space="0" w:color="auto"/>
            <w:left w:val="none" w:sz="0" w:space="0" w:color="auto"/>
            <w:bottom w:val="none" w:sz="0" w:space="0" w:color="auto"/>
            <w:right w:val="none" w:sz="0" w:space="0" w:color="auto"/>
          </w:divBdr>
        </w:div>
        <w:div w:id="2021424698">
          <w:marLeft w:val="0"/>
          <w:marRight w:val="0"/>
          <w:marTop w:val="0"/>
          <w:marBottom w:val="0"/>
          <w:divBdr>
            <w:top w:val="none" w:sz="0" w:space="0" w:color="auto"/>
            <w:left w:val="none" w:sz="0" w:space="0" w:color="auto"/>
            <w:bottom w:val="none" w:sz="0" w:space="0" w:color="auto"/>
            <w:right w:val="none" w:sz="0" w:space="0" w:color="auto"/>
          </w:divBdr>
        </w:div>
      </w:divsChild>
    </w:div>
    <w:div w:id="540090347">
      <w:bodyDiv w:val="1"/>
      <w:marLeft w:val="0"/>
      <w:marRight w:val="0"/>
      <w:marTop w:val="0"/>
      <w:marBottom w:val="0"/>
      <w:divBdr>
        <w:top w:val="none" w:sz="0" w:space="0" w:color="auto"/>
        <w:left w:val="none" w:sz="0" w:space="0" w:color="auto"/>
        <w:bottom w:val="none" w:sz="0" w:space="0" w:color="auto"/>
        <w:right w:val="none" w:sz="0" w:space="0" w:color="auto"/>
      </w:divBdr>
      <w:divsChild>
        <w:div w:id="119811539">
          <w:marLeft w:val="0"/>
          <w:marRight w:val="0"/>
          <w:marTop w:val="0"/>
          <w:marBottom w:val="0"/>
          <w:divBdr>
            <w:top w:val="none" w:sz="0" w:space="0" w:color="auto"/>
            <w:left w:val="none" w:sz="0" w:space="0" w:color="auto"/>
            <w:bottom w:val="none" w:sz="0" w:space="0" w:color="auto"/>
            <w:right w:val="none" w:sz="0" w:space="0" w:color="auto"/>
          </w:divBdr>
          <w:divsChild>
            <w:div w:id="1218053497">
              <w:marLeft w:val="0"/>
              <w:marRight w:val="0"/>
              <w:marTop w:val="0"/>
              <w:marBottom w:val="0"/>
              <w:divBdr>
                <w:top w:val="none" w:sz="0" w:space="0" w:color="auto"/>
                <w:left w:val="none" w:sz="0" w:space="0" w:color="auto"/>
                <w:bottom w:val="none" w:sz="0" w:space="0" w:color="auto"/>
                <w:right w:val="none" w:sz="0" w:space="0" w:color="auto"/>
              </w:divBdr>
              <w:divsChild>
                <w:div w:id="1918396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1029572497">
      <w:bodyDiv w:val="1"/>
      <w:marLeft w:val="0"/>
      <w:marRight w:val="0"/>
      <w:marTop w:val="0"/>
      <w:marBottom w:val="0"/>
      <w:divBdr>
        <w:top w:val="none" w:sz="0" w:space="0" w:color="auto"/>
        <w:left w:val="none" w:sz="0" w:space="0" w:color="auto"/>
        <w:bottom w:val="none" w:sz="0" w:space="0" w:color="auto"/>
        <w:right w:val="none" w:sz="0" w:space="0" w:color="auto"/>
      </w:divBdr>
      <w:divsChild>
        <w:div w:id="1699350894">
          <w:marLeft w:val="0"/>
          <w:marRight w:val="0"/>
          <w:marTop w:val="0"/>
          <w:marBottom w:val="0"/>
          <w:divBdr>
            <w:top w:val="none" w:sz="0" w:space="0" w:color="auto"/>
            <w:left w:val="none" w:sz="0" w:space="0" w:color="auto"/>
            <w:bottom w:val="none" w:sz="0" w:space="0" w:color="auto"/>
            <w:right w:val="none" w:sz="0" w:space="0" w:color="auto"/>
          </w:divBdr>
          <w:divsChild>
            <w:div w:id="1162041656">
              <w:marLeft w:val="0"/>
              <w:marRight w:val="0"/>
              <w:marTop w:val="0"/>
              <w:marBottom w:val="0"/>
              <w:divBdr>
                <w:top w:val="none" w:sz="0" w:space="0" w:color="auto"/>
                <w:left w:val="none" w:sz="0" w:space="0" w:color="auto"/>
                <w:bottom w:val="none" w:sz="0" w:space="0" w:color="auto"/>
                <w:right w:val="none" w:sz="0" w:space="0" w:color="auto"/>
              </w:divBdr>
              <w:divsChild>
                <w:div w:id="84156774">
                  <w:marLeft w:val="0"/>
                  <w:marRight w:val="0"/>
                  <w:marTop w:val="0"/>
                  <w:marBottom w:val="0"/>
                  <w:divBdr>
                    <w:top w:val="none" w:sz="0" w:space="0" w:color="auto"/>
                    <w:left w:val="none" w:sz="0" w:space="0" w:color="auto"/>
                    <w:bottom w:val="none" w:sz="0" w:space="0" w:color="auto"/>
                    <w:right w:val="none" w:sz="0" w:space="0" w:color="auto"/>
                  </w:divBdr>
                  <w:divsChild>
                    <w:div w:id="1974745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9732495">
      <w:bodyDiv w:val="1"/>
      <w:marLeft w:val="0"/>
      <w:marRight w:val="0"/>
      <w:marTop w:val="0"/>
      <w:marBottom w:val="0"/>
      <w:divBdr>
        <w:top w:val="none" w:sz="0" w:space="0" w:color="auto"/>
        <w:left w:val="none" w:sz="0" w:space="0" w:color="auto"/>
        <w:bottom w:val="none" w:sz="0" w:space="0" w:color="auto"/>
        <w:right w:val="none" w:sz="0" w:space="0" w:color="auto"/>
      </w:divBdr>
      <w:divsChild>
        <w:div w:id="1043016502">
          <w:marLeft w:val="0"/>
          <w:marRight w:val="0"/>
          <w:marTop w:val="0"/>
          <w:marBottom w:val="0"/>
          <w:divBdr>
            <w:top w:val="none" w:sz="0" w:space="0" w:color="auto"/>
            <w:left w:val="none" w:sz="0" w:space="0" w:color="auto"/>
            <w:bottom w:val="none" w:sz="0" w:space="0" w:color="auto"/>
            <w:right w:val="none" w:sz="0" w:space="0" w:color="auto"/>
          </w:divBdr>
          <w:divsChild>
            <w:div w:id="1697344431">
              <w:marLeft w:val="0"/>
              <w:marRight w:val="0"/>
              <w:marTop w:val="0"/>
              <w:marBottom w:val="0"/>
              <w:divBdr>
                <w:top w:val="none" w:sz="0" w:space="0" w:color="auto"/>
                <w:left w:val="none" w:sz="0" w:space="0" w:color="auto"/>
                <w:bottom w:val="none" w:sz="0" w:space="0" w:color="auto"/>
                <w:right w:val="none" w:sz="0" w:space="0" w:color="auto"/>
              </w:divBdr>
              <w:divsChild>
                <w:div w:id="1761949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4360752">
      <w:bodyDiv w:val="1"/>
      <w:marLeft w:val="0"/>
      <w:marRight w:val="0"/>
      <w:marTop w:val="0"/>
      <w:marBottom w:val="0"/>
      <w:divBdr>
        <w:top w:val="none" w:sz="0" w:space="0" w:color="auto"/>
        <w:left w:val="none" w:sz="0" w:space="0" w:color="auto"/>
        <w:bottom w:val="none" w:sz="0" w:space="0" w:color="auto"/>
        <w:right w:val="none" w:sz="0" w:space="0" w:color="auto"/>
      </w:divBdr>
      <w:divsChild>
        <w:div w:id="1402017786">
          <w:marLeft w:val="0"/>
          <w:marRight w:val="0"/>
          <w:marTop w:val="0"/>
          <w:marBottom w:val="0"/>
          <w:divBdr>
            <w:top w:val="none" w:sz="0" w:space="0" w:color="auto"/>
            <w:left w:val="none" w:sz="0" w:space="0" w:color="auto"/>
            <w:bottom w:val="none" w:sz="0" w:space="0" w:color="auto"/>
            <w:right w:val="none" w:sz="0" w:space="0" w:color="auto"/>
          </w:divBdr>
          <w:divsChild>
            <w:div w:id="721951197">
              <w:marLeft w:val="0"/>
              <w:marRight w:val="0"/>
              <w:marTop w:val="0"/>
              <w:marBottom w:val="0"/>
              <w:divBdr>
                <w:top w:val="none" w:sz="0" w:space="0" w:color="auto"/>
                <w:left w:val="none" w:sz="0" w:space="0" w:color="auto"/>
                <w:bottom w:val="none" w:sz="0" w:space="0" w:color="auto"/>
                <w:right w:val="none" w:sz="0" w:space="0" w:color="auto"/>
              </w:divBdr>
              <w:divsChild>
                <w:div w:id="635372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4076252">
      <w:bodyDiv w:val="1"/>
      <w:marLeft w:val="0"/>
      <w:marRight w:val="0"/>
      <w:marTop w:val="0"/>
      <w:marBottom w:val="0"/>
      <w:divBdr>
        <w:top w:val="none" w:sz="0" w:space="0" w:color="auto"/>
        <w:left w:val="none" w:sz="0" w:space="0" w:color="auto"/>
        <w:bottom w:val="none" w:sz="0" w:space="0" w:color="auto"/>
        <w:right w:val="none" w:sz="0" w:space="0" w:color="auto"/>
      </w:divBdr>
      <w:divsChild>
        <w:div w:id="156842821">
          <w:marLeft w:val="0"/>
          <w:marRight w:val="0"/>
          <w:marTop w:val="0"/>
          <w:marBottom w:val="0"/>
          <w:divBdr>
            <w:top w:val="none" w:sz="0" w:space="0" w:color="auto"/>
            <w:left w:val="none" w:sz="0" w:space="0" w:color="auto"/>
            <w:bottom w:val="none" w:sz="0" w:space="0" w:color="auto"/>
            <w:right w:val="none" w:sz="0" w:space="0" w:color="auto"/>
          </w:divBdr>
          <w:divsChild>
            <w:div w:id="698699962">
              <w:marLeft w:val="0"/>
              <w:marRight w:val="0"/>
              <w:marTop w:val="0"/>
              <w:marBottom w:val="0"/>
              <w:divBdr>
                <w:top w:val="none" w:sz="0" w:space="0" w:color="auto"/>
                <w:left w:val="none" w:sz="0" w:space="0" w:color="auto"/>
                <w:bottom w:val="none" w:sz="0" w:space="0" w:color="auto"/>
                <w:right w:val="none" w:sz="0" w:space="0" w:color="auto"/>
              </w:divBdr>
              <w:divsChild>
                <w:div w:id="70321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9084583">
      <w:bodyDiv w:val="1"/>
      <w:marLeft w:val="0"/>
      <w:marRight w:val="0"/>
      <w:marTop w:val="0"/>
      <w:marBottom w:val="0"/>
      <w:divBdr>
        <w:top w:val="none" w:sz="0" w:space="0" w:color="auto"/>
        <w:left w:val="none" w:sz="0" w:space="0" w:color="auto"/>
        <w:bottom w:val="none" w:sz="0" w:space="0" w:color="auto"/>
        <w:right w:val="none" w:sz="0" w:space="0" w:color="auto"/>
      </w:divBdr>
      <w:divsChild>
        <w:div w:id="1194735606">
          <w:marLeft w:val="0"/>
          <w:marRight w:val="0"/>
          <w:marTop w:val="0"/>
          <w:marBottom w:val="0"/>
          <w:divBdr>
            <w:top w:val="none" w:sz="0" w:space="0" w:color="auto"/>
            <w:left w:val="none" w:sz="0" w:space="0" w:color="auto"/>
            <w:bottom w:val="none" w:sz="0" w:space="0" w:color="auto"/>
            <w:right w:val="none" w:sz="0" w:space="0" w:color="auto"/>
          </w:divBdr>
          <w:divsChild>
            <w:div w:id="1260866200">
              <w:marLeft w:val="0"/>
              <w:marRight w:val="0"/>
              <w:marTop w:val="0"/>
              <w:marBottom w:val="0"/>
              <w:divBdr>
                <w:top w:val="none" w:sz="0" w:space="0" w:color="auto"/>
                <w:left w:val="none" w:sz="0" w:space="0" w:color="auto"/>
                <w:bottom w:val="none" w:sz="0" w:space="0" w:color="auto"/>
                <w:right w:val="none" w:sz="0" w:space="0" w:color="auto"/>
              </w:divBdr>
              <w:divsChild>
                <w:div w:id="379061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117" Type="http://schemas.openxmlformats.org/officeDocument/2006/relationships/hyperlink" Target="https://doi.org/10.1016/j.anucene.2021.108448" TargetMode="External"/><Relationship Id="rId21" Type="http://schemas.openxmlformats.org/officeDocument/2006/relationships/image" Target="media/image8.jpeg"/><Relationship Id="rId42" Type="http://schemas.openxmlformats.org/officeDocument/2006/relationships/image" Target="media/image29.png"/><Relationship Id="rId63" Type="http://schemas.openxmlformats.org/officeDocument/2006/relationships/image" Target="media/image49.png"/><Relationship Id="rId84" Type="http://schemas.openxmlformats.org/officeDocument/2006/relationships/hyperlink" Target="https://doi.org/10.1016/j.anucene.2021.108645" TargetMode="External"/><Relationship Id="rId138" Type="http://schemas.openxmlformats.org/officeDocument/2006/relationships/hyperlink" Target="https://doi.org/10.1016/j.anucene.2018.10.011" TargetMode="External"/><Relationship Id="rId159" Type="http://schemas.openxmlformats.org/officeDocument/2006/relationships/hyperlink" Target="https://doi.org/10.1016/j.envsoft.2013.10.017" TargetMode="External"/><Relationship Id="rId170" Type="http://schemas.openxmlformats.org/officeDocument/2006/relationships/hyperlink" Target="https://doi.org/10.1016/j.jnucmat.2018.03.016" TargetMode="External"/><Relationship Id="rId107" Type="http://schemas.openxmlformats.org/officeDocument/2006/relationships/hyperlink" Target="https://doi.org/10.1016/j.pnucene.2020.103303" TargetMode="External"/><Relationship Id="rId11" Type="http://schemas.openxmlformats.org/officeDocument/2006/relationships/footer" Target="footer2.xml"/><Relationship Id="rId32" Type="http://schemas.openxmlformats.org/officeDocument/2006/relationships/image" Target="media/image19.png"/><Relationship Id="rId53" Type="http://schemas.openxmlformats.org/officeDocument/2006/relationships/image" Target="media/image39.png"/><Relationship Id="rId74" Type="http://schemas.openxmlformats.org/officeDocument/2006/relationships/image" Target="media/image60.png"/><Relationship Id="rId128" Type="http://schemas.openxmlformats.org/officeDocument/2006/relationships/hyperlink" Target="https://doi.org/10.1016/j.expthermflusci.2004.05.014" TargetMode="External"/><Relationship Id="rId149" Type="http://schemas.openxmlformats.org/officeDocument/2006/relationships/hyperlink" Target="https://doi.org/10.1016/j.jnucmat.2020.152696" TargetMode="External"/><Relationship Id="rId5" Type="http://schemas.openxmlformats.org/officeDocument/2006/relationships/webSettings" Target="webSettings.xml"/><Relationship Id="rId95" Type="http://schemas.openxmlformats.org/officeDocument/2006/relationships/hyperlink" Target="https://doi.org/10.1016/j.ejor.2015.06.032" TargetMode="External"/><Relationship Id="rId160" Type="http://schemas.openxmlformats.org/officeDocument/2006/relationships/hyperlink" Target="https://doi.org/10.1016/j.jhydrol.2014.12.056" TargetMode="External"/><Relationship Id="rId181" Type="http://schemas.openxmlformats.org/officeDocument/2006/relationships/fontTable" Target="fontTable.xml"/><Relationship Id="rId22" Type="http://schemas.openxmlformats.org/officeDocument/2006/relationships/image" Target="media/image9.png"/><Relationship Id="rId43" Type="http://schemas.openxmlformats.org/officeDocument/2006/relationships/image" Target="media/image30.png"/><Relationship Id="rId64" Type="http://schemas.openxmlformats.org/officeDocument/2006/relationships/image" Target="media/image50.png"/><Relationship Id="rId118" Type="http://schemas.openxmlformats.org/officeDocument/2006/relationships/hyperlink" Target="https://doi.org/10.1016/j.ijheatmasstransfer.2021.121730" TargetMode="External"/><Relationship Id="rId139" Type="http://schemas.openxmlformats.org/officeDocument/2006/relationships/hyperlink" Target="https://doi.org/10.1016/j.nucengdes.2023.112508" TargetMode="External"/><Relationship Id="rId85" Type="http://schemas.openxmlformats.org/officeDocument/2006/relationships/hyperlink" Target="https://doi.org/10.1016/j.nucengdes.2023.112374" TargetMode="External"/><Relationship Id="rId150" Type="http://schemas.openxmlformats.org/officeDocument/2006/relationships/hyperlink" Target="https://doi.org/10.1016/j.nucengdes.2023.112177" TargetMode="External"/><Relationship Id="rId171" Type="http://schemas.openxmlformats.org/officeDocument/2006/relationships/hyperlink" Target="https://doi.org/10.1016/S0378-4754(00)00270-6" TargetMode="External"/><Relationship Id="rId12" Type="http://schemas.openxmlformats.org/officeDocument/2006/relationships/image" Target="media/image1.png"/><Relationship Id="rId33" Type="http://schemas.openxmlformats.org/officeDocument/2006/relationships/image" Target="media/image20.png"/><Relationship Id="rId108" Type="http://schemas.openxmlformats.org/officeDocument/2006/relationships/hyperlink" Target="https://doi.org/10.1016/j.apsusc.2020.145935" TargetMode="External"/><Relationship Id="rId129" Type="http://schemas.openxmlformats.org/officeDocument/2006/relationships/hyperlink" Target="https://doi.org/10.1016/j.ijheatmasstransfer.2018.07.144" TargetMode="External"/><Relationship Id="rId54" Type="http://schemas.openxmlformats.org/officeDocument/2006/relationships/image" Target="media/image40.png"/><Relationship Id="rId75" Type="http://schemas.openxmlformats.org/officeDocument/2006/relationships/image" Target="media/image61.png"/><Relationship Id="rId96" Type="http://schemas.openxmlformats.org/officeDocument/2006/relationships/hyperlink" Target="https://doi.org/10.1016/j.envsoft.2006.10.004" TargetMode="External"/><Relationship Id="rId140" Type="http://schemas.openxmlformats.org/officeDocument/2006/relationships/hyperlink" Target="https://doi.org/10.1016/j.ijheatmasstransfer.2022.123270" TargetMode="External"/><Relationship Id="rId161" Type="http://schemas.openxmlformats.org/officeDocument/2006/relationships/hyperlink" Target="https://doi.org/10.1016/j.envsoft.2016.02.005" TargetMode="External"/><Relationship Id="rId182" Type="http://schemas.openxmlformats.org/officeDocument/2006/relationships/theme" Target="theme/theme1.xml"/><Relationship Id="rId6" Type="http://schemas.openxmlformats.org/officeDocument/2006/relationships/footnotes" Target="footnotes.xml"/><Relationship Id="rId23" Type="http://schemas.openxmlformats.org/officeDocument/2006/relationships/image" Target="media/image10.png"/><Relationship Id="rId119" Type="http://schemas.openxmlformats.org/officeDocument/2006/relationships/hyperlink" Target="https://doi.org/10.1080/18811248.1967.9732708" TargetMode="External"/><Relationship Id="rId44" Type="http://schemas.openxmlformats.org/officeDocument/2006/relationships/image" Target="media/image31.png"/><Relationship Id="rId60" Type="http://schemas.openxmlformats.org/officeDocument/2006/relationships/image" Target="media/image46.png"/><Relationship Id="rId65" Type="http://schemas.openxmlformats.org/officeDocument/2006/relationships/image" Target="media/image51.png"/><Relationship Id="rId81" Type="http://schemas.openxmlformats.org/officeDocument/2006/relationships/hyperlink" Target="https://doi.org/10.1016/S0377-2217(99)00117-4" TargetMode="External"/><Relationship Id="rId86" Type="http://schemas.openxmlformats.org/officeDocument/2006/relationships/hyperlink" Target="https://doi.org/10.1016/j.jnucmat.2019.151783" TargetMode="External"/><Relationship Id="rId130" Type="http://schemas.openxmlformats.org/officeDocument/2006/relationships/hyperlink" Target="https://doi.org/10.1016/j.ijheatmasstransfer.2017.01.112" TargetMode="External"/><Relationship Id="rId135" Type="http://schemas.openxmlformats.org/officeDocument/2006/relationships/hyperlink" Target="https://doi.org/10.1016/j.ijheatmasstransfer.2018.11.141" TargetMode="External"/><Relationship Id="rId151" Type="http://schemas.openxmlformats.org/officeDocument/2006/relationships/hyperlink" Target="https://doi.org/10.1016/j.nucengdes.2024.113571" TargetMode="External"/><Relationship Id="rId156" Type="http://schemas.openxmlformats.org/officeDocument/2006/relationships/hyperlink" Target="https://doi.org/10.21105/joss.00097" TargetMode="External"/><Relationship Id="rId177" Type="http://schemas.openxmlformats.org/officeDocument/2006/relationships/hyperlink" Target="https://doi.org/10.1016/0017-9310(74)90082-9" TargetMode="External"/><Relationship Id="rId172" Type="http://schemas.openxmlformats.org/officeDocument/2006/relationships/hyperlink" Target="https://doi.org/10.1016/j.jnucmat.2012.01.012" TargetMode="External"/><Relationship Id="rId13" Type="http://schemas.openxmlformats.org/officeDocument/2006/relationships/image" Target="media/image2.png"/><Relationship Id="rId18" Type="http://schemas.openxmlformats.org/officeDocument/2006/relationships/image" Target="media/image5.png"/><Relationship Id="rId39" Type="http://schemas.openxmlformats.org/officeDocument/2006/relationships/image" Target="media/image26.png"/><Relationship Id="rId109" Type="http://schemas.openxmlformats.org/officeDocument/2006/relationships/hyperlink" Target="https://doi.org/10.1080/00223131.2019.1571451" TargetMode="External"/><Relationship Id="rId34" Type="http://schemas.openxmlformats.org/officeDocument/2006/relationships/image" Target="media/image21.png"/><Relationship Id="rId50" Type="http://schemas.openxmlformats.org/officeDocument/2006/relationships/image" Target="media/image36.png"/><Relationship Id="rId55" Type="http://schemas.openxmlformats.org/officeDocument/2006/relationships/image" Target="media/image41.png"/><Relationship Id="rId76" Type="http://schemas.openxmlformats.org/officeDocument/2006/relationships/image" Target="media/image62.png"/><Relationship Id="rId97" Type="http://schemas.openxmlformats.org/officeDocument/2006/relationships/hyperlink" Target="https://doi.org/10.1016/j.envsoft.2012.03.008" TargetMode="External"/><Relationship Id="rId104" Type="http://schemas.openxmlformats.org/officeDocument/2006/relationships/hyperlink" Target="https://doi.org/10.1080/18811248.1981.9733275" TargetMode="External"/><Relationship Id="rId120" Type="http://schemas.openxmlformats.org/officeDocument/2006/relationships/hyperlink" Target="https://doi.org/10.1115/1.2911909" TargetMode="External"/><Relationship Id="rId125" Type="http://schemas.openxmlformats.org/officeDocument/2006/relationships/hyperlink" Target="https://doi.org/10.1016/j.ijheatmasstransfer.2018.07.151" TargetMode="External"/><Relationship Id="rId141" Type="http://schemas.openxmlformats.org/officeDocument/2006/relationships/hyperlink" Target="https://doi.org/10.1016/j.ijheatmasstransfer.2017.09.134" TargetMode="External"/><Relationship Id="rId146" Type="http://schemas.openxmlformats.org/officeDocument/2006/relationships/hyperlink" Target="https://doi.org/10.1016/j.jnucmat.2013.12.002" TargetMode="External"/><Relationship Id="rId167" Type="http://schemas.openxmlformats.org/officeDocument/2006/relationships/hyperlink" Target="https://doi.org/10.1016/j.nucengdes.2019.110283" TargetMode="External"/><Relationship Id="rId7" Type="http://schemas.openxmlformats.org/officeDocument/2006/relationships/endnotes" Target="endnotes.xml"/><Relationship Id="rId71" Type="http://schemas.openxmlformats.org/officeDocument/2006/relationships/image" Target="media/image57.png"/><Relationship Id="rId92" Type="http://schemas.openxmlformats.org/officeDocument/2006/relationships/hyperlink" Target="https://doi.org/10.1016/S1369-7021(10)70220-0" TargetMode="External"/><Relationship Id="rId162" Type="http://schemas.openxmlformats.org/officeDocument/2006/relationships/hyperlink" Target="https://doi.org/10.1016/j.enbuild.2016.10.005" TargetMode="External"/><Relationship Id="rId2" Type="http://schemas.openxmlformats.org/officeDocument/2006/relationships/numbering" Target="numbering.xml"/><Relationship Id="rId29" Type="http://schemas.openxmlformats.org/officeDocument/2006/relationships/image" Target="media/image16.png"/><Relationship Id="rId24" Type="http://schemas.openxmlformats.org/officeDocument/2006/relationships/image" Target="media/image11.png"/><Relationship Id="rId40" Type="http://schemas.openxmlformats.org/officeDocument/2006/relationships/image" Target="media/image27.png"/><Relationship Id="rId45" Type="http://schemas.openxmlformats.org/officeDocument/2006/relationships/image" Target="media/image32.png"/><Relationship Id="rId66" Type="http://schemas.openxmlformats.org/officeDocument/2006/relationships/image" Target="media/image52.png"/><Relationship Id="rId87" Type="http://schemas.openxmlformats.org/officeDocument/2006/relationships/hyperlink" Target="https://doi.org/10.1080/00295450.2023.2195355" TargetMode="External"/><Relationship Id="rId110" Type="http://schemas.openxmlformats.org/officeDocument/2006/relationships/hyperlink" Target="https://doi.org/10.1080/00295450.2020.1724730" TargetMode="External"/><Relationship Id="rId115" Type="http://schemas.openxmlformats.org/officeDocument/2006/relationships/hyperlink" Target="https://doi.org/10.1016/S0017-9310(83)80116-1" TargetMode="External"/><Relationship Id="rId131" Type="http://schemas.openxmlformats.org/officeDocument/2006/relationships/hyperlink" Target="https://doi.org/10.1016/j.anucene.2020.107420" TargetMode="External"/><Relationship Id="rId136" Type="http://schemas.openxmlformats.org/officeDocument/2006/relationships/hyperlink" Target="https://doi.org/10.1021/i260019a023" TargetMode="External"/><Relationship Id="rId157" Type="http://schemas.openxmlformats.org/officeDocument/2006/relationships/hyperlink" Target="https://doi.org/10.18174/sesmo.18155" TargetMode="External"/><Relationship Id="rId178" Type="http://schemas.openxmlformats.org/officeDocument/2006/relationships/hyperlink" Target="https://doi.org/10.1016/j.nucengdes.2019.110289" TargetMode="External"/><Relationship Id="rId61" Type="http://schemas.openxmlformats.org/officeDocument/2006/relationships/image" Target="media/image47.png"/><Relationship Id="rId82" Type="http://schemas.openxmlformats.org/officeDocument/2006/relationships/hyperlink" Target="https://doi.org/10.1002/2017WR020767" TargetMode="External"/><Relationship Id="rId152" Type="http://schemas.openxmlformats.org/officeDocument/2006/relationships/hyperlink" Target="https://doi.org/10.1016/j.anucene.2023.109895" TargetMode="External"/><Relationship Id="rId173" Type="http://schemas.openxmlformats.org/officeDocument/2006/relationships/hyperlink" Target="https://doi.org/10.1016/0022-3115(82)90419-6" TargetMode="External"/><Relationship Id="rId19" Type="http://schemas.openxmlformats.org/officeDocument/2006/relationships/image" Target="media/image6.png"/><Relationship Id="rId14" Type="http://schemas.openxmlformats.org/officeDocument/2006/relationships/hyperlink" Target="https://doi.org/10.1080/00295450.2023.2195355" TargetMode="External"/><Relationship Id="rId30" Type="http://schemas.openxmlformats.org/officeDocument/2006/relationships/image" Target="media/image17.png"/><Relationship Id="rId35" Type="http://schemas.openxmlformats.org/officeDocument/2006/relationships/image" Target="media/image22.png"/><Relationship Id="rId56" Type="http://schemas.openxmlformats.org/officeDocument/2006/relationships/image" Target="media/image42.png"/><Relationship Id="rId77" Type="http://schemas.openxmlformats.org/officeDocument/2006/relationships/image" Target="media/image63.png"/><Relationship Id="rId100" Type="http://schemas.openxmlformats.org/officeDocument/2006/relationships/hyperlink" Target="https://doi.org/10.1016/j.nucengdes.2015.11.025" TargetMode="External"/><Relationship Id="rId105" Type="http://schemas.openxmlformats.org/officeDocument/2006/relationships/hyperlink" Target="https://doi.org/10.1016/j.nucengdes.2024.112900" TargetMode="External"/><Relationship Id="rId126" Type="http://schemas.openxmlformats.org/officeDocument/2006/relationships/hyperlink" Target="https://doi.org/10.1016/j.ijheatmasstransfer.2016.03.073" TargetMode="External"/><Relationship Id="rId147" Type="http://schemas.openxmlformats.org/officeDocument/2006/relationships/hyperlink" Target="https://doi.org/10.1016/j.nucengdes.2020.110752" TargetMode="External"/><Relationship Id="rId168" Type="http://schemas.openxmlformats.org/officeDocument/2006/relationships/hyperlink" Target="https://doi.org/10.1016/j.jnucmat.2018.08.019" TargetMode="External"/><Relationship Id="rId8" Type="http://schemas.openxmlformats.org/officeDocument/2006/relationships/header" Target="header1.xml"/><Relationship Id="rId51" Type="http://schemas.openxmlformats.org/officeDocument/2006/relationships/image" Target="media/image37.png"/><Relationship Id="rId72" Type="http://schemas.openxmlformats.org/officeDocument/2006/relationships/image" Target="media/image58.png"/><Relationship Id="rId93" Type="http://schemas.openxmlformats.org/officeDocument/2006/relationships/hyperlink" Target="https://doi.org/10.1016/j.jnucmat.2009.01.297" TargetMode="External"/><Relationship Id="rId98" Type="http://schemas.openxmlformats.org/officeDocument/2006/relationships/hyperlink" Target="https://doi.org/10.1213/ANE.0000000000002864" TargetMode="External"/><Relationship Id="rId121" Type="http://schemas.openxmlformats.org/officeDocument/2006/relationships/hyperlink" Target="https://doi.org/10.1016/S0894-1777(96)00170-7" TargetMode="External"/><Relationship Id="rId142" Type="http://schemas.openxmlformats.org/officeDocument/2006/relationships/hyperlink" Target="https://doi.org/10.1016/j.expthermflusci.2014.02.026" TargetMode="External"/><Relationship Id="rId163" Type="http://schemas.openxmlformats.org/officeDocument/2006/relationships/hyperlink" Target="https://doi.org/10.1016/j.ecolmodel.2016.01.005" TargetMode="External"/><Relationship Id="rId3" Type="http://schemas.openxmlformats.org/officeDocument/2006/relationships/styles" Target="styles.xml"/><Relationship Id="rId25" Type="http://schemas.openxmlformats.org/officeDocument/2006/relationships/image" Target="media/image12.png"/><Relationship Id="rId46" Type="http://schemas.openxmlformats.org/officeDocument/2006/relationships/image" Target="media/image33.png"/><Relationship Id="rId67" Type="http://schemas.openxmlformats.org/officeDocument/2006/relationships/image" Target="media/image53.png"/><Relationship Id="rId116" Type="http://schemas.openxmlformats.org/officeDocument/2006/relationships/hyperlink" Target="https://doi.org/10.1016/0029-5493(89)90295-1" TargetMode="External"/><Relationship Id="rId137" Type="http://schemas.openxmlformats.org/officeDocument/2006/relationships/hyperlink" Target="https://doi.org/10.1080/18811248.2007.9711275" TargetMode="External"/><Relationship Id="rId158" Type="http://schemas.openxmlformats.org/officeDocument/2006/relationships/hyperlink" Target="https://doi.org/10.1016/j.envsoft.2010.10.007" TargetMode="External"/><Relationship Id="rId20" Type="http://schemas.openxmlformats.org/officeDocument/2006/relationships/image" Target="media/image7.jpeg"/><Relationship Id="rId41" Type="http://schemas.openxmlformats.org/officeDocument/2006/relationships/image" Target="media/image28.png"/><Relationship Id="rId62" Type="http://schemas.openxmlformats.org/officeDocument/2006/relationships/image" Target="media/image48.png"/><Relationship Id="rId83" Type="http://schemas.openxmlformats.org/officeDocument/2006/relationships/hyperlink" Target="https://doi.org/10.1016/j.ymssp.2021.108522" TargetMode="External"/><Relationship Id="rId88" Type="http://schemas.openxmlformats.org/officeDocument/2006/relationships/hyperlink" Target="https://doi.org/10.1016/j.nucengdes.2024.113171" TargetMode="External"/><Relationship Id="rId111" Type="http://schemas.openxmlformats.org/officeDocument/2006/relationships/hyperlink" Target="https://doi.org/10.1002/(SICI)1523-1496(1999)28:6" TargetMode="External"/><Relationship Id="rId132" Type="http://schemas.openxmlformats.org/officeDocument/2006/relationships/hyperlink" Target="https://doi.org/10.1080/01457638608939644" TargetMode="External"/><Relationship Id="rId153" Type="http://schemas.openxmlformats.org/officeDocument/2006/relationships/hyperlink" Target="http://cindasdata.com" TargetMode="External"/><Relationship Id="rId174" Type="http://schemas.openxmlformats.org/officeDocument/2006/relationships/hyperlink" Target="https://doi.org/10.1016/j.ijheatfluidflow.2024.109623" TargetMode="External"/><Relationship Id="rId179" Type="http://schemas.openxmlformats.org/officeDocument/2006/relationships/hyperlink" Target="https://doi.org/10.1016/j.pnucene.2009.09.018" TargetMode="External"/><Relationship Id="rId15" Type="http://schemas.openxmlformats.org/officeDocument/2006/relationships/hyperlink" Target="https://doi.org/10.1016/j.nucengdes.2024.113171" TargetMode="External"/><Relationship Id="rId36" Type="http://schemas.openxmlformats.org/officeDocument/2006/relationships/image" Target="media/image23.png"/><Relationship Id="rId57" Type="http://schemas.openxmlformats.org/officeDocument/2006/relationships/image" Target="media/image43.png"/><Relationship Id="rId106" Type="http://schemas.openxmlformats.org/officeDocument/2006/relationships/hyperlink" Target="https://doi.org/10.1016/j.nucengdes.2023.112875" TargetMode="External"/><Relationship Id="rId127" Type="http://schemas.openxmlformats.org/officeDocument/2006/relationships/hyperlink" Target="https://doi.org/10.1016/0894-1777(94)00138-X" TargetMode="External"/><Relationship Id="rId10" Type="http://schemas.openxmlformats.org/officeDocument/2006/relationships/footer" Target="footer1.xml"/><Relationship Id="rId31" Type="http://schemas.openxmlformats.org/officeDocument/2006/relationships/image" Target="media/image18.png"/><Relationship Id="rId52" Type="http://schemas.openxmlformats.org/officeDocument/2006/relationships/image" Target="media/image38.png"/><Relationship Id="rId73" Type="http://schemas.openxmlformats.org/officeDocument/2006/relationships/image" Target="media/image59.png"/><Relationship Id="rId78" Type="http://schemas.openxmlformats.org/officeDocument/2006/relationships/hyperlink" Target="https://doi.org/10.1016/j.pnucene.2023.104737" TargetMode="External"/><Relationship Id="rId94" Type="http://schemas.openxmlformats.org/officeDocument/2006/relationships/hyperlink" Target="https://doi.org/10.1016/j.engfailanal.2011.06.010" TargetMode="External"/><Relationship Id="rId99" Type="http://schemas.openxmlformats.org/officeDocument/2006/relationships/hyperlink" Target="https://doi.org/10.1016/j.anbehav.2014.05.003" TargetMode="External"/><Relationship Id="rId101" Type="http://schemas.openxmlformats.org/officeDocument/2006/relationships/hyperlink" Target="https://doi.org/10.1016/j.nucengdes.2022.111919" TargetMode="External"/><Relationship Id="rId122" Type="http://schemas.openxmlformats.org/officeDocument/2006/relationships/hyperlink" Target="https://doi.org/10.1115/1.4036653" TargetMode="External"/><Relationship Id="rId143" Type="http://schemas.openxmlformats.org/officeDocument/2006/relationships/hyperlink" Target="https://doi.org/10.1016/j.ijheatmasstransfer.2020.120465" TargetMode="External"/><Relationship Id="rId148" Type="http://schemas.openxmlformats.org/officeDocument/2006/relationships/hyperlink" Target="https://doi.org/10.1016/j.nimb.2019.02.022" TargetMode="External"/><Relationship Id="rId164" Type="http://schemas.openxmlformats.org/officeDocument/2006/relationships/hyperlink" Target="https://doi.org/10.1016/j.ecolmodel.2012.06.024" TargetMode="External"/><Relationship Id="rId169" Type="http://schemas.openxmlformats.org/officeDocument/2006/relationships/hyperlink" Target="https://doi.org/10.1016/j.jnucmat.2022.153686" TargetMode="External"/><Relationship Id="rId4" Type="http://schemas.openxmlformats.org/officeDocument/2006/relationships/settings" Target="settings.xml"/><Relationship Id="rId9" Type="http://schemas.openxmlformats.org/officeDocument/2006/relationships/header" Target="header2.xml"/><Relationship Id="rId180" Type="http://schemas.openxmlformats.org/officeDocument/2006/relationships/image" Target="media/image64.emf"/><Relationship Id="rId26" Type="http://schemas.openxmlformats.org/officeDocument/2006/relationships/image" Target="media/image13.png"/><Relationship Id="rId47" Type="http://schemas.openxmlformats.org/officeDocument/2006/relationships/image" Target="media/image34.png"/><Relationship Id="rId68" Type="http://schemas.openxmlformats.org/officeDocument/2006/relationships/image" Target="media/image54.png"/><Relationship Id="rId89" Type="http://schemas.openxmlformats.org/officeDocument/2006/relationships/hyperlink" Target="https://doi.org/10.1016/j.jnucmat.2025.155745" TargetMode="External"/><Relationship Id="rId112" Type="http://schemas.openxmlformats.org/officeDocument/2006/relationships/hyperlink" Target="https://doi.org/10.1016/j.ijheatmasstransfer.2016.01.031" TargetMode="External"/><Relationship Id="rId133" Type="http://schemas.openxmlformats.org/officeDocument/2006/relationships/hyperlink" Target="https://doi.org/10.1016/0029-5493(95)01154-4" TargetMode="External"/><Relationship Id="rId154" Type="http://schemas.openxmlformats.org/officeDocument/2006/relationships/hyperlink" Target="http://www.graftech.com/wp-content/uploads/2014/12/GRAFOIL-Engineering-Manual-2nd-Ed.pdf" TargetMode="External"/><Relationship Id="rId175" Type="http://schemas.openxmlformats.org/officeDocument/2006/relationships/hyperlink" Target="https://doi.org/10.1016/0029-5493(87)90053-7" TargetMode="External"/><Relationship Id="rId16" Type="http://schemas.openxmlformats.org/officeDocument/2006/relationships/image" Target="media/image3.png"/><Relationship Id="rId37" Type="http://schemas.openxmlformats.org/officeDocument/2006/relationships/image" Target="media/image24.png"/><Relationship Id="rId58" Type="http://schemas.openxmlformats.org/officeDocument/2006/relationships/image" Target="media/image44.png"/><Relationship Id="rId79" Type="http://schemas.openxmlformats.org/officeDocument/2006/relationships/hyperlink" Target="https://doi.org/10.1016/j.jnucmat.2007.05.029" TargetMode="External"/><Relationship Id="rId102" Type="http://schemas.openxmlformats.org/officeDocument/2006/relationships/hyperlink" Target="https://doi.org/10.1016/S0920-3796(00)00178-2" TargetMode="External"/><Relationship Id="rId123" Type="http://schemas.openxmlformats.org/officeDocument/2006/relationships/hyperlink" Target="https://doi.org/10.1016/j.icheatmasstransfer.2018.08.019" TargetMode="External"/><Relationship Id="rId144" Type="http://schemas.openxmlformats.org/officeDocument/2006/relationships/hyperlink" Target="https://doi.org/10.2298/TSCI200111069S" TargetMode="External"/><Relationship Id="rId90" Type="http://schemas.openxmlformats.org/officeDocument/2006/relationships/hyperlink" Target="https://doi.org/10.1016/j.pnucene.2024.105460" TargetMode="External"/><Relationship Id="rId165" Type="http://schemas.openxmlformats.org/officeDocument/2006/relationships/hyperlink" Target="https://doi.org/10.1016/S0017-9310(00)00071-5" TargetMode="External"/><Relationship Id="rId27" Type="http://schemas.openxmlformats.org/officeDocument/2006/relationships/image" Target="media/image14.png"/><Relationship Id="rId48" Type="http://schemas.openxmlformats.org/officeDocument/2006/relationships/hyperlink" Target="https://doi.org/10.1016/j.jnucmat.2025.155745" TargetMode="External"/><Relationship Id="rId69" Type="http://schemas.openxmlformats.org/officeDocument/2006/relationships/image" Target="media/image55.png"/><Relationship Id="rId113" Type="http://schemas.openxmlformats.org/officeDocument/2006/relationships/hyperlink" Target="https://doi.org/10.1016/j.nucengdes.2008.12.001" TargetMode="External"/><Relationship Id="rId134" Type="http://schemas.openxmlformats.org/officeDocument/2006/relationships/hyperlink" Target="https://doi.org/10.1016/j.nucengdes.2019.110295" TargetMode="External"/><Relationship Id="rId80" Type="http://schemas.openxmlformats.org/officeDocument/2006/relationships/hyperlink" Target="https://doi.org/10.1016/j.jnucmat.2020.152267" TargetMode="External"/><Relationship Id="rId155" Type="http://schemas.openxmlformats.org/officeDocument/2006/relationships/hyperlink" Target="https://doi.org/10.1016/j.jnucmat.2007.05.016" TargetMode="External"/><Relationship Id="rId176" Type="http://schemas.openxmlformats.org/officeDocument/2006/relationships/hyperlink" Target="https://doi.org/10.1016/j.phpro.2015.06.191" TargetMode="External"/><Relationship Id="rId17" Type="http://schemas.openxmlformats.org/officeDocument/2006/relationships/image" Target="media/image4.jpeg"/><Relationship Id="rId38" Type="http://schemas.openxmlformats.org/officeDocument/2006/relationships/image" Target="media/image25.png"/><Relationship Id="rId59" Type="http://schemas.openxmlformats.org/officeDocument/2006/relationships/image" Target="media/image45.png"/><Relationship Id="rId103" Type="http://schemas.openxmlformats.org/officeDocument/2006/relationships/hyperlink" Target="https://doi.org/10.1016/S0029-5493(99)00314-3" TargetMode="External"/><Relationship Id="rId124" Type="http://schemas.openxmlformats.org/officeDocument/2006/relationships/hyperlink" Target="https://doi.org/10.1016/S0017-9310(03)00215-1" TargetMode="External"/><Relationship Id="rId70" Type="http://schemas.openxmlformats.org/officeDocument/2006/relationships/image" Target="media/image56.png"/><Relationship Id="rId91" Type="http://schemas.openxmlformats.org/officeDocument/2006/relationships/hyperlink" Target="https://www.nrc.gov/docs/ML2206/ML22063A131.pdf" TargetMode="External"/><Relationship Id="rId145" Type="http://schemas.openxmlformats.org/officeDocument/2006/relationships/hyperlink" Target="https://doi.org/10.1016/j.net.2020.11.003" TargetMode="External"/><Relationship Id="rId166" Type="http://schemas.openxmlformats.org/officeDocument/2006/relationships/hyperlink" Target="https://doi.org/10.1016/j.rineng.2022.100354" TargetMode="External"/><Relationship Id="rId1" Type="http://schemas.openxmlformats.org/officeDocument/2006/relationships/customXml" Target="../customXml/item1.xml"/><Relationship Id="rId28" Type="http://schemas.openxmlformats.org/officeDocument/2006/relationships/image" Target="media/image15.png"/><Relationship Id="rId49" Type="http://schemas.openxmlformats.org/officeDocument/2006/relationships/image" Target="media/image35.emf"/><Relationship Id="rId114" Type="http://schemas.openxmlformats.org/officeDocument/2006/relationships/hyperlink" Target="https://doi.org/10.1115/1.288785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herm10\Documents\etd-word-template-1%20(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2DD80B-A5EF-43DE-AC84-1767CDF510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etd-word-template-1 (1)</Template>
  <TotalTime>9</TotalTime>
  <Pages>232</Pages>
  <Words>97899</Words>
  <Characters>569776</Characters>
  <Application>Microsoft Office Word</Application>
  <DocSecurity>0</DocSecurity>
  <Lines>7913</Lines>
  <Paragraphs>327</Paragraphs>
  <ScaleCrop>false</ScaleCrop>
  <HeadingPairs>
    <vt:vector size="2" baseType="variant">
      <vt:variant>
        <vt:lpstr>Title</vt:lpstr>
      </vt:variant>
      <vt:variant>
        <vt:i4>1</vt:i4>
      </vt:variant>
    </vt:vector>
  </HeadingPairs>
  <TitlesOfParts>
    <vt:vector size="1" baseType="lpstr">
      <vt:lpstr>Guide to the Preparation of</vt:lpstr>
    </vt:vector>
  </TitlesOfParts>
  <Company>University of Tennessee</Company>
  <LinksUpToDate>false</LinksUpToDate>
  <CharactersWithSpaces>667348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to the Preparation of</dc:title>
  <dc:subject/>
  <dc:creator>Sherman, Abby L</dc:creator>
  <cp:keywords/>
  <dc:description/>
  <cp:lastModifiedBy>Sherman, Abby</cp:lastModifiedBy>
  <cp:revision>4</cp:revision>
  <cp:lastPrinted>2025-07-07T19:20:00Z</cp:lastPrinted>
  <dcterms:created xsi:type="dcterms:W3CDTF">2025-07-09T16:48:00Z</dcterms:created>
  <dcterms:modified xsi:type="dcterms:W3CDTF">2025-07-10T14:08:00Z</dcterms:modified>
</cp:coreProperties>
</file>