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3C03" w:rsidRPr="00E53C03" w:rsidRDefault="00E53C03" w:rsidP="00E53C03"/>
    <w:p w:rsidR="00E53C03" w:rsidRPr="00E53C03" w:rsidRDefault="00E53C03" w:rsidP="00E53C03"/>
    <w:p w:rsidR="00E53C03" w:rsidRPr="00E53C03" w:rsidRDefault="00E53C03" w:rsidP="00E53C03">
      <w:pPr>
        <w:jc w:val="center"/>
      </w:pPr>
      <w:bookmarkStart w:id="0" w:name="_GoBack"/>
      <w:bookmarkEnd w:id="0"/>
      <w:r w:rsidRPr="00E53C03">
        <w:t>Uncovering Latino Sex Trafficking in New Destination Areas: A Case Study</w:t>
      </w:r>
    </w:p>
    <w:p w:rsidR="00E53C03" w:rsidRPr="00E53C03" w:rsidRDefault="00E53C03" w:rsidP="00E53C03"/>
    <w:p w:rsidR="00E53C03" w:rsidRPr="00E53C03" w:rsidRDefault="00E53C03" w:rsidP="00E53C03"/>
    <w:p w:rsidR="00E53C03" w:rsidRPr="00E53C03" w:rsidRDefault="00E53C03" w:rsidP="00E53C03"/>
    <w:p w:rsidR="00E53C03" w:rsidRPr="00E53C03" w:rsidRDefault="00E53C03" w:rsidP="00E53C03"/>
    <w:p w:rsidR="00E53C03" w:rsidRPr="00E53C03" w:rsidRDefault="00E53C03" w:rsidP="00E53C03">
      <w:pPr>
        <w:jc w:val="center"/>
      </w:pPr>
      <w:r w:rsidRPr="00E53C03">
        <w:t xml:space="preserve">A Dissertation Presented for </w:t>
      </w:r>
    </w:p>
    <w:p w:rsidR="00E53C03" w:rsidRPr="00E53C03" w:rsidRDefault="00E53C03" w:rsidP="00E53C03">
      <w:pPr>
        <w:jc w:val="center"/>
      </w:pPr>
      <w:r w:rsidRPr="00E53C03">
        <w:t>The Doctor of Philosophy</w:t>
      </w:r>
    </w:p>
    <w:p w:rsidR="00E53C03" w:rsidRPr="00E53C03" w:rsidRDefault="00E53C03" w:rsidP="00E53C03">
      <w:pPr>
        <w:jc w:val="center"/>
      </w:pPr>
      <w:r w:rsidRPr="00E53C03">
        <w:t>Degree</w:t>
      </w:r>
    </w:p>
    <w:p w:rsidR="00E53C03" w:rsidRPr="00E53C03" w:rsidRDefault="00E53C03" w:rsidP="00E53C03">
      <w:pPr>
        <w:jc w:val="center"/>
      </w:pPr>
    </w:p>
    <w:p w:rsidR="00E53C03" w:rsidRPr="00E53C03" w:rsidRDefault="00E53C03" w:rsidP="00E53C03">
      <w:pPr>
        <w:jc w:val="center"/>
      </w:pPr>
      <w:r w:rsidRPr="00E53C03">
        <w:t>The University of Tennessee, Knoxville</w:t>
      </w: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r w:rsidRPr="00E53C03">
        <w:t>Lauren Kimberlee Copley</w:t>
      </w:r>
    </w:p>
    <w:p w:rsidR="00E53C03" w:rsidRPr="00E53C03" w:rsidRDefault="00E53C03" w:rsidP="00E53C03">
      <w:pPr>
        <w:jc w:val="center"/>
        <w:sectPr w:rsidR="00E53C03" w:rsidRPr="00E53C03" w:rsidSect="00D1520F">
          <w:footerReference w:type="default" r:id="rId7"/>
          <w:pgSz w:w="12240" w:h="15840"/>
          <w:pgMar w:top="1440" w:right="1440" w:bottom="1440" w:left="1440" w:header="720" w:footer="720" w:gutter="0"/>
          <w:pgNumType w:fmt="lowerRoman" w:start="2"/>
          <w:cols w:space="720"/>
          <w:docGrid w:linePitch="360"/>
        </w:sectPr>
      </w:pPr>
      <w:r w:rsidRPr="00E53C03">
        <w:t>August 2014</w:t>
      </w: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r w:rsidRPr="00E53C03">
        <w:t>Copyright © 2014 Lauren Kimberlee Copley</w:t>
      </w: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Pr>
        <w:jc w:val="center"/>
      </w:pPr>
    </w:p>
    <w:p w:rsidR="00E53C03" w:rsidRPr="00E53C03" w:rsidRDefault="00E53C03" w:rsidP="00E53C03"/>
    <w:p w:rsidR="00E53C03" w:rsidRPr="00E53C03" w:rsidRDefault="00E53C03" w:rsidP="00E53C03">
      <w:pPr>
        <w:jc w:val="center"/>
        <w:rPr>
          <w:b/>
          <w:smallCaps/>
          <w:sz w:val="28"/>
          <w:szCs w:val="28"/>
        </w:rPr>
      </w:pPr>
      <w:r w:rsidRPr="00E53C03">
        <w:rPr>
          <w:b/>
          <w:smallCaps/>
          <w:sz w:val="28"/>
          <w:szCs w:val="28"/>
        </w:rPr>
        <w:lastRenderedPageBreak/>
        <w:t xml:space="preserve">Dedication </w:t>
      </w:r>
    </w:p>
    <w:p w:rsidR="00E53C03" w:rsidRPr="00E53C03" w:rsidRDefault="00E53C03" w:rsidP="00E53C03">
      <w:pPr>
        <w:jc w:val="center"/>
      </w:pPr>
      <w:r w:rsidRPr="00E53C03">
        <w:t xml:space="preserve">To those whose stories have been ‘recognized,’ those whose stories have not, and those who do not need them to be. </w:t>
      </w: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jc w:val="center"/>
        <w:rPr>
          <w:b/>
          <w:sz w:val="28"/>
          <w:szCs w:val="28"/>
        </w:rPr>
      </w:pPr>
    </w:p>
    <w:p w:rsidR="00E53C03" w:rsidRPr="00E53C03" w:rsidRDefault="00E53C03" w:rsidP="00E53C03">
      <w:pPr>
        <w:rPr>
          <w:b/>
          <w:sz w:val="28"/>
          <w:szCs w:val="28"/>
        </w:rPr>
      </w:pPr>
    </w:p>
    <w:p w:rsidR="00E53C03" w:rsidRPr="00E53C03" w:rsidRDefault="00E53C03" w:rsidP="00E53C03">
      <w:pPr>
        <w:jc w:val="center"/>
        <w:rPr>
          <w:b/>
          <w:smallCaps/>
          <w:sz w:val="28"/>
          <w:szCs w:val="28"/>
        </w:rPr>
      </w:pPr>
      <w:r w:rsidRPr="00E53C03">
        <w:rPr>
          <w:b/>
          <w:smallCaps/>
          <w:sz w:val="28"/>
          <w:szCs w:val="28"/>
        </w:rPr>
        <w:lastRenderedPageBreak/>
        <w:t>Acknowledgements</w:t>
      </w: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r w:rsidRPr="00E53C03">
        <w:rPr>
          <w:b/>
          <w:smallCaps/>
          <w:sz w:val="28"/>
          <w:szCs w:val="28"/>
        </w:rPr>
        <w:lastRenderedPageBreak/>
        <w:t>Abstract</w:t>
      </w: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r w:rsidRPr="00E53C03">
        <w:rPr>
          <w:b/>
          <w:smallCaps/>
          <w:sz w:val="28"/>
          <w:szCs w:val="28"/>
        </w:rPr>
        <w:lastRenderedPageBreak/>
        <w:t>Table of Contents</w:t>
      </w: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sectPr w:rsidR="00E53C03" w:rsidRPr="00E53C03" w:rsidSect="00D1520F">
          <w:footerReference w:type="default" r:id="rId8"/>
          <w:pgSz w:w="12240" w:h="15840"/>
          <w:pgMar w:top="1440" w:right="1440" w:bottom="1440" w:left="1440" w:header="720" w:footer="720" w:gutter="0"/>
          <w:pgNumType w:fmt="lowerRoman" w:start="2"/>
          <w:cols w:space="720"/>
          <w:docGrid w:linePitch="360"/>
        </w:sectPr>
      </w:pPr>
    </w:p>
    <w:p w:rsidR="00E53C03" w:rsidRPr="00E53C03" w:rsidRDefault="00E53C03" w:rsidP="00E53C03">
      <w:pPr>
        <w:contextualSpacing/>
        <w:jc w:val="center"/>
        <w:rPr>
          <w:b/>
          <w:smallCaps/>
          <w:sz w:val="28"/>
          <w:szCs w:val="28"/>
        </w:rPr>
      </w:pPr>
      <w:r w:rsidRPr="00E53C03">
        <w:rPr>
          <w:b/>
          <w:smallCaps/>
          <w:sz w:val="28"/>
          <w:szCs w:val="28"/>
        </w:rPr>
        <w:lastRenderedPageBreak/>
        <w:t>Chapter 1</w:t>
      </w:r>
    </w:p>
    <w:p w:rsidR="00E53C03" w:rsidRPr="00E53C03" w:rsidRDefault="00E53C03" w:rsidP="00E53C03">
      <w:pPr>
        <w:contextualSpacing/>
        <w:jc w:val="center"/>
        <w:rPr>
          <w:b/>
          <w:smallCaps/>
          <w:sz w:val="28"/>
          <w:szCs w:val="28"/>
        </w:rPr>
      </w:pPr>
      <w:r w:rsidRPr="00E53C03">
        <w:rPr>
          <w:b/>
          <w:smallCaps/>
          <w:sz w:val="28"/>
          <w:szCs w:val="28"/>
        </w:rPr>
        <w:t>Introduction</w:t>
      </w:r>
    </w:p>
    <w:p w:rsidR="00E53C03" w:rsidRPr="00E53C03" w:rsidRDefault="00E53C03" w:rsidP="00E53C03">
      <w:pPr>
        <w:contextualSpacing/>
        <w:jc w:val="center"/>
        <w:rPr>
          <w:b/>
          <w:smallCaps/>
          <w:sz w:val="28"/>
          <w:szCs w:val="28"/>
        </w:rPr>
      </w:pPr>
    </w:p>
    <w:p w:rsidR="00E53C03" w:rsidRPr="00E53C03" w:rsidRDefault="00E53C03" w:rsidP="00E53C03">
      <w:pPr>
        <w:ind w:firstLine="720"/>
        <w:contextualSpacing/>
      </w:pPr>
      <w:r w:rsidRPr="00E53C03">
        <w:t>In early January 2011, a Latina named Sonia</w:t>
      </w:r>
      <w:r w:rsidRPr="00E53C03">
        <w:rPr>
          <w:vertAlign w:val="superscript"/>
        </w:rPr>
        <w:footnoteReference w:id="1"/>
      </w:r>
      <w:r w:rsidRPr="00E53C03">
        <w:t xml:space="preserve"> walked into a Metropolitan Nashville Police Department precinct to report her victimization at the hands of a network of Latino sex traffickers. After meeting a man who was interested in marrying her and encouraged her to tell the police of her trafficking, she had recently left the prostitution business after years of victimization. The Metropolitan Nashville Police Department reached out to the Federal Bureau of Investigation for assistance in investigating the crimes against Sonia. On January 13, 2011, Sonia was interviewed by an FBI agent to give a statement regarding her victimization and trafficking experience (</w:t>
      </w:r>
      <w:r w:rsidRPr="00E53C03">
        <w:rPr>
          <w:i/>
        </w:rPr>
        <w:t>Doc. No. 112-1</w:t>
      </w:r>
      <w:r w:rsidRPr="00E53C03">
        <w:t xml:space="preserve">). </w:t>
      </w:r>
    </w:p>
    <w:p w:rsidR="00E53C03" w:rsidRPr="00E53C03" w:rsidRDefault="00E53C03" w:rsidP="00E53C03">
      <w:pPr>
        <w:ind w:firstLine="720"/>
        <w:contextualSpacing/>
      </w:pPr>
      <w:r w:rsidRPr="00E53C03">
        <w:t xml:space="preserve">She stated she was a native of Chiapas, Mexico who entered the United States without documentation and travelled to Memphis, Tennessee. There she found work in a restaurant and was befriended by a woman who offered to help her find other work after hearing about Sonia’s need to send remittances home to support her three children in Mexico, one of whom had serious health issues. The woman offered to take Sonia to a job she had found as a maid in motel in Birmingham, Alabama. Once Sonia accepted the offer, the woman drove Sonia to a Birmingham hotel and gave her new clothes and cosmetics along with a box condoms when they arrived. Sonia balked at the instruction to enter a hotel room and wait for clients, stating that she was unwilling to do this kind of work. In response, the woman threatened both to report Sonia to the police for being an undocumented immigrant and make her children pay if she did not work for </w:t>
      </w:r>
      <w:r w:rsidRPr="00E53C03">
        <w:lastRenderedPageBreak/>
        <w:t>her. The woman punctuated her threat by presenting Sonia with a picture of her own children. Out of fear for her children’s safety, Sonia engaged in sexual intercourse with several men that night</w:t>
      </w:r>
      <w:r w:rsidRPr="00E53C03">
        <w:rPr>
          <w:vertAlign w:val="superscript"/>
        </w:rPr>
        <w:footnoteReference w:id="2"/>
      </w:r>
      <w:r w:rsidRPr="00E53C03">
        <w:t xml:space="preserve"> (</w:t>
      </w:r>
      <w:r w:rsidRPr="00E53C03">
        <w:rPr>
          <w:i/>
        </w:rPr>
        <w:t>Doc. No. 112-1</w:t>
      </w:r>
      <w:r w:rsidRPr="00E53C03">
        <w:t>). She continued to be prostituted for more than three years after being sold by her initial trafficker to other handlers</w:t>
      </w:r>
      <w:r w:rsidRPr="00E53C03">
        <w:rPr>
          <w:vertAlign w:val="superscript"/>
        </w:rPr>
        <w:footnoteReference w:id="3"/>
      </w:r>
      <w:r w:rsidRPr="00E53C03">
        <w:t>. While under their control, she was transported by these individuals weekly throughout a large loosely-affiliated trafficking network spanning between Alabama, Georgia, and Tennessee to service as many as 30 men per day (</w:t>
      </w:r>
      <w:r w:rsidRPr="00E53C03">
        <w:rPr>
          <w:i/>
        </w:rPr>
        <w:t>Doc. No. 112-1</w:t>
      </w:r>
      <w:r w:rsidRPr="00E53C03">
        <w:t xml:space="preserve">). </w:t>
      </w:r>
    </w:p>
    <w:p w:rsidR="00E53C03" w:rsidRPr="00E53C03" w:rsidRDefault="00E53C03" w:rsidP="00E53C03">
      <w:pPr>
        <w:ind w:firstLine="720"/>
        <w:contextualSpacing/>
      </w:pPr>
      <w:r w:rsidRPr="00E53C03">
        <w:t xml:space="preserve">Sonia’s experiences are indicative of migration patterns in new destination areas in the South where coercion and commercial sex enterprises intersect with new categories of victims and perpetrators and efforts by law enforcement, legal actors, and social service actors to employ the law to define and respond to sexual harm. This dissertation is a case study of the investigation and prosecution of nine Latino sex traffickers, many of whom had been involved in the victimization of Sonia and other Latina women in prostitution businesses in new destination areas of East and Middle Tennessee and Middle Kentucky. This case study is an instance of an important case of how law constrains the recognition of certain types of harm and victims and how these constraints affect criminal case processing, case outcomes, and the services available to victims. </w:t>
      </w:r>
    </w:p>
    <w:p w:rsidR="00E53C03" w:rsidRPr="00E53C03" w:rsidRDefault="00E53C03" w:rsidP="00E53C03">
      <w:pPr>
        <w:ind w:firstLine="720"/>
        <w:contextualSpacing/>
      </w:pPr>
      <w:r w:rsidRPr="00E53C03">
        <w:t xml:space="preserve">As this dissertation will highlight, the social problem of sex trafficking has also been defined as a specific type of crime problem, which has shaped and constrained the way that it is </w:t>
      </w:r>
      <w:r w:rsidRPr="00E53C03">
        <w:lastRenderedPageBreak/>
        <w:t xml:space="preserve">handled under the law. The concepts of force, fraud, coercion, and agency are at the center of the construction of the crime of sex trafficking, with the law recognizing only specific constructions. Yet, the variability in the ways that victims, offenders, legal and social service actors define the victimization involved in the crime of sex trafficking highlight the constructed and subjective nature of the concepts of force, fraud, coercion, and agency. To begin the examination of these issues, an analysis of the investigation and prosecution of members of one part of the trafficking network which victimized Sonia is needed. </w:t>
      </w:r>
    </w:p>
    <w:p w:rsidR="00E53C03" w:rsidRPr="00E53C03" w:rsidRDefault="00E53C03" w:rsidP="00E53C03">
      <w:pPr>
        <w:ind w:firstLine="720"/>
        <w:contextualSpacing/>
      </w:pPr>
    </w:p>
    <w:p w:rsidR="00E53C03" w:rsidRPr="00E53C03" w:rsidRDefault="00E53C03" w:rsidP="00E53C03">
      <w:pPr>
        <w:contextualSpacing/>
        <w:jc w:val="center"/>
        <w:rPr>
          <w:b/>
        </w:rPr>
      </w:pPr>
      <w:r w:rsidRPr="00E53C03">
        <w:rPr>
          <w:b/>
        </w:rPr>
        <w:t>Case Investigation</w:t>
      </w:r>
    </w:p>
    <w:p w:rsidR="00E53C03" w:rsidRPr="00E53C03" w:rsidRDefault="00E53C03" w:rsidP="00E53C03">
      <w:pPr>
        <w:contextualSpacing/>
        <w:jc w:val="center"/>
      </w:pPr>
    </w:p>
    <w:p w:rsidR="00E53C03" w:rsidRPr="00E53C03" w:rsidRDefault="00E53C03" w:rsidP="00E53C03">
      <w:pPr>
        <w:ind w:firstLine="720"/>
        <w:contextualSpacing/>
      </w:pPr>
      <w:r w:rsidRPr="00E53C03">
        <w:t>Slightly before Sonia stepped forward, the FBI received information concerning “alien handlers [who operated] a loosely affiliated network of prostitutes” in Morristown, Johnson City, and Knoxville, TN (</w:t>
      </w:r>
      <w:r w:rsidRPr="00E53C03">
        <w:rPr>
          <w:i/>
        </w:rPr>
        <w:t>Doc. No. 112-1</w:t>
      </w:r>
      <w:r w:rsidRPr="00E53C03">
        <w:t xml:space="preserve">, p. 2). This information, combined with statements from confidential sources within the Latino community in Morristown, TN and investigations occurring in Memphis and Nashville, TN, led to the investigation of nine Latino sex traffickers trafficking undocumented immigrant women throughout East and Middle Tennessee and Middle Kentucky for the purposes of prostitution. The subsequent prosecution of the crime was the first criminal case of its kind to be tried in federal court in the Eastern District of Tennessee’s Northeastern Division. </w:t>
      </w:r>
    </w:p>
    <w:p w:rsidR="00E53C03" w:rsidRPr="00E53C03" w:rsidRDefault="00E53C03" w:rsidP="00E53C03">
      <w:pPr>
        <w:ind w:firstLine="720"/>
        <w:contextualSpacing/>
      </w:pPr>
      <w:r w:rsidRPr="00E53C03">
        <w:t xml:space="preserve">Sonia and other Latino confidential informants were key to this investigation. In her debriefings with the FBI, Sonia provided detailed information on the handlers and their businesses she had worked for during her more than three years in prostitution. Through the information given by Sonia and the other confidential informants and surveillance, law </w:t>
      </w:r>
      <w:r w:rsidRPr="00E53C03">
        <w:lastRenderedPageBreak/>
        <w:t>enforcement centered their investigation on the handlers operating five brothels in Morristown, Knoxville, and Goodlettsville, TN and Louisville, KY. Rubio Trinidad Narciso and his romantic partner Rosa Garcia Menendez operated as handlers in Morristown, TN and employed Raymundo Sanchez Torres to assist in transporting the women working for them. In Knoxville, TN, Elda Dorali Moreno Ramirez maintained a brothel while continuing to be prostituted by other handlers and Reyna Rodriguez Rios operated a competing brothel employing Elda’s former driver Eusebio Martinez Flores for deliveries. Freddy Lopez Torres operated a brothel in Goodlettsville, TN. Obdulio Comacho Morales and his romantic partner Esthela Silfa Vasquez operated a brothel in Louisville, KY</w:t>
      </w:r>
      <w:r w:rsidRPr="00E53C03">
        <w:rPr>
          <w:vertAlign w:val="superscript"/>
        </w:rPr>
        <w:footnoteReference w:id="4"/>
      </w:r>
      <w:r w:rsidRPr="00E53C03">
        <w:t>.  (</w:t>
      </w:r>
      <w:r w:rsidRPr="00E53C03">
        <w:rPr>
          <w:i/>
        </w:rPr>
        <w:t>Doc. No. 112-1; Doc. No 98-1; Doc. No. 102-1; Doc. No. 110-1; Doc. No. 121-1; Doc. No. 122-1; Doc. No. 108-1; Doc. No. 115-1; Doc. No. 116-1; Doc. No. 106-1; Doc. No. 104-1</w:t>
      </w:r>
      <w:r w:rsidRPr="00E53C03">
        <w:t>)3. These handlers were all familiar acquaintances</w:t>
      </w:r>
      <w:r w:rsidRPr="00E53C03">
        <w:rPr>
          <w:vertAlign w:val="superscript"/>
        </w:rPr>
        <w:footnoteReference w:id="5"/>
      </w:r>
      <w:r w:rsidRPr="00E53C03">
        <w:t xml:space="preserve"> who traded women within their network of brothels and other associated brothels throughout the Eastern United States. </w:t>
      </w:r>
    </w:p>
    <w:p w:rsidR="00E53C03" w:rsidRPr="00E53C03" w:rsidRDefault="00E53C03" w:rsidP="00E53C03">
      <w:pPr>
        <w:contextualSpacing/>
      </w:pPr>
      <w:r w:rsidRPr="00E53C03">
        <w:tab/>
        <w:t xml:space="preserve">The federal investigation, conducted with the assistance of local law enforcement, utilized five confidential informants, including Sonia, to gather evidence on these five brothels, those involved in running them, and share their prior knowledge of the criminal conspiracy. Their stories highlighted the coercive means used to traffic these women and covertly transport them within the network. For example, one male informant stated that he had learned quite a bit about Rubio Trinidad Narciso’s prostitution business from his friends who frequented it. They had explained to him that most of the women are tricked into migrating to the United States </w:t>
      </w:r>
      <w:r w:rsidRPr="00E53C03">
        <w:lastRenderedPageBreak/>
        <w:t>believing they were coming for legitimate work or are forced into prostitution to repay their debts to coyotes. He stated that Rubio charged $30 for 15 minutes of sexual intercourse. He used a weekly rotation of women in their brothels trading the women with other handlers after the women worked Monday through Saturday from five in the evening to midnight or later. Within the larger network, it usually took around five months for prostitutes to return to a specific area (</w:t>
      </w:r>
      <w:r w:rsidRPr="00E53C03">
        <w:rPr>
          <w:i/>
        </w:rPr>
        <w:t>Doc. No. 112-1</w:t>
      </w:r>
      <w:r w:rsidRPr="00E53C03">
        <w:t xml:space="preserve">). </w:t>
      </w:r>
    </w:p>
    <w:p w:rsidR="00E53C03" w:rsidRPr="00E53C03" w:rsidRDefault="00E53C03" w:rsidP="00E53C03">
      <w:pPr>
        <w:ind w:firstLine="720"/>
        <w:contextualSpacing/>
      </w:pPr>
      <w:r w:rsidRPr="00E53C03">
        <w:t>Sonia’s statements corroborated those of the other informant in regards to the price of sexual service, weekly rotation schedule within the network, and the coercive and exploitive relationships between many handlers and the women they prostitute. The women are not given any part of the $30 fee for their services, but live on the tips paid to them by their customers, varying between $10 and $50 with an average of $20 (</w:t>
      </w:r>
      <w:r w:rsidRPr="00E53C03">
        <w:rPr>
          <w:i/>
        </w:rPr>
        <w:t>Doc. No. 116-1</w:t>
      </w:r>
      <w:r w:rsidRPr="00E53C03">
        <w:t>). She stated ‘padrotes’ threaten or force women into becoming or staying involved in prostitution and maintains control over the women’s earning, while other handlers negotiate with the women who voluntarily enter prostitution. She further stated that the handlers trade prostitutes weekly to have a constantly changing supply of prostitutes to provide customers with variety and allow popular prostitutes to request higher prices. It is considered bad judgment to service clients outside of the Latino ethnic community, thus the brothel and outcall</w:t>
      </w:r>
      <w:r w:rsidRPr="00E53C03">
        <w:rPr>
          <w:vertAlign w:val="superscript"/>
        </w:rPr>
        <w:footnoteReference w:id="6"/>
      </w:r>
      <w:r w:rsidRPr="00E53C03">
        <w:t xml:space="preserve"> prostitution businesses involved in this network advertised via business cards placed at local Latino businesses and word-of-mouth (</w:t>
      </w:r>
      <w:r w:rsidRPr="00E53C03">
        <w:rPr>
          <w:i/>
        </w:rPr>
        <w:t>Doc. No. 112-1, Doc. No. 116-1</w:t>
      </w:r>
      <w:r w:rsidRPr="00E53C03">
        <w:t xml:space="preserve">). </w:t>
      </w:r>
    </w:p>
    <w:p w:rsidR="00E53C03" w:rsidRPr="00E53C03" w:rsidRDefault="00E53C03" w:rsidP="00E53C03">
      <w:pPr>
        <w:ind w:firstLine="720"/>
        <w:contextualSpacing/>
      </w:pPr>
      <w:r w:rsidRPr="00E53C03">
        <w:t xml:space="preserve">To build upon the information provided by the statements of the confidential informants on their prior knowledge of Latino sex trafficking in the area, law enforcement began to employ numerous investigative techniques to gather further evidence of sex trafficking to prosecute those </w:t>
      </w:r>
      <w:r w:rsidRPr="00E53C03">
        <w:lastRenderedPageBreak/>
        <w:t>involved in this prostitution network. The law enforcement investigation relied upon physical surveillance, trash pulls</w:t>
      </w:r>
      <w:r w:rsidRPr="00E53C03">
        <w:rPr>
          <w:vertAlign w:val="superscript"/>
        </w:rPr>
        <w:footnoteReference w:id="7"/>
      </w:r>
      <w:r w:rsidRPr="00E53C03">
        <w:t>, residential ‘knock and talk’ interviews, telephone pen register/trap and trace orders</w:t>
      </w:r>
      <w:r w:rsidRPr="00E53C03">
        <w:rPr>
          <w:vertAlign w:val="superscript"/>
        </w:rPr>
        <w:footnoteReference w:id="8"/>
      </w:r>
      <w:r w:rsidRPr="00E53C03">
        <w:t>, state Department of Motor Vehicle information database checks, vehicle tracking devices, pre-textual traffic stops, and search warrants to gather evidence for a federal criminal indictment</w:t>
      </w:r>
      <w:r w:rsidRPr="00E53C03">
        <w:rPr>
          <w:vertAlign w:val="superscript"/>
        </w:rPr>
        <w:footnoteReference w:id="9"/>
      </w:r>
      <w:r w:rsidRPr="00E53C03">
        <w:t xml:space="preserve">. </w:t>
      </w:r>
    </w:p>
    <w:p w:rsidR="00E53C03" w:rsidRPr="00E53C03" w:rsidRDefault="00E53C03" w:rsidP="00E53C03">
      <w:pPr>
        <w:ind w:firstLine="720"/>
        <w:contextualSpacing/>
      </w:pPr>
      <w:r w:rsidRPr="00E53C03">
        <w:t>Through physical surveillance, pen registers, and the use of vehicle tracking devices, law enforcement was able to document the interstate and local transportation of women for the purposes of prostitution by the handlers involved in this network and the communication between them in furtherance of the conspiracy. There was evidence that these handlers had transported women on interstates and across state lines in this conspiracy and delivered women to residences in manners “consistent with outcall prostitution services” (</w:t>
      </w:r>
      <w:r w:rsidRPr="00E53C03">
        <w:rPr>
          <w:i/>
        </w:rPr>
        <w:t>Doc. No. 122-1</w:t>
      </w:r>
      <w:r w:rsidRPr="00E53C03">
        <w:t xml:space="preserve">, p. 18; </w:t>
      </w:r>
      <w:r w:rsidRPr="00E53C03">
        <w:rPr>
          <w:i/>
        </w:rPr>
        <w:t>Doc. No. 108-1</w:t>
      </w:r>
      <w:r w:rsidRPr="00E53C03">
        <w:t xml:space="preserve">; </w:t>
      </w:r>
      <w:r w:rsidRPr="00E53C03">
        <w:rPr>
          <w:i/>
        </w:rPr>
        <w:t>Doc. No. 102-1; Doc. No. 112-1; Doc. No. 110-1</w:t>
      </w:r>
      <w:r w:rsidRPr="00E53C03">
        <w:t>). Many of these confidential informants, Sonia in particular, went undercover throughout the investigation as prospective handlers or prostitutes looking to join the network to provide audio and/or visual recordings of the statements and actions of the offenders (</w:t>
      </w:r>
      <w:r w:rsidRPr="00E53C03">
        <w:rPr>
          <w:i/>
        </w:rPr>
        <w:t>Doc. No. 98-1</w:t>
      </w:r>
      <w:r w:rsidRPr="00E53C03">
        <w:t xml:space="preserve">).  </w:t>
      </w:r>
    </w:p>
    <w:p w:rsidR="00E53C03" w:rsidRPr="00E53C03" w:rsidRDefault="00E53C03" w:rsidP="00E53C03">
      <w:pPr>
        <w:ind w:firstLine="720"/>
        <w:contextualSpacing/>
      </w:pPr>
      <w:r w:rsidRPr="00E53C03">
        <w:t xml:space="preserve">As the handlers were known only by their nicknames, law enforcement conducted pre-textual traffic stops, a ‘knock and talk’ at a suspected brothel, and checks of state Department of Motor Vehicle records to determine the handlers’ true identities and residence information. Law enforcement also used trash pulls to gather evidence of prostitution from the suspected brothels, such as condoms, other sexual items, ledgers, and other documents. All of the evidence from these investigative techniques was used to construct law enforcement’s case against this sex </w:t>
      </w:r>
      <w:r w:rsidRPr="00E53C03">
        <w:lastRenderedPageBreak/>
        <w:t>trafficking network which was laid out in the affidavits included in the application for search warrants of the handlers’ brothels (</w:t>
      </w:r>
      <w:r w:rsidRPr="00E53C03">
        <w:rPr>
          <w:i/>
        </w:rPr>
        <w:t>Doc. No. 122-1</w:t>
      </w:r>
      <w:r w:rsidRPr="00E53C03">
        <w:t xml:space="preserve">; </w:t>
      </w:r>
      <w:r w:rsidRPr="00E53C03">
        <w:rPr>
          <w:i/>
        </w:rPr>
        <w:t>Doc. No. 108-1</w:t>
      </w:r>
      <w:r w:rsidRPr="00E53C03">
        <w:t xml:space="preserve">; </w:t>
      </w:r>
      <w:r w:rsidRPr="00E53C03">
        <w:rPr>
          <w:i/>
        </w:rPr>
        <w:t>Doc. No. 102-1; Doc. No. 98-1; Doc. No. 104-1; Doc. No. 110-1</w:t>
      </w:r>
      <w:r w:rsidRPr="00E53C03">
        <w:t xml:space="preserve">).   </w:t>
      </w:r>
    </w:p>
    <w:p w:rsidR="00E53C03" w:rsidRPr="00E53C03" w:rsidRDefault="00E53C03" w:rsidP="00E53C03">
      <w:pPr>
        <w:ind w:firstLine="720"/>
        <w:contextualSpacing/>
      </w:pPr>
      <w:r w:rsidRPr="00E53C03">
        <w:t>All of the investigatory techniques and their findings were argued by federal law enforcement officers to provide enough evidence for meeting the standards of probable cause for a number of federal crimes related to criminal conspiracy, interstate transportation for the purposes of prostitution, operation of brothels using undocumented immigrants, forced labor, trafficking for forced labor, transportation and harboring of undocumented immigrants, money laundering, crimes involving false identification, and drug trafficking in their affidavits for search warrants (</w:t>
      </w:r>
      <w:r w:rsidRPr="00E53C03">
        <w:rPr>
          <w:i/>
        </w:rPr>
        <w:t>Doc. No. 112-1; Doc. No 98-1; Doc. No. 102-1; Doc. No. 110-1; Doc. No. 121-1; Doc. No. 122-1; Doc. No. 108-1; Doc. No. 115-1; Doc. No. 116-1; Doc. No. 106-1; Doc. No. 104-1</w:t>
      </w:r>
      <w:r w:rsidRPr="00E53C03">
        <w:t>). The investigation culminated with the searches of the suspected brothels almost simultaneously on May 4, 2011, at the eight residences and brothels used by the handlers to gather evidence of any items pertaining to the maintenance of a brothel</w:t>
      </w:r>
      <w:r w:rsidRPr="00E53C03">
        <w:rPr>
          <w:vertAlign w:val="superscript"/>
        </w:rPr>
        <w:footnoteReference w:id="10"/>
      </w:r>
      <w:r w:rsidRPr="00E53C03">
        <w:t>. They were searching for evidence such as identification documents, debt records, correspondence, receipts, customer lists, bank documents, cell phones, computers, media storage devices, business cards, tokens, sex devices, any weapons, and US currency (</w:t>
      </w:r>
      <w:r w:rsidRPr="00E53C03">
        <w:rPr>
          <w:i/>
        </w:rPr>
        <w:t>Doc. No. 110-1; Doc. No. 121-1; Doc. No. 122-1; Doc. No. 108-1; Doc. No. 115-1; Doc. No. 116-1; Doc. No. 106-1; Doc. No. 104-1</w:t>
      </w:r>
      <w:r w:rsidRPr="00E53C03">
        <w:t>).</w:t>
      </w:r>
    </w:p>
    <w:p w:rsidR="00E53C03" w:rsidRPr="00E53C03" w:rsidRDefault="00E53C03" w:rsidP="00E53C03">
      <w:pPr>
        <w:ind w:firstLine="720"/>
        <w:contextualSpacing/>
      </w:pPr>
      <w:r w:rsidRPr="00E53C03">
        <w:t>The searches of the brothels and residences recovered significant amounts of evidence that the handlers in this trafficking network were engaged in prostitution of undocumented immigrant women, including a number of victims which were found at the brothels. Law enforcement seized dozens of cell phones, several journals and notebooks, ledgers, numerous money order and money transfer receipts, condoms, sexual items, credit cards, laptops, business cards, cameras, video cameras, a large number of identification documents, bank statements, tokens used to track the number of sexual services sold, and large amounts of cash (</w:t>
      </w:r>
      <w:r w:rsidRPr="00E53C03">
        <w:rPr>
          <w:i/>
        </w:rPr>
        <w:t>Doc. No. 110-1; Doc. No. 121-1; Doc. No. 122-1; Doc. No. 108-1; Doc. No. 115-1; Doc. No. 116-1; Doc. No. 106-1; Doc. No. 104-1</w:t>
      </w:r>
      <w:r w:rsidRPr="00E53C03">
        <w:t>). The amount of money found at the brothels highlights the lucrative nature of the prostitution businesses making up this criminal network. At one location used by Esthela and Obdulio, $2,500 in US currency was seized along with suspected drugs (</w:t>
      </w:r>
      <w:r w:rsidRPr="00E53C03">
        <w:rPr>
          <w:i/>
        </w:rPr>
        <w:t>Doc. No. 121-1)</w:t>
      </w:r>
      <w:r w:rsidRPr="00E53C03">
        <w:t>. Law enforcement seized $599 from the location used by Elda (</w:t>
      </w:r>
      <w:r w:rsidRPr="00E53C03">
        <w:rPr>
          <w:i/>
        </w:rPr>
        <w:t>Doc. No. 108-1</w:t>
      </w:r>
      <w:r w:rsidRPr="00E53C03">
        <w:t>). An additional $461 in US currency was seized from the brothel used by Rubio and Rosa (</w:t>
      </w:r>
      <w:r w:rsidRPr="00E53C03">
        <w:rPr>
          <w:i/>
        </w:rPr>
        <w:t>Doc. No. 106-1</w:t>
      </w:r>
      <w:r w:rsidRPr="00E53C03">
        <w:t xml:space="preserve">). </w:t>
      </w:r>
    </w:p>
    <w:p w:rsidR="00E53C03" w:rsidRPr="00E53C03" w:rsidRDefault="00E53C03" w:rsidP="00E53C03">
      <w:pPr>
        <w:ind w:firstLine="720"/>
        <w:contextualSpacing/>
      </w:pPr>
      <w:r w:rsidRPr="00E53C03">
        <w:t xml:space="preserve">The evidence regarding the handlers’ criminal conspiracy to traffic undocumented immigrant women for prostitution gathered throughout the law enforcement investigation were used as the basis for a federal criminal indictment. The searches of the brothels at the culmination of the investigation were strategically scheduled to occur after the grand jury returned the indictment so that any of the handlers located at the brothels during the searches could be arrested at the same time. After all of the handlers were arrested, the criminal case was moved into the next phase of prosecuting them as defendants accused of a crime. An analysis of the legal proceedings allows for an examination of the constraining effects of law and legal definitions on case processing, the treatment of victims, and the ways that the crime being prosecuted is constructed by offenders and legal actors. </w:t>
      </w:r>
    </w:p>
    <w:p w:rsidR="00E53C03" w:rsidRPr="00E53C03" w:rsidRDefault="00E53C03" w:rsidP="00E53C03">
      <w:pPr>
        <w:ind w:firstLine="720"/>
        <w:contextualSpacing/>
      </w:pPr>
    </w:p>
    <w:p w:rsidR="00E53C03" w:rsidRPr="00E53C03" w:rsidRDefault="00E53C03" w:rsidP="00E53C03">
      <w:pPr>
        <w:contextualSpacing/>
        <w:jc w:val="center"/>
        <w:rPr>
          <w:b/>
        </w:rPr>
      </w:pPr>
      <w:r w:rsidRPr="00E53C03">
        <w:rPr>
          <w:b/>
        </w:rPr>
        <w:t>Legal Proceedings</w:t>
      </w:r>
    </w:p>
    <w:p w:rsidR="00E53C03" w:rsidRPr="00E53C03" w:rsidRDefault="00E53C03" w:rsidP="00E53C03">
      <w:pPr>
        <w:contextualSpacing/>
        <w:jc w:val="center"/>
      </w:pPr>
    </w:p>
    <w:p w:rsidR="00E53C03" w:rsidRPr="00E53C03" w:rsidRDefault="00E53C03" w:rsidP="00E53C03">
      <w:pPr>
        <w:tabs>
          <w:tab w:val="left" w:pos="720"/>
          <w:tab w:val="left" w:pos="1440"/>
          <w:tab w:val="left" w:pos="2160"/>
          <w:tab w:val="left" w:pos="2568"/>
        </w:tabs>
        <w:contextualSpacing/>
      </w:pPr>
      <w:r w:rsidRPr="00E53C03">
        <w:tab/>
        <w:t>On May 3, 2011, a sealed thirteen count grand jury indictment was returned in US District Court for the Eastern District of Tennessee’s Northeastern Division against nine handlers involved in this prostitution network- Reyna Rodriguez Rios, Eusebio Martinez Flores, Rosa Garcia Menendez, Obdulio Comacho Morales, Rubio Trinidad Narciso, Elda Dorali Moreno Ramirez, Raymundo Sanchez Torres, Freddy Lopez Torres, and Esthela Silfa Vasquez (see Table 1 below). The indictment alleged that the defendants “knowingly and willfully conspired and agreed with each other, and other persons known and unknown…to commit offenses against the United States” and additional violations of 18 U.S.C. § 2421, 2422(a), and 2424, 18 U.S.C. § 371, and 8 U.S.C. § 1324(a)(1)(A)(ii-iii)</w:t>
      </w:r>
      <w:r w:rsidRPr="00E53C03">
        <w:rPr>
          <w:vertAlign w:val="superscript"/>
        </w:rPr>
        <w:footnoteReference w:id="11"/>
      </w:r>
      <w:r w:rsidRPr="00E53C03">
        <w:t xml:space="preserve"> (</w:t>
      </w:r>
      <w:r w:rsidRPr="00E53C03">
        <w:rPr>
          <w:i/>
        </w:rPr>
        <w:t>Doc. No. 7</w:t>
      </w:r>
      <w:r w:rsidRPr="00E53C03">
        <w:t>, p. 1). A superseding indictment was filed on July 6, 2011 alleging additional “overt acts in furtherance of the conspiracy” (</w:t>
      </w:r>
      <w:r w:rsidRPr="00E53C03">
        <w:rPr>
          <w:i/>
        </w:rPr>
        <w:t>Doc. No. 118</w:t>
      </w:r>
      <w:r w:rsidRPr="00E53C03">
        <w:t>, p. 5). The case was consolidated under one case number and transferred to the Eastern District Court of Tennessee to try all nine defendants together (</w:t>
      </w:r>
      <w:r w:rsidRPr="00E53C03">
        <w:rPr>
          <w:i/>
        </w:rPr>
        <w:t>Doc. No. 5; Doc. No. 117</w:t>
      </w:r>
      <w:r w:rsidRPr="00E53C03">
        <w:t>).</w:t>
      </w: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r w:rsidRPr="00E53C03">
        <w:t>Table 1- Grand Jury Indictment</w:t>
      </w:r>
    </w:p>
    <w:tbl>
      <w:tblPr>
        <w:tblStyle w:val="TableGrid"/>
        <w:tblW w:w="0" w:type="auto"/>
        <w:tblLook w:val="04A0" w:firstRow="1" w:lastRow="0" w:firstColumn="1" w:lastColumn="0" w:noHBand="0" w:noVBand="1"/>
      </w:tblPr>
      <w:tblGrid>
        <w:gridCol w:w="1074"/>
        <w:gridCol w:w="5506"/>
        <w:gridCol w:w="2770"/>
      </w:tblGrid>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jc w:val="center"/>
              <w:rPr>
                <w:b/>
                <w:i/>
                <w:sz w:val="28"/>
                <w:szCs w:val="28"/>
              </w:rPr>
            </w:pPr>
            <w:r w:rsidRPr="00E53C03">
              <w:rPr>
                <w:b/>
                <w:i/>
                <w:sz w:val="28"/>
                <w:szCs w:val="28"/>
              </w:rPr>
              <w:t>Count</w:t>
            </w:r>
          </w:p>
        </w:tc>
        <w:tc>
          <w:tcPr>
            <w:tcW w:w="0" w:type="auto"/>
          </w:tcPr>
          <w:p w:rsidR="00E53C03" w:rsidRPr="00E53C03" w:rsidRDefault="00E53C03" w:rsidP="00E53C03">
            <w:pPr>
              <w:tabs>
                <w:tab w:val="left" w:pos="720"/>
                <w:tab w:val="left" w:pos="1440"/>
                <w:tab w:val="left" w:pos="2160"/>
                <w:tab w:val="left" w:pos="2568"/>
              </w:tabs>
              <w:contextualSpacing/>
              <w:jc w:val="center"/>
              <w:rPr>
                <w:b/>
                <w:i/>
                <w:sz w:val="28"/>
                <w:szCs w:val="28"/>
              </w:rPr>
            </w:pPr>
            <w:r w:rsidRPr="00E53C03">
              <w:rPr>
                <w:b/>
                <w:i/>
                <w:sz w:val="28"/>
                <w:szCs w:val="28"/>
              </w:rPr>
              <w:t>Charge</w:t>
            </w:r>
          </w:p>
        </w:tc>
        <w:tc>
          <w:tcPr>
            <w:tcW w:w="0" w:type="auto"/>
          </w:tcPr>
          <w:p w:rsidR="00E53C03" w:rsidRPr="00E53C03" w:rsidRDefault="00E53C03" w:rsidP="00E53C03">
            <w:pPr>
              <w:tabs>
                <w:tab w:val="left" w:pos="720"/>
                <w:tab w:val="left" w:pos="1440"/>
                <w:tab w:val="left" w:pos="2160"/>
                <w:tab w:val="left" w:pos="2568"/>
              </w:tabs>
              <w:contextualSpacing/>
              <w:jc w:val="center"/>
              <w:rPr>
                <w:b/>
                <w:i/>
                <w:sz w:val="28"/>
                <w:szCs w:val="28"/>
              </w:rPr>
            </w:pPr>
            <w:r w:rsidRPr="00E53C03">
              <w:rPr>
                <w:b/>
                <w:i/>
                <w:sz w:val="28"/>
                <w:szCs w:val="28"/>
              </w:rPr>
              <w:t>Defendants Involved</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1</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Transport Prostitutes in Interstate Commerce</w:t>
            </w:r>
          </w:p>
        </w:tc>
        <w:tc>
          <w:tcPr>
            <w:tcW w:w="0" w:type="auto"/>
          </w:tcPr>
          <w:p w:rsidR="00E53C03" w:rsidRPr="00E53C03" w:rsidRDefault="00E53C03" w:rsidP="00E53C03">
            <w:pPr>
              <w:tabs>
                <w:tab w:val="left" w:pos="720"/>
                <w:tab w:val="left" w:pos="1440"/>
                <w:tab w:val="left" w:pos="2160"/>
                <w:tab w:val="left" w:pos="2568"/>
              </w:tabs>
              <w:contextualSpacing/>
            </w:pPr>
            <w:r w:rsidRPr="00E53C03">
              <w:t>All</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2</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Induce Interstate Travel for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All</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3</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Operate Brothel with Illegal Aliens</w:t>
            </w:r>
          </w:p>
        </w:tc>
        <w:tc>
          <w:tcPr>
            <w:tcW w:w="0" w:type="auto"/>
          </w:tcPr>
          <w:p w:rsidR="00E53C03" w:rsidRPr="00E53C03" w:rsidRDefault="00E53C03" w:rsidP="00E53C03">
            <w:pPr>
              <w:tabs>
                <w:tab w:val="left" w:pos="720"/>
                <w:tab w:val="left" w:pos="1440"/>
                <w:tab w:val="left" w:pos="2160"/>
                <w:tab w:val="left" w:pos="2568"/>
              </w:tabs>
              <w:contextualSpacing/>
            </w:pPr>
            <w:r w:rsidRPr="00E53C03">
              <w:t>All</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4</w:t>
            </w:r>
          </w:p>
        </w:tc>
        <w:tc>
          <w:tcPr>
            <w:tcW w:w="0" w:type="auto"/>
          </w:tcPr>
          <w:p w:rsidR="00E53C03" w:rsidRPr="00E53C03" w:rsidRDefault="00E53C03" w:rsidP="00E53C03">
            <w:pPr>
              <w:tabs>
                <w:tab w:val="left" w:pos="720"/>
                <w:tab w:val="left" w:pos="1440"/>
                <w:tab w:val="left" w:pos="2160"/>
                <w:tab w:val="left" w:pos="2568"/>
              </w:tabs>
              <w:contextualSpacing/>
            </w:pPr>
            <w:r w:rsidRPr="00E53C03">
              <w:t>Inducing Travel to Engage in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Reyna Rodriguez Rios</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5</w:t>
            </w:r>
          </w:p>
        </w:tc>
        <w:tc>
          <w:tcPr>
            <w:tcW w:w="0" w:type="auto"/>
          </w:tcPr>
          <w:p w:rsidR="00E53C03" w:rsidRPr="00E53C03" w:rsidRDefault="00E53C03" w:rsidP="00E53C03">
            <w:pPr>
              <w:tabs>
                <w:tab w:val="left" w:pos="720"/>
                <w:tab w:val="left" w:pos="1440"/>
                <w:tab w:val="left" w:pos="2160"/>
                <w:tab w:val="left" w:pos="2568"/>
              </w:tabs>
              <w:contextualSpacing/>
            </w:pPr>
            <w:r w:rsidRPr="00E53C03">
              <w:t>Transporting Individual in Interstate Commerce for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Eusebio Flores Martinez</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6</w:t>
            </w:r>
          </w:p>
        </w:tc>
        <w:tc>
          <w:tcPr>
            <w:tcW w:w="0" w:type="auto"/>
          </w:tcPr>
          <w:p w:rsidR="00E53C03" w:rsidRPr="00E53C03" w:rsidRDefault="00E53C03" w:rsidP="00E53C03">
            <w:pPr>
              <w:tabs>
                <w:tab w:val="left" w:pos="720"/>
                <w:tab w:val="left" w:pos="1440"/>
                <w:tab w:val="left" w:pos="2160"/>
                <w:tab w:val="left" w:pos="2568"/>
              </w:tabs>
              <w:contextualSpacing/>
            </w:pPr>
            <w:r w:rsidRPr="00E53C03">
              <w:t>Inducing Travel to Engage in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Rosa Garcia Menendez</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7</w:t>
            </w:r>
          </w:p>
        </w:tc>
        <w:tc>
          <w:tcPr>
            <w:tcW w:w="0" w:type="auto"/>
          </w:tcPr>
          <w:p w:rsidR="00E53C03" w:rsidRPr="00E53C03" w:rsidRDefault="00E53C03" w:rsidP="00E53C03">
            <w:pPr>
              <w:tabs>
                <w:tab w:val="left" w:pos="720"/>
                <w:tab w:val="left" w:pos="1440"/>
                <w:tab w:val="left" w:pos="2160"/>
                <w:tab w:val="left" w:pos="2568"/>
              </w:tabs>
              <w:contextualSpacing/>
            </w:pPr>
            <w:r w:rsidRPr="00E53C03">
              <w:t>Inducing Travel to Engage in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Obdulio Comacho Morales</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8</w:t>
            </w:r>
          </w:p>
        </w:tc>
        <w:tc>
          <w:tcPr>
            <w:tcW w:w="0" w:type="auto"/>
          </w:tcPr>
          <w:p w:rsidR="00E53C03" w:rsidRPr="00E53C03" w:rsidRDefault="00E53C03" w:rsidP="00E53C03">
            <w:pPr>
              <w:tabs>
                <w:tab w:val="left" w:pos="720"/>
                <w:tab w:val="left" w:pos="1440"/>
                <w:tab w:val="left" w:pos="2160"/>
                <w:tab w:val="left" w:pos="2568"/>
              </w:tabs>
              <w:contextualSpacing/>
            </w:pPr>
            <w:r w:rsidRPr="00E53C03">
              <w:t>Inducing Travel to Engage in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Rubio Trinidad Narciso</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9</w:t>
            </w:r>
          </w:p>
        </w:tc>
        <w:tc>
          <w:tcPr>
            <w:tcW w:w="0" w:type="auto"/>
          </w:tcPr>
          <w:p w:rsidR="00E53C03" w:rsidRPr="00E53C03" w:rsidRDefault="00E53C03" w:rsidP="00E53C03">
            <w:pPr>
              <w:tabs>
                <w:tab w:val="left" w:pos="720"/>
                <w:tab w:val="left" w:pos="1440"/>
                <w:tab w:val="left" w:pos="2160"/>
                <w:tab w:val="left" w:pos="2568"/>
              </w:tabs>
              <w:contextualSpacing/>
            </w:pPr>
            <w:r w:rsidRPr="00E53C03">
              <w:t>Transporting Individual in Interstate Commerce for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Elda Dorali Moreno Ramirez</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10</w:t>
            </w:r>
          </w:p>
        </w:tc>
        <w:tc>
          <w:tcPr>
            <w:tcW w:w="0" w:type="auto"/>
          </w:tcPr>
          <w:p w:rsidR="00E53C03" w:rsidRPr="00E53C03" w:rsidRDefault="00E53C03" w:rsidP="00E53C03">
            <w:pPr>
              <w:tabs>
                <w:tab w:val="left" w:pos="720"/>
                <w:tab w:val="left" w:pos="1440"/>
                <w:tab w:val="left" w:pos="2160"/>
                <w:tab w:val="left" w:pos="2568"/>
              </w:tabs>
              <w:contextualSpacing/>
            </w:pPr>
            <w:r w:rsidRPr="00E53C03">
              <w:t>Inducing Travel to Engage in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Freddy Lopez Torres</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11</w:t>
            </w:r>
          </w:p>
        </w:tc>
        <w:tc>
          <w:tcPr>
            <w:tcW w:w="0" w:type="auto"/>
          </w:tcPr>
          <w:p w:rsidR="00E53C03" w:rsidRPr="00E53C03" w:rsidRDefault="00E53C03" w:rsidP="00E53C03">
            <w:pPr>
              <w:tabs>
                <w:tab w:val="left" w:pos="720"/>
                <w:tab w:val="left" w:pos="1440"/>
                <w:tab w:val="left" w:pos="2160"/>
                <w:tab w:val="left" w:pos="2568"/>
              </w:tabs>
              <w:contextualSpacing/>
            </w:pPr>
            <w:r w:rsidRPr="00E53C03">
              <w:t>Inducing Travel to Engage in Prostitution</w:t>
            </w:r>
          </w:p>
        </w:tc>
        <w:tc>
          <w:tcPr>
            <w:tcW w:w="0" w:type="auto"/>
          </w:tcPr>
          <w:p w:rsidR="00E53C03" w:rsidRPr="00E53C03" w:rsidRDefault="00E53C03" w:rsidP="00E53C03">
            <w:pPr>
              <w:tabs>
                <w:tab w:val="left" w:pos="720"/>
                <w:tab w:val="left" w:pos="1440"/>
                <w:tab w:val="left" w:pos="2160"/>
                <w:tab w:val="left" w:pos="2568"/>
              </w:tabs>
              <w:contextualSpacing/>
            </w:pPr>
            <w:r w:rsidRPr="00E53C03">
              <w:t>Esthela Silfa Vasquez</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12</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Transport Illegal Aliens</w:t>
            </w:r>
          </w:p>
        </w:tc>
        <w:tc>
          <w:tcPr>
            <w:tcW w:w="0" w:type="auto"/>
          </w:tcPr>
          <w:p w:rsidR="00E53C03" w:rsidRPr="00E53C03" w:rsidRDefault="00E53C03" w:rsidP="00E53C03">
            <w:pPr>
              <w:tabs>
                <w:tab w:val="left" w:pos="720"/>
                <w:tab w:val="left" w:pos="1440"/>
                <w:tab w:val="left" w:pos="2160"/>
                <w:tab w:val="left" w:pos="2568"/>
              </w:tabs>
              <w:contextualSpacing/>
            </w:pPr>
            <w:r w:rsidRPr="00E53C03">
              <w:t>All</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Count 13</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Harbor Illegal Aliens</w:t>
            </w:r>
          </w:p>
        </w:tc>
        <w:tc>
          <w:tcPr>
            <w:tcW w:w="0" w:type="auto"/>
          </w:tcPr>
          <w:p w:rsidR="00E53C03" w:rsidRPr="00E53C03" w:rsidRDefault="00E53C03" w:rsidP="00E53C03">
            <w:pPr>
              <w:tabs>
                <w:tab w:val="left" w:pos="720"/>
                <w:tab w:val="left" w:pos="1440"/>
                <w:tab w:val="left" w:pos="2160"/>
                <w:tab w:val="left" w:pos="2568"/>
              </w:tabs>
              <w:contextualSpacing/>
            </w:pPr>
            <w:r w:rsidRPr="00E53C03">
              <w:t>All</w:t>
            </w:r>
          </w:p>
        </w:tc>
      </w:tr>
    </w:tbl>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r w:rsidRPr="00E53C03">
        <w:tab/>
        <w:t xml:space="preserve">The case was prosecuted under sections of Title 18 of the US Code in Chapter 177 titled </w:t>
      </w:r>
      <w:r w:rsidRPr="00E53C03">
        <w:rPr>
          <w:i/>
        </w:rPr>
        <w:t>Transportation for Illegal Sexual Activity and Related Crimes</w:t>
      </w:r>
      <w:r w:rsidRPr="00E53C03">
        <w:t xml:space="preserve"> (commonly known as the Mann Act) and related immigration and conspiracy violations</w:t>
      </w:r>
      <w:r w:rsidRPr="00E53C03">
        <w:rPr>
          <w:vertAlign w:val="superscript"/>
        </w:rPr>
        <w:footnoteReference w:id="12"/>
      </w:r>
      <w:r w:rsidRPr="00E53C03">
        <w:t xml:space="preserve">. There are two main pieces of federal legislation with which to try trafficking cases in federal courts- the Mann Act and the </w:t>
      </w:r>
      <w:r w:rsidRPr="00E53C03">
        <w:rPr>
          <w:i/>
        </w:rPr>
        <w:t>Trafficking Victims Protection Act</w:t>
      </w:r>
      <w:r w:rsidRPr="00E53C03">
        <w:t xml:space="preserve"> (TVPA) (Cianciarulo, 2008). The choice of whether to try cases under the older Mann Act legislation or the TVPA has significant impacts on the length of sentences available to punish offenders, the treatment of victims and services available to them, and the ability to construct the criminal offenses as prostitution in arguing the case in court. The specific ramifications of this choice and the recognition of the specific crime under study in this research will be discussed throughout this dissertation to expand of understanding of the effects of the constraints law and legal constructs on the treatment of specific individuals involved in Latino sex trafficking networks. </w:t>
      </w:r>
    </w:p>
    <w:p w:rsidR="00E53C03" w:rsidRPr="00E53C03" w:rsidRDefault="00E53C03" w:rsidP="00E53C03">
      <w:pPr>
        <w:tabs>
          <w:tab w:val="left" w:pos="720"/>
          <w:tab w:val="left" w:pos="1440"/>
          <w:tab w:val="left" w:pos="2160"/>
          <w:tab w:val="left" w:pos="2568"/>
        </w:tabs>
        <w:contextualSpacing/>
      </w:pPr>
      <w:r w:rsidRPr="00E53C03">
        <w:tab/>
        <w:t>Both pieces of federal legislation under which trafficking cases can be tried have been influenced by concerns over the proliferation of sexual slavery in the United States</w:t>
      </w:r>
      <w:r w:rsidRPr="00E53C03">
        <w:rPr>
          <w:vertAlign w:val="superscript"/>
        </w:rPr>
        <w:footnoteReference w:id="13"/>
      </w:r>
      <w:r w:rsidRPr="00E53C03">
        <w:t xml:space="preserve">. The Mann Act was passed on June 25, 1910 under the title, </w:t>
      </w:r>
      <w:r w:rsidRPr="00E53C03">
        <w:rPr>
          <w:i/>
        </w:rPr>
        <w:t xml:space="preserve">The White Slave Traffic Act. </w:t>
      </w:r>
      <w:r w:rsidRPr="00E53C03">
        <w:t>Progressive Era reformers pushed for the bill to be passed to</w:t>
      </w:r>
      <w:r w:rsidRPr="00E53C03">
        <w:rPr>
          <w:i/>
        </w:rPr>
        <w:t xml:space="preserve"> </w:t>
      </w:r>
      <w:r w:rsidRPr="00E53C03">
        <w:t xml:space="preserve">criminalize transporting women for prostitution, debauchery, or other immoral reasons to combat commercial vice organizations and combat what they considered a growing ‘white slave trade’ (Beckman, 1984). In the late 1990s, the sexual slavery debate reemerged in national prominence as a growing concern, which led to the modern federal legislation known as the </w:t>
      </w:r>
      <w:r w:rsidRPr="00E53C03">
        <w:rPr>
          <w:i/>
        </w:rPr>
        <w:t>Trafficking Victims Protection Act of 2000</w:t>
      </w:r>
      <w:r w:rsidRPr="00E53C03">
        <w:t xml:space="preserve"> (TVPA). The TVPA includes a more punitive sentencing opportunities and provides assistance to victims that was not available under the Mann Act. Yet, the TVPA’s strict requirements regarding the existence of force, fraud, or coercion in trafficking cases to qualify as ‘severe forms of trafficking’ and activate victim services and protections has been critiqued as restricting its usefulness for many sex trafficking cases (Raymond, 2013; Neuwirth, 2008; Chapkis, 2005). </w:t>
      </w:r>
    </w:p>
    <w:p w:rsidR="00E53C03" w:rsidRPr="00E53C03" w:rsidRDefault="00E53C03" w:rsidP="00E53C03">
      <w:pPr>
        <w:tabs>
          <w:tab w:val="left" w:pos="720"/>
          <w:tab w:val="left" w:pos="1440"/>
          <w:tab w:val="left" w:pos="2160"/>
          <w:tab w:val="left" w:pos="2568"/>
        </w:tabs>
        <w:contextualSpacing/>
      </w:pPr>
      <w:r w:rsidRPr="00E53C03">
        <w:tab/>
        <w:t xml:space="preserve">The prosecutor in this case stated that this case involving the nine handlers, </w:t>
      </w:r>
      <w:r w:rsidRPr="00E53C03">
        <w:rPr>
          <w:i/>
        </w:rPr>
        <w:t>United States v. Reyna Rodriguez Rios et al</w:t>
      </w:r>
      <w:r w:rsidRPr="00E53C03">
        <w:t>, did not meet the criteria set forward in the DOJ guidelines for trying federal cases under the TVPA. In order to punish the offenders and secure a prosecution, the case was tried under the Mann Act, despite its small punitive allowances and lack of associated victim services.  In order to try cases under the TVPA, prosecutors must prove that force, fraud, or coercion was used in the trafficking, which is difficult to substantiate and often reliant on victim statements and court testimony (Raymond, 2013).</w:t>
      </w:r>
    </w:p>
    <w:p w:rsidR="00E53C03" w:rsidRPr="00E53C03" w:rsidRDefault="00E53C03" w:rsidP="00E53C03">
      <w:pPr>
        <w:tabs>
          <w:tab w:val="left" w:pos="720"/>
          <w:tab w:val="left" w:pos="1440"/>
          <w:tab w:val="left" w:pos="2160"/>
          <w:tab w:val="left" w:pos="2568"/>
        </w:tabs>
        <w:contextualSpacing/>
      </w:pPr>
      <w:r w:rsidRPr="00E53C03">
        <w:tab/>
        <w:t xml:space="preserve">As will be shown throughout this research, the strict definition of ‘severe forms of trafficking’ involving force, fraud, and coercion under the TVPA brackets the crime of ‘severe forms of trafficking’ from prostitution and non-criminal sex trafficking. This distinction has profound ramifications for the processing of criminal cases, the construction of victims, and the framing of criminal actions by legal actors and offenders.  The TVPA provides victim services and immigration visa assistance only to victims of ‘severe forms of trafficking’ which can prove their victimization to the US Citizenship and Immigration Service or are a victim certified by the US Department of Health and Human Services, which is heavily influenced by the victim’s willingness to assist in the prosecution of their trafficker and difficult to obtain (Rieger, 2007; Cianciarulo, 2008). This is despite the legislation’s aim to protect victims of trafficking. </w:t>
      </w:r>
    </w:p>
    <w:p w:rsidR="00E53C03" w:rsidRPr="00E53C03" w:rsidRDefault="00E53C03" w:rsidP="00E53C03">
      <w:pPr>
        <w:tabs>
          <w:tab w:val="left" w:pos="720"/>
          <w:tab w:val="left" w:pos="1440"/>
          <w:tab w:val="left" w:pos="2160"/>
          <w:tab w:val="left" w:pos="2568"/>
        </w:tabs>
        <w:contextualSpacing/>
      </w:pPr>
      <w:r w:rsidRPr="00E53C03">
        <w:tab/>
        <w:t xml:space="preserve">Trying the case under the Mann Act limited the legal protections and services available to victims in this case and left a space open for the case to be constructed in terms of prostitution and illegal immigration. The victims were not afforded the status of a victim of a ‘severe form of trafficking’ and as the prosecutor stated, the case was not “sex trafficking in the newer sense of the word.” Thus, the legal construction of the crime and the legislative definition of ‘severe forms of trafficking’ affects the way the victims and the crime were viewed and argued in court. The line between sex trafficking and prostitution becomes blurred when using older statutes such as the Mann Act. As many of the debates surrounding sex trafficking center on the argument of a differentiation between prostitution and sex trafficking based on constructions of force, coercion, and agency, using these statutes fuels the arguments conflating sex trafficking and prostitution.  </w:t>
      </w:r>
    </w:p>
    <w:p w:rsidR="00E53C03" w:rsidRPr="00E53C03" w:rsidRDefault="00E53C03" w:rsidP="00E53C03">
      <w:pPr>
        <w:tabs>
          <w:tab w:val="left" w:pos="720"/>
          <w:tab w:val="left" w:pos="1440"/>
          <w:tab w:val="left" w:pos="2160"/>
          <w:tab w:val="left" w:pos="2568"/>
        </w:tabs>
        <w:contextualSpacing/>
      </w:pPr>
      <w:r w:rsidRPr="00E53C03">
        <w:tab/>
        <w:t xml:space="preserve">The choice of which legislation to prosecute this case under highlights the tantamount importance of the concepts of coercion, force, and agency to the crime of sex trafficking. This analysis will continue throughout the chapters of this work in order to determine the true effects of the various understandings of these terms, the power they wield, and their use in legal arguments, policy debates, and ideology. In addition, the pivotal role of the construction of sex trafficking by legal actors, advocates, offenders, and victims in this case is explored as they negotiate the ramifications of the crime, their understandings of it, and their experiences. </w:t>
      </w:r>
    </w:p>
    <w:p w:rsidR="00E53C03" w:rsidRPr="00E53C03" w:rsidRDefault="00E53C03" w:rsidP="00E53C03">
      <w:pPr>
        <w:tabs>
          <w:tab w:val="left" w:pos="720"/>
          <w:tab w:val="left" w:pos="1440"/>
          <w:tab w:val="left" w:pos="2160"/>
          <w:tab w:val="left" w:pos="2568"/>
        </w:tabs>
        <w:contextualSpacing/>
      </w:pPr>
      <w:r w:rsidRPr="00E53C03">
        <w:tab/>
        <w:t>One way to see the importance of these issues and constructions is to give attention to the role of sentence enhancements in this criminal case. These use of the enhancements by the prosecutor and refutation of the applicability of the sentence enhancements by the defense attorneys highlight the ways that the crime can be constructed in a variety of ways by utilizing the malleability of legal definitions to influence the case for the benefit sought by each side. As the possible sentences under the Mann Act are significantly less than the TVPA and the defendants’ guilty pleas, the prosecutor employed a number of US Sentencing Guidelines sentence enhancements to increase the defendants’ offense levels, guideline ranges, and possible sentences. (See Table 2 below). The prosecutor framed the seriousness of the case by stating in all of the defendants’ sentencing memorandums that “prostitution is a pernicious social evil” (</w:t>
      </w:r>
      <w:r w:rsidRPr="00E53C03">
        <w:rPr>
          <w:i/>
        </w:rPr>
        <w:t>Doc. No. 228</w:t>
      </w:r>
      <w:r w:rsidRPr="00E53C03">
        <w:t xml:space="preserve">, p. 2; </w:t>
      </w:r>
      <w:r w:rsidRPr="00E53C03">
        <w:rPr>
          <w:i/>
        </w:rPr>
        <w:t>Doc. No. 254</w:t>
      </w:r>
      <w:r w:rsidRPr="00E53C03">
        <w:t xml:space="preserve">, p. 2; </w:t>
      </w:r>
      <w:r w:rsidRPr="00E53C03">
        <w:rPr>
          <w:i/>
        </w:rPr>
        <w:t>Doc. No. 252</w:t>
      </w:r>
      <w:r w:rsidRPr="00E53C03">
        <w:t xml:space="preserve">, p. 3; </w:t>
      </w:r>
      <w:r w:rsidRPr="00E53C03">
        <w:rPr>
          <w:i/>
        </w:rPr>
        <w:t>Doc. No. 233</w:t>
      </w:r>
      <w:r w:rsidRPr="00E53C03">
        <w:t xml:space="preserve">, p. 2; </w:t>
      </w:r>
      <w:r w:rsidRPr="00E53C03">
        <w:rPr>
          <w:i/>
        </w:rPr>
        <w:t>Doc. No. 285</w:t>
      </w:r>
      <w:r w:rsidRPr="00E53C03">
        <w:t xml:space="preserve">, p. 2; </w:t>
      </w:r>
      <w:r w:rsidRPr="00E53C03">
        <w:rPr>
          <w:i/>
        </w:rPr>
        <w:t>Doc. No. 302</w:t>
      </w:r>
      <w:r w:rsidRPr="00E53C03">
        <w:t xml:space="preserve">, p. 3; </w:t>
      </w:r>
      <w:r w:rsidRPr="00E53C03">
        <w:rPr>
          <w:i/>
        </w:rPr>
        <w:t>Doc. No. 216</w:t>
      </w:r>
      <w:r w:rsidRPr="00E53C03">
        <w:t xml:space="preserve">, p. 2). </w:t>
      </w: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r w:rsidRPr="00E53C03">
        <w:t>Table 2- Defendant Pleas</w:t>
      </w:r>
    </w:p>
    <w:tbl>
      <w:tblPr>
        <w:tblStyle w:val="TableGrid"/>
        <w:tblW w:w="0" w:type="auto"/>
        <w:tblLook w:val="04A0" w:firstRow="1" w:lastRow="0" w:firstColumn="1" w:lastColumn="0" w:noHBand="0" w:noVBand="1"/>
      </w:tblPr>
      <w:tblGrid>
        <w:gridCol w:w="2127"/>
        <w:gridCol w:w="1410"/>
        <w:gridCol w:w="5813"/>
      </w:tblGrid>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rPr>
                <w:b/>
                <w:sz w:val="28"/>
                <w:szCs w:val="28"/>
              </w:rPr>
            </w:pPr>
            <w:r w:rsidRPr="00E53C03">
              <w:rPr>
                <w:b/>
                <w:sz w:val="28"/>
                <w:szCs w:val="28"/>
              </w:rPr>
              <w:t>Defendant</w:t>
            </w:r>
          </w:p>
        </w:tc>
        <w:tc>
          <w:tcPr>
            <w:tcW w:w="0" w:type="auto"/>
          </w:tcPr>
          <w:p w:rsidR="00E53C03" w:rsidRPr="00E53C03" w:rsidRDefault="00E53C03" w:rsidP="00E53C03">
            <w:pPr>
              <w:tabs>
                <w:tab w:val="left" w:pos="720"/>
                <w:tab w:val="left" w:pos="1440"/>
                <w:tab w:val="left" w:pos="2160"/>
                <w:tab w:val="left" w:pos="2568"/>
              </w:tabs>
              <w:contextualSpacing/>
              <w:rPr>
                <w:b/>
                <w:sz w:val="28"/>
                <w:szCs w:val="28"/>
              </w:rPr>
            </w:pPr>
            <w:r w:rsidRPr="00E53C03">
              <w:rPr>
                <w:b/>
                <w:sz w:val="28"/>
                <w:szCs w:val="28"/>
              </w:rPr>
              <w:t xml:space="preserve">Guilty Pleas </w:t>
            </w:r>
          </w:p>
        </w:tc>
        <w:tc>
          <w:tcPr>
            <w:tcW w:w="0" w:type="auto"/>
          </w:tcPr>
          <w:p w:rsidR="00E53C03" w:rsidRPr="00E53C03" w:rsidRDefault="00E53C03" w:rsidP="00E53C03">
            <w:pPr>
              <w:tabs>
                <w:tab w:val="left" w:pos="720"/>
                <w:tab w:val="left" w:pos="1440"/>
                <w:tab w:val="left" w:pos="2160"/>
                <w:tab w:val="left" w:pos="2568"/>
              </w:tabs>
              <w:contextualSpacing/>
              <w:rPr>
                <w:b/>
                <w:sz w:val="28"/>
                <w:szCs w:val="28"/>
              </w:rPr>
            </w:pPr>
            <w:r w:rsidRPr="00E53C03">
              <w:rPr>
                <w:b/>
                <w:sz w:val="28"/>
                <w:szCs w:val="28"/>
              </w:rPr>
              <w:t>Offense</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Freddy Lopez Torres</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2, Count 10</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Induce Interstate Travel for Prostitution; Inducing Travel to Engage in Prostitution</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Eusebio Flores Martinez</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2, Count 5</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Induce Interstate Travel for Prostitution; Transporting Individual in Interstate Commerce for Prostitution</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Rosa Garcia Menendez</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6</w:t>
            </w:r>
          </w:p>
        </w:tc>
        <w:tc>
          <w:tcPr>
            <w:tcW w:w="0" w:type="auto"/>
          </w:tcPr>
          <w:p w:rsidR="00E53C03" w:rsidRPr="00E53C03" w:rsidRDefault="00E53C03" w:rsidP="00E53C03">
            <w:pPr>
              <w:tabs>
                <w:tab w:val="left" w:pos="720"/>
                <w:tab w:val="left" w:pos="1440"/>
                <w:tab w:val="left" w:pos="2160"/>
                <w:tab w:val="left" w:pos="2568"/>
              </w:tabs>
              <w:contextualSpacing/>
            </w:pPr>
            <w:r w:rsidRPr="00E53C03">
              <w:t>Inducing Travel to Engage in Prostitution</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Obdulio Comacho Morales</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2, Count 7</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Induce Interstate Travel for Prostitution; Inducing Travel to Engage in Prostitution</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Rubio Trinidad Narciso</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2, Count 8</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Induce Interstate Travel for Prostitution; Inducing Travel to Engage in Prostitution</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Elda Dorali Moreno Ramirez</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2, Count 9</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Induce Interstate Travel for Prostitution; Transporting Individual in Interstate Commerce for Prostitution</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Reyna Rodriguez Rios</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1, Count 2</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Transport Prostitutes in Interstate Commerce; Conspiracy to Induce Interstate Travel for Prostitution</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Raymundo Sanchez Torres</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13</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Harbor Illegal Aliens</w:t>
            </w:r>
          </w:p>
        </w:tc>
      </w:tr>
      <w:tr w:rsidR="00E53C03" w:rsidRPr="00E53C03" w:rsidTr="007E2764">
        <w:tc>
          <w:tcPr>
            <w:tcW w:w="0" w:type="auto"/>
          </w:tcPr>
          <w:p w:rsidR="00E53C03" w:rsidRPr="00E53C03" w:rsidRDefault="00E53C03" w:rsidP="00E53C03">
            <w:pPr>
              <w:tabs>
                <w:tab w:val="left" w:pos="720"/>
                <w:tab w:val="left" w:pos="1440"/>
                <w:tab w:val="left" w:pos="2160"/>
                <w:tab w:val="left" w:pos="2568"/>
              </w:tabs>
              <w:contextualSpacing/>
            </w:pPr>
            <w:r w:rsidRPr="00E53C03">
              <w:t>Esthela Silfa Vasquez</w:t>
            </w:r>
          </w:p>
        </w:tc>
        <w:tc>
          <w:tcPr>
            <w:tcW w:w="0" w:type="auto"/>
          </w:tcPr>
          <w:p w:rsidR="00E53C03" w:rsidRPr="00E53C03" w:rsidRDefault="00E53C03" w:rsidP="00E53C03">
            <w:pPr>
              <w:tabs>
                <w:tab w:val="left" w:pos="720"/>
                <w:tab w:val="left" w:pos="1440"/>
                <w:tab w:val="left" w:pos="2160"/>
                <w:tab w:val="left" w:pos="2568"/>
              </w:tabs>
              <w:contextualSpacing/>
            </w:pPr>
            <w:r w:rsidRPr="00E53C03">
              <w:t>Count 2, Count 11</w:t>
            </w:r>
          </w:p>
        </w:tc>
        <w:tc>
          <w:tcPr>
            <w:tcW w:w="0" w:type="auto"/>
          </w:tcPr>
          <w:p w:rsidR="00E53C03" w:rsidRPr="00E53C03" w:rsidRDefault="00E53C03" w:rsidP="00E53C03">
            <w:pPr>
              <w:tabs>
                <w:tab w:val="left" w:pos="720"/>
                <w:tab w:val="left" w:pos="1440"/>
                <w:tab w:val="left" w:pos="2160"/>
                <w:tab w:val="left" w:pos="2568"/>
              </w:tabs>
              <w:contextualSpacing/>
            </w:pPr>
            <w:r w:rsidRPr="00E53C03">
              <w:t>Conspiracy to Induce Interstate Travel for Prostitution; Inducing Travel to Engage in Prostitution</w:t>
            </w:r>
          </w:p>
        </w:tc>
      </w:tr>
    </w:tbl>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r w:rsidRPr="00E53C03">
        <w:tab/>
        <w:t xml:space="preserve">The prosecutor used specific strategies in order to negotiate the constraints of law and insulate the case against the defendants from specific legal arguments. In order to increase the overall offense level for the defendants, the prosecutor included statements in many of the defendants’ plea agreements that they agreed to the facts necessary for certain sentence enhancements regarding their use of coercion, a leadership role in a criminal enterprise, and the involvement of more than ten victims in their crimes. This allowed the prosecutor to include these enhancements (and overcome any objection to their inclusion) in the calculation of the defendants’ overall offense level for sentencing purposes as they were legally agreed to by the defendants when they signed the plea agreements. </w:t>
      </w:r>
    </w:p>
    <w:p w:rsidR="00E53C03" w:rsidRPr="00E53C03" w:rsidRDefault="00E53C03" w:rsidP="00E53C03">
      <w:pPr>
        <w:tabs>
          <w:tab w:val="left" w:pos="720"/>
          <w:tab w:val="left" w:pos="1440"/>
          <w:tab w:val="left" w:pos="2160"/>
          <w:tab w:val="left" w:pos="2568"/>
        </w:tabs>
        <w:contextualSpacing/>
      </w:pPr>
      <w:r w:rsidRPr="00E53C03">
        <w:tab/>
        <w:t>The plea agreements for all of the defendants except Rosa Garcia Menendez, and Elda Dorali Moreno Ramirez, included an agreement that there was use of coercion in the crime.</w:t>
      </w:r>
      <w:r w:rsidRPr="00E53C03">
        <w:rPr>
          <w:vertAlign w:val="superscript"/>
        </w:rPr>
        <w:footnoteReference w:id="14"/>
      </w:r>
      <w:r w:rsidRPr="00E53C03">
        <w:t xml:space="preserve"> This enhancement increased the defendants’ total offense levels by four points for promoting a commercial sex act using coercion as defined within the Sentencing Guidelines as behavior that contravenes the voluntariness of the victim’s actions.</w:t>
      </w:r>
      <w:r w:rsidRPr="00E53C03">
        <w:rPr>
          <w:vertAlign w:val="superscript"/>
        </w:rPr>
        <w:footnoteReference w:id="15"/>
      </w:r>
      <w:r w:rsidRPr="00E53C03">
        <w:t xml:space="preserve"> As Raymundo Sanchez Torres plead to an immigration offense, his use of coercion enhancement was formulated under another section of the US Sentencing Guidelines.</w:t>
      </w:r>
      <w:r w:rsidRPr="00E53C03">
        <w:rPr>
          <w:vertAlign w:val="superscript"/>
        </w:rPr>
        <w:footnoteReference w:id="16"/>
      </w:r>
    </w:p>
    <w:p w:rsidR="00E53C03" w:rsidRPr="00E53C03" w:rsidRDefault="00E53C03" w:rsidP="00E53C03">
      <w:pPr>
        <w:tabs>
          <w:tab w:val="left" w:pos="720"/>
          <w:tab w:val="left" w:pos="1440"/>
          <w:tab w:val="left" w:pos="2160"/>
          <w:tab w:val="left" w:pos="2568"/>
        </w:tabs>
        <w:contextualSpacing/>
      </w:pPr>
      <w:r w:rsidRPr="00E53C03">
        <w:tab/>
        <w:t>Reyna Rodriguez Rios contested the prosecution’s assertion that she used fraud or coercion and objected to the use of that sentencing enhancement in her sentencing memorandum (</w:t>
      </w:r>
      <w:r w:rsidRPr="00E53C03">
        <w:rPr>
          <w:i/>
        </w:rPr>
        <w:t>Doc. No. 283</w:t>
      </w:r>
      <w:r w:rsidRPr="00E53C03">
        <w:t>) and during her sentencing hearing. The judge overruled her objection as untimely and pointed to the fact that she agreed to the coercion enhancement by signing the plea agreement (</w:t>
      </w:r>
      <w:r w:rsidRPr="00E53C03">
        <w:rPr>
          <w:i/>
        </w:rPr>
        <w:t>Doc. No. 286</w:t>
      </w:r>
      <w:r w:rsidRPr="00E53C03">
        <w:t>). During her sentencing hearing, her defense attorney further refuted any use of coercion in her actions as he claimed that the “women knew what they doing” and that the woman found in her residence at the time of the police search “lied to the FBI” about what she had done “to minimize her involvement.” The prosecutor responded that the police search of Reyna’s brothel was “close to a rescue situation” as the woman found told the police that she had been sexually assaulted the night before and have not received assistance. She had to be taken to the hospital for physical examination. As this interaction highlights, the defendants’ actions in the crime were continually being constructed and refuted by the various actors involved throughout the criminal case. The defendants and their attorneys wished to minimize their actions in the eyes of the court, while the prosecution sought to highlight the severity of their actions to achieve the largest sentences possible.</w:t>
      </w:r>
    </w:p>
    <w:p w:rsidR="00E53C03" w:rsidRPr="00E53C03" w:rsidRDefault="00E53C03" w:rsidP="00E53C03">
      <w:pPr>
        <w:tabs>
          <w:tab w:val="left" w:pos="720"/>
          <w:tab w:val="left" w:pos="1440"/>
          <w:tab w:val="left" w:pos="2160"/>
          <w:tab w:val="left" w:pos="2568"/>
        </w:tabs>
        <w:contextualSpacing/>
      </w:pPr>
      <w:r w:rsidRPr="00E53C03">
        <w:tab/>
        <w:t>The defendant’s deemed by the prosecution to have been in a leadership role within the sex trafficking network and conspiracy- Freddy Lopez Torres, Eusebio Flores Martinez, Eusebio Comacho Morales, Rubio Trinidad Narciso, and Esthela Silfa Vasquez were subject to a sentencing enhancement for being managers/supervisors in a criminal activity with five or more participants. This enhancement triggers a three level increase in their overall offense level</w:t>
      </w:r>
      <w:r w:rsidRPr="00E53C03">
        <w:rPr>
          <w:vertAlign w:val="superscript"/>
        </w:rPr>
        <w:footnoteReference w:id="17"/>
      </w:r>
      <w:r w:rsidRPr="00E53C03">
        <w:t>. In addition, the prosecution included another enhancement for all of the defendants, except Raymundo Sanchez Torres, for promoting adult prostitution with multiple victims. An upward departure is allowed under this enhancement for crimes involving more than ten victims.</w:t>
      </w:r>
      <w:r w:rsidRPr="00E53C03">
        <w:rPr>
          <w:vertAlign w:val="superscript"/>
        </w:rPr>
        <w:footnoteReference w:id="18"/>
      </w:r>
      <w:r w:rsidRPr="00E53C03">
        <w:t xml:space="preserve"> As Raymundo Sanchez Torres plead guilty to conspiring to harbor illegal aliens under 8 USC 1324(a)(1)(A)(iii), a section of immigration law, he was subject to another sentence enhancement for his involvement with a large number of victims (</w:t>
      </w:r>
      <w:r w:rsidRPr="00E53C03">
        <w:rPr>
          <w:i/>
        </w:rPr>
        <w:t>Doc. No. 254</w:t>
      </w:r>
      <w:r w:rsidRPr="00E53C03">
        <w:t>).</w:t>
      </w:r>
      <w:r w:rsidRPr="00E53C03">
        <w:rPr>
          <w:vertAlign w:val="superscript"/>
        </w:rPr>
        <w:footnoteReference w:id="19"/>
      </w:r>
      <w:r w:rsidRPr="00E53C03">
        <w:t xml:space="preserve"> </w:t>
      </w:r>
    </w:p>
    <w:p w:rsidR="00E53C03" w:rsidRPr="00E53C03" w:rsidRDefault="00E53C03" w:rsidP="00E53C03">
      <w:pPr>
        <w:tabs>
          <w:tab w:val="left" w:pos="720"/>
          <w:tab w:val="left" w:pos="1440"/>
          <w:tab w:val="left" w:pos="2160"/>
          <w:tab w:val="left" w:pos="2568"/>
        </w:tabs>
        <w:contextualSpacing/>
      </w:pPr>
      <w:r w:rsidRPr="00E53C03">
        <w:tab/>
        <w:t>Despite the inclusion of the enhancement in the plea agreements to increase the defendants’ sentences, the prosecutor argued in that the sentencing guidelines were flawed in regards to this enhancement. She felt that this enhancement “has the general effect of understating the seriousness of this particular type of offense, which is rooted in the long-term, wholesale degradation of women” as the crime involved well over one hundred women (</w:t>
      </w:r>
      <w:r w:rsidRPr="00E53C03">
        <w:rPr>
          <w:i/>
        </w:rPr>
        <w:t>Doc. No. 233</w:t>
      </w:r>
      <w:r w:rsidRPr="00E53C03">
        <w:t xml:space="preserve">, p. 5; </w:t>
      </w:r>
      <w:r w:rsidRPr="00E53C03">
        <w:rPr>
          <w:i/>
        </w:rPr>
        <w:t>Doc. No. 252</w:t>
      </w:r>
      <w:r w:rsidRPr="00E53C03">
        <w:t>, p. 6). Rosa Garcia Menendez’s attorney argued that the initial intention for the sentencing enhancement was for crimes involving minors, but as it is now amended allows for an a significant enhancement as if there were separate counts in the indictment for each victim (</w:t>
      </w:r>
      <w:r w:rsidRPr="00E53C03">
        <w:rPr>
          <w:i/>
        </w:rPr>
        <w:t>Doc. No. 217</w:t>
      </w:r>
      <w:r w:rsidRPr="00E53C03">
        <w:t>). The judge denied the motion and stated that the five level increase was appropriate as there is “no doubt in the court’s mind that there were more than ten females who were duped into joining this conspiracy” (</w:t>
      </w:r>
      <w:r w:rsidRPr="00E53C03">
        <w:rPr>
          <w:i/>
        </w:rPr>
        <w:t>Sentencing Transcript in US v. Menendez</w:t>
      </w:r>
      <w:r w:rsidRPr="00E53C03">
        <w:t xml:space="preserve">, p. 7). </w:t>
      </w:r>
    </w:p>
    <w:p w:rsidR="00E53C03" w:rsidRPr="00E53C03" w:rsidRDefault="00E53C03" w:rsidP="00E53C03">
      <w:pPr>
        <w:tabs>
          <w:tab w:val="left" w:pos="720"/>
          <w:tab w:val="left" w:pos="1440"/>
          <w:tab w:val="left" w:pos="2160"/>
          <w:tab w:val="left" w:pos="2568"/>
        </w:tabs>
        <w:contextualSpacing/>
      </w:pPr>
      <w:r w:rsidRPr="00E53C03">
        <w:tab/>
        <w:t>The presentence investigation report submitted to the court asserted that Rubio Trinidad Narciso should be subject to two additional sentence enhancements based on comments he and Raymundo Sanchez Torres made about his use of minors in his prostitution business as reported in the sentencing memorandum submitted on behalf of Rubio Trinidad Narciso. It included a two level increase for using misrepresentation to persuade, entice, coerce, or facilitate a minor in traveling for prohibited sexual conduct</w:t>
      </w:r>
      <w:r w:rsidRPr="00E53C03">
        <w:rPr>
          <w:vertAlign w:val="superscript"/>
        </w:rPr>
        <w:footnoteReference w:id="20"/>
      </w:r>
      <w:r w:rsidRPr="00E53C03">
        <w:t xml:space="preserve"> and an additional two level increase in his overall offense level for an act involving a commercial sex act involving a minor</w:t>
      </w:r>
      <w:r w:rsidRPr="00E53C03">
        <w:rPr>
          <w:vertAlign w:val="superscript"/>
        </w:rPr>
        <w:footnoteReference w:id="21"/>
      </w:r>
      <w:r w:rsidRPr="00E53C03">
        <w:t xml:space="preserve"> (</w:t>
      </w:r>
      <w:r w:rsidRPr="00E53C03">
        <w:rPr>
          <w:i/>
        </w:rPr>
        <w:t>Doc. No. 298</w:t>
      </w:r>
      <w:r w:rsidRPr="00E53C03">
        <w:t xml:space="preserve">). </w:t>
      </w:r>
    </w:p>
    <w:p w:rsidR="00E53C03" w:rsidRPr="00E53C03" w:rsidRDefault="00E53C03" w:rsidP="00E53C03">
      <w:pPr>
        <w:tabs>
          <w:tab w:val="left" w:pos="720"/>
          <w:tab w:val="left" w:pos="1440"/>
          <w:tab w:val="left" w:pos="2160"/>
          <w:tab w:val="left" w:pos="2568"/>
        </w:tabs>
        <w:contextualSpacing/>
      </w:pPr>
      <w:r w:rsidRPr="00E53C03">
        <w:tab/>
        <w:t>The use of these sentence enhancements was objected to in Rubio’s sentencing memorandum (</w:t>
      </w:r>
      <w:r w:rsidRPr="00E53C03">
        <w:rPr>
          <w:i/>
        </w:rPr>
        <w:t>Doc. No. 298</w:t>
      </w:r>
      <w:r w:rsidRPr="00E53C03">
        <w:t>) and by his attorney at the sentencing hearing to the use of the misrepresentation enhancement as he claimed there was no mention of the specific instance in which he misrepresented himself to a minor. Rubio’s attorney objected to the inclusion of the enhancements as it was double-dipping to add an enhancement for a commercial sex act to a prostitution charge and the lack of admissible evidence of the use of a minor in this case other than a conversation between “a snitch and a co-defendant” (</w:t>
      </w:r>
      <w:r w:rsidRPr="00E53C03">
        <w:rPr>
          <w:i/>
        </w:rPr>
        <w:t>Doc. No. 298</w:t>
      </w:r>
      <w:r w:rsidRPr="00E53C03">
        <w:t xml:space="preserve">, p. 2). </w:t>
      </w:r>
    </w:p>
    <w:p w:rsidR="00E53C03" w:rsidRPr="00E53C03" w:rsidRDefault="00E53C03" w:rsidP="00E53C03">
      <w:pPr>
        <w:tabs>
          <w:tab w:val="left" w:pos="720"/>
          <w:tab w:val="left" w:pos="1440"/>
          <w:tab w:val="left" w:pos="2160"/>
          <w:tab w:val="left" w:pos="2568"/>
        </w:tabs>
        <w:contextualSpacing/>
      </w:pPr>
      <w:r w:rsidRPr="00E53C03">
        <w:tab/>
        <w:t xml:space="preserve">He argued that due to the lack of evidence of the involvement of minors, Rubio should be subject to the same sentence enhancements as his similarly situated co-defendants to avoid sentence disparities in the case </w:t>
      </w:r>
      <w:r w:rsidRPr="00E53C03">
        <w:rPr>
          <w:i/>
        </w:rPr>
        <w:t>(Doc. No. 298</w:t>
      </w:r>
      <w:r w:rsidRPr="00E53C03">
        <w:t xml:space="preserve">). The prosecution brought one of the lead Federal Bureau of Investigation agents involved in investigating the crime to provide evidence on behalf of the government at Narciso’s sentencing to rebut his objections. The verbatim transcript of the audio-recorded conversation where he stated he had used minors in his business was entered into evidence. In addition, photographs from the items discovered during the search of his residence were entered into evidence and the FBI agent commented on how Rubio consistently used a false identity in his interactions. She also admitted on the stand during cross examination that they had no proof of his use of minors in his prostitution business, just what they were told. </w:t>
      </w:r>
    </w:p>
    <w:p w:rsidR="00E53C03" w:rsidRPr="00E53C03" w:rsidRDefault="00E53C03" w:rsidP="00E53C03">
      <w:pPr>
        <w:tabs>
          <w:tab w:val="left" w:pos="720"/>
          <w:tab w:val="left" w:pos="1440"/>
          <w:tab w:val="left" w:pos="2160"/>
          <w:tab w:val="left" w:pos="2568"/>
        </w:tabs>
        <w:contextualSpacing/>
      </w:pPr>
      <w:r w:rsidRPr="00E53C03">
        <w:tab/>
        <w:t>The sentencing memorandum submitted on behalf of Rubio Trinidad Narciso asserted that the government was not forthcoming with the evidence they were going to use for this sentencing enhancement at the time of his plea, which amounted to sentence entrapment (</w:t>
      </w:r>
      <w:r w:rsidRPr="00E53C03">
        <w:rPr>
          <w:i/>
        </w:rPr>
        <w:t>Doc. No. 298</w:t>
      </w:r>
      <w:r w:rsidRPr="00E53C03">
        <w:t>). At the sentencing, again his attorney asserted that this was entrapment and the evidence they were using to assert the use of minors would not be admissible at trial. He also claimed that he doubted that the probation office listened to all nineteen discs of audio recordings to find the two items the government is asserting. The prosecutor during the sentencing hearing became very upset at the assertion of sentencing entrapment.</w:t>
      </w:r>
    </w:p>
    <w:p w:rsidR="00E53C03" w:rsidRPr="00E53C03" w:rsidRDefault="00E53C03" w:rsidP="00E53C03">
      <w:pPr>
        <w:tabs>
          <w:tab w:val="left" w:pos="720"/>
          <w:tab w:val="left" w:pos="1440"/>
          <w:tab w:val="left" w:pos="2160"/>
          <w:tab w:val="left" w:pos="2568"/>
        </w:tabs>
        <w:contextualSpacing/>
      </w:pPr>
      <w:r w:rsidRPr="00E53C03">
        <w:tab/>
        <w:t xml:space="preserve">At the sentencing hearing, the judge concluded that use of the sentencing enhancements use was proper as the FBI agent’s testimony is credible and the enhancement was intended to “have broad application.” The judge also disagreed with the assertion of double-dipping, as the sex act does not have to occur for the base offense level under the guideline. Despite overruling the objections, the judge stated that he was “troubled” the government knew facts, but did not apply them to other defendants as they “all utilized the same females.” </w:t>
      </w:r>
    </w:p>
    <w:p w:rsidR="00E53C03" w:rsidRPr="00E53C03" w:rsidRDefault="00E53C03" w:rsidP="00E53C03">
      <w:pPr>
        <w:tabs>
          <w:tab w:val="left" w:pos="720"/>
          <w:tab w:val="left" w:pos="1440"/>
          <w:tab w:val="left" w:pos="2160"/>
          <w:tab w:val="left" w:pos="2568"/>
        </w:tabs>
        <w:contextualSpacing/>
      </w:pPr>
      <w:r w:rsidRPr="00E53C03">
        <w:tab/>
        <w:t>As can be seen above, sentencing memorandums can be used to construct the crime, victims, and offenders in specific ways and formulate the legal arguments that will be brought up in court. Those submitted in this case, both by the prosecutor and defense counsel, were used to construct the case to persuade the court in its sentencing outcome using evidence in support of their view of what constitutes a sentence that is “sufficient but not greater than necessary”</w:t>
      </w:r>
      <w:r w:rsidRPr="00E53C03">
        <w:rPr>
          <w:vertAlign w:val="superscript"/>
        </w:rPr>
        <w:footnoteReference w:id="22"/>
      </w:r>
      <w:r w:rsidRPr="00E53C03">
        <w:t>. The prosecutor used the state’s sentencing memorandums to highlight the seriousness of the offenses committed by the defendants along with their agency and culpability in the exploitation and harm of their victims. Despite being constrained by the law in how the prosecutor could try the case, they used the tools at their disposal to construct the offenders in these terms to influence the court to impose a sentence in their favor. The sentencing memorandum for Eusebio Flores Martinez stated that his “victimization and transport of Hispanic women” as his “principal occupation for about two years” (</w:t>
      </w:r>
      <w:r w:rsidRPr="00E53C03">
        <w:rPr>
          <w:i/>
        </w:rPr>
        <w:t xml:space="preserve">Doc. No. 285, </w:t>
      </w:r>
      <w:r w:rsidRPr="00E53C03">
        <w:t>p. 2). Rubio Trinidad Narciso was described as the “single most culpable defendant” who “bragged about his success” and deliberately chose to support himself by engaging in a horrific crime” (</w:t>
      </w:r>
      <w:r w:rsidRPr="00E53C03">
        <w:rPr>
          <w:i/>
        </w:rPr>
        <w:t xml:space="preserve">Doc. No. 301, </w:t>
      </w:r>
      <w:r w:rsidRPr="00E53C03">
        <w:t>p. 4-6). Raymundo’s involvement in the conspiracy and crime was described as “neither minimal or [sic] harmless” (</w:t>
      </w:r>
      <w:r w:rsidRPr="00E53C03">
        <w:rPr>
          <w:i/>
        </w:rPr>
        <w:t xml:space="preserve">Doc. No. 254, </w:t>
      </w:r>
      <w:r w:rsidRPr="00E53C03">
        <w:t xml:space="preserve">p. 5). </w:t>
      </w:r>
    </w:p>
    <w:p w:rsidR="00E53C03" w:rsidRPr="00E53C03" w:rsidRDefault="00E53C03" w:rsidP="00E53C03">
      <w:pPr>
        <w:tabs>
          <w:tab w:val="left" w:pos="720"/>
          <w:tab w:val="left" w:pos="1440"/>
          <w:tab w:val="left" w:pos="2160"/>
          <w:tab w:val="left" w:pos="2568"/>
        </w:tabs>
        <w:contextualSpacing/>
      </w:pPr>
      <w:r w:rsidRPr="00E53C03">
        <w:tab/>
        <w:t>The prosecution’s sentencing memorandums highlighted how Obdulio Comacho Morales and his significant other Esthela Silfa Vasquez were lawful permanent residents who could have legally worked in legitimate employment, but “chose to pursue a criminal livelihood” (</w:t>
      </w:r>
      <w:r w:rsidRPr="00E53C03">
        <w:rPr>
          <w:i/>
        </w:rPr>
        <w:t>Doc. No. 302</w:t>
      </w:r>
      <w:r w:rsidRPr="00E53C03">
        <w:t xml:space="preserve">, p. 5; </w:t>
      </w:r>
      <w:r w:rsidRPr="00E53C03">
        <w:rPr>
          <w:i/>
        </w:rPr>
        <w:t>Doc. No. 252</w:t>
      </w:r>
      <w:r w:rsidRPr="00E53C03">
        <w:t>, p. 5). Freddy Lopez Torres’s offenses were described as “very serious because of its relatively long duration and number of victims” (Doc. No. 233, p. 2). The sentencing memorandum for Reyna Rodriguez Rios highlighted her use of fraud by using a “ruse” to get a women to come work for her. She also “forced” this woman to have sex and housed her in “the same trailer as the defendant’s children (</w:t>
      </w:r>
      <w:r w:rsidRPr="00E53C03">
        <w:rPr>
          <w:i/>
        </w:rPr>
        <w:t>Doc. No. 256</w:t>
      </w:r>
      <w:r w:rsidRPr="00E53C03">
        <w:t xml:space="preserve">, p. 1-2). </w:t>
      </w:r>
    </w:p>
    <w:p w:rsidR="00E53C03" w:rsidRPr="00E53C03" w:rsidRDefault="00E53C03" w:rsidP="00E53C03">
      <w:pPr>
        <w:tabs>
          <w:tab w:val="left" w:pos="720"/>
          <w:tab w:val="left" w:pos="1440"/>
          <w:tab w:val="left" w:pos="2160"/>
          <w:tab w:val="left" w:pos="2568"/>
        </w:tabs>
        <w:contextualSpacing/>
      </w:pPr>
      <w:r w:rsidRPr="00E53C03">
        <w:tab/>
        <w:t>The defense attorneys used their clients’ sentencing memorandums to present mitigating factors to be considered at sentencing. Many of the memorandums’ included demographic descriptions of the defendants to highlight their difficult upbringings, family lives, victimization histories and financial situations and/or with descriptions of their crimes, co-defendants, and victims constructing them in specific ways to minimize their personal culpability (</w:t>
      </w:r>
      <w:r w:rsidRPr="00E53C03">
        <w:rPr>
          <w:i/>
        </w:rPr>
        <w:t>Doc. 298; Doc. No. 300; Doc. No. 217; Doc. No. 245; Doc. No. 257; Doc. No. 191; Doc. No. 283; Doc. No. 279; Doc. No. 229</w:t>
      </w:r>
      <w:r w:rsidRPr="00E53C03">
        <w:t>). Reyna Rodriguez Rios’ sentencing memorandum highlighted her childhood sexual abuse and abusive father while growing up in Mexico. In addition, he stated she has no criminal history, limited seventh grade education, a strong medical case of psoriasis, and two young children with absent fathers. She also asserted her own victimhood by stating that “She also worked as a prostitute in the USA and, in a manner of speaking, is therefore herself a victim whether by bad choices or by her bad circumstances” (</w:t>
      </w:r>
      <w:r w:rsidRPr="00E53C03">
        <w:rPr>
          <w:i/>
        </w:rPr>
        <w:t>Doc. No. 283</w:t>
      </w:r>
      <w:r w:rsidRPr="00E53C03">
        <w:t>, p. 2).  At the sentencing, Rios’ attorney again mentioned her psoriasis as a mitigating factor along with her history of molestation to which the prosecutor replied incredulously that she had psoriasis, which is not “life-threatening” or would “keep you from working.”</w:t>
      </w:r>
    </w:p>
    <w:p w:rsidR="00E53C03" w:rsidRPr="00E53C03" w:rsidRDefault="00E53C03" w:rsidP="00E53C03">
      <w:pPr>
        <w:tabs>
          <w:tab w:val="left" w:pos="720"/>
          <w:tab w:val="left" w:pos="1440"/>
          <w:tab w:val="left" w:pos="2160"/>
          <w:tab w:val="left" w:pos="2568"/>
        </w:tabs>
        <w:contextualSpacing/>
      </w:pPr>
      <w:r w:rsidRPr="00E53C03">
        <w:tab/>
        <w:t>To highlight Elda Dorali Moreno Ramirez’s mitigating demographic characteristics, a life story narrative was submitted to the court along with her sentencing memorandum, describing her childhood poverty, history of sexual assault and violence, migration, and how she was tricked into the sex trade (</w:t>
      </w:r>
      <w:r w:rsidRPr="00E53C03">
        <w:rPr>
          <w:i/>
        </w:rPr>
        <w:t>Doc. No. 191-1</w:t>
      </w:r>
      <w:r w:rsidRPr="00E53C03">
        <w:t>). Elda also argued in her sentencing memorandum that she had yet to have a downward departure motion filed by the prosecution for her assistance to law enforcement (</w:t>
      </w:r>
      <w:r w:rsidRPr="00E53C03">
        <w:rPr>
          <w:i/>
        </w:rPr>
        <w:t>Doc. No. 191</w:t>
      </w:r>
      <w:r w:rsidRPr="00E53C03">
        <w:t>). After entering a guilty plea, Elda had agreed to testify for the government as an essential witness for the impending trial of Reyna Rodriguez Rios and Esthela Silfa Vasquez (</w:t>
      </w:r>
      <w:r w:rsidRPr="00E53C03">
        <w:rPr>
          <w:i/>
        </w:rPr>
        <w:t>Doc. No. 177</w:t>
      </w:r>
      <w:r w:rsidRPr="00E53C03">
        <w:t>), which became unnecessary after they plead guilty. After the filing of Elda’s sentencing memorandum, a sealed motion was filed by the government to afford her a U.S.S.G. 5K1.1 downward departure for substantial assistance as mentioned in the government’s sentencing memorandum (</w:t>
      </w:r>
      <w:r w:rsidRPr="00E53C03">
        <w:rPr>
          <w:i/>
        </w:rPr>
        <w:t>Doc. No. 228</w:t>
      </w:r>
      <w:r w:rsidRPr="00E53C03">
        <w:t>).  Her assistance was highlighted her sentencing, as the prosecution stated that she did provide “timely and complete cooperation…as recently as last week…there was a total of three debriefs” (</w:t>
      </w:r>
      <w:r w:rsidRPr="00E53C03">
        <w:rPr>
          <w:i/>
        </w:rPr>
        <w:t>Transcript of Sentencing in US v. Elda Dorali Moreno Ramirez</w:t>
      </w:r>
      <w:r w:rsidRPr="00E53C03">
        <w:t xml:space="preserve">, p. 4).   </w:t>
      </w:r>
    </w:p>
    <w:p w:rsidR="00E53C03" w:rsidRPr="00E53C03" w:rsidRDefault="00E53C03" w:rsidP="00E53C03">
      <w:pPr>
        <w:tabs>
          <w:tab w:val="left" w:pos="720"/>
          <w:tab w:val="left" w:pos="1440"/>
          <w:tab w:val="left" w:pos="2160"/>
          <w:tab w:val="left" w:pos="2568"/>
        </w:tabs>
        <w:contextualSpacing/>
      </w:pPr>
      <w:r w:rsidRPr="00E53C03">
        <w:tab/>
        <w:t>In mitigation of Rosa Garcia Menendez’s sentence, the sentencing memorandum submitted on her behalf stated that she chose to enter prostitution willingly to provide financially for a son ill with leukemia, which is a choice she is not proud of (</w:t>
      </w:r>
      <w:r w:rsidRPr="00E53C03">
        <w:rPr>
          <w:i/>
        </w:rPr>
        <w:t>Doc. No. 217</w:t>
      </w:r>
      <w:r w:rsidRPr="00E53C03">
        <w:t>). Rosa Garcia Menendez was the only other defendant to give substantial assistance to the government (</w:t>
      </w:r>
      <w:r w:rsidRPr="00E53C03">
        <w:rPr>
          <w:i/>
        </w:rPr>
        <w:t>Doc. No. 129</w:t>
      </w:r>
      <w:r w:rsidRPr="00E53C03">
        <w:t>). At her sentencing, the prosecution supported a downward departure by stating, “this is a very high departure, and it would have been higher but for the fact that she, that Ms. Menendez was precluded by the nature of the investigation and the facts from going undercover” (</w:t>
      </w:r>
      <w:r w:rsidRPr="00E53C03">
        <w:rPr>
          <w:i/>
        </w:rPr>
        <w:t>Sentencing Transcript in US v. Rosa Garcia Menendez</w:t>
      </w:r>
      <w:r w:rsidRPr="00E53C03">
        <w:t>, p. 5). When asked to speak in mitigation of her sentence at her sentencing, Rosa only stated that she was guilty, was very sorry, wished to go back to her children, and for forgiveness (</w:t>
      </w:r>
      <w:r w:rsidRPr="00E53C03">
        <w:rPr>
          <w:i/>
        </w:rPr>
        <w:t>Sentencing Transcript in US v. Rosa Garcia Menendez</w:t>
      </w:r>
      <w:r w:rsidRPr="00E53C03">
        <w:t>).</w:t>
      </w:r>
    </w:p>
    <w:p w:rsidR="00E53C03" w:rsidRPr="00E53C03" w:rsidRDefault="00E53C03" w:rsidP="00E53C03">
      <w:pPr>
        <w:tabs>
          <w:tab w:val="left" w:pos="720"/>
          <w:tab w:val="left" w:pos="1440"/>
          <w:tab w:val="left" w:pos="2160"/>
          <w:tab w:val="left" w:pos="2568"/>
        </w:tabs>
        <w:contextualSpacing/>
      </w:pPr>
      <w:r w:rsidRPr="00E53C03">
        <w:tab/>
        <w:t>Rubio Trinidad Narciso addressed the court in mitigation of his sentence with his head down, stating that he accepted responsibility and that he did something bad in this nation. He also gave thanks to God, asked for God’s forgiveness and stated “I had the opportunity to get to know God and get baptized.” Lastly, he stated that he would not do anything else wrong and that he is trying to follow God’s word. The judge stated that he felt that a sentence variance was appropriate based on his “eloquation” and that he believed Rubio was sincere and sorry to God, Tennessee, and the United States. The prosecution objected to this, but the judge said they “preserve the issue for appeal.”</w:t>
      </w:r>
    </w:p>
    <w:p w:rsidR="00E53C03" w:rsidRPr="00E53C03" w:rsidRDefault="00E53C03" w:rsidP="00E53C03">
      <w:pPr>
        <w:tabs>
          <w:tab w:val="left" w:pos="720"/>
          <w:tab w:val="left" w:pos="1440"/>
          <w:tab w:val="left" w:pos="2160"/>
          <w:tab w:val="left" w:pos="2568"/>
        </w:tabs>
        <w:contextualSpacing/>
      </w:pPr>
      <w:r w:rsidRPr="00E53C03">
        <w:tab/>
        <w:t>In his sentencing memorandum, Eusebio Martinez Flores asked the court to consider his minor role in the conspiracy in his sentence as his culpability was significantly less than his co-defendants who “organized, planned, and profited substantially from the business for several years until they were finally arrested” (</w:t>
      </w:r>
      <w:r w:rsidRPr="00E53C03">
        <w:rPr>
          <w:i/>
        </w:rPr>
        <w:t>Doc. No. 279, p. 5</w:t>
      </w:r>
      <w:r w:rsidRPr="00E53C03">
        <w:t>).  At his sentencing, the prosecution highlighted the seriousness of his involvement by having an FBI agent testify about the evidence found in his car (including condoms and a money order from a co-defendant) and a statement from a co-defendant that he mistreated the women who worked for him. At his sentencing, Eusebio told the court that he was humiliated by his actions wished to receive the shortest possible sentence to be able to return to his family (</w:t>
      </w:r>
      <w:r w:rsidRPr="00E53C03">
        <w:rPr>
          <w:i/>
        </w:rPr>
        <w:t>Doc. No. 279</w:t>
      </w:r>
      <w:r w:rsidRPr="00E53C03">
        <w:t xml:space="preserve">). </w:t>
      </w:r>
    </w:p>
    <w:p w:rsidR="00E53C03" w:rsidRPr="00E53C03" w:rsidRDefault="00E53C03" w:rsidP="00E53C03">
      <w:pPr>
        <w:tabs>
          <w:tab w:val="left" w:pos="720"/>
          <w:tab w:val="left" w:pos="1440"/>
          <w:tab w:val="left" w:pos="2160"/>
          <w:tab w:val="left" w:pos="2568"/>
        </w:tabs>
        <w:contextualSpacing/>
      </w:pPr>
      <w:r w:rsidRPr="00E53C03">
        <w:tab/>
        <w:t>The sentencing memorandum submitted on behalf of Raymundo Sanchez Torres also highlighted his minimal involvement and responsibility as a substitute driver for Rubio Trinidad Narciso. He claimed to have come to the United States “looking for work and instead found trouble” (</w:t>
      </w:r>
      <w:r w:rsidRPr="00E53C03">
        <w:rPr>
          <w:i/>
        </w:rPr>
        <w:t>Doc. No. 245, p. 6</w:t>
      </w:r>
      <w:r w:rsidRPr="00E53C03">
        <w:t>). The prosecution responded to this desire for a ten month sentence would be sufficient for his involvement, by highlighting a lack of no mitigating factors and a low sentence below the guideline would “send the wrong message to others engaged in the sex industry and others who are illegally present in the United States” (</w:t>
      </w:r>
      <w:r w:rsidRPr="00E53C03">
        <w:rPr>
          <w:i/>
        </w:rPr>
        <w:t>Doc. No. 254, p. 5</w:t>
      </w:r>
      <w:r w:rsidRPr="00E53C03">
        <w:t xml:space="preserve">). </w:t>
      </w:r>
    </w:p>
    <w:p w:rsidR="00E53C03" w:rsidRPr="00E53C03" w:rsidRDefault="00E53C03" w:rsidP="00E53C03">
      <w:pPr>
        <w:tabs>
          <w:tab w:val="left" w:pos="720"/>
          <w:tab w:val="left" w:pos="1440"/>
          <w:tab w:val="left" w:pos="2160"/>
          <w:tab w:val="left" w:pos="2568"/>
        </w:tabs>
        <w:contextualSpacing/>
      </w:pPr>
      <w:r w:rsidRPr="00E53C03">
        <w:tab/>
        <w:t>Esthela Silfa Vasquez’s sentencing memorandum requested a variance in lowering her sentence because she was remorseful, affected by the thought of being separated from her children, had taken responsibility for her actions, and had been out on pretrial release since her arraignment. Additionally, she submitted character letters from her children and two most recent employers to highlight Esthela’s ability to be a “contributing member of society and the workforce” (</w:t>
      </w:r>
      <w:r w:rsidRPr="00E53C03">
        <w:rPr>
          <w:i/>
        </w:rPr>
        <w:t>Doc. No. 257, p.11</w:t>
      </w:r>
      <w:r w:rsidRPr="00E53C03">
        <w:t xml:space="preserve">). At Esthela’s sentencing, the prosecution wished to address her motion for a downward sentence variance and her assertion that facts in the presentence report were untrue and brought an FBI agents as a witness to highlight the seriousness of her offenses, especially regarding a victim who was tricked into working for her as a prostitute and threatened with violence if she tried to refuse working. During her sentencing, Esthela stated that she was sorry, asked for forgiveness, that she now realized how serious her acts were, she was acting on behalf of her children, and that God had forgiven her. </w:t>
      </w:r>
    </w:p>
    <w:p w:rsidR="00E53C03" w:rsidRPr="00E53C03" w:rsidRDefault="00E53C03" w:rsidP="00E53C03">
      <w:pPr>
        <w:tabs>
          <w:tab w:val="left" w:pos="720"/>
          <w:tab w:val="left" w:pos="1440"/>
          <w:tab w:val="left" w:pos="2160"/>
          <w:tab w:val="left" w:pos="2568"/>
        </w:tabs>
        <w:contextualSpacing/>
      </w:pPr>
      <w:r w:rsidRPr="00E53C03">
        <w:tab/>
        <w:t>The role of undocumented immigration in these cases was also highlighted in many of the sentencing memorandums of the defendants. Many argued that as the defendants were subject to deportation after serving their sentence, they would never be heard from again to commit crimes in the United States and their sentences should be minimized to save taxpayer funds (</w:t>
      </w:r>
      <w:r w:rsidRPr="00E53C03">
        <w:rPr>
          <w:i/>
        </w:rPr>
        <w:t>Doc. No. 300; Doc. No. 245; Doc. No 191</w:t>
      </w:r>
      <w:r w:rsidRPr="00E53C03">
        <w:t>). A number of the defendants brought up the specific mitigating factor of the effects of an illegal immigration statuses on sentences, as undocumented individuals are ineligible the six months of halfway house transition at the end of their sentence and are subject to additional detention by Immigration and Customs Enforcement during their removal proceedings (</w:t>
      </w:r>
      <w:r w:rsidRPr="00E53C03">
        <w:rPr>
          <w:i/>
        </w:rPr>
        <w:t>Doc. No. 298; Doc. No. 257; Doc. No. 191</w:t>
      </w:r>
      <w:r w:rsidRPr="00E53C03">
        <w:t>). The court rejected these pleas at the defendants’ sentencings. All of the defendants were sentenced to terms of incarceration for their involvement in this case. (See Table 3 below).</w:t>
      </w: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pPr>
      <w:r w:rsidRPr="00E53C03">
        <w:t xml:space="preserve"> </w:t>
      </w:r>
    </w:p>
    <w:p w:rsidR="00E53C03" w:rsidRPr="00E53C03" w:rsidRDefault="00E53C03" w:rsidP="00E53C03">
      <w:pPr>
        <w:tabs>
          <w:tab w:val="left" w:pos="720"/>
          <w:tab w:val="left" w:pos="1440"/>
          <w:tab w:val="left" w:pos="2160"/>
          <w:tab w:val="left" w:pos="2568"/>
        </w:tabs>
        <w:contextualSpacing/>
      </w:pPr>
      <w:r w:rsidRPr="00E53C03">
        <w:t>Table 3- Case Sentencing Outcomes</w:t>
      </w:r>
    </w:p>
    <w:tbl>
      <w:tblPr>
        <w:tblStyle w:val="TableGrid"/>
        <w:tblW w:w="0" w:type="auto"/>
        <w:tblLook w:val="04A0" w:firstRow="1" w:lastRow="0" w:firstColumn="1" w:lastColumn="0" w:noHBand="0" w:noVBand="1"/>
      </w:tblPr>
      <w:tblGrid>
        <w:gridCol w:w="3116"/>
        <w:gridCol w:w="3117"/>
        <w:gridCol w:w="3117"/>
      </w:tblGrid>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Defendant</w:t>
            </w:r>
          </w:p>
        </w:tc>
        <w:tc>
          <w:tcPr>
            <w:tcW w:w="3117" w:type="dxa"/>
          </w:tcPr>
          <w:p w:rsidR="00E53C03" w:rsidRPr="00E53C03" w:rsidRDefault="00E53C03" w:rsidP="00E53C03">
            <w:pPr>
              <w:tabs>
                <w:tab w:val="left" w:pos="720"/>
                <w:tab w:val="left" w:pos="1440"/>
                <w:tab w:val="left" w:pos="2160"/>
                <w:tab w:val="left" w:pos="2568"/>
              </w:tabs>
              <w:contextualSpacing/>
            </w:pPr>
            <w:r w:rsidRPr="00E53C03">
              <w:t>Sentence of Incarceration (in months)</w:t>
            </w:r>
          </w:p>
        </w:tc>
        <w:tc>
          <w:tcPr>
            <w:tcW w:w="3117" w:type="dxa"/>
          </w:tcPr>
          <w:p w:rsidR="00E53C03" w:rsidRPr="00E53C03" w:rsidRDefault="00E53C03" w:rsidP="00E53C03">
            <w:pPr>
              <w:tabs>
                <w:tab w:val="left" w:pos="720"/>
                <w:tab w:val="left" w:pos="1440"/>
                <w:tab w:val="left" w:pos="2160"/>
                <w:tab w:val="left" w:pos="2568"/>
              </w:tabs>
              <w:contextualSpacing/>
            </w:pPr>
            <w:r w:rsidRPr="00E53C03">
              <w:t>Release Date</w:t>
            </w:r>
            <w:r w:rsidRPr="00E53C03">
              <w:rPr>
                <w:vertAlign w:val="superscript"/>
              </w:rPr>
              <w:footnoteReference w:id="23"/>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Freddy Lopez Torres</w:t>
            </w:r>
          </w:p>
        </w:tc>
        <w:tc>
          <w:tcPr>
            <w:tcW w:w="3117" w:type="dxa"/>
          </w:tcPr>
          <w:p w:rsidR="00E53C03" w:rsidRPr="00E53C03" w:rsidRDefault="00E53C03" w:rsidP="00E53C03">
            <w:pPr>
              <w:tabs>
                <w:tab w:val="left" w:pos="720"/>
                <w:tab w:val="left" w:pos="1440"/>
                <w:tab w:val="left" w:pos="2160"/>
                <w:tab w:val="left" w:pos="2568"/>
              </w:tabs>
              <w:contextualSpacing/>
            </w:pPr>
            <w:r w:rsidRPr="00E53C03">
              <w:t>50</w:t>
            </w:r>
          </w:p>
        </w:tc>
        <w:tc>
          <w:tcPr>
            <w:tcW w:w="3117" w:type="dxa"/>
          </w:tcPr>
          <w:p w:rsidR="00E53C03" w:rsidRPr="00E53C03" w:rsidRDefault="00E53C03" w:rsidP="00E53C03">
            <w:pPr>
              <w:tabs>
                <w:tab w:val="left" w:pos="720"/>
                <w:tab w:val="left" w:pos="1440"/>
                <w:tab w:val="left" w:pos="2160"/>
                <w:tab w:val="left" w:pos="2568"/>
              </w:tabs>
              <w:contextualSpacing/>
            </w:pPr>
            <w:r w:rsidRPr="00E53C03">
              <w:t>12/18/2014</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Eusebio Flores Martinez</w:t>
            </w:r>
          </w:p>
        </w:tc>
        <w:tc>
          <w:tcPr>
            <w:tcW w:w="3117" w:type="dxa"/>
          </w:tcPr>
          <w:p w:rsidR="00E53C03" w:rsidRPr="00E53C03" w:rsidRDefault="00E53C03" w:rsidP="00E53C03">
            <w:pPr>
              <w:tabs>
                <w:tab w:val="left" w:pos="720"/>
                <w:tab w:val="left" w:pos="1440"/>
                <w:tab w:val="left" w:pos="2160"/>
                <w:tab w:val="left" w:pos="2568"/>
              </w:tabs>
              <w:contextualSpacing/>
            </w:pPr>
            <w:r w:rsidRPr="00E53C03">
              <w:t>46</w:t>
            </w:r>
          </w:p>
        </w:tc>
        <w:tc>
          <w:tcPr>
            <w:tcW w:w="3117" w:type="dxa"/>
          </w:tcPr>
          <w:p w:rsidR="00E53C03" w:rsidRPr="00E53C03" w:rsidRDefault="00E53C03" w:rsidP="00E53C03">
            <w:pPr>
              <w:tabs>
                <w:tab w:val="left" w:pos="720"/>
                <w:tab w:val="left" w:pos="1440"/>
                <w:tab w:val="left" w:pos="2160"/>
                <w:tab w:val="left" w:pos="2568"/>
              </w:tabs>
              <w:contextualSpacing/>
            </w:pPr>
            <w:r w:rsidRPr="00E53C03">
              <w:t>9/17/2014</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Rosa Garcia Menendez</w:t>
            </w:r>
          </w:p>
        </w:tc>
        <w:tc>
          <w:tcPr>
            <w:tcW w:w="3117" w:type="dxa"/>
          </w:tcPr>
          <w:p w:rsidR="00E53C03" w:rsidRPr="00E53C03" w:rsidRDefault="00E53C03" w:rsidP="00E53C03">
            <w:pPr>
              <w:tabs>
                <w:tab w:val="left" w:pos="720"/>
                <w:tab w:val="left" w:pos="1440"/>
                <w:tab w:val="left" w:pos="2160"/>
                <w:tab w:val="left" w:pos="2568"/>
              </w:tabs>
              <w:contextualSpacing/>
            </w:pPr>
            <w:r w:rsidRPr="00E53C03">
              <w:t>14</w:t>
            </w:r>
          </w:p>
        </w:tc>
        <w:tc>
          <w:tcPr>
            <w:tcW w:w="3117" w:type="dxa"/>
          </w:tcPr>
          <w:p w:rsidR="00E53C03" w:rsidRPr="00E53C03" w:rsidRDefault="00E53C03" w:rsidP="00E53C03">
            <w:pPr>
              <w:tabs>
                <w:tab w:val="left" w:pos="720"/>
                <w:tab w:val="left" w:pos="1440"/>
                <w:tab w:val="left" w:pos="2160"/>
                <w:tab w:val="left" w:pos="2568"/>
              </w:tabs>
              <w:contextualSpacing/>
            </w:pPr>
            <w:r w:rsidRPr="00E53C03">
              <w:t>5/4/2012</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Obdulio Comacho Morales</w:t>
            </w:r>
          </w:p>
        </w:tc>
        <w:tc>
          <w:tcPr>
            <w:tcW w:w="3117" w:type="dxa"/>
          </w:tcPr>
          <w:p w:rsidR="00E53C03" w:rsidRPr="00E53C03" w:rsidRDefault="00E53C03" w:rsidP="00E53C03">
            <w:pPr>
              <w:tabs>
                <w:tab w:val="left" w:pos="720"/>
                <w:tab w:val="left" w:pos="1440"/>
                <w:tab w:val="left" w:pos="2160"/>
                <w:tab w:val="left" w:pos="2568"/>
              </w:tabs>
              <w:contextualSpacing/>
            </w:pPr>
            <w:r w:rsidRPr="00E53C03">
              <w:t>50</w:t>
            </w:r>
          </w:p>
        </w:tc>
        <w:tc>
          <w:tcPr>
            <w:tcW w:w="3117" w:type="dxa"/>
          </w:tcPr>
          <w:p w:rsidR="00E53C03" w:rsidRPr="00E53C03" w:rsidRDefault="00E53C03" w:rsidP="00E53C03">
            <w:pPr>
              <w:tabs>
                <w:tab w:val="left" w:pos="720"/>
                <w:tab w:val="left" w:pos="1440"/>
                <w:tab w:val="left" w:pos="2160"/>
                <w:tab w:val="left" w:pos="2568"/>
              </w:tabs>
              <w:contextualSpacing/>
            </w:pPr>
            <w:r w:rsidRPr="00E53C03">
              <w:t>Could not be located</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Rubio Trinidad Narciso</w:t>
            </w:r>
          </w:p>
        </w:tc>
        <w:tc>
          <w:tcPr>
            <w:tcW w:w="3117" w:type="dxa"/>
          </w:tcPr>
          <w:p w:rsidR="00E53C03" w:rsidRPr="00E53C03" w:rsidRDefault="00E53C03" w:rsidP="00E53C03">
            <w:pPr>
              <w:tabs>
                <w:tab w:val="left" w:pos="720"/>
                <w:tab w:val="left" w:pos="1440"/>
                <w:tab w:val="left" w:pos="2160"/>
                <w:tab w:val="left" w:pos="2568"/>
              </w:tabs>
              <w:contextualSpacing/>
            </w:pPr>
            <w:r w:rsidRPr="00E53C03">
              <w:t>64</w:t>
            </w:r>
          </w:p>
        </w:tc>
        <w:tc>
          <w:tcPr>
            <w:tcW w:w="3117" w:type="dxa"/>
          </w:tcPr>
          <w:p w:rsidR="00E53C03" w:rsidRPr="00E53C03" w:rsidRDefault="00E53C03" w:rsidP="00E53C03">
            <w:pPr>
              <w:tabs>
                <w:tab w:val="left" w:pos="720"/>
                <w:tab w:val="left" w:pos="1440"/>
                <w:tab w:val="left" w:pos="2160"/>
                <w:tab w:val="left" w:pos="2568"/>
              </w:tabs>
              <w:contextualSpacing/>
            </w:pPr>
            <w:r w:rsidRPr="00E53C03">
              <w:t>12/24/2015</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Elda Dorali Moreno Ramirez</w:t>
            </w:r>
          </w:p>
        </w:tc>
        <w:tc>
          <w:tcPr>
            <w:tcW w:w="3117" w:type="dxa"/>
          </w:tcPr>
          <w:p w:rsidR="00E53C03" w:rsidRPr="00E53C03" w:rsidRDefault="00E53C03" w:rsidP="00E53C03">
            <w:pPr>
              <w:tabs>
                <w:tab w:val="left" w:pos="720"/>
                <w:tab w:val="left" w:pos="1440"/>
                <w:tab w:val="left" w:pos="2160"/>
                <w:tab w:val="left" w:pos="2568"/>
              </w:tabs>
              <w:contextualSpacing/>
            </w:pPr>
            <w:r w:rsidRPr="00E53C03">
              <w:t>16</w:t>
            </w:r>
          </w:p>
        </w:tc>
        <w:tc>
          <w:tcPr>
            <w:tcW w:w="3117" w:type="dxa"/>
          </w:tcPr>
          <w:p w:rsidR="00E53C03" w:rsidRPr="00E53C03" w:rsidRDefault="00E53C03" w:rsidP="00E53C03">
            <w:pPr>
              <w:tabs>
                <w:tab w:val="left" w:pos="720"/>
                <w:tab w:val="left" w:pos="1440"/>
                <w:tab w:val="left" w:pos="2160"/>
                <w:tab w:val="left" w:pos="2568"/>
              </w:tabs>
              <w:contextualSpacing/>
            </w:pPr>
            <w:r w:rsidRPr="00E53C03">
              <w:t>6/29/2012</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Reyna Rodriguez Rios</w:t>
            </w:r>
          </w:p>
        </w:tc>
        <w:tc>
          <w:tcPr>
            <w:tcW w:w="3117" w:type="dxa"/>
          </w:tcPr>
          <w:p w:rsidR="00E53C03" w:rsidRPr="00E53C03" w:rsidRDefault="00E53C03" w:rsidP="00E53C03">
            <w:pPr>
              <w:tabs>
                <w:tab w:val="left" w:pos="720"/>
                <w:tab w:val="left" w:pos="1440"/>
                <w:tab w:val="left" w:pos="2160"/>
                <w:tab w:val="left" w:pos="2568"/>
              </w:tabs>
              <w:contextualSpacing/>
            </w:pPr>
            <w:r w:rsidRPr="00E53C03">
              <w:t>33</w:t>
            </w:r>
          </w:p>
        </w:tc>
        <w:tc>
          <w:tcPr>
            <w:tcW w:w="3117" w:type="dxa"/>
          </w:tcPr>
          <w:p w:rsidR="00E53C03" w:rsidRPr="00E53C03" w:rsidRDefault="00E53C03" w:rsidP="00E53C03">
            <w:pPr>
              <w:tabs>
                <w:tab w:val="left" w:pos="720"/>
                <w:tab w:val="left" w:pos="1440"/>
                <w:tab w:val="left" w:pos="2160"/>
                <w:tab w:val="left" w:pos="2568"/>
              </w:tabs>
              <w:contextualSpacing/>
            </w:pPr>
            <w:r w:rsidRPr="00E53C03">
              <w:t>9/26/2013</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Raymundo Sanchez Torres</w:t>
            </w:r>
          </w:p>
        </w:tc>
        <w:tc>
          <w:tcPr>
            <w:tcW w:w="3117" w:type="dxa"/>
          </w:tcPr>
          <w:p w:rsidR="00E53C03" w:rsidRPr="00E53C03" w:rsidRDefault="00E53C03" w:rsidP="00E53C03">
            <w:pPr>
              <w:tabs>
                <w:tab w:val="left" w:pos="720"/>
                <w:tab w:val="left" w:pos="1440"/>
                <w:tab w:val="left" w:pos="2160"/>
                <w:tab w:val="left" w:pos="2568"/>
              </w:tabs>
              <w:contextualSpacing/>
            </w:pPr>
            <w:r w:rsidRPr="00E53C03">
              <w:t>24</w:t>
            </w:r>
          </w:p>
        </w:tc>
        <w:tc>
          <w:tcPr>
            <w:tcW w:w="3117" w:type="dxa"/>
          </w:tcPr>
          <w:p w:rsidR="00E53C03" w:rsidRPr="00E53C03" w:rsidRDefault="00E53C03" w:rsidP="00E53C03">
            <w:pPr>
              <w:tabs>
                <w:tab w:val="left" w:pos="720"/>
                <w:tab w:val="left" w:pos="1440"/>
                <w:tab w:val="left" w:pos="2160"/>
                <w:tab w:val="left" w:pos="2568"/>
              </w:tabs>
              <w:contextualSpacing/>
            </w:pPr>
            <w:r w:rsidRPr="00E53C03">
              <w:t>1/28/2013</w:t>
            </w:r>
          </w:p>
        </w:tc>
      </w:tr>
      <w:tr w:rsidR="00E53C03" w:rsidRPr="00E53C03" w:rsidTr="007E2764">
        <w:tc>
          <w:tcPr>
            <w:tcW w:w="3116" w:type="dxa"/>
          </w:tcPr>
          <w:p w:rsidR="00E53C03" w:rsidRPr="00E53C03" w:rsidRDefault="00E53C03" w:rsidP="00E53C03">
            <w:pPr>
              <w:tabs>
                <w:tab w:val="left" w:pos="720"/>
                <w:tab w:val="left" w:pos="1440"/>
                <w:tab w:val="left" w:pos="2160"/>
                <w:tab w:val="left" w:pos="2568"/>
              </w:tabs>
              <w:contextualSpacing/>
            </w:pPr>
            <w:r w:rsidRPr="00E53C03">
              <w:t>Esthela Silfa Vasquez</w:t>
            </w:r>
          </w:p>
        </w:tc>
        <w:tc>
          <w:tcPr>
            <w:tcW w:w="3117" w:type="dxa"/>
          </w:tcPr>
          <w:p w:rsidR="00E53C03" w:rsidRPr="00E53C03" w:rsidRDefault="00E53C03" w:rsidP="00E53C03">
            <w:pPr>
              <w:tabs>
                <w:tab w:val="left" w:pos="720"/>
                <w:tab w:val="left" w:pos="1440"/>
                <w:tab w:val="left" w:pos="2160"/>
                <w:tab w:val="left" w:pos="2568"/>
              </w:tabs>
              <w:contextualSpacing/>
            </w:pPr>
            <w:r w:rsidRPr="00E53C03">
              <w:t>50</w:t>
            </w:r>
          </w:p>
        </w:tc>
        <w:tc>
          <w:tcPr>
            <w:tcW w:w="3117" w:type="dxa"/>
          </w:tcPr>
          <w:p w:rsidR="00E53C03" w:rsidRPr="00E53C03" w:rsidRDefault="00E53C03" w:rsidP="00E53C03">
            <w:pPr>
              <w:tabs>
                <w:tab w:val="left" w:pos="720"/>
                <w:tab w:val="left" w:pos="1440"/>
                <w:tab w:val="left" w:pos="2160"/>
                <w:tab w:val="left" w:pos="2568"/>
              </w:tabs>
              <w:contextualSpacing/>
            </w:pPr>
            <w:r w:rsidRPr="00E53C03">
              <w:t>12/17/2015</w:t>
            </w:r>
          </w:p>
        </w:tc>
      </w:tr>
    </w:tbl>
    <w:p w:rsidR="00E53C03" w:rsidRPr="00E53C03" w:rsidRDefault="00E53C03" w:rsidP="00E53C03">
      <w:pPr>
        <w:tabs>
          <w:tab w:val="left" w:pos="720"/>
          <w:tab w:val="left" w:pos="1440"/>
          <w:tab w:val="left" w:pos="2160"/>
          <w:tab w:val="left" w:pos="2568"/>
        </w:tabs>
        <w:contextualSpacing/>
      </w:pPr>
      <w:r w:rsidRPr="00E53C03">
        <w:t xml:space="preserve"> </w:t>
      </w:r>
    </w:p>
    <w:p w:rsidR="00E53C03" w:rsidRPr="00E53C03" w:rsidRDefault="00E53C03" w:rsidP="00E53C03">
      <w:pPr>
        <w:tabs>
          <w:tab w:val="left" w:pos="720"/>
          <w:tab w:val="left" w:pos="1440"/>
          <w:tab w:val="left" w:pos="2160"/>
          <w:tab w:val="left" w:pos="2568"/>
        </w:tabs>
        <w:contextualSpacing/>
      </w:pPr>
      <w:r w:rsidRPr="00E53C03">
        <w:tab/>
        <w:t xml:space="preserve">As has been shown throughout this analysis of the prosecution of the offenders in this case, crime and criminal behavior are socially constructed through the definitions placed on those behaviors by agents of the law as Quinney (1970) asserts. There is a significant interpretive nature to social construction as these social constructed definitions are malleable and can be shaped to assert or refute victimization and culpability in a crime. </w:t>
      </w:r>
    </w:p>
    <w:p w:rsidR="00E53C03" w:rsidRPr="00E53C03" w:rsidRDefault="00E53C03" w:rsidP="00E53C03">
      <w:pPr>
        <w:tabs>
          <w:tab w:val="left" w:pos="720"/>
          <w:tab w:val="left" w:pos="1440"/>
          <w:tab w:val="left" w:pos="2160"/>
          <w:tab w:val="left" w:pos="2568"/>
        </w:tabs>
        <w:contextualSpacing/>
      </w:pPr>
    </w:p>
    <w:p w:rsidR="00E53C03" w:rsidRPr="00E53C03" w:rsidRDefault="00E53C03" w:rsidP="00E53C03">
      <w:pPr>
        <w:tabs>
          <w:tab w:val="left" w:pos="720"/>
          <w:tab w:val="left" w:pos="1440"/>
          <w:tab w:val="left" w:pos="2160"/>
          <w:tab w:val="left" w:pos="2568"/>
        </w:tabs>
        <w:contextualSpacing/>
        <w:jc w:val="center"/>
        <w:rPr>
          <w:b/>
        </w:rPr>
      </w:pPr>
      <w:r w:rsidRPr="00E53C03">
        <w:rPr>
          <w:b/>
        </w:rPr>
        <w:t>Research Questions, Method, and Theoretical Frame</w:t>
      </w:r>
    </w:p>
    <w:p w:rsidR="00E53C03" w:rsidRPr="00E53C03" w:rsidRDefault="00E53C03" w:rsidP="00E53C03">
      <w:pPr>
        <w:tabs>
          <w:tab w:val="left" w:pos="720"/>
          <w:tab w:val="left" w:pos="1440"/>
          <w:tab w:val="left" w:pos="2160"/>
          <w:tab w:val="left" w:pos="2568"/>
        </w:tabs>
        <w:contextualSpacing/>
        <w:rPr>
          <w:b/>
        </w:rPr>
      </w:pPr>
    </w:p>
    <w:p w:rsidR="00E53C03" w:rsidRPr="00E53C03" w:rsidRDefault="00E53C03" w:rsidP="00E53C03">
      <w:pPr>
        <w:tabs>
          <w:tab w:val="left" w:pos="720"/>
          <w:tab w:val="left" w:pos="1440"/>
          <w:tab w:val="left" w:pos="2160"/>
          <w:tab w:val="left" w:pos="2568"/>
        </w:tabs>
        <w:contextualSpacing/>
        <w:rPr>
          <w:i/>
        </w:rPr>
      </w:pPr>
      <w:r w:rsidRPr="00E53C03">
        <w:rPr>
          <w:b/>
        </w:rPr>
        <w:t>Methodology</w:t>
      </w:r>
    </w:p>
    <w:p w:rsidR="00E53C03" w:rsidRPr="00E53C03" w:rsidRDefault="00E53C03" w:rsidP="00E53C03">
      <w:pPr>
        <w:ind w:firstLine="720"/>
        <w:contextualSpacing/>
      </w:pPr>
      <w:r w:rsidRPr="00E53C03">
        <w:t xml:space="preserve">With this in mind, this research was guided by a central research question of “how sex traffickers, victims, law enforcement, legal actors, and other stakeholders conceptualize sex trafficking.” Related, secondary research questions also guiding this project were “how Latino sex trafficking is investigated and prosecuted” and “how Latino sex trafficking is connected to the vulnerabilities of Latino women.” This particular criminal case tried in Eastern Tennessee was chosen as it allowed me the opportunity to research the emerging crime of Latino sex trafficking in new destination areas. In addition, this research site selection allowed for interview data with actors directly involved in the case along with various participant observation opportunities.  </w:t>
      </w:r>
    </w:p>
    <w:p w:rsidR="00E53C03" w:rsidRPr="00E53C03" w:rsidRDefault="00E53C03" w:rsidP="00E53C03">
      <w:pPr>
        <w:ind w:firstLine="720"/>
        <w:contextualSpacing/>
      </w:pPr>
      <w:r w:rsidRPr="00E53C03">
        <w:t xml:space="preserve">The methodology of this research is informed by the constructionist argument for the use of triangulation in qualitative research. As Silverman (1993) asserts, triangulation of methods and information sources deepens our understanding of social phenomena, assists in addressing the situated nature of accounts, and bring to the surface the existence of multiple constructed social realities. In order to draw upon the strengths of triangulation for this qualitative project, I felt it was important to gather multiple stakeholder’s perspectives on the phenomenon of Latino sex trafficking to build a framework for analyzing how the crime is socially constructed, the influence of social construction on legal case processing, and treatment of victims. </w:t>
      </w:r>
    </w:p>
    <w:p w:rsidR="00E53C03" w:rsidRPr="00E53C03" w:rsidRDefault="00E53C03" w:rsidP="00E53C03">
      <w:pPr>
        <w:ind w:firstLine="720"/>
        <w:contextualSpacing/>
      </w:pPr>
      <w:r w:rsidRPr="00E53C03">
        <w:t xml:space="preserve">For these reasons, this multi-method case study of a specific criminal case of Latino sex traffickers was conducted through the use of direct observations, stakeholder interviews, and secondary data analysis to gather data from numerous sources to identify how victims, offenders, legal and social service actors construct the crime of sex trafficking, the circumstances of this case, and operate within the constraints of law. I conducted field research to gather participant observation data at a local training session on addressing the crime of human trafficking, and court hearings. I also employed a semi-structured interview method in order to obtain data from legal and social service actors regarding their role in dealing with sex trafficking, the issues involved in dealing with the crime, personal constructions of the crime, and the criminal case under study. </w:t>
      </w:r>
    </w:p>
    <w:p w:rsidR="00E53C03" w:rsidRPr="00E53C03" w:rsidRDefault="00E53C03" w:rsidP="00E53C03">
      <w:pPr>
        <w:ind w:firstLine="720"/>
        <w:contextualSpacing/>
      </w:pPr>
      <w:r w:rsidRPr="00E53C03">
        <w:t xml:space="preserve">Examining how legal actors constructed and conceptualized the crime is of importance as they hold the power to determine punishment and justice in criminal proceedings. How these actors operate within the confines of legal definitions and the structure of the legal system is also of interest to this case, along with how these confines influence their constructions and narratives. I also seek to highlight the role of advocates in the creation and maintenance of the social construction of sex trafficking. Social service actors operate within both the confines of the legal system and the overall social construction and ideology to assist victims and migrants, which influence the amount and type of assistance they are able to provide. Finally, I also chose to include secondary data analysis of court records to gather data on the criminal investigation and prosecution of the local sex trafficking ring. </w:t>
      </w:r>
    </w:p>
    <w:p w:rsidR="00E53C03" w:rsidRPr="00E53C03" w:rsidRDefault="00E53C03" w:rsidP="00E53C03">
      <w:pPr>
        <w:ind w:firstLine="720"/>
        <w:contextualSpacing/>
      </w:pPr>
      <w:r w:rsidRPr="00E53C03">
        <w:t xml:space="preserve">Each of these methods provided a different, invaluable set of data on the broad topic of sex trafficking, Latino sex trafficking, social constructions of sex trafficking, and the criminal case under study. I sought to not only observe the actions and interactions between legal actors and the defendants within the context of the legal system. I found the need to gather a variety of data in order to complete a picture for what I wished to understand, no individual method would have provided more than a glimpse into this case of sex trafficking. In the words of Price-Glynn (2010), “each provided a way of seeing and not seeing” (p. 26). I wanted to supplement observations with data that was not easily observable, thus I felt the need to gather interview data in order to give information regarding the individual social constructions of sex trafficking. By gathering this data and being able to triangulate it with observation data, I can contextualize their actions within their narratives.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Conceptual and Theoretical Perspectives</w:t>
      </w:r>
    </w:p>
    <w:p w:rsidR="00E53C03" w:rsidRPr="00E53C03" w:rsidRDefault="00E53C03" w:rsidP="00E53C03">
      <w:pPr>
        <w:ind w:firstLine="720"/>
        <w:contextualSpacing/>
      </w:pPr>
      <w:r w:rsidRPr="00E53C03">
        <w:t xml:space="preserve">This study is informed by a number of criminological and sociological theoretical perspectives, but draws most significantly from social constructionism. Additional components of the theoretical perspectives of feminist theory, socio-legal studies, and legal storytelling are drawn upon in this project. While these perspectives may not seem interrelated on first glance, to address the issues of social construction, an analysis of the dominant discourses surrounding sex trafficking, prostitution, and victims is necessary. As a gendered crime with predominantly female victims and sex workers, sex trafficking and prostitution are shaped by the discourses that surround the acts, actors, and gender relations. Thus, this project falls squarely within the framework of the study of gender and crime, expanded to a gendered study of crime and migration. As this research is at its core a sociological case study of a criminal case, it also aligns with the law and society paradigm to focus on a convergence of the study of gender, crime, and law. </w:t>
      </w:r>
    </w:p>
    <w:p w:rsidR="00E53C03" w:rsidRPr="00E53C03" w:rsidRDefault="00E53C03" w:rsidP="00E53C03">
      <w:pPr>
        <w:ind w:firstLine="720"/>
        <w:contextualSpacing/>
      </w:pPr>
      <w:r w:rsidRPr="00E53C03">
        <w:t>This case, and many arguments surrounding sex trafficking and prostitution, is centered on the concepts of choice, agency, coercion, and force. These issues are the crux of the study of sex work and sex crimes but are often characterized as simple dichotomous concepts. I maintain that this case highlights the complex nature of power, agency, and choice as the actions of Latino migrant women are informed and shaped by a number of factors which complicate dichotomous assumptions of agency and choice. This work will build upon on Agustín’s (2007) assertions that global forces shape and complicate migrant women’s choices and actions in their pursuit of employment, especially any involvement in sex work. These issues are further complicated by migration patterns, laws governing migration, and legal definitions of sex trafficking and victim status.</w:t>
      </w:r>
    </w:p>
    <w:p w:rsidR="00E53C03" w:rsidRPr="00E53C03" w:rsidRDefault="00E53C03" w:rsidP="00E53C03">
      <w:pPr>
        <w:ind w:firstLine="720"/>
        <w:contextualSpacing/>
      </w:pPr>
      <w:r w:rsidRPr="00E53C03">
        <w:t xml:space="preserve">A critical feminist lens aimed at uncovering the intricate factors affecting choice, agency, and the use of coercion and force on the parts of both the offenders and victims in this crime is needed. Without delving into these issues, I would not being doing the case justice. In order to further our understanding of sex trafficking and prostitution, we must abandon the ideological constraints placed on these issues and focus on our lens on the statements made by those acting and how they conceptualize their actions, regardless of whether they fit with current understandings. </w:t>
      </w:r>
    </w:p>
    <w:p w:rsidR="00E53C03" w:rsidRPr="00E53C03" w:rsidRDefault="00E53C03" w:rsidP="00E53C03">
      <w:pPr>
        <w:ind w:firstLine="720"/>
        <w:contextualSpacing/>
      </w:pPr>
      <w:r w:rsidRPr="00E53C03">
        <w:t xml:space="preserve">I wish to highlight the effects of context on action. Individual behavior is an expression of their social context. In addition, as Owen (1998) emphasizes, the context of actions is as important as the action itself and the narrative that surrounds it. In this case study, context shapes the behavior of the actors in very finite ways. The statements of victims, offenders, and legal actors in this study are constrained by the fact they were given within the context of the criminal justice system and the fact they were being relayed during a criminal investigation and court case. Thus, they are restricted by this context and how they wish to represent themselves along with what they want people to know and understand about their situation and actions. Due to this restriction, this study does not provide a large picture of the lives the victims and offenders in this case, but does provide a glimpse into their lives within the sex trafficking network as presented in the criminal investigation and prosecution. </w:t>
      </w:r>
    </w:p>
    <w:p w:rsidR="00E53C03" w:rsidRPr="00E53C03" w:rsidRDefault="00E53C03" w:rsidP="00E53C03">
      <w:pPr>
        <w:ind w:firstLine="720"/>
        <w:contextualSpacing/>
      </w:pPr>
      <w:r w:rsidRPr="00E53C03">
        <w:t xml:space="preserve">Cultural frames are paramount, in my opinion, to analyzing the social construction of crime. I wish to theoretically analyze the influence of the roles and cultural frames from which each actor operates and how this affects their narratives and actions. All of the actors in this case operated within their own cultural frames, which were also influenced by their roles in the case. The offenders’ and victims’ cultural frame was influenced by their roles as migrants seeking economic freedom within the constraints of gender norms and roles, immigration status, and race. The legal actors operated from within a legal frame focusing on the pursuit of punishment and justice. Yet as individuals not in the precarious position of the offenders and victims, they made their decisions as outsiders with their own ideological understandings. The social service workers and advocates also viewing the case as cultural outsiders with the goal of assisting those affected by crime and attain their conception of justice. </w:t>
      </w:r>
    </w:p>
    <w:p w:rsidR="00E53C03" w:rsidRPr="00E53C03" w:rsidRDefault="00E53C03" w:rsidP="00E53C03">
      <w:pPr>
        <w:ind w:firstLine="720"/>
        <w:contextualSpacing/>
      </w:pPr>
      <w:r w:rsidRPr="00E53C03">
        <w:t xml:space="preserve">Of particular interest in this project is the intricacies of the agency and choice exercised by the women in the case, both handler and sex worker, to bring them into sex work. I feel that previous theoretical analysis of sex trafficking and prostitution have not fully parsed out the details of the complicated nature of choice and agency in sex work. More recently, scholars are beginning to highlight this oversight and I agree with Pearce (2010), Agustín (2007), and Matthew (2008) that the debate surrounding the issues of coercion, force, and agency is being conceptualized in simplified way and there is more to the debate than is being discussed.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 xml:space="preserve">Addressing Gaps in Knowledge </w:t>
      </w:r>
    </w:p>
    <w:p w:rsidR="00E53C03" w:rsidRPr="00E53C03" w:rsidRDefault="00E53C03" w:rsidP="00E53C03">
      <w:pPr>
        <w:ind w:firstLine="720"/>
        <w:contextualSpacing/>
      </w:pPr>
      <w:r w:rsidRPr="00E53C03">
        <w:t>As will be shown throughout this dissertation, law informs the way that sex trafficking is dealt with throughout the criminal justice and social service systems and the ways the crime, victims, and offenders are constructed in these processes. We know very little about how this phenomenon works on the ground in specific cases. Thus, this project seeks to address the neglect of attention in the fields of criminology and sociology regarding-</w:t>
      </w:r>
    </w:p>
    <w:p w:rsidR="00E53C03" w:rsidRPr="00E53C03" w:rsidRDefault="00E53C03" w:rsidP="00E53C03">
      <w:pPr>
        <w:numPr>
          <w:ilvl w:val="0"/>
          <w:numId w:val="3"/>
        </w:numPr>
        <w:contextualSpacing/>
      </w:pPr>
      <w:r w:rsidRPr="00E53C03">
        <w:t xml:space="preserve">The lack of knowledge of on-the-ground conceptualization of the problem of sex trafficking by legal and social service actors as pointed to by Hoyle, Bosworth, and Dempsey (2011). </w:t>
      </w:r>
    </w:p>
    <w:p w:rsidR="00E53C03" w:rsidRPr="00E53C03" w:rsidRDefault="00E53C03" w:rsidP="00E53C03">
      <w:pPr>
        <w:numPr>
          <w:ilvl w:val="0"/>
          <w:numId w:val="3"/>
        </w:numPr>
        <w:contextualSpacing/>
      </w:pPr>
      <w:r w:rsidRPr="00E53C03">
        <w:t xml:space="preserve"> How offenders and victims conceptualize what occurs in specific instances of Latino sex trafficking. </w:t>
      </w:r>
    </w:p>
    <w:p w:rsidR="00E53C03" w:rsidRPr="00E53C03" w:rsidRDefault="00E53C03" w:rsidP="00E53C03">
      <w:pPr>
        <w:numPr>
          <w:ilvl w:val="0"/>
          <w:numId w:val="3"/>
        </w:numPr>
        <w:contextualSpacing/>
      </w:pPr>
      <w:r w:rsidRPr="00E53C03">
        <w:t xml:space="preserve">Specific ways that legal and social service actors are constrained by law in dealing with undocumented immigrant sex trafficking and the crime of sex trafficking and how these actors operate within these constraints. </w:t>
      </w:r>
    </w:p>
    <w:p w:rsidR="00E53C03" w:rsidRPr="00E53C03" w:rsidRDefault="00E53C03" w:rsidP="00E53C03">
      <w:pPr>
        <w:ind w:firstLine="720"/>
      </w:pPr>
      <w:r w:rsidRPr="00E53C03">
        <w:t xml:space="preserve">This case study research will move beyond current research to expand our understanding of the effects of law and social constructions on criminal case processing, outcomes, and treatment (and constructions) of victims. As current legislation stands, the legal definition of criminal ‘severe forms of trafficking’ leaves many victims without protection and services. Research has shown that the ‘ideal’ construction of trafficking victims codified in law does not represent the lived experiences of many victims of sex trafficking and does not legally recognize their victimization (Hoyle et al, 2011; O’Connell Davidson, 2010; Weitzer, 2012; Berman, 2003). </w:t>
      </w:r>
    </w:p>
    <w:p w:rsidR="00E53C03" w:rsidRPr="00E53C03" w:rsidRDefault="00E53C03" w:rsidP="00E53C03">
      <w:pPr>
        <w:ind w:firstLine="720"/>
      </w:pPr>
      <w:r w:rsidRPr="00E53C03">
        <w:t>This dissertation allows for the advancement in knowledge of-</w:t>
      </w:r>
    </w:p>
    <w:p w:rsidR="00E53C03" w:rsidRPr="00E53C03" w:rsidRDefault="00E53C03" w:rsidP="00E53C03">
      <w:pPr>
        <w:numPr>
          <w:ilvl w:val="0"/>
          <w:numId w:val="4"/>
        </w:numPr>
        <w:contextualSpacing/>
      </w:pPr>
      <w:r w:rsidRPr="00E53C03">
        <w:t xml:space="preserve">The operations of regional Latino sex trafficking networks. </w:t>
      </w:r>
    </w:p>
    <w:p w:rsidR="00E53C03" w:rsidRPr="00E53C03" w:rsidRDefault="00E53C03" w:rsidP="00E53C03">
      <w:pPr>
        <w:numPr>
          <w:ilvl w:val="0"/>
          <w:numId w:val="4"/>
        </w:numPr>
        <w:contextualSpacing/>
      </w:pPr>
      <w:r w:rsidRPr="00E53C03">
        <w:t>The socio-legal response to emergent Latino sex trafficking in new destination areas.</w:t>
      </w:r>
    </w:p>
    <w:p w:rsidR="00E53C03" w:rsidRPr="00E53C03" w:rsidRDefault="00E53C03" w:rsidP="00E53C03">
      <w:pPr>
        <w:numPr>
          <w:ilvl w:val="0"/>
          <w:numId w:val="4"/>
        </w:numPr>
        <w:contextualSpacing/>
      </w:pPr>
      <w:r w:rsidRPr="00E53C03">
        <w:t>Specific instances of social construction of sex trafficking as a social and crime control problem.</w:t>
      </w:r>
    </w:p>
    <w:p w:rsidR="00E53C03" w:rsidRPr="00E53C03" w:rsidRDefault="00E53C03" w:rsidP="00E53C03">
      <w:pPr>
        <w:numPr>
          <w:ilvl w:val="0"/>
          <w:numId w:val="4"/>
        </w:numPr>
        <w:contextualSpacing/>
      </w:pPr>
      <w:r w:rsidRPr="00E53C03">
        <w:t>The centrality of the concepts of force, fraud, coercion, and agency in the social construction of sex trafficking.</w:t>
      </w:r>
    </w:p>
    <w:p w:rsidR="00E53C03" w:rsidRPr="00E53C03" w:rsidRDefault="00E53C03" w:rsidP="00E53C03">
      <w:pPr>
        <w:numPr>
          <w:ilvl w:val="0"/>
          <w:numId w:val="4"/>
        </w:numPr>
        <w:contextualSpacing/>
      </w:pPr>
      <w:r w:rsidRPr="00E53C03">
        <w:t xml:space="preserve">The specific ways that offenders, victims, legal, and social service actors construct sex trafficking as a crime and the victimization involved in the crime. </w:t>
      </w:r>
    </w:p>
    <w:p w:rsidR="00E53C03" w:rsidRPr="00E53C03" w:rsidRDefault="00E53C03" w:rsidP="00E53C03">
      <w:pPr>
        <w:numPr>
          <w:ilvl w:val="0"/>
          <w:numId w:val="4"/>
        </w:numPr>
        <w:contextualSpacing/>
      </w:pPr>
      <w:r w:rsidRPr="00E53C03">
        <w:t xml:space="preserve">How the sex trafficking of marginalized groups is constructed by those who have a direct impact on case processing, case outcomes, and the provision of victim services. </w:t>
      </w:r>
    </w:p>
    <w:p w:rsidR="00E53C03" w:rsidRPr="00E53C03" w:rsidRDefault="00E53C03" w:rsidP="00E53C03">
      <w:pPr>
        <w:ind w:firstLine="720"/>
        <w:contextualSpacing/>
      </w:pPr>
      <w:r w:rsidRPr="00E53C03">
        <w:t xml:space="preserve">In order to accomplish this, I have organized this dissertation as such. The second chapter provides further analysis of the theoretical perspectives influencing this work. The third chapter describes in further detail the methodology used in this research project. The fourth chapter includes a dual analysis of the influence of dominant ideologies regarding prostitution, sexual slavery, and undocumented immigration on the creation of federal legislation criminalizing trafficking and the law’s constraints on the services and protections afforded to victims as espoused by social service actors. The fifth and sixth chapters analyze how victims, offenders, and legal actors construct the crime committed and those involved in the case under study. In the sixth chapter, the centrality of the concepts of coercion, force, and agency as the building blocks of legal actors’ constructions of this case and the crime of sex trafficking is examined. Chapter seven provides the findings of this research project, its contributions to the literature, and policy implications, and suggestions for future research. </w:t>
      </w: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contextualSpacing/>
      </w:pPr>
    </w:p>
    <w:p w:rsidR="00E53C03" w:rsidRPr="00E53C03" w:rsidRDefault="00E53C03" w:rsidP="00E53C03">
      <w:pPr>
        <w:ind w:firstLine="720"/>
        <w:contextualSpacing/>
      </w:pPr>
    </w:p>
    <w:p w:rsidR="00E53C03" w:rsidRPr="00E53C03" w:rsidRDefault="00E53C03" w:rsidP="00E53C03">
      <w:pPr>
        <w:spacing w:line="259" w:lineRule="auto"/>
        <w:rPr>
          <w:rFonts w:asciiTheme="minorHAnsi" w:hAnsiTheme="minorHAnsi" w:cstheme="minorBidi"/>
          <w:sz w:val="22"/>
          <w:szCs w:val="22"/>
        </w:rPr>
      </w:pPr>
    </w:p>
    <w:p w:rsidR="00E53C03" w:rsidRPr="00E53C03" w:rsidRDefault="00E53C03" w:rsidP="00E53C03">
      <w:pPr>
        <w:contextualSpacing/>
        <w:jc w:val="center"/>
        <w:rPr>
          <w:b/>
          <w:smallCaps/>
          <w:sz w:val="28"/>
          <w:szCs w:val="28"/>
        </w:rPr>
      </w:pPr>
      <w:r w:rsidRPr="00E53C03">
        <w:rPr>
          <w:b/>
          <w:smallCaps/>
          <w:sz w:val="28"/>
          <w:szCs w:val="28"/>
        </w:rPr>
        <w:t>Chapter 2</w:t>
      </w:r>
    </w:p>
    <w:p w:rsidR="00E53C03" w:rsidRPr="00E53C03" w:rsidRDefault="00E53C03" w:rsidP="00E53C03">
      <w:pPr>
        <w:contextualSpacing/>
        <w:jc w:val="center"/>
        <w:rPr>
          <w:b/>
          <w:smallCaps/>
          <w:sz w:val="28"/>
          <w:szCs w:val="28"/>
        </w:rPr>
      </w:pPr>
      <w:r w:rsidRPr="00E53C03">
        <w:rPr>
          <w:b/>
          <w:smallCaps/>
          <w:sz w:val="28"/>
          <w:szCs w:val="28"/>
        </w:rPr>
        <w:t>Theoretical Perspectives: Social Constructionism, Feminist Analyses, and Legal Storytelling</w:t>
      </w:r>
    </w:p>
    <w:p w:rsidR="00E53C03" w:rsidRPr="00E53C03" w:rsidRDefault="00E53C03" w:rsidP="00E53C03">
      <w:pPr>
        <w:contextualSpacing/>
        <w:jc w:val="center"/>
        <w:rPr>
          <w:b/>
          <w:smallCaps/>
          <w:sz w:val="28"/>
          <w:szCs w:val="28"/>
        </w:rPr>
      </w:pPr>
    </w:p>
    <w:p w:rsidR="00E53C03" w:rsidRPr="00E53C03" w:rsidRDefault="00E53C03" w:rsidP="00E53C03">
      <w:pPr>
        <w:spacing w:after="0"/>
        <w:ind w:firstLine="720"/>
        <w:contextualSpacing/>
      </w:pPr>
      <w:r w:rsidRPr="00E53C03">
        <w:t xml:space="preserve">As this research project’s central aim is to examine how sex traffickers, victims, legal actors, and other stakeholders conceptualize sex trafficking and construct it as a social problem. Due to this, the social construction perspective within sociology and criminology is its main theoretical guide. This project draws from parts of a number of other theoretical perspectives to complement its analysis of the social construction of sex trafficking and those involved within the legal system. As such, this project draws also from the feminist theoretical literature, socio-legal studies, and the field of legal storytelling to highlight the impact of social construction of sexual harm against women in the context of the criminal justice system. </w:t>
      </w:r>
    </w:p>
    <w:p w:rsidR="00E53C03" w:rsidRPr="00E53C03" w:rsidRDefault="00E53C03" w:rsidP="00E53C03">
      <w:pPr>
        <w:spacing w:after="0"/>
        <w:contextualSpacing/>
      </w:pPr>
    </w:p>
    <w:p w:rsidR="00E53C03" w:rsidRPr="00E53C03" w:rsidRDefault="00E53C03" w:rsidP="00E53C03">
      <w:pPr>
        <w:spacing w:after="0"/>
        <w:contextualSpacing/>
        <w:rPr>
          <w:b/>
        </w:rPr>
      </w:pPr>
      <w:r w:rsidRPr="00E53C03">
        <w:rPr>
          <w:b/>
        </w:rPr>
        <w:t xml:space="preserve">Social Constructionism </w:t>
      </w:r>
    </w:p>
    <w:p w:rsidR="00E53C03" w:rsidRPr="00E53C03" w:rsidRDefault="00E53C03" w:rsidP="00E53C03">
      <w:pPr>
        <w:spacing w:after="0"/>
        <w:ind w:firstLine="720"/>
        <w:contextualSpacing/>
      </w:pPr>
      <w:r w:rsidRPr="00E53C03">
        <w:t xml:space="preserve">Social constructionism is interested in examining how human beings understand their world and the meanings they create and assign to things within that world. It asserts that the definition of social problems is subjective as it does not exist (in the objective sense) until it is socially constructed as such (Loseke, 1999). The social constructionist paradigm hinges on a contention that “human beings collaborate… to come to a shared understanding of what the world is like, what is important in that world, and how to respond to what ‘really’ matters” (Dunn, 2010, p. 8). </w:t>
      </w:r>
    </w:p>
    <w:p w:rsidR="00E53C03" w:rsidRPr="00E53C03" w:rsidRDefault="00E53C03" w:rsidP="00E53C03">
      <w:pPr>
        <w:spacing w:after="0"/>
        <w:ind w:firstLine="720"/>
        <w:contextualSpacing/>
      </w:pPr>
      <w:r w:rsidRPr="00E53C03">
        <w:t xml:space="preserve">Within the field of criminology, the theoretical perspectives of Henry and Milovanovic (1996) and Quinney (1970) are particularly informative for this project. Henry and Milovanovic’s (1996) pioneering work in the theoretical paradigm of constitutive criminology problematizes the socially constructed nature of crime and the meanings attributed to criminal behaviors. Within this perspective, crime is discursively constructed and recursively constituted in interaction to produce particular meanings and images. Even though crime is a socially constructed category, it acts as a social force upon individuals as if it were a concrete, objective reality. Quinney’s (1970) main theoretical contention, similar to Henry and Milovanovic (1996) is that an action is not inherently criminal, but crime is socially created through definitions attributed to behaviors by agents of the law. These definitions as supported by official legitimation are disseminated throughout the larger culture to inform, shape, and reinforce prevalent attitudes towards crime and offenders. Dominant social constructions of crime often depend on simplified understandings of crime and have been put forth for particular purposes and are structured in very specific ways. Quinney (1970) refers to this phenomenon as </w:t>
      </w:r>
      <w:r w:rsidRPr="00E53C03">
        <w:rPr>
          <w:i/>
        </w:rPr>
        <w:t>the politics of reality</w:t>
      </w:r>
      <w:r w:rsidRPr="00E53C03">
        <w:t xml:space="preserve"> through which crime is constructed and legitimized in particular ways by private and government agents as part of a policy or law. </w:t>
      </w:r>
    </w:p>
    <w:p w:rsidR="00E53C03" w:rsidRPr="00E53C03" w:rsidRDefault="00E53C03" w:rsidP="00E53C03">
      <w:pPr>
        <w:spacing w:after="0"/>
        <w:ind w:firstLine="720"/>
      </w:pPr>
      <w:r w:rsidRPr="00E53C03">
        <w:t xml:space="preserve">The theoretical concept of the </w:t>
      </w:r>
      <w:r w:rsidRPr="00E53C03">
        <w:rPr>
          <w:i/>
        </w:rPr>
        <w:t>politics of reality</w:t>
      </w:r>
      <w:r w:rsidRPr="00E53C03">
        <w:t xml:space="preserve"> is of significant importance to this project as there is a very specific definition and construction of trafficking criminalized in federal legislation. As mentioned in Chapter 1, the most recent large federal legislation, the </w:t>
      </w:r>
      <w:r w:rsidRPr="00E53C03">
        <w:rPr>
          <w:i/>
        </w:rPr>
        <w:t>Trafficking Victims Protection Act</w:t>
      </w:r>
      <w:r w:rsidRPr="00E53C03">
        <w:t xml:space="preserve"> only criminalizes ‘severe forms of trafficking’ involving force, fraud, and coercion, which have been defined in specific ways. As will be explored in Chapter 4, this social construction of criminal forms of trafficking was strategically created to serve specific purposes. Many scholars have argued that this construction of trafficking, which does not legally acknowledge the experiences of many trafficking victims, was influenced by religious, feminist groups, and government groups who all sought to codify their specific construction of sex trafficking (Agustín, 2005; Warren, 2012;</w:t>
      </w:r>
      <w:r w:rsidRPr="00E53C03">
        <w:rPr>
          <w:rFonts w:eastAsia="Calibri"/>
        </w:rPr>
        <w:t xml:space="preserve"> Hoyle, Bosworth, &amp; Dempsey, 2011; Chapkis, 2003; Peach, 2011). </w:t>
      </w:r>
      <w:r w:rsidRPr="00E53C03">
        <w:t xml:space="preserve"> This socially constructed legal definition of criminal trafficking forms the basis for the processing of legal cases, criminal defenses, ascription of victim status, and the protections afforded to victims and has influences on the lives of all involved in crimes related to trafficking. </w:t>
      </w:r>
    </w:p>
    <w:p w:rsidR="00E53C03" w:rsidRPr="00E53C03" w:rsidRDefault="00E53C03" w:rsidP="00E53C03">
      <w:pPr>
        <w:spacing w:after="0"/>
        <w:ind w:firstLine="720"/>
      </w:pPr>
    </w:p>
    <w:p w:rsidR="00E53C03" w:rsidRPr="00E53C03" w:rsidRDefault="00E53C03" w:rsidP="00E53C03">
      <w:pPr>
        <w:spacing w:after="0"/>
        <w:ind w:firstLine="720"/>
        <w:rPr>
          <w:b/>
        </w:rPr>
      </w:pPr>
      <w:r w:rsidRPr="00E53C03">
        <w:rPr>
          <w:b/>
        </w:rPr>
        <w:t>Social construction in practice within the criminal justice system</w:t>
      </w:r>
    </w:p>
    <w:p w:rsidR="00E53C03" w:rsidRPr="00E53C03" w:rsidRDefault="00E53C03" w:rsidP="00E53C03">
      <w:pPr>
        <w:spacing w:after="0"/>
        <w:ind w:firstLine="720"/>
      </w:pPr>
      <w:r w:rsidRPr="00E53C03">
        <w:t xml:space="preserve">Increasing amount of research has begun to examine the role of social constructionism on various parts of the criminal justice process. This research has found that the entire criminal justice system is influenced by the social construction of crime, victims, and offenders by legal and social service actors (Stewart, Dobbin, &amp; Gatowski, 1996; Loseke, 1992; Brock, 2009; Gaarder, Rodriguez, &amp; Zatz, 2004; Ferraro, 2006). Feminist scholars Stewart, Dobbin, and Gatowski (1996) in their analysis of the effects of social construction and stereotypes on sexual assault case processing, highlight the role of legal actor perceptions of victims’ fit with the definition of ‘real victims’ in the criminal justice system. They found that these perceptions influence how victims are treated by law enforcement and prosecutors; presented in court; how the case is argued; and case outcomes. Loseke’s (1992) research on battered women’s shelters highlights the impact of domestic violence shelter workers’ perceptions of women’s victimization on the ability of these victims to get assistance. The research of Gaarder, Rodriguez, and Zatz (1994) examines the role of probation officers’ perceptions of juvenile females in their construction of the girls and the treatment options afforded them. </w:t>
      </w:r>
    </w:p>
    <w:p w:rsidR="00E53C03" w:rsidRPr="00E53C03" w:rsidRDefault="00E53C03" w:rsidP="00E53C03">
      <w:pPr>
        <w:spacing w:after="0"/>
        <w:ind w:firstLine="720"/>
      </w:pPr>
      <w:r w:rsidRPr="00E53C03">
        <w:t xml:space="preserve">These research projects highlight how the study of the social construction of crime allows for an examination of how social constructions of behavior and victimhood are defined and utilized within the criminal justice system. The construction of victimhood and crime by legal and social service actors creates a space to bracket off and discredit the harm associated with actions which do not fit official definitions or conform to expectations (Loseke, 1992). Despite the influence of official constructions of crime and victimhood, there are many ways to conceive actions and individuals based on context, historical influences, and the role of those defining as will be shown in this project.    </w:t>
      </w:r>
    </w:p>
    <w:p w:rsidR="00E53C03" w:rsidRPr="00E53C03" w:rsidRDefault="00E53C03" w:rsidP="00E53C03">
      <w:pPr>
        <w:spacing w:after="0"/>
        <w:ind w:firstLine="720"/>
        <w:contextualSpacing/>
      </w:pPr>
      <w:r w:rsidRPr="00E53C03">
        <w:t xml:space="preserve">According to Loseke (1992), “within the complexities, heterogeneity, and ambiguities of lived realities, events and persons do not come to us prelabeled” and thus must be interpreted and socially constructed through ‘social problems work’ (p. 3). Often, the social constructions created and employed within the criminal justice system do not reflect these complexities and only serve as stereotypical definitions of individuals and actions. As law and the criminal justice system attempts to deal with crime, it constructs target populations at which to aim corrective and punitive measures (Schneider and Ingram, 1993). The social construction of specific populations can be important to the study of legislation and policy creation and its effects on case processing and the treatment of those involved in or affected by crime. This case study will focus on these processes and their affects in regards to sex trafficking (and in particular Latino sex trafficking). Central to the construction of sex crimes is how the victims of these crimes are defined and how coercion, force, fraud, and agency are determined to have operated in the crime. </w:t>
      </w:r>
    </w:p>
    <w:p w:rsidR="00E53C03" w:rsidRPr="00E53C03" w:rsidRDefault="00E53C03" w:rsidP="00E53C03">
      <w:pPr>
        <w:spacing w:after="0"/>
        <w:ind w:firstLine="720"/>
        <w:contextualSpacing/>
      </w:pPr>
      <w:r w:rsidRPr="00E53C03">
        <w:t xml:space="preserve">Thus, this project seeks to examine the intricacies of the social construction of sex trafficking as opposed to accepting the idea that ‘ideal victims’ are the only ones victimized by trafficking. This is done despite the use of ‘ideal’ crimes in stereotypical constructions of the crime employed by various actors and perpetuated in law. </w:t>
      </w:r>
      <w:r w:rsidRPr="00E53C03">
        <w:rPr>
          <w:rFonts w:eastAsia="Calibri"/>
        </w:rPr>
        <w:t>Various scholars highlight how the concepts of exploitation, coercion, agency, and victimization are complex issues which have not been fully teased out, recognized or addressed by current legislation and the criminal justice system (Doezema, 2002; Haynes, 2004; Munro, 2008).</w:t>
      </w:r>
      <w:r w:rsidRPr="00E53C03">
        <w:t xml:space="preserve"> Chapkis (2003) asserts that the experiences of victims of sex trafficking “do not reduce to simple morality tales; instead, in all of their complexity, they effectively challenge easy distinctions between innocence and knowing, between mere exploitation and severe abuse” (p. 934-935). Thus, the crime of sex trafficking offers an excellent opportunity to examine how the construction of crime and ‘ideal victims’ operate throughout the criminal justice process; how these constructions mask the complexity of victimization experiences; and the impact of this on the lives of those affected by the crime and pursuits for justice.</w:t>
      </w:r>
    </w:p>
    <w:p w:rsidR="00E53C03" w:rsidRPr="00E53C03" w:rsidRDefault="00E53C03" w:rsidP="00E53C03">
      <w:pPr>
        <w:spacing w:after="0"/>
        <w:ind w:firstLine="720"/>
        <w:contextualSpacing/>
      </w:pPr>
      <w:r w:rsidRPr="00E53C03">
        <w:t>Within the context of the social construction of sex trafficking as a crime, Tomkinson (2012) finds that “the construction of human trafficking based on gender and racial stereotypes…denies women’s agency, establishes a single framework for victimhood” (p. 52). This framework asserts that victims of trafficking are a distinct group which are easily identifiable, but this is often not the case. This will be shown in this dissertation as it analyzes how the lived experiences of the victims in the criminal case under study did not match the legal definitions for ‘severe forms of trafficking’ under the Trafficking Victims Protection Act, which had profound impacts on the treatment as victims, how the case was processed, and how their victimization was argued in court. The law constrains the construction of cases and victims in specific ways and legal actors must construct cases and victims in specific ways to effect the case outcomes that they seek. As Loseke (1992) highlights, the use of social constructions in the criminal justice system becomes complicated “within the messiness of lived reality and within organizationally imposed limitations” and may result in “transforming heterogeneity into homogeneity” as the law often seeks to construct definitions of crime according to ideal types (Loseke, 1992, p. 5)</w:t>
      </w:r>
    </w:p>
    <w:p w:rsidR="00E53C03" w:rsidRPr="00E53C03" w:rsidRDefault="00E53C03" w:rsidP="00E53C03">
      <w:pPr>
        <w:spacing w:after="0"/>
        <w:ind w:firstLine="720"/>
        <w:contextualSpacing/>
      </w:pPr>
      <w:r w:rsidRPr="00E53C03">
        <w:t xml:space="preserve">Law enforcement, defense attorneys, and the prosecutor involved in this case employed their various understandings of the dominant legal constructions of the crime of sex trafficking, victimhood, and the specific victims in the case. As Brock (2009) states, socially constructed identities of sex workers (for that matter trafficking victims) are created through “active social process like the work of the media, policing, and the determination of legally constituted rights” (p. 12). I seek to follow Brock’s (2009) approach to providing a critical lens to sex trafficking by analyzing how sex trafficking as a social problem is constructed by ‘authoritative sources,’ but also allowing the stories of offenders and victims to be heard. </w:t>
      </w:r>
    </w:p>
    <w:p w:rsidR="00E53C03" w:rsidRPr="00E53C03" w:rsidRDefault="00E53C03" w:rsidP="00E53C03">
      <w:pPr>
        <w:spacing w:after="0"/>
        <w:ind w:firstLine="720"/>
        <w:contextualSpacing/>
      </w:pPr>
      <w:r w:rsidRPr="00E53C03">
        <w:t xml:space="preserve">I acknowledge that the data used in this dissertation is imperfect with regards to the statements of offenders and victims, because they are mediated through the written records of law enforcement personnel and not the written verbatim statements of these victims. Despite this limitation exacerbated by the fact that the victims were unavailable for interviews, these documents do provide a picture of their statements regarding their victimization experiences. Without acknowledging the stories of offenders and victims, along with social constructions of sex trafficking and the required elements of the crime centered on force, fraud, and coercion which challenge official definitions,  “we unwittingly participate in the silencing, marginalization, and control of these sex workers” (Brock, 2009, p. 13). The victims in this case were silenced in a number of ways- the effects of the stigma of being involved in prostitution, a cultural reluctance to speak about sexual experiences, the documentation of their statements in law enforcement documents, their subjection to a continuing presence status for material witnesses, and the presentation of their experiences in court by legal actors. </w:t>
      </w:r>
    </w:p>
    <w:p w:rsidR="00E53C03" w:rsidRPr="00E53C03" w:rsidRDefault="00E53C03" w:rsidP="00E53C03">
      <w:pPr>
        <w:spacing w:after="0"/>
        <w:ind w:firstLine="720"/>
        <w:contextualSpacing/>
      </w:pPr>
      <w:r w:rsidRPr="00E53C03">
        <w:t xml:space="preserve">Obtaining personal constructions of crime and individual involvement is central to a full understanding of criminal behavior and the criminal justice process. As Presser (2010) states, “stories- remain the very best data with which researchers might retrieve the meanings people give to their own violations” (p. 431). I would extend this assertion by arguing that the stories told by victims along with various legal and social service actors are as central also to the criminological study of the social construction of crime. These individuals’ stories constructing crime are also influential on the broader understanding of any criminal act. As stated earlier, the </w:t>
      </w:r>
      <w:r w:rsidRPr="00E53C03">
        <w:rPr>
          <w:i/>
        </w:rPr>
        <w:t>politics of reality</w:t>
      </w:r>
      <w:r w:rsidRPr="00E53C03">
        <w:t xml:space="preserve"> shape the legal definition of the crime, which limits the ability of legal actors to apply certain legal definitions to this crime as they often do not ‘fit’ with lived experience or address the intersectional vulnerabilities of those victimized.</w:t>
      </w:r>
    </w:p>
    <w:p w:rsidR="00E53C03" w:rsidRPr="00E53C03" w:rsidRDefault="00E53C03" w:rsidP="00E53C03">
      <w:pPr>
        <w:spacing w:after="0"/>
        <w:ind w:firstLine="720"/>
        <w:contextualSpacing/>
      </w:pPr>
    </w:p>
    <w:p w:rsidR="00E53C03" w:rsidRPr="00E53C03" w:rsidRDefault="00E53C03" w:rsidP="00E53C03">
      <w:pPr>
        <w:spacing w:after="0"/>
        <w:ind w:firstLine="720"/>
        <w:rPr>
          <w:b/>
        </w:rPr>
      </w:pPr>
      <w:r w:rsidRPr="00E53C03">
        <w:rPr>
          <w:b/>
        </w:rPr>
        <w:t>Intersectionality</w:t>
      </w:r>
    </w:p>
    <w:p w:rsidR="00E53C03" w:rsidRPr="00E53C03" w:rsidRDefault="00E53C03" w:rsidP="00E53C03">
      <w:pPr>
        <w:spacing w:after="200"/>
        <w:ind w:firstLine="720"/>
        <w:contextualSpacing/>
        <w:rPr>
          <w:rFonts w:eastAsia="Calibri"/>
        </w:rPr>
      </w:pPr>
      <w:r w:rsidRPr="00E53C03">
        <w:rPr>
          <w:rFonts w:eastAsia="Calibri"/>
        </w:rPr>
        <w:t xml:space="preserve">Socially constructed gender norms and relations often place women in subordinate positions. The intersection of gender, ethnicity, immigration status, class, and poverty in the lives of women increases their vulnerability to victimization by sex traffickers as they often recruit individuals from marginalized and impoverished populations desperate for economic stability, often made up of racial and ethnic minorities (Hoyle, Bosworth, &amp; Dempsey, 2011; Agustín, 2005; Munro, 2008; Todres, 2006; Kane, 1998; Kara, 2009; Long, 2004; Samarasinghe, 2008). Thus, the intersectional nature of sex trafficking victimization points towards an inclusion of the intersectional and broader feminist perspective in the criminological study of sex trafficking and this dissertation project. </w:t>
      </w:r>
    </w:p>
    <w:p w:rsidR="00E53C03" w:rsidRPr="00E53C03" w:rsidRDefault="00E53C03" w:rsidP="00E53C03">
      <w:pPr>
        <w:spacing w:after="200"/>
        <w:ind w:firstLine="720"/>
        <w:contextualSpacing/>
        <w:rPr>
          <w:rFonts w:eastAsia="Calibri"/>
        </w:rPr>
      </w:pPr>
      <w:r w:rsidRPr="00E53C03">
        <w:rPr>
          <w:rFonts w:eastAsia="Calibri"/>
        </w:rPr>
        <w:t>Crenshaw (1991) proposes that the race, ethnicity, immigrant status, and class of female victims is important to understanding crimes against them. With this is mind, intersectional analysis centers on the interconnected nature of the influence of status, power hierarchies, and cultural norms in constructing group and gender identities, experiences, and life chances (Henderson &amp; Tickmyer, 2009), to form a matrix of domination (Collins, 1990).  The social construction of gender and gender relationships is important to shaping behavior, social institutions, and social and cultural norms (Samarasinghe, 2008; Daly &amp; Chesney-Lind, 1988). Collins (1998) highlights how socialization shapes individual understandings of social place within modern hierarchies of race, gender, ethnicity, sexuality, nation, and social class through socially constructed gendered cultural norms.  Normative and culturally-proscribed notions of femininity and masculinity serve to create a base for the social acceptability of prostitution and sex trafficking (Samarasinghe, 2008).</w:t>
      </w:r>
    </w:p>
    <w:p w:rsidR="00E53C03" w:rsidRPr="00E53C03" w:rsidRDefault="00E53C03" w:rsidP="00E53C03">
      <w:pPr>
        <w:spacing w:after="0"/>
        <w:ind w:firstLine="720"/>
        <w:contextualSpacing/>
      </w:pPr>
      <w:r w:rsidRPr="00E53C03">
        <w:rPr>
          <w:rFonts w:eastAsia="Calibri"/>
        </w:rPr>
        <w:t xml:space="preserve">Collins (2009) highlights how an intersectional theoretical framework can be key to examining various social problems. Dill’s (2002) assertion that examining the intersections of race, gender, and class as foundations of power, privilege, and structures of domination took this argument a step further, highlighting how intersectional analyses allow for the recognition of the power of structural inequality and cultural norms on the lives of trafficked women.  This is essential to draw attention to the racial, ethnic, age, and gender disparities in the victims of sex trafficking along with the crime’s cultural underpinnings, as </w:t>
      </w:r>
      <w:r w:rsidRPr="00E53C03">
        <w:t xml:space="preserve">often prostituted individuals have limited opportunities to dispute these constructions used to describe them (Hallgrimsdottir, 2006). </w:t>
      </w:r>
    </w:p>
    <w:p w:rsidR="00E53C03" w:rsidRPr="00E53C03" w:rsidRDefault="00E53C03" w:rsidP="00E53C03">
      <w:pPr>
        <w:spacing w:after="200"/>
        <w:ind w:firstLine="720"/>
        <w:contextualSpacing/>
        <w:rPr>
          <w:rFonts w:eastAsia="Calibri"/>
        </w:rPr>
      </w:pPr>
      <w:r w:rsidRPr="00E53C03">
        <w:rPr>
          <w:rFonts w:eastAsia="Calibri"/>
        </w:rPr>
        <w:t>It is now criminology’s turn to assess how these larger contexts and intersecting vulnerabilities that influence the crime of sex trafficking; how legal constructions of the concepts of force, fraud, coercion, and what it means to be an agent limit the recognition of women’s intersectional vulnerabilities and victimization; and how these vulnerabilities and social constructions affect criminal case processing and treatment of offenders and victims (</w:t>
      </w:r>
      <w:r w:rsidRPr="00E53C03">
        <w:rPr>
          <w:rFonts w:eastAsia="Calibri"/>
          <w:i/>
        </w:rPr>
        <w:t>Should I make these bulleted points?</w:t>
      </w:r>
      <w:r w:rsidRPr="00E53C03">
        <w:rPr>
          <w:rFonts w:eastAsia="Calibri"/>
        </w:rPr>
        <w:t>). As crime is social constructed by all those involved in a criminal case, it is important to examine the social construction of the crime from all of the viewpoints. L</w:t>
      </w:r>
      <w:r w:rsidRPr="00E53C03">
        <w:t xml:space="preserve">egal actors’ constructions of sex trafficking, trafficking victims, and their clients’ actions sheds light on the ways legal definitions are strategically used in court and influence criminal cases. Yet, the discursive ways in which </w:t>
      </w:r>
      <w:r w:rsidRPr="00E53C03">
        <w:rPr>
          <w:rFonts w:eastAsia="Calibri"/>
        </w:rPr>
        <w:t xml:space="preserve">offenders and victims construct their trafficking, victimization, and personal agency is also of importance. The theoretical analysis of their stories, particularly in the context of immigrant Latino sex trafficking can allow for a criminological critique of the Western hegemonic social constructions of sex trafficking and victimization. </w:t>
      </w:r>
    </w:p>
    <w:p w:rsidR="00E53C03" w:rsidRPr="00E53C03" w:rsidRDefault="00E53C03" w:rsidP="00E53C03">
      <w:pPr>
        <w:spacing w:after="0"/>
        <w:ind w:firstLine="720"/>
        <w:contextualSpacing/>
      </w:pPr>
      <w:r w:rsidRPr="00E53C03">
        <w:t xml:space="preserve">Women’s experiences in sex trafficking networks are often complicated by the fact that they can operate in either the role of handler and prostituted individual at varying times. This challenges the construction of ‘pure victims’ without agency as some trafficked women go on to ‘handle’ other trafficking victims. Thus, Ferraro’s (2006) examination of the ‘complicated’ lives of victimized women who also exercise agency in victimizing others is particularly informative here as the socially constructed dichotomy of victim and offender may not represent these women’s experiences. Often trafficking victims’ lived experiences traverse and blur legal and social constructions drawn from cultural norms reflective of particular historico-political struggles for dominance among gendered, raced, and class groups and the dichotomies of ‘good’ and ‘bad.’ </w:t>
      </w:r>
    </w:p>
    <w:p w:rsidR="00E53C03" w:rsidRPr="00E53C03" w:rsidRDefault="00E53C03" w:rsidP="00E53C03">
      <w:pPr>
        <w:spacing w:after="0"/>
        <w:ind w:firstLine="720"/>
        <w:contextualSpacing/>
      </w:pPr>
      <w:r w:rsidRPr="00E53C03">
        <w:t xml:space="preserve"> Agustín (2006) calls for further use of this line of theoretical analysis of sex trafficking in order to examine the complex nature of victimization, agency, and self-concepts, which have not been adequately parsed out in the literature or law. Dominant constructions of victim and offender operate in often binary and mutually exclusive ways which can obscure realities and the paradox of understanding victims and perpetrators which operate in areas of ambiguous circumstances with various levels of responsibility (Banwell, 2011). This approach is similar to that of Ferraro (2006) as both allow us to appreciate the often morally complex choices which women face. As Hirschmann (1989) points to, choice is always constrained, contextual, and dependent. This is key to understanding how victims negotiate compliance and resistance while being exploited by others; how society and the criminal justice system reproduces and perpetuates victimization; and how the boundaries between social constructions and lived actions are not always clear.  The lives and circumstances these women find themselves in are not cut and dry and piecing out these intricacies is key to informing future policy, procedure, and legislation.  </w:t>
      </w:r>
    </w:p>
    <w:p w:rsidR="00E53C03" w:rsidRPr="00E53C03" w:rsidRDefault="00E53C03" w:rsidP="00E53C03">
      <w:pPr>
        <w:spacing w:after="0"/>
        <w:ind w:firstLine="720"/>
        <w:contextualSpacing/>
      </w:pPr>
    </w:p>
    <w:p w:rsidR="00E53C03" w:rsidRPr="00E53C03" w:rsidRDefault="00E53C03" w:rsidP="00E53C03">
      <w:pPr>
        <w:spacing w:after="0"/>
        <w:ind w:firstLine="720"/>
        <w:contextualSpacing/>
        <w:rPr>
          <w:b/>
        </w:rPr>
      </w:pPr>
      <w:r w:rsidRPr="00E53C03">
        <w:rPr>
          <w:b/>
        </w:rPr>
        <w:t>Social Constructions of Victims</w:t>
      </w:r>
    </w:p>
    <w:p w:rsidR="00E53C03" w:rsidRPr="00E53C03" w:rsidRDefault="00E53C03" w:rsidP="00E53C03">
      <w:pPr>
        <w:spacing w:after="0"/>
        <w:ind w:firstLine="720"/>
        <w:contextualSpacing/>
      </w:pPr>
      <w:r w:rsidRPr="00E53C03">
        <w:t xml:space="preserve">As Miller and Holstein (1997b) state, victim descriptions operate reflexively to direct others on how to appreciate the situationally specific meanings of victimhood, while at the same time bringing those meanings into play. Both victims and offenders draw from the same cultural constructions of offenses used in popular discourse, albeit employing them in different ways to account for their involvement and actions. Wood and Rennie (1994) found that rapists often focus their narratives on specific parts of the dominant discourse in order to shape their account to minimize blame by constructing the victim as a willing participant, comparing attributes of the victim to themselves, and highlighting their own past victimization. As sex trafficking and prostitution often share many dominant discourse frames as rape, I find that an analysis of this use of discourse in personal accounts will be particularly fruitful for examining how the offenders (and their defense attorneys) construct their victims. </w:t>
      </w:r>
    </w:p>
    <w:p w:rsidR="00E53C03" w:rsidRPr="00E53C03" w:rsidRDefault="00E53C03" w:rsidP="00E53C03">
      <w:pPr>
        <w:spacing w:after="0"/>
        <w:ind w:firstLine="720"/>
        <w:contextualSpacing/>
        <w:rPr>
          <w:rFonts w:eastAsia="Calibri"/>
        </w:rPr>
      </w:pPr>
      <w:r w:rsidRPr="00E53C03">
        <w:t>LaFree (1989) highlights how legal decisions are often affected by the stereotypes and social constructions of the legal actors involved. Many legal arguments center on a dispute over what it means to be a victim and the ascription of victim status (Miller &amp; Holstein, 1997), including those put forward in the criminal case under study. This criminal case was argued mainly through the differing ways that victimization and victimhood were defined by defense attorneys and the prosecutor. The use of socially constructed</w:t>
      </w:r>
      <w:r w:rsidRPr="00E53C03">
        <w:rPr>
          <w:rFonts w:eastAsia="Calibri"/>
        </w:rPr>
        <w:t xml:space="preserve"> ‘ideal’ type victims who exercise minimal agency in their victimization is key in arguments over what it means to be a victim, but victim experiences with coercion, agency, and exploitation are often much more contingent, nuanced, and problematic. Unfortunately, the construction of ‘ideal’ victims perpetuates categories of deserving and undeserving victims (Munro, 2008), which can impact the outcomes for those seen as complicit in their own trafficking.  A lack of attention to the gendered cultural, social, and contextual factors which lead many women to their complicated choices has limited the ability of official efforts to combat the crime of sex trafficking (Hoyle, Bosworth, &amp; Dempsey, 2011). </w:t>
      </w:r>
    </w:p>
    <w:p w:rsidR="00E53C03" w:rsidRPr="00E53C03" w:rsidRDefault="00E53C03" w:rsidP="00E53C03">
      <w:pPr>
        <w:spacing w:after="0"/>
        <w:ind w:firstLine="720"/>
        <w:contextualSpacing/>
        <w:rPr>
          <w:rFonts w:eastAsia="Calibri"/>
          <w:lang w:val="en-GB"/>
        </w:rPr>
      </w:pPr>
      <w:r w:rsidRPr="00E53C03">
        <w:rPr>
          <w:rFonts w:eastAsia="Calibri"/>
        </w:rPr>
        <w:t>Similar to ways that wife battering, sexual assault, and other gendered victimizations are socially constructed, the ‘ideal’ victim of sex trafficking has had considerable impact on legislation, investigation, and prosecution of offenders (Crawford, 2010).</w:t>
      </w:r>
      <w:r w:rsidRPr="00E53C03">
        <w:t xml:space="preserve"> L</w:t>
      </w:r>
      <w:r w:rsidRPr="00E53C03">
        <w:rPr>
          <w:rFonts w:eastAsia="Calibri"/>
          <w:lang w:val="en-GB"/>
        </w:rPr>
        <w:t>egal definitions of crime rarely recognize the full range of experiences within any criminal event. Further, i</w:t>
      </w:r>
      <w:r w:rsidRPr="00E53C03">
        <w:t xml:space="preserve">t is often difficult to force lived experience into narrow legal categories (Ferraro, 2006; Cianciarulo, 2008; Skilbrei, 2010). Despite this, dominant media-influenced constructions of victims of sex trafficking are dependent on mediated cultural scripts surrounding gender, sexuality and morality, and not empirical facts (Hallgrimsdottir, 2006). These cultural scripts are often brought into court proceeding in defense of clients to deny victim status to individuals in a particular case. Thus, often victims of sex trafficking are required to construct their victimization in specific ways to be afforded victim status within the confines both the legal and social definitions. </w:t>
      </w:r>
    </w:p>
    <w:p w:rsidR="00E53C03" w:rsidRPr="00E53C03" w:rsidRDefault="00E53C03" w:rsidP="00E53C03">
      <w:pPr>
        <w:spacing w:after="0"/>
        <w:ind w:firstLine="720"/>
        <w:contextualSpacing/>
      </w:pPr>
      <w:r w:rsidRPr="00E53C03">
        <w:t xml:space="preserve">Victimhood, as crime, is socially constructed. As Hoyle, Bosworth, and Dempsey (2011) state, “the status as victim is determined, not only by the experiences of those harmed, but also by the perceptions of those who come into contact with them and have the power to affix or reject such a label” (p. 315). These social constructions are often based on the legally or socially approved discourse surrounding the crime and individual understandings (Hoyle, Bosworth, &amp; Dempsey, 2011). Thus, there is variability to the ascription of victim status. As Bergoffen, Gilbert, and Harvey (2011) highlight that there is a “difference between being targeted as a victim and being defined as a victim” (p. 5). Ferraro (2006), in her study of female victim-perpetrators who had experienced domestic violence, theorizes that knowledge is shaped by social location and masculinist biases in knowledge. Therefore, socially constructed dichotomies separating victims and offenders are not sophisticated enough to accommodate how the lived experiences of these women traverse and blur the legal boundaries. </w:t>
      </w:r>
    </w:p>
    <w:p w:rsidR="00E53C03" w:rsidRPr="00E53C03" w:rsidRDefault="00E53C03" w:rsidP="00E53C03">
      <w:pPr>
        <w:spacing w:after="0"/>
        <w:ind w:firstLine="720"/>
        <w:contextualSpacing/>
      </w:pPr>
      <w:r w:rsidRPr="00E53C03">
        <w:t xml:space="preserve">The dominant social construction of a crime or ‘ideal’ is often assumed to represent reality in an objective sense. Yet, as O’Connell-Davidson (1999) highlights, they often do not- as in the case under study. As policymakers construct institutional identities, they become crystallized in legislation and broader social circulation, regardless of whether they are an accurately reflect lived experience (Loseke, 2007).  As mentioned previously, constructions of victimization can, as they have in the crime of sex trafficking, create hierarchies of victims, from ‘ideal’ victims to those who experiences are much more complicated, which can have considerable impact on the treatment on victims depending on how their experiences are constructed.  </w:t>
      </w:r>
    </w:p>
    <w:p w:rsidR="00E53C03" w:rsidRPr="00E53C03" w:rsidRDefault="00E53C03" w:rsidP="00E53C03">
      <w:pPr>
        <w:spacing w:after="0"/>
        <w:ind w:firstLine="720"/>
        <w:contextualSpacing/>
      </w:pPr>
      <w:r w:rsidRPr="00E53C03">
        <w:t xml:space="preserve">Extra-legal factors often influence the social construction of crime and victimhood. Stewart, Dobbin, and Gatowski’s (1996) study on sexual assault case processing highlights how victims and officials draw upon cultural myths and stereotypes of rape and rape victims in their case-processing decisions, often speaking of rape in terms of risk, incongruous behavior, and the victims’ credibility and integrity. In addition, as Hoyle et al. (2011) find, legal and social service actors can also adopt the socially constructed victimization hierarchies into the ways they construct their understanding of sex trafficking.  As claims of victimization can be, and often are contested in legal cases, those who do not fit the social construction of an ‘ideal’ victim have difficulty asserting their victimization and explaining their complicity.  </w:t>
      </w:r>
    </w:p>
    <w:p w:rsidR="00E53C03" w:rsidRPr="00E53C03" w:rsidRDefault="00E53C03" w:rsidP="00E53C03">
      <w:pPr>
        <w:spacing w:after="0"/>
        <w:ind w:firstLine="720"/>
        <w:contextualSpacing/>
      </w:pPr>
      <w:r w:rsidRPr="00E53C03">
        <w:t xml:space="preserve">In addition, Dunn (2010) contends that often social movements aimed to remedy specific crime, such as domestic violence, evoke very particular victim constructions, which can have very real consequences for victims, the larger discourse, and the social construction of the crime. With respect to sex trafficking, Maeda (2011) highlights how the </w:t>
      </w:r>
      <w:r w:rsidRPr="00E53C03">
        <w:rPr>
          <w:i/>
        </w:rPr>
        <w:t>Trafficking in Persons Report</w:t>
      </w:r>
      <w:r w:rsidRPr="00E53C03">
        <w:t xml:space="preserve"> issued yearly by the United States to describe the current trends in trafficking and prevention efforts evokes a very particular construction of sex trafficking. The </w:t>
      </w:r>
      <w:r w:rsidRPr="00E53C03">
        <w:rPr>
          <w:i/>
        </w:rPr>
        <w:t>Report</w:t>
      </w:r>
      <w:r w:rsidRPr="00E53C03">
        <w:t xml:space="preserve"> depends on “narrative and pictorial representations of trafficking victims to show them as abject, deserving of pity, and needing rescue by those who embody agency,” by representing victims with “depictions of destitution, shame, fear, or extreme vulnerability, through downcast eyes, gestures that hide faces, or proximity to potentially threatening persons” (Maeda, 2011, p. 53). Yet these photographs are not of actual victims, but stock photos employed to present a very particular construction of trafficking victims as passive individuals worthy of compassion and assistance (Maeda, 2011).   </w:t>
      </w:r>
    </w:p>
    <w:p w:rsidR="00E53C03" w:rsidRPr="00E53C03" w:rsidRDefault="00E53C03" w:rsidP="00E53C03">
      <w:pPr>
        <w:spacing w:after="0"/>
        <w:ind w:firstLine="720"/>
        <w:contextualSpacing/>
      </w:pPr>
    </w:p>
    <w:p w:rsidR="00E53C03" w:rsidRPr="00E53C03" w:rsidRDefault="00E53C03" w:rsidP="00E53C03">
      <w:pPr>
        <w:spacing w:after="0"/>
        <w:ind w:firstLine="720"/>
        <w:contextualSpacing/>
        <w:rPr>
          <w:b/>
        </w:rPr>
      </w:pPr>
      <w:r w:rsidRPr="00E53C03">
        <w:rPr>
          <w:b/>
        </w:rPr>
        <w:t>Social Constructions of Agency</w:t>
      </w:r>
    </w:p>
    <w:p w:rsidR="00E53C03" w:rsidRPr="00E53C03" w:rsidRDefault="00E53C03" w:rsidP="00E53C03">
      <w:pPr>
        <w:ind w:firstLine="720"/>
        <w:contextualSpacing/>
      </w:pPr>
      <w:r w:rsidRPr="00E53C03">
        <w:t xml:space="preserve">Hoyle et al. (2011) highlight that dominant constructions of what it means to be an agent are complicated in light of the ‘push/pull’ factors associated with sex trafficking. The choice of undocumented migrants to be smuggled into the United States due to financial constraints, violent life histories, and the desire for a better life on undocumented migrants is often used to construct these migrants who are later trafficked as criminals and agents in their own victimization. Luibheid (2002) calls for feminist scholarship to “examine how public discourses on sexuality legitimate the exclusion, condemnation, or acceptance of particular migrants” (p. 144). </w:t>
      </w:r>
    </w:p>
    <w:p w:rsidR="00E53C03" w:rsidRPr="00E53C03" w:rsidRDefault="00E53C03" w:rsidP="00E53C03">
      <w:pPr>
        <w:ind w:firstLine="720"/>
        <w:contextualSpacing/>
      </w:pPr>
      <w:r w:rsidRPr="00E53C03">
        <w:t xml:space="preserve">The connection between trafficking and immigration complicates the definition of victimhood in the crime of sex trafficking and who will be recognized by law. The need to distinguish between those who have engaged in smuggling to cross international borders and those who have been trafficked across them for the purposes of sexual exploitation is tantamount to the Western discourse. Those who are smuggled are guilty of a crime, while trafficking victims are ascribed victim status. As Chapkis (2003) emphasizes, the </w:t>
      </w:r>
      <w:r w:rsidRPr="00E53C03">
        <w:rPr>
          <w:i/>
        </w:rPr>
        <w:t>Trafficking Victims Protection Act</w:t>
      </w:r>
      <w:r w:rsidRPr="00E53C03">
        <w:t xml:space="preserve"> “works to neatly divide ‘violated innocents’ from ‘illegal immigrants’ along the line of sex and gender…the law justifies offering protection to the former and punishment to the latter” (p. 924). Thus, the ways in which what it means to be a victim is socially constructed can be used to disqualify an individual from legal assistance limits the acknowledgement of the variety of circumstances agency may exist in lived experience (Abrams, 1995). </w:t>
      </w:r>
    </w:p>
    <w:p w:rsidR="00E53C03" w:rsidRPr="00E53C03" w:rsidRDefault="00E53C03" w:rsidP="00E53C03">
      <w:pPr>
        <w:spacing w:after="0"/>
        <w:ind w:firstLine="720"/>
        <w:contextualSpacing/>
      </w:pPr>
      <w:r w:rsidRPr="00E53C03">
        <w:t xml:space="preserve">Coercion is a particularly difficult legal construction to use to ‘prove’ sex trafficking and other gendered crimes as it can be defined in a number of ways (particularly in reference to immigrant victims), yet only specific definitions are legally recognized (Haynes, 2004; Ferraro, 2006; Doezema, 2002; Cianciarulo, 2008; Pollock &amp; Hollier, 2010).  If the legal evidentiary threshold cannot be proven, especially within the limited confines of ‘severe forms of trafficking,’ cases go unprosecuted (Haynes, 2004; Cianciarulo, 2008; Pollock &amp; Hollier, 2010; Munro, 2005), leaving girls and women in exploitive situations for longer periods. As women can exercise a measure of agency in efforts to survive and overcome oppressive circumstances in which they may find themselves, it is crucial to complicate the restrictive constructions of victimization to piece out the intricacies of sex trafficking for use in the legal setting. </w:t>
      </w:r>
    </w:p>
    <w:p w:rsidR="00E53C03" w:rsidRPr="00E53C03" w:rsidRDefault="00E53C03" w:rsidP="00E53C03">
      <w:pPr>
        <w:spacing w:after="0"/>
        <w:ind w:firstLine="720"/>
        <w:contextualSpacing/>
      </w:pPr>
    </w:p>
    <w:p w:rsidR="00E53C03" w:rsidRPr="00E53C03" w:rsidRDefault="00E53C03" w:rsidP="00E53C03">
      <w:pPr>
        <w:spacing w:after="0"/>
        <w:ind w:firstLine="720"/>
        <w:rPr>
          <w:b/>
        </w:rPr>
      </w:pPr>
      <w:r w:rsidRPr="00E53C03">
        <w:rPr>
          <w:b/>
        </w:rPr>
        <w:t>Constructionism within the Legal Setting</w:t>
      </w:r>
    </w:p>
    <w:p w:rsidR="00E53C03" w:rsidRPr="00E53C03" w:rsidRDefault="00E53C03" w:rsidP="00E53C03">
      <w:pPr>
        <w:spacing w:after="0"/>
        <w:ind w:firstLine="720"/>
        <w:contextualSpacing/>
      </w:pPr>
      <w:r w:rsidRPr="00E53C03">
        <w:t>There exists a close relationship between legal cases and social construction, as stories are the main tool for organizing and interpreting information to build legal arguments (Donato, 2011). Sherwin (2009) theorizes that legal actors actively contribute in the construction of meaning through purposely developing and knowingly considering their stances and producing imagery to construct their case. The study of the construction of meaning within the legal system can provide insight into the interpretive frameworks operating in specific legal contexts. This is important, because as Miller (1997) highlights, institutional settings also provide individuals with resources to construct meaning.</w:t>
      </w:r>
    </w:p>
    <w:p w:rsidR="00E53C03" w:rsidRPr="00E53C03" w:rsidRDefault="00E53C03" w:rsidP="00E53C03">
      <w:pPr>
        <w:spacing w:after="0"/>
        <w:ind w:firstLine="720"/>
        <w:contextualSpacing/>
      </w:pPr>
      <w:r w:rsidRPr="00E53C03">
        <w:t>Bennett and Feldman (1981) explain that court actors, such as prosecutors and defense attorneys construct their own interpretation of the crimes to determine the relationship between actions, actors, and contexts. The particular construction of justice sought by legal actors is influenced by the client’s moral values of the client, the community, and the attorney (Stratton, 2004). When lawyer and client first meet, they create a coherent and compelling construction of the case, which may be influenced by the client’s (cultural) representation of the crime (Donato, 2011). Thus, as Donovan and Barnes-Brus (2011) conceptualize, “courtroom stories as a vantage point from which to analyze both the verbal tactics used in the courtroom and the overarching cultural frameworks that give those tactics meaning and social force” (p. 604).</w:t>
      </w:r>
    </w:p>
    <w:p w:rsidR="00E53C03" w:rsidRPr="00E53C03" w:rsidRDefault="00E53C03" w:rsidP="00E53C03">
      <w:pPr>
        <w:ind w:firstLine="720"/>
        <w:contextualSpacing/>
      </w:pPr>
      <w:r w:rsidRPr="00E53C03">
        <w:t>Thus, ‘facts’ presented in court are constructed by legal actors and their clients to highlight key legal issues and facts in support of their argument. Due to the adversarial nature of the legal system in the United States, there two constructions of the crime are presented to the court by opposing sides and the most persuasive version will prevail (Kadoch, 2001). From these competing constructions and claims, a judge must rely upon certain beliefs about reality to make a finding of fact, the legal declaration of what really happened (Schiavi, 2011). Attorneys use these stories to create particular constructions of the crime and those involved to evoke specific images and may seek out confusion, ambiguity, and misunderstandings to use to their advantage (McCaul, 2011).</w:t>
      </w:r>
    </w:p>
    <w:p w:rsidR="00E53C03" w:rsidRPr="00E53C03" w:rsidRDefault="00E53C03" w:rsidP="00E53C03">
      <w:pPr>
        <w:ind w:firstLine="720"/>
        <w:contextualSpacing/>
      </w:pPr>
    </w:p>
    <w:p w:rsidR="00E53C03" w:rsidRPr="00E53C03" w:rsidRDefault="00E53C03" w:rsidP="00E53C03">
      <w:pPr>
        <w:ind w:firstLine="720"/>
        <w:contextualSpacing/>
        <w:rPr>
          <w:b/>
        </w:rPr>
      </w:pPr>
      <w:r w:rsidRPr="00E53C03">
        <w:rPr>
          <w:b/>
        </w:rPr>
        <w:t>Using Stories to Construct Criminal Cases</w:t>
      </w:r>
    </w:p>
    <w:p w:rsidR="00E53C03" w:rsidRPr="00E53C03" w:rsidRDefault="00E53C03" w:rsidP="00E53C03">
      <w:pPr>
        <w:ind w:firstLine="720"/>
        <w:contextualSpacing/>
      </w:pPr>
      <w:r w:rsidRPr="00E53C03">
        <w:t>As previously stated, law and legal actors determine what constructions are able to be recognized under the law. In addition, the criminal justice system can also be profoundly constraining on the stories told within its boundaries to construct crimes and victimization experiences. This is because stories told within its context are subject to the “ways that institutional conventions constrain, promote, and otherwise shape the conversations, stories, and related selves that emerge under institutional auspices” (Holstein and Gubrium, 2000, p. 156). To achieve a desired outcome, individuals (to include victims, offenders, and legal actors) must construct their stories in particular ways and may draw upon larger social normative resources to strategically gain support (Berger, 1997; Gubrium &amp; Holstein, 2009) and to make sense of their experiences and the experiences of others (Loseke, 2007). Thus, there is a “situated nature” to the stories we tell (Gubrium &amp; Holstein, 2009, p. 11), which is especially apparent within the context of the criminal justice system.</w:t>
      </w:r>
    </w:p>
    <w:p w:rsidR="00E53C03" w:rsidRPr="00E53C03" w:rsidRDefault="00E53C03" w:rsidP="00E53C03">
      <w:pPr>
        <w:spacing w:after="0"/>
        <w:ind w:firstLine="720"/>
        <w:contextualSpacing/>
      </w:pPr>
      <w:r w:rsidRPr="00E53C03">
        <w:t>Institutional context shapes the presentation of self and stories, which is especially important to socio-legal studies of criminal investigations and prosecutions. As Gubrium and Holstein (2009) state-</w:t>
      </w:r>
    </w:p>
    <w:p w:rsidR="00E53C03" w:rsidRPr="00E53C03" w:rsidRDefault="00E53C03" w:rsidP="00E53C03">
      <w:pPr>
        <w:spacing w:after="0" w:line="240" w:lineRule="auto"/>
        <w:ind w:left="720"/>
        <w:contextualSpacing/>
      </w:pPr>
      <w:r w:rsidRPr="00E53C03">
        <w:t xml:space="preserve">an account may be formulated in a particular way for one audience, and notable altered for another. Practical purposes come into play. Bracketing the hows of narrative work helps reveal the contingent understandings and communicative conditions of storytelling- or the whats of narrative terrain. This is the situational terrain (p. 32).  </w:t>
      </w:r>
    </w:p>
    <w:p w:rsidR="00E53C03" w:rsidRPr="00E53C03" w:rsidRDefault="00E53C03" w:rsidP="00E53C03">
      <w:pPr>
        <w:spacing w:after="0" w:line="240" w:lineRule="auto"/>
        <w:ind w:left="720"/>
        <w:contextualSpacing/>
      </w:pPr>
    </w:p>
    <w:p w:rsidR="00E53C03" w:rsidRPr="00E53C03" w:rsidRDefault="00E53C03" w:rsidP="00E53C03">
      <w:pPr>
        <w:spacing w:after="0"/>
        <w:ind w:firstLine="720"/>
        <w:contextualSpacing/>
      </w:pPr>
      <w:r w:rsidRPr="00E53C03">
        <w:t xml:space="preserve">As such, a case presented in court is socially constructed in “a world of representational strategies, socially mediated knowledge production, and truth claims” (Warren, 2012, p. 119). Within the criminal justice system, law enforcement, defense attorneys, and the prosecution draw from their own systemic roles, interests, and dominant discourses to construct their interpretations of crime (Miller, 1997). In addition, suspects, defendants, and victims have their own moral goals which influence their stories as means of self-representation and how they understand and give meaning to their actions within larger socio-historical contexts and discourses (Riessman, 1993). This follows Goffman’s (1959) conception of the staged self, in which actors consider the circumstances in which their interaction with others takes place to determine how they present themselves and the impressions they make. Bumiller (1988) brings this theoretical argument into the context of the criminal justice system by pointing to how legal settings, including court, can shape the way that individuals represent themselves and describe their role and level of involvement in a crime. Individuals telling stories in institutional settings may also be aware of how to tell the ‘right’ story to achieve their desired outcome (Loseke, 2007).   </w:t>
      </w:r>
    </w:p>
    <w:p w:rsidR="00E53C03" w:rsidRPr="00E53C03" w:rsidRDefault="00E53C03" w:rsidP="00E53C03">
      <w:pPr>
        <w:spacing w:after="0"/>
        <w:ind w:firstLine="720"/>
      </w:pPr>
      <w:r w:rsidRPr="00E53C03">
        <w:t>Stories espoused by offenders, victims, legal and social service actors are used in this research to uncover the ways sex trafficking and the case under study have been constructed. These stories varied dependent on the desired outcome of the statements made and how the individual was attempting to negotiate lived experiences and circumstances (Butt &amp; Burr, 2000). During the course of the investigation, many of the offenders in this case were surreptitiously recorded by undercover confidential informants. Thus, the statements they made to these informants were not constrained in this instance by how they wished to be viewed by the criminal justice system, but were given within a context of an ongoing criminal enterprise and how they wished to be perceived in those situations. In comparing the stories of the offenders told to the undercover informants and those made to law enforcement, their attorneys, and the court, the ways they constructed their actions and the actions of the victims in the case varied significantly according to the work they aimed to accomplish. This is important as Loseke (2007) highlights, because “modern social actors in plural and heterogeneous social environments often tell their stories to different audiences for very different reasons” (Loseke, 2007, p. 675).</w:t>
      </w:r>
    </w:p>
    <w:p w:rsidR="00E53C03" w:rsidRPr="00E53C03" w:rsidRDefault="00E53C03" w:rsidP="00E53C03">
      <w:pPr>
        <w:spacing w:after="0" w:line="240" w:lineRule="auto"/>
        <w:ind w:left="720"/>
        <w:contextualSpacing/>
      </w:pPr>
    </w:p>
    <w:p w:rsidR="00E53C03" w:rsidRPr="00E53C03" w:rsidRDefault="00E53C03" w:rsidP="00E53C03">
      <w:pPr>
        <w:contextualSpacing/>
        <w:rPr>
          <w:b/>
        </w:rPr>
      </w:pPr>
      <w:r w:rsidRPr="00E53C03">
        <w:rPr>
          <w:b/>
        </w:rPr>
        <w:t>Looking forward</w:t>
      </w:r>
    </w:p>
    <w:p w:rsidR="00E53C03" w:rsidRPr="00E53C03" w:rsidRDefault="00E53C03" w:rsidP="00E53C03">
      <w:pPr>
        <w:spacing w:after="0"/>
        <w:ind w:firstLine="720"/>
        <w:contextualSpacing/>
      </w:pPr>
      <w:r w:rsidRPr="00E53C03">
        <w:t xml:space="preserve">As shown throughout this chapter, all crime, criminal behavior, and the ascription of victim status is socially constructed. This fact lies at the heart of this dissertation project as it seeks to determine how sex trafficking is socially constructed by those involved and those who deal with the crime in the legal field and social services. The ways that these actors’ socially construct the crime under study and those involved has significant impacts on the case processing, case outcome, and provision of services to victims. In addition to being shared in the interviews conducted for this research, these actors shared their constructions through their statements and stories espoused to undercover informants, legal actors, and in the courtroom. This, coupled with the constraining nature of socially constructed laws and legal definitions, again highlight the importance of social construction within the criminal justice system and its impact on how cases and victims are handled, particularly sex crimes against women.  </w:t>
      </w:r>
    </w:p>
    <w:p w:rsidR="00E53C03" w:rsidRPr="00E53C03" w:rsidRDefault="00E53C03" w:rsidP="00E53C03">
      <w:pPr>
        <w:spacing w:after="0"/>
        <w:ind w:firstLine="720"/>
        <w:contextualSpacing/>
      </w:pPr>
      <w:r w:rsidRPr="00E53C03">
        <w:t>The next chapter details the methodology used to gather the data used in this dissertation, why this methodology and research site was chosen, and how this research project uses these methods and data to analyze the above theoretical questions. The following three chapters after that will put forward and analysis of this data to show how the crime of sex trafficking is social constructed by various actors and the implications of these constructions on case processing, case outcomes, and the treatment of victims in general in instances of trafficking and in the specific case under study. Specifically, the fourth chapter will analyze the historical and ideological influences on the social construction of sex trafficking and how they continue to shape and constrain current efforts to raise awareness of the crime of sex trafficking and provide services to victims. The fifth and sixth chapters analyze how victims, offenders, and legal actors construct the crime committed and those involved in the case under study. In the sixth chapter, the centrality of the concepts of coercion, force, and agency as the building blocks of legal actors’ constructions of this case and the crime of sex trafficking is examined.</w:t>
      </w:r>
    </w:p>
    <w:p w:rsidR="00E53C03" w:rsidRPr="00E53C03" w:rsidRDefault="00E53C03" w:rsidP="00E53C03">
      <w:pPr>
        <w:spacing w:after="0"/>
        <w:ind w:firstLine="720"/>
      </w:pPr>
    </w:p>
    <w:p w:rsidR="00E53C03" w:rsidRPr="00E53C03" w:rsidRDefault="00E53C03" w:rsidP="00E53C03">
      <w:pPr>
        <w:spacing w:after="0"/>
        <w:ind w:firstLine="720"/>
      </w:pPr>
    </w:p>
    <w:p w:rsidR="00E53C03" w:rsidRPr="00E53C03" w:rsidRDefault="00E53C03" w:rsidP="00E53C03">
      <w:pPr>
        <w:spacing w:after="0"/>
        <w:contextualSpacing/>
      </w:pPr>
    </w:p>
    <w:p w:rsidR="00E53C03" w:rsidRPr="00E53C03" w:rsidRDefault="00E53C03" w:rsidP="00E53C03">
      <w:pPr>
        <w:spacing w:after="0"/>
        <w:contextualSpacing/>
      </w:pPr>
    </w:p>
    <w:p w:rsidR="00E53C03" w:rsidRPr="00E53C03" w:rsidRDefault="00E53C03" w:rsidP="00E53C03">
      <w:pPr>
        <w:contextualSpacing/>
        <w:jc w:val="center"/>
        <w:rPr>
          <w:b/>
          <w:smallCaps/>
          <w:sz w:val="28"/>
          <w:szCs w:val="28"/>
        </w:rPr>
      </w:pPr>
      <w:r w:rsidRPr="00E53C03">
        <w:rPr>
          <w:b/>
          <w:smallCaps/>
          <w:sz w:val="28"/>
          <w:szCs w:val="28"/>
        </w:rPr>
        <w:t>Chapter 3</w:t>
      </w:r>
    </w:p>
    <w:p w:rsidR="00E53C03" w:rsidRPr="00E53C03" w:rsidRDefault="00E53C03" w:rsidP="00E53C03">
      <w:pPr>
        <w:contextualSpacing/>
        <w:jc w:val="center"/>
        <w:rPr>
          <w:b/>
          <w:smallCaps/>
          <w:sz w:val="28"/>
          <w:szCs w:val="28"/>
        </w:rPr>
      </w:pPr>
      <w:r w:rsidRPr="00E53C03">
        <w:rPr>
          <w:b/>
          <w:smallCaps/>
          <w:sz w:val="28"/>
          <w:szCs w:val="28"/>
        </w:rPr>
        <w:t>Research Methods</w:t>
      </w:r>
    </w:p>
    <w:p w:rsidR="00E53C03" w:rsidRPr="00E53C03" w:rsidRDefault="00E53C03" w:rsidP="00E53C03">
      <w:pPr>
        <w:contextualSpacing/>
        <w:jc w:val="center"/>
        <w:rPr>
          <w:b/>
          <w:smallCaps/>
          <w:sz w:val="28"/>
          <w:szCs w:val="28"/>
        </w:rPr>
      </w:pPr>
    </w:p>
    <w:p w:rsidR="00E53C03" w:rsidRPr="00E53C03" w:rsidRDefault="00E53C03" w:rsidP="00E53C03">
      <w:pPr>
        <w:ind w:firstLine="720"/>
        <w:contextualSpacing/>
      </w:pPr>
      <w:r w:rsidRPr="00E53C03">
        <w:t xml:space="preserve">This chapter details the various qualitative research methods used in this case study of Latino sex trafficking occurring in new destination areas in Middle and East Tennessee and Middle Kentucky. The federal criminal case under study, </w:t>
      </w:r>
      <w:r w:rsidRPr="00E53C03">
        <w:rPr>
          <w:i/>
        </w:rPr>
        <w:t>United States v. Rios et al.</w:t>
      </w:r>
      <w:r w:rsidRPr="00E53C03">
        <w:t xml:space="preserve">, was the first criminal case to be tried in the US District Court in the Eastern District of Tennessee’s Northeastern Division. This case was chosen because it provided the opportunity to study an emerging criminal enterprise during its first movement through the legal system and examine how local actors conceptualized and responded to the crime. A multi-method approach was necessary for this research project to gather appropriate data about the legal case and ascertain how legal actors, social service providers, and advocates conceptualize sex trafficking in a new destination immigration area. I employed both field research techniques and secondary data analysis to collect and analyze data. </w:t>
      </w:r>
    </w:p>
    <w:p w:rsidR="00E53C03" w:rsidRPr="00E53C03" w:rsidRDefault="00E53C03" w:rsidP="00E53C03">
      <w:pPr>
        <w:ind w:firstLine="720"/>
        <w:contextualSpacing/>
      </w:pPr>
      <w:r w:rsidRPr="00E53C03">
        <w:t>The close proximity of the federal court in which the criminal case was tried afforded me the opportunity to both directly observe court hearings and legal actors interactions and interview local actors involved with the case regarding their role in dealing with sex trafficking, the issues involved in dealing with the crime, personal constructions of the crime, and the criminal case under study. Interviews with other social service advocates who have worked with other trafficking cases, victims, and advocacy campaigns in Tennessee were also interviewed to gather data on the service, programs, and advocacy available for victims and these actors’ conceptualizations of the crime of sex trafficking, federal legislation and programs, and how they are involved with dealing with this social issue. Finally, secondary data analysis of court records was conducted to gather data on the criminal investigation and legal case regarding the way the case was investigated, legal construction of the crime, criminal defenses and defendant statements.</w:t>
      </w:r>
    </w:p>
    <w:p w:rsidR="00E53C03" w:rsidRPr="00E53C03" w:rsidRDefault="00E53C03" w:rsidP="00E53C03">
      <w:pPr>
        <w:ind w:firstLine="720"/>
        <w:contextualSpacing/>
      </w:pPr>
      <w:r w:rsidRPr="00E53C03">
        <w:t xml:space="preserve">In order to highlight the importance of the field site to the context of this case of Latino sex trafficking and the actors involved, I believe an abbreviated examination of the </w:t>
      </w:r>
      <w:r w:rsidRPr="00E53C03">
        <w:rPr>
          <w:rFonts w:eastAsiaTheme="minorEastAsia"/>
        </w:rPr>
        <w:t xml:space="preserve">history of geo-and socio-political influences on Latino migration into the United States is necessary. With the dramatically increasing Latino populations in </w:t>
      </w:r>
      <w:r w:rsidRPr="00E53C03">
        <w:t xml:space="preserve">new destination areas in Tennessee and Kentucky, trafficking networks have emerged to serve the male migrants in these Latino communities as in the criminal case under study. These traffickers exploit the intersectional vulnerabilities of Latina migrants which compel their migration into the United States in order to traffic them and profit from their work sexually servicing large numbers of Latino men. </w:t>
      </w:r>
    </w:p>
    <w:p w:rsidR="00E53C03" w:rsidRPr="00E53C03" w:rsidRDefault="00E53C03" w:rsidP="00E53C03">
      <w:pPr>
        <w:ind w:firstLine="720"/>
        <w:contextualSpacing/>
      </w:pPr>
    </w:p>
    <w:p w:rsidR="00E53C03" w:rsidRPr="00E53C03" w:rsidRDefault="00E53C03" w:rsidP="00E53C03">
      <w:pPr>
        <w:spacing w:after="200"/>
        <w:contextualSpacing/>
        <w:rPr>
          <w:rFonts w:eastAsiaTheme="minorEastAsia"/>
          <w:b/>
        </w:rPr>
      </w:pPr>
      <w:r w:rsidRPr="00E53C03">
        <w:rPr>
          <w:rFonts w:eastAsiaTheme="minorEastAsia"/>
          <w:b/>
        </w:rPr>
        <w:t>New Destination Field Site</w:t>
      </w:r>
    </w:p>
    <w:p w:rsidR="00E53C03" w:rsidRPr="00E53C03" w:rsidRDefault="00E53C03" w:rsidP="00E53C03">
      <w:pPr>
        <w:spacing w:after="200"/>
        <w:ind w:firstLine="720"/>
        <w:contextualSpacing/>
        <w:rPr>
          <w:rFonts w:eastAsiaTheme="minorEastAsia"/>
        </w:rPr>
      </w:pPr>
      <w:r w:rsidRPr="00E53C03">
        <w:rPr>
          <w:rFonts w:eastAsiaTheme="minorEastAsia"/>
        </w:rPr>
        <w:t>The emergence of these criminal trafficking enterprises has been influenced by specific economic policies encouraging Latino migration into the United States to provide low-wage labor.  These policies bolster the US economy to the detriment of many Central American economies and citizens as increasing numbers of Latinos migrate from their homelands in search of work. One quarter of the world’s migrants immigrate to the United States, making it the largest immigration destination in the world. Mexico has the largest number of emigrants (Delgado Wise, &amp; Márquez Covarrubias, 2009), mainly to the United States. Latinos are now the largest minority population in the United States, surpassing 35 million in 2000 (Winders, 2009). The global economic dependence on low wage labor, illegal employment practices, the North American Free Trade Agreement (NAFTA) policies, deindustrialization, social and economic inequality, and rampant Latin American poverty converged to increase Latino immigration to the United States and expand internal migration.</w:t>
      </w:r>
    </w:p>
    <w:p w:rsidR="00E53C03" w:rsidRPr="00E53C03" w:rsidRDefault="00E53C03" w:rsidP="00E53C03">
      <w:pPr>
        <w:spacing w:after="200"/>
        <w:ind w:firstLine="720"/>
        <w:contextualSpacing/>
        <w:rPr>
          <w:rFonts w:eastAsiaTheme="minorEastAsia"/>
        </w:rPr>
      </w:pPr>
      <w:r w:rsidRPr="00E53C03">
        <w:rPr>
          <w:rFonts w:eastAsiaTheme="minorEastAsia"/>
        </w:rPr>
        <w:t xml:space="preserve">Various US economic policies have depended on migrant labor to increase economic output, address labor needs, and improve trade. Two policies in particular, the Bracero Program and the North American Free Trade Agreement, have been influential on Latino migration into the United States. The Bracero Program, formally known as the Mexican Farm Labor Program, was established in 1942 to assuage labor shortages brought on by WWII and continued until 1967 to address continuing labor shortages (Frederickson, 2011). As a result, the agricultural, meat processing, and other industries became dependent on mass recruitment of low wage Mexican migrant labor (Portes, 2009).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Migration scholars have also pointed to the importance of the North American Free Trade Agreement on continued Latino migration to the United States and the internal migration diaspora to new destination areas (Odem &amp; Lacy, 2009; Frazier &amp; Reisinger, 2006). On January 1, 1994, the North American Free Trade Agreement (NAFTA) was created to foster economic growth and free trade between Mexico, the United States, and Canada (Office of the United States Trade Representative, n.d.). Policies associated with the agreement led to a restructuring of Mexico’s economy to the point which it became centered on export and maquiladora industries (Delgado Wise &amp; Márquez Covarrubias, 2009), which provide little economic benefit to the populace and nation (Cypher &amp; Delgado Wise, 2008). Mexico’s limited structural capabilities, high unemployment, and poverty has been exacerbated by the economic changes brought on by NAFTA, increasing Mexico-US migration (Delgado Wise &amp; Márquez Covarrubias, 2009; Bean &amp; Cushing, 2006). This mass migration has reduced Mexico’s labor force, increased reliance on remittances, and amplified social disparities in the country (Delgado Wise &amp; Márquez Covarrubias, 2009).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Within the United States, demand for low wage Latino migrant workers has grown recently in the poultry and agricultural processing, construction, service work, and landscaping industries due to deindustrialization (Sanghera, 2004; Frederickson, 2011) to enhance competitiveness and profitability in the global market (Delgado Wise &amp; Márquez Covarrubias, 2009).  In the agricultural sector alone, about 1.5 million Latinos work as seasonal farm labor (Ribando, 2008), with about three quarters being undocumented Mexican migrants (Delgado Wise &amp; Márquez Covarrubias, 2009).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The congruence of the effects of the labor polices mentioned above, increasing immigration restrictions, increasing poverty, and political and social upheaval in Latin America have contributed to the recent permanent settlement of Latino migrants in the United States instead of maintaining historical circulatory migration patterns between Central America and the United States (Delgado Wise, Márquez Covarrubias, &amp; Rodriguez, 2004; Portes, 2009). In the mid-1990s, Latino migrant settlement patterns transitioned from traditional urban gateway communities, like Los Angeles, Houston, and Chicago, to new immigrant destinations.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Many of these new destinations are located in southern states with agricultural and manufacturing industries utilizing immigrant labor (Goździak, 2005; Shefner &amp; Kirkpatrick, 2009). Various food processing and manufacturing factories in these areas recruit Latino migrant workers for an adaptable, low cost labor force (Stull &amp; Broadway, 2004; Drevel, 2009).  Some manufacturing companies still rely on the labor recruitment companies in existence since the Bracero Program to provide prospective Latino migrant laborers (Portes, 2009).  These vulnerable and often desperate undocumented Latino workers are easily recruited during high demand seasonal periods and released during low demand times (Kandel, 2006).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The 2000 Census highlighted the massive influx of Latino migration into the south. Tennessee experienced the nation’s largest growth in Mexican immigrant population, growing 2,166 percent between 1990 and 2000. This population also grew exponentially in North Carolina and Kentucky with 1,865 and 1,637 percent increases respectively. Georgia also grew significantly at 839 percent during that decade (Grieco, 2003). The 2006 American Survey estimated the total Latino population in Tennessee as 187,747 up from 32,742 in the 1990 Census; in Kentucky as 83,015 from 22,005; in North Carolina as 597,382 from 76,745; and in Georgia as 696,146 from 108,933 (Odem &amp; Lacy, 2009).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By 2006, 2.6 million Central and South American immigrants had settled in new destination communities in Arkansas, Alabama, North Carolina, South Carolina, Tennessee, and Georgia (Frederickson, 2011). In Tennessee, the initial waves of Latino migration consisted of young males leaving urban gateway Mexican communities seeking work in construction, landscaping, food processing, agricultural, and manufacturing industries (Winders, 2006; Drever, 2006). The hospitality, food, and other low-wage industries in Nashville, TN, attracted a diverse and growing Latino immigrant community (Winders, 2006). The Koch Foods processing plant in Morristown, TN, serves as a large recruiter of Latino labor, drawing in thousands of Latinos to the area. At the 2000 Census, slightly over ten percent of the population in Morristown was Latino (Drever, 2006). Kentucky has a very similar young male Latino population working in agriculture (such as tobacco), and manufacturing with one of the largest Latino growth areas centered on Louisville (Barcus, 2006).  As this data suggests, the defendants opened their prostitution delivery services in towns with significant Latino migrant populations in new destination areas to have a significant pool of male customers.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The same vulnerabilities that fuel Latino migration to the United States for employment opportunities also fuel sex trafficking through the same channels. The impact of the global economic hierarchy, extreme poverty, and lack of employment opportunities in Central and South America increase Latina women’s vulnerability to exploitive Latino sex traffickers seeking to gain their own financial independence. In areas with depressed economies and severe poverty exacerbated by global economic restructuring, families often send members to the United States to supplement income (Ribando, 2008).  Often, single women migrate and sometimes consent to smuggling into the United States, because of inadequate employment and income opportunities throughout Latin America (Sanghera, 2005; Ralph, 2000).  Cabezas, Ortiz, and Valencia (2009) highlight the ample substantiation showing that free trade agreements, limited Latin American employment opportunities, prohibitive immigration practices, expanding global disparities, and World Bank and International Monetary Fund programs have increased the vulnerability of Latina women.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The existence of large populations of unaccompanied migrant Latino men and vulnerable females converges with specific cultural norms fuel sex trafficking and the existence of prostitution businesses in new destination areas. Several studies have found high rates of prostitution use by Latino men living in the United States due to loneliness, lack of women in their communities, and feelings of freedom (Shedlin, Decena, and Oliver-Velez, 2005; Viadro &amp; Earp, 2000; Organista, Organista, Garcia de Alba, Morán, &amp; Carrillo’s, 1997; Marin, Gomez, and Hearst, 1993). Mexican immigrant males in North Carolina who migrated without a significant other described themselves as “single here and married there” which allowed them to feel able to procure sexual services from prostitutes (Viadro &amp; Earp, 2000, p. 731). Latinas in these communities attributed this heightened use of prostitutes and multiple sexual partners to a machismo culture and cultural sexual double standards (Viadro &amp; Earp, 2000).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As shown in this short analysis, Latino sex trafficking networks emerged in new destination areas at the intersection of a number of influences, including labor migration, the intersectional vulnerabilities of Latina women, and high rates of prostitution in Latino immigrant communities. This provides the context for the victimization of migrant Latina women by traffickers who exploit their desire for employment and financial stability for their own personal financial gain. The distinctive nature of Latino sex trafficking in regards to its connection to undocumented immigration places it in a specific legal context with regards to how it is constructed by legal actors in criminal proceedings is important to this case study. </w:t>
      </w:r>
    </w:p>
    <w:p w:rsidR="00E53C03" w:rsidRPr="00E53C03" w:rsidRDefault="00E53C03" w:rsidP="00E53C03">
      <w:pPr>
        <w:spacing w:after="200"/>
        <w:ind w:firstLine="720"/>
        <w:contextualSpacing/>
        <w:rPr>
          <w:rFonts w:eastAsiaTheme="minorEastAsia"/>
        </w:rPr>
      </w:pPr>
      <w:r w:rsidRPr="00E53C03">
        <w:rPr>
          <w:rFonts w:eastAsiaTheme="minorEastAsia"/>
        </w:rPr>
        <w:t xml:space="preserve"> </w:t>
      </w:r>
    </w:p>
    <w:p w:rsidR="00E53C03" w:rsidRPr="00E53C03" w:rsidRDefault="00E53C03" w:rsidP="00E53C03">
      <w:pPr>
        <w:spacing w:after="200"/>
        <w:contextualSpacing/>
        <w:jc w:val="center"/>
        <w:rPr>
          <w:rFonts w:eastAsiaTheme="minorEastAsia"/>
          <w:b/>
        </w:rPr>
      </w:pPr>
      <w:r w:rsidRPr="00E53C03">
        <w:rPr>
          <w:rFonts w:eastAsiaTheme="minorEastAsia"/>
          <w:b/>
        </w:rPr>
        <w:t>Multi-method Case Study</w:t>
      </w:r>
    </w:p>
    <w:p w:rsidR="00E53C03" w:rsidRPr="00E53C03" w:rsidRDefault="00E53C03" w:rsidP="00E53C03">
      <w:pPr>
        <w:spacing w:after="200"/>
        <w:contextualSpacing/>
        <w:jc w:val="center"/>
        <w:rPr>
          <w:rFonts w:eastAsiaTheme="minorEastAsia"/>
        </w:rPr>
      </w:pPr>
    </w:p>
    <w:p w:rsidR="00E53C03" w:rsidRPr="00E53C03" w:rsidRDefault="00E53C03" w:rsidP="00E53C03">
      <w:pPr>
        <w:ind w:firstLine="720"/>
        <w:contextualSpacing/>
      </w:pPr>
      <w:r w:rsidRPr="00E53C03">
        <w:t xml:space="preserve">The qualitative research methods employed in this research were informed by the research questions posed. I felt as if a multi-method case study of a specific instance of Latino sex trafficking and the associated investigation and prosecution of the crime would allow for the opportunity to answer the central research question of my dissertation, along with the related secondary research questions. I sought to determine “how Latino sex trafficking is socially constructed by traffickers, victims, legal actors, and other stakeholders,” in addition to “how Latino sex trafficking is investigated and prosecuted” and “how Latino sex trafficking is connected to the vulnerabilities of Latino women.” </w:t>
      </w:r>
    </w:p>
    <w:p w:rsidR="00E53C03" w:rsidRPr="00E53C03" w:rsidRDefault="00E53C03" w:rsidP="00E53C03">
      <w:pPr>
        <w:ind w:firstLine="720"/>
        <w:contextualSpacing/>
      </w:pPr>
      <w:r w:rsidRPr="00E53C03">
        <w:t>According to a constructionist viewpoint, multi-method case study research allows for the triangulation of various data sources to highlight the constructed nature of social problems and crime, along with examining the variability in social constructions by various actors concerning a particular crime. Various scholars highlight the role and power of triangulation in constructionist research. Silverman (1993) asserts that methodological triangulation can assist in examining the situated nature of accounts and existence of multiple constructed social realities. Seale (1999) similarly points the use of qualitative triangulation to access multiple viewpoints and constructions of a phenomenon. To draw upon the strengths of triangulation for this qualitative dissertation project, I felt it was important to examine multiple data sources to examine how the crime of sex trafficking is differentially socially constructed; the influence of multiple constructed realities on law, legal case processing/outcomes; and the ways that the crime of sex trafficking, offenders, and victims are constructed by various actors.</w:t>
      </w:r>
    </w:p>
    <w:p w:rsidR="00E53C03" w:rsidRPr="00E53C03" w:rsidRDefault="00E53C03" w:rsidP="00E53C03">
      <w:pPr>
        <w:ind w:firstLine="720"/>
        <w:contextualSpacing/>
      </w:pPr>
      <w:r w:rsidRPr="00E53C03">
        <w:t xml:space="preserve">As this research will show, numerous constructions can be employed to describe a single set of events by the various actors. I agree with Haraway (1988) that, from the constructionist perspective, all forms of ‘knowledge claims’ are worthy of study and no particular perspective should be privileged over another” (p. 576). Haraway (1988) also argues for a epistemological analysis of ‘situated knowledges’ to investigate how individuals operate as both “actor and agent” (p. 592), because social constructions are created and employed in particular settings, cultures, and thought processes (Haraway, 1991). I feel that this lens is important to my research project and the larger constructionist paradigm as it highlights importance of examining various actors’ meanings to determine the plurality of forces involved in constraining and shaping the defining and description of a phenomenon. For this reason, I sought to use “the power of modern critical theories of how meanings and bodies get made” (Haraway, 1988, p. 580) in this research to examine the effects of particular constructions of sex trafficking, offenders, and victims on case processing and outcomes along with the treatment of victims under the law. </w:t>
      </w:r>
    </w:p>
    <w:p w:rsidR="00E53C03" w:rsidRPr="00E53C03" w:rsidRDefault="00E53C03" w:rsidP="00E53C03">
      <w:pPr>
        <w:ind w:firstLine="720"/>
        <w:contextualSpacing/>
      </w:pPr>
      <w:r w:rsidRPr="00E53C03">
        <w:t xml:space="preserve">As this research also studies a gendered crime, I also seek in this project to examine how the constructions of prostitution, force, coercion, and victimhood are differentially conceptualized based on the actors’ gender, social place, and institutional role. My interests lie in the feminist epistemology similar to that of Ramazanoglu and Holland (2002), who examine how conceptions of sexuality and gender gain particular meanings which influence how individuals perceive social problems and their experiences. This not only informed the research methodology I employed in this research, but also how I approached the ways in which the gendered crime of sex trafficking and victims are socially constructed. </w:t>
      </w:r>
    </w:p>
    <w:p w:rsidR="00E53C03" w:rsidRPr="00E53C03" w:rsidRDefault="00E53C03" w:rsidP="00E53C03">
      <w:pPr>
        <w:ind w:firstLine="720"/>
        <w:contextualSpacing/>
      </w:pPr>
      <w:r w:rsidRPr="00E53C03">
        <w:t xml:space="preserve">To address these methodological concerns and all of the research question of this study, I collected data in this multi-method research project from field research, semi-structured interviews, and secondary data analysis. These data sources provided information regarding the investigation and prosecution of the criminal case at the heart of this project along with data on how this specific crime and sex trafficking in general are socially constructed by various actors.  I obtained Institutional Review Board approval for this project in two phases. On February 13, 2012, I was approved for the observation research at the local training session on addressing the crime of human trafficking. The full multi-method research project was approved on March 22, 2012. The rest of this chapter will provide comprehensive descriptions of the methodology used in this dissertation research project. It will detail the specific data collection methods used, the observational field sites, the limitations of this research and data, data analysis methods, and major themes that emerged in the data and informed the structure of this written work.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Observations</w:t>
      </w:r>
    </w:p>
    <w:p w:rsidR="00E53C03" w:rsidRPr="00E53C03" w:rsidRDefault="00E53C03" w:rsidP="00E53C03">
      <w:pPr>
        <w:ind w:firstLine="720"/>
        <w:contextualSpacing/>
      </w:pPr>
      <w:r w:rsidRPr="00E53C03">
        <w:t xml:space="preserve">I conducted observation research for this project at two separate field sites, a local training session on addressing the crime of human trafficking and the federal courthouse in Greeneville, Tennessee. This portion of the project provided data on how sex trafficking, traffickers, victims, and how to combat the crime are constructed by actors involved with the case under study and the larger community of advocates and social services. In addition, through observing at these sites, I was able to gather primary data on the interaction between individuals involved in dealing with the crime of sex trafficking and those who advocate for and serve victims and how the criminal case under study was argued in court. </w:t>
      </w:r>
    </w:p>
    <w:p w:rsidR="00E53C03" w:rsidRPr="00E53C03" w:rsidRDefault="00E53C03" w:rsidP="00E53C03">
      <w:pPr>
        <w:ind w:firstLine="720"/>
        <w:contextualSpacing/>
      </w:pPr>
    </w:p>
    <w:p w:rsidR="00E53C03" w:rsidRPr="00E53C03" w:rsidRDefault="00E53C03" w:rsidP="00E53C03">
      <w:pPr>
        <w:ind w:firstLine="720"/>
        <w:contextualSpacing/>
        <w:rPr>
          <w:b/>
        </w:rPr>
      </w:pPr>
      <w:r w:rsidRPr="00E53C03">
        <w:rPr>
          <w:b/>
        </w:rPr>
        <w:t>Training</w:t>
      </w:r>
    </w:p>
    <w:p w:rsidR="00E53C03" w:rsidRPr="00E53C03" w:rsidRDefault="00E53C03" w:rsidP="00E53C03">
      <w:pPr>
        <w:ind w:firstLine="720"/>
        <w:contextualSpacing/>
      </w:pPr>
      <w:r w:rsidRPr="00E53C03">
        <w:t>On March 13, 2012, I attended a local training session geared towards providing information on the crime of human trafficking and how to address the problem. In 2010, the state legislature of Tennessee enacted a law</w:t>
      </w:r>
      <w:r w:rsidRPr="00E53C03">
        <w:rPr>
          <w:vertAlign w:val="superscript"/>
        </w:rPr>
        <w:footnoteReference w:id="24"/>
      </w:r>
      <w:r w:rsidRPr="00E53C03">
        <w:t xml:space="preserve"> requiring a state-wide study of the “impact of human sex trafficking on children and youth in the state.”</w:t>
      </w:r>
      <w:r w:rsidRPr="00E53C03">
        <w:rPr>
          <w:vertAlign w:val="superscript"/>
        </w:rPr>
        <w:footnoteReference w:id="25"/>
      </w:r>
      <w:r w:rsidRPr="00E53C03">
        <w:t xml:space="preserve"> The study found that well over three-quarters (85%) of Tennessee counties reported at least one case of human trafficking and that many of the law enforcement agencies and courts had no knowledge of these victims (Tennessee Bureau of Investigation, 2011). The impact of these findings rippled throughout the state after the study was published, which lead to an increased interest in the crime of trafficking, addressing the gaps in service available victims, and increasing the identification and prosecution of these offenses. In order to affect changes in these areas, increasing numbers of trainings to raise awareness, provide information on the crime, and how to ‘combat’ the crime were conducted throughout the state. </w:t>
      </w:r>
    </w:p>
    <w:p w:rsidR="00E53C03" w:rsidRPr="00E53C03" w:rsidRDefault="00E53C03" w:rsidP="00E53C03">
      <w:pPr>
        <w:ind w:firstLine="720"/>
        <w:contextualSpacing/>
      </w:pPr>
      <w:r w:rsidRPr="00E53C03">
        <w:t>I attended one such training session after a colleague came across a flyer advertising a training. By contacting individuals conducting the training, I gained permission to attend the first half of the training.</w:t>
      </w:r>
      <w:r w:rsidRPr="00E53C03">
        <w:rPr>
          <w:vertAlign w:val="superscript"/>
        </w:rPr>
        <w:footnoteReference w:id="26"/>
      </w:r>
      <w:r w:rsidRPr="00E53C03">
        <w:t xml:space="preserve"> I felt that this training would be an important source of data on how sex trafficking is constructed as a social and crime problem by local actors (both legal and social service), the legal definitions of the crime in Tennessee, and how social services were dealing with the victims of trafficking.  These trainings were conducted with a mission focused on assisting to “identify, protect, and restore victims of human trafficking” through offering one day information sessions aimed at providing various stakeholders (including law enforcement, social services, and court employees) information about the crime of human trafficking, state and federal laws, investigative strategies, and case studies. </w:t>
      </w:r>
    </w:p>
    <w:p w:rsidR="00E53C03" w:rsidRPr="00E53C03" w:rsidRDefault="00E53C03" w:rsidP="00E53C03">
      <w:pPr>
        <w:ind w:firstLine="720"/>
        <w:contextualSpacing/>
      </w:pPr>
      <w:r w:rsidRPr="00E53C03">
        <w:t xml:space="preserve">The training I attended was offered in the large auditorium of a local social service agency. I estimate that over fifty individuals from agencies and social service providers around the state came to attend this training. This is in spite of the number of trainings being conducted throughout the state. I believe this fact highlights the increasing attention being given to this type of crime and a growing commitment to addressing the crime and assisting victims by legal and social service actors in Tennessee. </w:t>
      </w:r>
    </w:p>
    <w:p w:rsidR="00E53C03" w:rsidRPr="00E53C03" w:rsidRDefault="00E53C03" w:rsidP="00E53C03">
      <w:pPr>
        <w:ind w:firstLine="720"/>
        <w:contextualSpacing/>
      </w:pPr>
    </w:p>
    <w:p w:rsidR="00E53C03" w:rsidRPr="00E53C03" w:rsidRDefault="00E53C03" w:rsidP="00E53C03">
      <w:pPr>
        <w:ind w:firstLine="720"/>
        <w:contextualSpacing/>
        <w:rPr>
          <w:b/>
        </w:rPr>
      </w:pPr>
      <w:r w:rsidRPr="00E53C03">
        <w:rPr>
          <w:b/>
        </w:rPr>
        <w:t>Court Hearings</w:t>
      </w:r>
    </w:p>
    <w:p w:rsidR="00E53C03" w:rsidRPr="00E53C03" w:rsidRDefault="00E53C03" w:rsidP="00E53C03">
      <w:pPr>
        <w:ind w:firstLine="720"/>
        <w:contextualSpacing/>
      </w:pPr>
      <w:r w:rsidRPr="00E53C03">
        <w:t xml:space="preserve">The federal courthouse in which the criminal case, </w:t>
      </w:r>
      <w:r w:rsidRPr="00E53C03">
        <w:rPr>
          <w:i/>
        </w:rPr>
        <w:t>United States v. Reyna Rodriguez Rios et al</w:t>
      </w:r>
      <w:r w:rsidRPr="00E53C03">
        <w:t xml:space="preserve">, was tried also served as a field research site for this project. I was able to attend sentencing hearings for six of the nine defendants, as the federal courthouse in Greeneville, Tennessee is within an hour and a half drive from my home. This field site allowed an opportunity for direct observation of court proceedings, sentencing outcomes, legal arguments, offender statements, and the interactions between legal actors. In particular, this allowed me a first-hand experience at witnessing the ways that legal actors negotiate the constraints of law to put forward their construction of a criminal case and those involved in legal arguments to influence case outcomes.    </w:t>
      </w:r>
    </w:p>
    <w:p w:rsidR="00E53C03" w:rsidRPr="00E53C03" w:rsidRDefault="00E53C03" w:rsidP="00E53C03">
      <w:pPr>
        <w:ind w:firstLine="720"/>
        <w:contextualSpacing/>
      </w:pPr>
      <w:r w:rsidRPr="00E53C03">
        <w:t xml:space="preserve">This federal courthouse is a monolithic brick structure placed squarely in the middle of a very small rural town. Its imposing presence in the town can be felt immediately upon entering the downtown area. It continues to create a punitive impression on those who enter to building. In the marble entrance foyer, US Marshals sitting behind a plastic-shielded guard station screen entrants to prevent cell phones, digital recording devices, and weapons from coming into the building. The security resembles that of a modern airport as all metal and bags must pass through an x-ray machine and individuals must walk through a metal detector to enter the building. </w:t>
      </w:r>
    </w:p>
    <w:p w:rsidR="00E53C03" w:rsidRPr="00E53C03" w:rsidRDefault="00E53C03" w:rsidP="00E53C03">
      <w:pPr>
        <w:ind w:firstLine="720"/>
        <w:contextualSpacing/>
      </w:pPr>
      <w:r w:rsidRPr="00E53C03">
        <w:t xml:space="preserve">On each visit, I was questioned as to my reasons for being in the courthouse as I entered. This, combined with the fact I rarely witnessed any non-legal actors in the courthouse gave me the feeling that this courthouse did not receive many visitors. After stating that I was there to conduct research on a court case, the Marshals ushered me through the security checkpoint and pointed me to the elevators. The experience of entering the courthouse represented for me the imposing nature of the criminal justice system and its influence on all of those who come in contact with it. The court’s influence can be physically felt and shapes the interactions which occur within its doors, similarly to the entirety of the criminal justice system. </w:t>
      </w:r>
    </w:p>
    <w:p w:rsidR="00E53C03" w:rsidRPr="00E53C03" w:rsidRDefault="00E53C03" w:rsidP="00E53C03">
      <w:pPr>
        <w:ind w:firstLine="720"/>
        <w:contextualSpacing/>
      </w:pPr>
      <w:r w:rsidRPr="00E53C03">
        <w:t xml:space="preserve">The large courtroom I visited is set up very similarly to the courtrooms commonly represented in the </w:t>
      </w:r>
      <w:r w:rsidRPr="00E53C03">
        <w:rPr>
          <w:i/>
        </w:rPr>
        <w:t>Law &amp; Order</w:t>
      </w:r>
      <w:r w:rsidRPr="00E53C03">
        <w:t xml:space="preserve"> television series. The judge’s desk is placed at the center of the room at its highest point, set slightly above the witness stand. The area set just below this contains the court clerk and court reporter’s desks. The well of the courtroom contains the prosecution and defense tables along with the podium used to address the court. The gallery visitor seating was at the back of the courtroom, broken into two sections of wooden pew benches. The layout of the courtroom heightened the visitor’s sense that they were not only in a place of importance, but of authority. The presence and use of translators in the courtroom for this case involving defendants who did not speak English further placed the defendants in a subordinate position in relation to the judge and other court actors. </w:t>
      </w:r>
    </w:p>
    <w:p w:rsidR="00E53C03" w:rsidRPr="00E53C03" w:rsidRDefault="00E53C03" w:rsidP="00E53C03">
      <w:pPr>
        <w:ind w:firstLine="720"/>
        <w:contextualSpacing/>
      </w:pPr>
      <w:r w:rsidRPr="00E53C03">
        <w:t xml:space="preserve">This courthouse is in pristine condition and I only came across a few people during my numerous visits. In fact, I only came across three sets of individuals not working in the courthouse during my visits- one was the family of a defendant in another case which had been heard just prior to a defendant in this case, the family of Esthela Silfa Vasquez, and one woman who attended the sentencing of Rubio Trinidad Narciso. My presence in the courthouse was initially met with apprehension by all those who saw me, especially as I sat waiting on the wooden benches outside of the courtroom with my notebook. My first visit to a hearing drew incredulous glances from the prosecutor, obviously interested in my presence. After explaining my research project, I was greeted with a smile and welcoming conversation. The prosecutor expressed gratitude that someone cared about the issue of sex trafficking and was conducting research to bring attention to the crime. </w:t>
      </w:r>
    </w:p>
    <w:p w:rsidR="00E53C03" w:rsidRPr="00E53C03" w:rsidRDefault="00E53C03" w:rsidP="00E53C03">
      <w:pPr>
        <w:ind w:firstLine="720"/>
        <w:contextualSpacing/>
      </w:pPr>
      <w:r w:rsidRPr="00E53C03">
        <w:t xml:space="preserve">In addition, the prosecutor became a key gatekeeper in my research through providing me access to an interview with a federal law enforcement official and sharing their personal copies of exhibit documents entered into evidence for the court with me. These documents proved invaluable to my research, as they provided my only documented glimpse into the lives and experiences of victims in the criminal case. Many of the defense attorneys also seemed suspect of my appearance in the courtroom and came up to ask about my presence, often wondering if I was a reporter. Even many of the defense attorneys were supportive of my research, despite some being surprised that I was interested in the case.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Interviews</w:t>
      </w:r>
    </w:p>
    <w:p w:rsidR="00E53C03" w:rsidRPr="00E53C03" w:rsidRDefault="00E53C03" w:rsidP="00E53C03">
      <w:pPr>
        <w:ind w:firstLine="720"/>
        <w:contextualSpacing/>
      </w:pPr>
      <w:r w:rsidRPr="00E53C03">
        <w:t>I chose to also conduct semi-structured interviews with various stakeholders, because qualitative interview techniques expose individual voices, stories, and social constructions. As Gilligan (1993) states, “The way people talk about their lives is of significance, that the language they use and the connections they make reveal the world they see and in which they act” (p. 2). In-depth interviews are common in qualitative sociological, criminological, and socio-legal research, as this technique allows the researcher to obtain rich, detailed subjective information from individuals on how they view the world, their experiences, and the experiences of others.</w:t>
      </w:r>
    </w:p>
    <w:p w:rsidR="00E53C03" w:rsidRPr="00E53C03" w:rsidRDefault="00E53C03" w:rsidP="00E53C03">
      <w:pPr>
        <w:ind w:firstLine="720"/>
        <w:contextualSpacing/>
      </w:pPr>
      <w:r w:rsidRPr="00E53C03">
        <w:t>A semi-structured interview technique was chosen for this project to allow for directed information, but within an opened-ended format to allow participants to share their thoughts and elaborate on them with minimal interruption.  The methodological advantage of semi-structured interviews allows, through dialogue with participants, the researcher to understand personal constructions of a phenomenon, which is the focus of this project. The structure of the interview guide for this research project included questions to uncover how these local legal and social service stakeholders conceive of the local sex trafficking phenomenon and the criminal case under study, the legal and criminal justice response to these cases, and issues facing immigrant communities in new destination areas.</w:t>
      </w:r>
    </w:p>
    <w:p w:rsidR="00E53C03" w:rsidRPr="00E53C03" w:rsidRDefault="00E53C03" w:rsidP="00E53C03">
      <w:pPr>
        <w:ind w:firstLine="720"/>
        <w:contextualSpacing/>
      </w:pPr>
      <w:r w:rsidRPr="00E53C03">
        <w:t xml:space="preserve">I used convenience and snowball sampling for obtaining interviewees, using internet searches and court documents to initially locate key actors in the case and local social service community, most of whom were contacted to participate via electronic mail. The electronic contact information for the prosecutor and defense attorneys was gained from public record court documents. One law enforcement official was reached through contact with the prosecutor while the other was recruited via a phone call as no email address for this individual could be located. A total of eight legal actors associated with the case agreed to be interviewed for this project, including five defense attorneys, the prosecutor, and two law enforcement officials. </w:t>
      </w:r>
    </w:p>
    <w:p w:rsidR="00E53C03" w:rsidRPr="00E53C03" w:rsidRDefault="00E53C03" w:rsidP="00E53C03">
      <w:pPr>
        <w:ind w:firstLine="720"/>
        <w:contextualSpacing/>
      </w:pPr>
      <w:r w:rsidRPr="00E53C03">
        <w:t>Additional internet searches were used to locate social service agencies, organizations, and coalitions which service immigrant populations in the area or advocate on regards to sex trafficking in Tennessee. I was able to obtain interviews with four social service actors- two who work to provide legal assistance to immigrants and immigrant victims, one who works to provide housing and counseling services to victims, and one who works as advocate for awareness about the issue of sex trafficking . The field research sites also provided a number of possible interviewees and snowball sampling was used to locate additional stakeholders for possible interviews. Unfortunately, it turned out to be difficult to obtain interviews with individuals in this population.</w:t>
      </w:r>
    </w:p>
    <w:p w:rsidR="00E53C03" w:rsidRPr="00E53C03" w:rsidRDefault="00E53C03" w:rsidP="00E53C03">
      <w:pPr>
        <w:ind w:firstLine="720"/>
        <w:contextualSpacing/>
      </w:pPr>
      <w:r w:rsidRPr="00E53C03">
        <w:t xml:space="preserve">I conducted twelve open-ended interviews with legal and social service actors between June 8, 2012 and September 6, 2012. I sought to complete my interviews of legal actors as soon as possible after the case concluded, so that the information and feelings regarding the case were as fresh as possible in their minds. In order to make participation in the interviews as simple and unobtrusive in these individuals’ lives as possible, I offered to conduct the interviews either in person or via telephone as some worked/lived in areas not within close driving distance. As a result, half of the interviews were conducted in person, while the other half were conducted via telephone. All but two interviews were conducted individually as the interview with the prosecutor and federal law enforcement official was conducted jointly. </w:t>
      </w:r>
    </w:p>
    <w:p w:rsidR="00E53C03" w:rsidRPr="00E53C03" w:rsidRDefault="00E53C03" w:rsidP="00E53C03">
      <w:pPr>
        <w:ind w:firstLine="720"/>
        <w:contextualSpacing/>
      </w:pPr>
      <w:r w:rsidRPr="00E53C03">
        <w:t>All but two of the interview participants agreed to allow me to use their true identities in my research.</w:t>
      </w:r>
      <w:r w:rsidRPr="00E53C03">
        <w:rPr>
          <w:vertAlign w:val="superscript"/>
        </w:rPr>
        <w:footnoteReference w:id="27"/>
      </w:r>
      <w:r w:rsidRPr="00E53C03">
        <w:t xml:space="preserve"> In addition, all but one participant agreed to have their interview audio-recorded to ensure accurate transcription. I also took handwritten notes during the interviews on respondent answers, demeanor (if done in person), and other environmental factors. The interviews ranged in time from approximately seventeen minutes to approximately one hour and forty-five minutes for the dual interview. The average time for the interviews was a little over a thirty minutes. The length of each interview depended on the respondent’s willingness to share detailed responses and the additional stories they shared with me as some individuals were guarded in their responses and only provided minimal, short answers. </w:t>
      </w:r>
    </w:p>
    <w:p w:rsidR="00E53C03" w:rsidRPr="00E53C03" w:rsidRDefault="00E53C03" w:rsidP="00E53C03">
      <w:pPr>
        <w:ind w:firstLine="720"/>
        <w:contextualSpacing/>
      </w:pPr>
    </w:p>
    <w:p w:rsidR="00E53C03" w:rsidRPr="00E53C03" w:rsidRDefault="00E53C03" w:rsidP="00E53C03">
      <w:pPr>
        <w:ind w:firstLine="720"/>
        <w:contextualSpacing/>
        <w:rPr>
          <w:b/>
        </w:rPr>
      </w:pPr>
      <w:r w:rsidRPr="00E53C03">
        <w:rPr>
          <w:b/>
        </w:rPr>
        <w:t>Limitations of this Interview Research</w:t>
      </w:r>
    </w:p>
    <w:p w:rsidR="00E53C03" w:rsidRPr="00E53C03" w:rsidRDefault="00E53C03" w:rsidP="00E53C03">
      <w:pPr>
        <w:ind w:firstLine="720"/>
        <w:contextualSpacing/>
      </w:pPr>
      <w:r w:rsidRPr="00E53C03">
        <w:t xml:space="preserve">While I acknowledge the small interview sample size of this project, I feel that I reached a saturation level with participants and was able to gain a detailed understanding of how sex trafficking and those involved in the crime are socially constructed. I was able to interview a number of major actors involved with the criminal case under study and gain a picture of the social services available to local victims (which are limited in availability). At the time of the interview portion of this research project, the victims in the case has been released by the government as they were no longer required as material witnesses for a possible trial and the offenders were in the process of being processed into the Federal Bureau of Prisons. Therefore they were unavailable for interview. Yet, as this project is intended to explore social constructions of sex trafficking and the criminal case, both the statements of victims to law enforcement and statements of the offenders in court, court documents, and to law enforcement shed light on their constructions. I plan on future projects which include interviews with offenders and victims to fully allow them to have their own voice.  </w:t>
      </w:r>
    </w:p>
    <w:p w:rsidR="00E53C03" w:rsidRPr="00E53C03" w:rsidRDefault="00E53C03" w:rsidP="00E53C03">
      <w:pPr>
        <w:ind w:firstLine="720"/>
        <w:contextualSpacing/>
      </w:pPr>
      <w:r w:rsidRPr="00E53C03">
        <w:t xml:space="preserve">To purpose of this research is to create a case study, not generalizable research. I sought to create a thick description of the sex trafficking network, the criminal investigation and prosecution, and various actors’ social constructions of sex trafficking. The interview data provides only slice of the data and picture for this project. As such, this qualitative research has limited generalizability due to a small non-random sample size of interview subjects and its nature as a case study. However, the detailed descriptions of this exemplar case of new destination Latino sex trafficking is informative to the constructionist theoretical paradigm as a case study of the ways that sex trafficking has been constructed by offenders, victims, legal and social service actors on the ground. In addition, this case study can inform wider theoretical considerations of the socio-legal implications of sex trafficking in other Latino new destination communities.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Secondary Data Analysis</w:t>
      </w:r>
    </w:p>
    <w:p w:rsidR="00E53C03" w:rsidRPr="00E53C03" w:rsidRDefault="00E53C03" w:rsidP="00E53C03">
      <w:pPr>
        <w:ind w:firstLine="720"/>
        <w:contextualSpacing/>
      </w:pPr>
      <w:r w:rsidRPr="00E53C03">
        <w:t xml:space="preserve">Secondary data analysis used in this research project to gather data on the law enforcement investigation and criminal prosecution of case under study through official documentation. I requested the transcripts of three sentencing hearings from court reporters- two of which I was unable to attend and one to have a full record of the proceedings. All other court documents were retrieved from the federal court system’s </w:t>
      </w:r>
      <w:r w:rsidRPr="00E53C03">
        <w:rPr>
          <w:i/>
        </w:rPr>
        <w:t>Public Access to Court Electronic Records</w:t>
      </w:r>
      <w:r w:rsidRPr="00E53C03">
        <w:t xml:space="preserve"> (PACER) or via the prosecutor. The PACER document repository contains documents filed in all federal court which not filed under seal. I obtained over 300 documents related to this the law enforcement investigation and prosecution of the criminal case under study (</w:t>
      </w:r>
      <w:r w:rsidRPr="00E53C03">
        <w:rPr>
          <w:i/>
        </w:rPr>
        <w:t>United States v. Reyna Rodriguez Rios et al.</w:t>
      </w:r>
      <w:r w:rsidRPr="00E53C03">
        <w:t xml:space="preserve">) from the PACER database. </w:t>
      </w:r>
    </w:p>
    <w:p w:rsidR="00E53C03" w:rsidRPr="00E53C03" w:rsidRDefault="00E53C03" w:rsidP="00E53C03">
      <w:pPr>
        <w:ind w:firstLine="720"/>
        <w:contextualSpacing/>
      </w:pPr>
      <w:r w:rsidRPr="00E53C03">
        <w:rPr>
          <w:rFonts w:eastAsiaTheme="minorEastAsia"/>
          <w:kern w:val="24"/>
        </w:rPr>
        <w:t xml:space="preserve">In early 2012, I filed three freedom of information requests with federal law enforcement agencies- the Federal Bureau of Investigation, the United States Marshal’s Service, and Immigration and Customs Enforcement, under the </w:t>
      </w:r>
      <w:r w:rsidRPr="00E53C03">
        <w:rPr>
          <w:rFonts w:eastAsiaTheme="minorEastAsia"/>
          <w:i/>
          <w:kern w:val="24"/>
        </w:rPr>
        <w:t>Freedom of Information and Privacy Act (FOIA)</w:t>
      </w:r>
      <w:r w:rsidRPr="00E53C03">
        <w:rPr>
          <w:rFonts w:eastAsiaTheme="minorEastAsia"/>
          <w:kern w:val="24"/>
        </w:rPr>
        <w:t>, 5 U.S.C. § 552. I requested all of the law enforcement records pertaining to the law enforcement investigation in the case under study, including- post-arrest interviews, victim interviews, informant interview reports, presentence investigation reports, evidence reports, surveillance notes, arrest records, investigation reports, and the correctional system transfer records for of the defendants in the case between February to July of 2011. I sought this information to be able to supplement the information on the criminal investigation I obtained from court documents.</w:t>
      </w:r>
    </w:p>
    <w:p w:rsidR="00E53C03" w:rsidRPr="00E53C03" w:rsidRDefault="00E53C03" w:rsidP="00E53C03">
      <w:pPr>
        <w:spacing w:after="0"/>
        <w:ind w:firstLine="720"/>
        <w:contextualSpacing/>
        <w:rPr>
          <w:rFonts w:asciiTheme="minorHAnsi" w:hAnsiTheme="minorHAnsi" w:cstheme="minorBidi"/>
          <w:sz w:val="22"/>
          <w:szCs w:val="22"/>
        </w:rPr>
      </w:pPr>
      <w:r w:rsidRPr="00E53C03">
        <w:rPr>
          <w:rFonts w:eastAsiaTheme="minorEastAsia"/>
          <w:kern w:val="24"/>
        </w:rPr>
        <w:t xml:space="preserve">On January 18, 2012, I submitted my request to the Federal Bureau of Investigation via postal mail, which </w:t>
      </w:r>
      <w:r w:rsidRPr="00E53C03">
        <w:t xml:space="preserve">was denied on March 13, 2012 according to the 7(A) </w:t>
      </w:r>
      <w:r w:rsidRPr="00E53C03">
        <w:rPr>
          <w:i/>
        </w:rPr>
        <w:t>FOIA</w:t>
      </w:r>
      <w:r w:rsidRPr="00E53C03">
        <w:t xml:space="preserve"> exemption of information which could possibly interfere with pending or prospective law enforcement investigations related to this case. On March 28, 2012, I filed an appeal the FBI’s denial by arguing that the law enforcement investigation had ceased and the case had been transferred to federal court. On August 21, 2012, my FOIA request was remanded back to the FBI for processing, because it was determined that the exemption asserted was no longer applicable at the time of my request.</w:t>
      </w:r>
      <w:r w:rsidRPr="00E53C03">
        <w:rPr>
          <w:rFonts w:asciiTheme="minorHAnsi" w:hAnsiTheme="minorHAnsi" w:cstheme="minorBidi"/>
          <w:sz w:val="22"/>
          <w:szCs w:val="22"/>
        </w:rPr>
        <w:t xml:space="preserve"> </w:t>
      </w:r>
      <w:r w:rsidRPr="00E53C03">
        <w:rPr>
          <w:i/>
        </w:rPr>
        <w:t>(Need to add here what data have received thus far).</w:t>
      </w:r>
      <w:r w:rsidRPr="00E53C03">
        <w:rPr>
          <w:rFonts w:asciiTheme="minorHAnsi" w:hAnsiTheme="minorHAnsi" w:cstheme="minorBidi"/>
          <w:sz w:val="22"/>
          <w:szCs w:val="22"/>
        </w:rPr>
        <w:t xml:space="preserve"> </w:t>
      </w:r>
    </w:p>
    <w:p w:rsidR="00E53C03" w:rsidRPr="00E53C03" w:rsidRDefault="00E53C03" w:rsidP="00E53C03">
      <w:pPr>
        <w:spacing w:after="0"/>
        <w:ind w:firstLine="720"/>
        <w:contextualSpacing/>
        <w:rPr>
          <w:rFonts w:eastAsiaTheme="minorEastAsia"/>
          <w:kern w:val="24"/>
        </w:rPr>
      </w:pPr>
      <w:r w:rsidRPr="00E53C03">
        <w:t xml:space="preserve">On January 28, 2012, I submitted a records request to the United States Marshal’s Services via postal mail. </w:t>
      </w:r>
      <w:r w:rsidRPr="00E53C03">
        <w:rPr>
          <w:rFonts w:eastAsiaTheme="minorEastAsia"/>
          <w:kern w:val="24"/>
        </w:rPr>
        <w:t xml:space="preserve">On February 6, this request was denied according to the (7)(C) </w:t>
      </w:r>
      <w:r w:rsidRPr="00E53C03">
        <w:rPr>
          <w:rFonts w:eastAsiaTheme="minorEastAsia"/>
          <w:i/>
          <w:kern w:val="24"/>
        </w:rPr>
        <w:t>FOIA</w:t>
      </w:r>
      <w:r w:rsidRPr="00E53C03">
        <w:rPr>
          <w:rFonts w:eastAsiaTheme="minorEastAsia"/>
          <w:kern w:val="24"/>
        </w:rPr>
        <w:t xml:space="preserve"> exemption that a release of these records would constitute an invasion of privacy. </w:t>
      </w:r>
      <w:r w:rsidRPr="00E53C03">
        <w:rPr>
          <w:rFonts w:eastAsia="Times New Roman"/>
        </w:rPr>
        <w:t>I appealed this decision by arguing that the privacy aspect of this portion of the law intended to protect individuals from being associated with alleged criminal activity did not apply to this case as all of the defendants had plead guilty. In addition, I argued that personal identifiers be redacted in lieu of a denial of my request. This</w:t>
      </w:r>
      <w:r w:rsidRPr="00E53C03">
        <w:rPr>
          <w:rFonts w:eastAsiaTheme="minorEastAsia"/>
          <w:kern w:val="24"/>
        </w:rPr>
        <w:t xml:space="preserve"> appeal was received by the </w:t>
      </w:r>
      <w:r w:rsidRPr="00E53C03">
        <w:rPr>
          <w:rFonts w:eastAsiaTheme="minorEastAsia"/>
          <w:i/>
          <w:kern w:val="24"/>
        </w:rPr>
        <w:t>DOJ Office of Information Policy</w:t>
      </w:r>
      <w:r w:rsidRPr="00E53C03">
        <w:rPr>
          <w:rFonts w:eastAsiaTheme="minorEastAsia"/>
          <w:kern w:val="24"/>
        </w:rPr>
        <w:t xml:space="preserve"> on April 16. The denial of my request was upheld on September 13, 2012, which I chose not to appeal further.  </w:t>
      </w:r>
    </w:p>
    <w:p w:rsidR="00E53C03" w:rsidRPr="00E53C03" w:rsidRDefault="00E53C03" w:rsidP="00E53C03">
      <w:pPr>
        <w:ind w:firstLine="720"/>
        <w:contextualSpacing/>
        <w:rPr>
          <w:rFonts w:eastAsia="Times New Roman"/>
        </w:rPr>
      </w:pPr>
      <w:r w:rsidRPr="00E53C03">
        <w:rPr>
          <w:rFonts w:eastAsiaTheme="minorEastAsia"/>
          <w:kern w:val="24"/>
        </w:rPr>
        <w:t xml:space="preserve">My information request to Immigration and Customs Enforcement was sent via postal mail on March 9, 2012. My initial request was approved on September 11, 2012, and I received a total of twenty-seven pages of printed documents via postal mail. The agency’s search for records sought by my request actually produced thirty-five pages of documents, but eight pages were withheld in full and the remaining twenty-seven pages were heavily redacted based on the following </w:t>
      </w:r>
      <w:r w:rsidRPr="00E53C03">
        <w:rPr>
          <w:rFonts w:eastAsiaTheme="minorEastAsia"/>
          <w:i/>
          <w:kern w:val="24"/>
        </w:rPr>
        <w:t>FOIA</w:t>
      </w:r>
      <w:r w:rsidRPr="00E53C03">
        <w:rPr>
          <w:rFonts w:eastAsiaTheme="minorEastAsia"/>
          <w:kern w:val="24"/>
        </w:rPr>
        <w:t xml:space="preserve"> exemptions: subsection (6)- to protect </w:t>
      </w:r>
      <w:r w:rsidRPr="00E53C03">
        <w:rPr>
          <w:rFonts w:eastAsia="Times New Roman"/>
        </w:rPr>
        <w:t>personnel and medical files from an unwarranted invasion of personal privacy</w:t>
      </w:r>
      <w:r w:rsidRPr="00E53C03">
        <w:rPr>
          <w:rFonts w:eastAsiaTheme="minorEastAsia"/>
          <w:kern w:val="24"/>
        </w:rPr>
        <w:t xml:space="preserve">; (7)(C)- to </w:t>
      </w:r>
      <w:r w:rsidRPr="00E53C03">
        <w:rPr>
          <w:rFonts w:eastAsia="Times New Roman"/>
        </w:rPr>
        <w:t>protect law enforcement record from an invasion of personal privacy</w:t>
      </w:r>
      <w:r w:rsidRPr="00E53C03">
        <w:rPr>
          <w:rFonts w:eastAsiaTheme="minorEastAsia"/>
          <w:kern w:val="24"/>
        </w:rPr>
        <w:t>; and (7)(E)</w:t>
      </w:r>
      <w:bookmarkStart w:id="1" w:name="b_7"/>
      <w:bookmarkStart w:id="2" w:name="b_6_7_A"/>
      <w:bookmarkStart w:id="3" w:name="b_6_7_C"/>
      <w:bookmarkStart w:id="4" w:name="b_6_7_D"/>
      <w:bookmarkStart w:id="5" w:name="b_6_7_E"/>
      <w:bookmarkEnd w:id="1"/>
      <w:bookmarkEnd w:id="2"/>
      <w:bookmarkEnd w:id="3"/>
      <w:bookmarkEnd w:id="4"/>
      <w:bookmarkEnd w:id="5"/>
      <w:r w:rsidRPr="00E53C03">
        <w:rPr>
          <w:rFonts w:eastAsiaTheme="minorEastAsia"/>
          <w:kern w:val="24"/>
        </w:rPr>
        <w:t xml:space="preserve"> to</w:t>
      </w:r>
      <w:r w:rsidRPr="00E53C03">
        <w:rPr>
          <w:rFonts w:eastAsia="Times New Roman"/>
        </w:rPr>
        <w:t xml:space="preserve"> protect law enforcement techniques and procedures from public knowledge.</w:t>
      </w:r>
    </w:p>
    <w:p w:rsidR="00E53C03" w:rsidRPr="00E53C03" w:rsidRDefault="00E53C03" w:rsidP="00E53C03">
      <w:pPr>
        <w:ind w:firstLine="720"/>
        <w:contextualSpacing/>
        <w:rPr>
          <w:rFonts w:eastAsia="Times New Roman"/>
        </w:rPr>
      </w:pPr>
    </w:p>
    <w:p w:rsidR="00E53C03" w:rsidRPr="00E53C03" w:rsidRDefault="00E53C03" w:rsidP="00E53C03">
      <w:pPr>
        <w:ind w:firstLine="720"/>
        <w:contextualSpacing/>
        <w:rPr>
          <w:rFonts w:eastAsia="Times New Roman"/>
          <w:b/>
        </w:rPr>
      </w:pPr>
      <w:r w:rsidRPr="00E53C03">
        <w:rPr>
          <w:rFonts w:eastAsia="Times New Roman"/>
          <w:b/>
        </w:rPr>
        <w:t>Limitations of Secondary Data</w:t>
      </w:r>
    </w:p>
    <w:p w:rsidR="00E53C03" w:rsidRPr="00E53C03" w:rsidRDefault="00E53C03" w:rsidP="00E53C03">
      <w:pPr>
        <w:ind w:firstLine="720"/>
        <w:contextualSpacing/>
      </w:pPr>
      <w:r w:rsidRPr="00E53C03">
        <w:t xml:space="preserve">As with all secondary data analysis, the secondary data used in this project has been collected by someone else. Thus, I had no control over the questions asked of offenders, victims, or confidential informants in their documented interviews with law enforcement. All but one document contained only law enforcement officials’ descriptions of interviews or conversations (one document was a verbatim transcript of a conversation between a confidential informant and an offender). In addition, the context of the interactions between victims and offenders and law enforcement shaped the questions and answers given. This is important to acknowledge in this research, as the data concerning much of what is known about the crime, offenders, and victims is informed and constrained by the institution of the criminal justice system and the legal actors who documented the case. </w:t>
      </w:r>
    </w:p>
    <w:p w:rsidR="00E53C03" w:rsidRPr="00E53C03" w:rsidRDefault="00E53C03" w:rsidP="00E53C03">
      <w:pPr>
        <w:ind w:firstLine="720"/>
        <w:contextualSpacing/>
      </w:pPr>
      <w:r w:rsidRPr="00E53C03">
        <w:t xml:space="preserve">While I would have liked to be able to gather data independent of this context to further analyze any difference in stories and presentation of self along with additional probing questions, I could not do so within the confines of this study. As such, the secondary data for this project gives a specific understanding of the actors. It emphases how these offenders and victims presented themselves to law enforcement and court actors, which provides information how sex trafficking is understood, constructed, and presented within the criminal justice system. The ability to examine these issues begins to address the understudied area in the literature regarding on-the-ground active constructions of sex trafficking by offenders, victims, and legal actors. </w:t>
      </w:r>
    </w:p>
    <w:p w:rsidR="00E53C03" w:rsidRPr="00E53C03" w:rsidRDefault="00E53C03" w:rsidP="00E53C03">
      <w:pPr>
        <w:contextualSpacing/>
        <w:rPr>
          <w:b/>
        </w:rPr>
      </w:pPr>
    </w:p>
    <w:p w:rsidR="00E53C03" w:rsidRPr="00E53C03" w:rsidRDefault="00E53C03" w:rsidP="00E53C03">
      <w:pPr>
        <w:contextualSpacing/>
        <w:rPr>
          <w:b/>
        </w:rPr>
      </w:pPr>
      <w:r w:rsidRPr="00E53C03">
        <w:rPr>
          <w:b/>
        </w:rPr>
        <w:t>Data Analysis</w:t>
      </w:r>
    </w:p>
    <w:p w:rsidR="00E53C03" w:rsidRPr="00E53C03" w:rsidRDefault="00E53C03" w:rsidP="00E53C03">
      <w:pPr>
        <w:ind w:firstLine="720"/>
        <w:contextualSpacing/>
      </w:pPr>
      <w:r w:rsidRPr="00E53C03">
        <w:t xml:space="preserve">In total, this multi-method research project netted over three hundred court documents of various lengths, dozens of pages of interview transcripts, and dozens of pages of field notes. I relied on Fetterman (2010) and Emerson, Fretz, and Shaw (1995) as a guides for ethnographic data analysis. I began my data analysis by creating an outline of the criminal investigation and prosecutions drawn from court documents to examine the way this specific crime was investigated, prosecuted, and defended. </w:t>
      </w:r>
    </w:p>
    <w:p w:rsidR="00E53C03" w:rsidRPr="00E53C03" w:rsidRDefault="00E53C03" w:rsidP="00E53C03">
      <w:pPr>
        <w:ind w:firstLine="720"/>
        <w:contextualSpacing/>
      </w:pPr>
      <w:r w:rsidRPr="00E53C03">
        <w:t xml:space="preserve">For further analysis of themes within the criminal case and interview data, I followed the coding techniques of Emerson, Fretz, and Shaw (1995). After the interview and field research data was gathered, the audio recordings of the interviews were transcribed and combined with the detailed ethnographic fieldnotes.  Once this was complete, I immersed myself in reading and re-reading the data. Through these readings, I began to apply open coding the notes and transcripts to assign categories (codes) to identify “analytical dimensions” in the data (Emerson, Fretz, &amp; Shaw, 1995, p. 150). </w:t>
      </w:r>
    </w:p>
    <w:p w:rsidR="00E53C03" w:rsidRPr="00E53C03" w:rsidRDefault="00E53C03" w:rsidP="00E53C03">
      <w:pPr>
        <w:ind w:firstLine="720"/>
        <w:contextualSpacing/>
      </w:pPr>
      <w:r w:rsidRPr="00E53C03">
        <w:t>Themes began to emerge regarding the effects of the legal definition of ‘severe forms of trafficking;’ the centrality of social constructions of the concepts of force, fraud, and coercion to the crime of sex trafficking; and how victim status is ascribed. Using these themes as guides, I continued with focused coding of the data to discover further subthemes and to “identify patterns and variations in relationships and in the ways that members understand and respond to conditions and contingencies” (Emerson, Fretz, &amp; Shaw, 1995, p. 162). Finally, through the use of integrative memos, I was able to examine the connections between themes and subthemes to create theoretical arguments. At this stage, “events and actions become meaningful in light if an emerging meaningful whole” (Emerson, Fretz, &amp; Shaw, 1995, p. 168) and I began to divide the data and analysis into dissertation chapters aimed to address how these themes operated in the social constructions of different groups of actors. I chose to break the analysis portion of this research into separate examinations of-</w:t>
      </w:r>
    </w:p>
    <w:p w:rsidR="00E53C03" w:rsidRPr="00E53C03" w:rsidRDefault="00E53C03" w:rsidP="00E53C03">
      <w:pPr>
        <w:numPr>
          <w:ilvl w:val="0"/>
          <w:numId w:val="5"/>
        </w:numPr>
        <w:contextualSpacing/>
      </w:pPr>
      <w:r w:rsidRPr="00E53C03">
        <w:t>How legal definitions of trafficking crimes came to be codified; these specific codifications’ effects on the provision of victims services’ and protections on the ground; and how social service actors perceived these issues and operate within the constraints of law.</w:t>
      </w:r>
    </w:p>
    <w:p w:rsidR="00E53C03" w:rsidRPr="00E53C03" w:rsidRDefault="00E53C03" w:rsidP="00E53C03">
      <w:pPr>
        <w:numPr>
          <w:ilvl w:val="0"/>
          <w:numId w:val="5"/>
        </w:numPr>
        <w:contextualSpacing/>
      </w:pPr>
      <w:r w:rsidRPr="00E53C03">
        <w:t>The centrality of the concepts of force, fraud, coercion, and agency in how sex trafficking victims and offenders construct their experiences and actions and the effects of having to ‘think like legal actors’ on how they construct the crime and their involvement.</w:t>
      </w:r>
    </w:p>
    <w:p w:rsidR="00E53C03" w:rsidRPr="00E53C03" w:rsidRDefault="00E53C03" w:rsidP="00E53C03">
      <w:pPr>
        <w:numPr>
          <w:ilvl w:val="0"/>
          <w:numId w:val="5"/>
        </w:numPr>
        <w:contextualSpacing/>
      </w:pPr>
      <w:r w:rsidRPr="00E53C03">
        <w:t xml:space="preserve">How legal actors employ specific constructions of the concepts of force, fraud, coercion, and agency to define this criminal Latino sex trafficking case and the phenomenon in general. </w:t>
      </w:r>
    </w:p>
    <w:p w:rsidR="00E53C03" w:rsidRPr="00E53C03" w:rsidRDefault="00E53C03" w:rsidP="00E53C03">
      <w:pPr>
        <w:ind w:firstLine="720"/>
        <w:contextualSpacing/>
      </w:pPr>
      <w:r w:rsidRPr="00E53C03">
        <w:t xml:space="preserve">These separate, yet interrelated examinations of this criminal case and sex trafficking in general form the basis for the structure of next three chapters of this dissertation. The next chapter will examine the specific ideological influences on the legislative processes which led to the creation of new federal anti-trafficking legislation and the effects of this legislation on social service actors and provision of trafficking victim protections and services. Chapter five provides an examination of how victims and offenders constructed their experiences and actions in the criminal case under study within the constraints of law and the legal system. Chapter six examines the ways that the criminal case under study was conceptualized by legal actors. </w:t>
      </w: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ind w:firstLine="720"/>
        <w:contextualSpacing/>
      </w:pPr>
    </w:p>
    <w:p w:rsidR="00E53C03" w:rsidRPr="00E53C03" w:rsidRDefault="00E53C03" w:rsidP="00E53C03">
      <w:pPr>
        <w:contextualSpacing/>
        <w:jc w:val="center"/>
        <w:rPr>
          <w:b/>
          <w:smallCaps/>
          <w:sz w:val="28"/>
          <w:szCs w:val="28"/>
        </w:rPr>
      </w:pPr>
      <w:r w:rsidRPr="00E53C03">
        <w:rPr>
          <w:b/>
          <w:smallCaps/>
          <w:sz w:val="28"/>
          <w:szCs w:val="28"/>
        </w:rPr>
        <w:t>Chapter 4</w:t>
      </w:r>
    </w:p>
    <w:p w:rsidR="00E53C03" w:rsidRPr="00E53C03" w:rsidRDefault="00E53C03" w:rsidP="00E53C03">
      <w:pPr>
        <w:contextualSpacing/>
        <w:jc w:val="center"/>
        <w:rPr>
          <w:b/>
          <w:smallCaps/>
          <w:sz w:val="28"/>
          <w:szCs w:val="28"/>
        </w:rPr>
      </w:pPr>
      <w:r w:rsidRPr="00E53C03">
        <w:rPr>
          <w:b/>
          <w:smallCaps/>
          <w:sz w:val="28"/>
          <w:szCs w:val="28"/>
        </w:rPr>
        <w:t>The Official Construction of Trafficking and Its Effects</w:t>
      </w:r>
    </w:p>
    <w:p w:rsidR="00E53C03" w:rsidRPr="00E53C03" w:rsidRDefault="00E53C03" w:rsidP="00E53C03">
      <w:pPr>
        <w:contextualSpacing/>
        <w:jc w:val="center"/>
        <w:rPr>
          <w:b/>
          <w:smallCaps/>
          <w:sz w:val="28"/>
          <w:szCs w:val="28"/>
        </w:rPr>
      </w:pPr>
    </w:p>
    <w:p w:rsidR="00E53C03" w:rsidRPr="00E53C03" w:rsidRDefault="00E53C03" w:rsidP="00E53C03">
      <w:pPr>
        <w:contextualSpacing/>
      </w:pPr>
      <w:r w:rsidRPr="00E53C03">
        <w:tab/>
        <w:t xml:space="preserve">This chapter addresses how sex trafficking has been socially constructed as a social problem by analyzing the process through which the crime of trafficking has been constructed in the legislative process, the discourses that influenced these constructions, and the effects of these restrictive definitions on criminal justice processing and treatment of offenders and victims. I assert that it is important to examine how particular social constructions of crime, offenders, and victims influence the legislative process to codify specific legal definitions of a crime as these official definitions have far reaching ramifications on the criminal justice system and those involved in trafficking. An understanding of how these definitions came into being and who operated as claims-makes in constructing these definitions codified into legislation is key to examining the ways that law works in action. Thus, this chapter looks at the way in which feminist reform efforts, religious actors, and legislative processes were used to construct a dominant discourse of sex trafficking and the ramifications of this discourse and legal construction of sex trafficking on the provision of victims’ services and protections.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Social Constructionist Perspectives and Sex Trafficking as a Social Problem</w:t>
      </w:r>
    </w:p>
    <w:p w:rsidR="00E53C03" w:rsidRPr="00E53C03" w:rsidRDefault="00E53C03" w:rsidP="00E53C03">
      <w:pPr>
        <w:ind w:firstLine="720"/>
        <w:contextualSpacing/>
      </w:pPr>
      <w:r w:rsidRPr="00E53C03">
        <w:t xml:space="preserve">Because this chapter aims to analyze how sex trafficking is defined as a social problem and the effects of that definition on criminal case processing and provision of services, it is useful to begin by reminding ourselves of the relevant work in the social constructionism literature. As Holstein and Miller (1997a) state, the construction of an official definition of any crime phenomenon is an interpretive process, involving any number of varying stances on an issue. In the construction of social and crime problems, there are a variety of meanings that can be assigned to “potentially troubling conditions” (Harris, 2013, p. 3). With this in mind, claims-making assertions about the nature of social problems should be considered as one of any number of claims about an issue, because “different groups tend to make competing arguments about the extent, causes, and solutions to the problem” (Harris, 2013, p. 5). These claims and assertions are influenced by each claimant’s position and stake in the outcome. Yet, only one of these claims/arguments will become the foundation for the dominant discourse of a social problem (Buttny, 2004). </w:t>
      </w:r>
    </w:p>
    <w:p w:rsidR="00E53C03" w:rsidRPr="00E53C03" w:rsidRDefault="00E53C03" w:rsidP="00E53C03">
      <w:pPr>
        <w:ind w:firstLine="720"/>
        <w:contextualSpacing/>
      </w:pPr>
      <w:r w:rsidRPr="00E53C03">
        <w:t xml:space="preserve">The ability to control the dominant discourse allows an individual or group great power over the construction of a problem and the disciplinary mechanisms used to remedy that problem (Berman, 2003). In the construction of social problems, the official, legally recognized definition of a crime becomes the ‘reality’ of a social problem (Buttny, 2004), which influences how that crime is dealt with ‘on the ground.’ This is important, as Crawford (2010) highlights, because who is in control of defining sex trafficking has lasting effects on the lives of victims. I, like Doezema (2010), seek to examine how “certain definitions become dominant, with whose knowledge is accepted and whose is sidelined, and with the social practices involved in constructing and legitimating knowledge” specific to sex trafficking (p. 9-10).  Throughout this chapter, we will see how discourse functions in constructing specific definitions of victims, offenders, and criminal acts through legal definitions of sex trafficking. </w:t>
      </w:r>
    </w:p>
    <w:p w:rsidR="00E53C03" w:rsidRPr="00E53C03" w:rsidRDefault="00E53C03" w:rsidP="00E53C03">
      <w:pPr>
        <w:ind w:firstLine="720"/>
        <w:contextualSpacing/>
      </w:pPr>
      <w:r w:rsidRPr="00E53C03">
        <w:t xml:space="preserve">As a discourse becomes dominant, it begins to affect social understandings of a crime and have significant negative effects for those whom the discourse refers. It provides the general public with a way to make sense of a social problem and the larger world, especially those which are put forward by those in positions of power (Baxter, 2003; Robertson &amp; Sgoutas, 2012). Specific to sex trafficking, Bruckert and Parent (2013) highlight how dominant discourses force sex workers to “confront intersecting stigmas that further exacerbate their marginalization, social judgment, and exclusion” (p. 72). The women victimized in this particular criminal case faced intersecting stigmas associated with being undocumented immigrants, impoverished Latinas, and working in prostitution, which significantly affected how individuals, even legal actors, perceived them.  This, in turn, played a role in determining their fates as the dominant construction of sex trafficking recognized or left them out of a ‘victim’ category. </w:t>
      </w:r>
    </w:p>
    <w:p w:rsidR="00E53C03" w:rsidRPr="00E53C03" w:rsidRDefault="00E53C03" w:rsidP="00E53C03">
      <w:pPr>
        <w:ind w:firstLine="720"/>
        <w:contextualSpacing/>
      </w:pPr>
      <w:r w:rsidRPr="00E53C03">
        <w:t xml:space="preserve">With this in mind, this analysis and this chapter examines how the dominant discourse surrounding sex trafficking came into being and who operated as claims-makers to determine whose definition of the ‘problem’ would become the official legal definition. A focus on how the ideologies of the claims-makers in the process of defining the crime sex trafficking are a “projection of positions and perspectives, as a way of communicating attitudes and assumptions” (Simpson, 1993, p. 2) is important to this project. </w:t>
      </w:r>
    </w:p>
    <w:p w:rsidR="00E53C03" w:rsidRPr="00E53C03" w:rsidRDefault="00E53C03" w:rsidP="00E53C03">
      <w:pPr>
        <w:ind w:firstLine="720"/>
        <w:contextualSpacing/>
      </w:pPr>
      <w:r w:rsidRPr="00E53C03">
        <w:t xml:space="preserve">This examination requires a historical perspective on how the legal definition of sex trafficking came to be, who put forward the definition, and the arguments over the definition of the problem in the national stage, which were all shaped by very particular ideologies. This historical perspective is focused on how the problem was constructed through a struggle between feminist reformers, involvement of religious groups, and the legislative actors.  These groups presented their constructions of the problem of sex trafficking and associated ideological “facts” in the national forum to affect legislation according to their interests and points of view. </w:t>
      </w:r>
    </w:p>
    <w:p w:rsidR="00E53C03" w:rsidRPr="00E53C03" w:rsidRDefault="00E53C03" w:rsidP="00E53C03">
      <w:pPr>
        <w:ind w:firstLine="720"/>
        <w:contextualSpacing/>
      </w:pPr>
      <w:r w:rsidRPr="00E53C03">
        <w:t xml:space="preserve">The next two section of this chapter provides a brief synopsis of the dominant constructions of sex trafficking victims drawn from the literature and the ideological stances of the feminist reformers to introduce the theoretical arguments made by many of those involved in the process to create anti-trafficking.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Dominant Constructions of Sex Trafficking Victims</w:t>
      </w:r>
    </w:p>
    <w:p w:rsidR="00E53C03" w:rsidRPr="00E53C03" w:rsidRDefault="00E53C03" w:rsidP="00E53C03">
      <w:pPr>
        <w:ind w:firstLine="720"/>
        <w:contextualSpacing/>
      </w:pPr>
      <w:r w:rsidRPr="00E53C03">
        <w:t>The social construction of sex trafficking discourse dichotomized victims in to binary categories- deserving/undeserving, trafficking victim/criminal prostitute, and trafficking victim/willing migrant. These simplified distinctions between victim and complicit agents are common to constructions of sexual crimes. Yet, these simplifications mask the complexity of women’s experiences in trafficking and ignore the impact of global and transnational migration flows, dominant views on women’s moral and cultural ‘roles,’ and restrictive conceptions of agency on their victimization.</w:t>
      </w:r>
    </w:p>
    <w:p w:rsidR="00E53C03" w:rsidRPr="00E53C03" w:rsidRDefault="00E53C03" w:rsidP="00E53C03">
      <w:pPr>
        <w:ind w:firstLine="720"/>
        <w:contextualSpacing/>
      </w:pPr>
      <w:r w:rsidRPr="00E53C03">
        <w:t>These simplifications, while they serve to easily demarcate those who have been subject to the worst forms of victimization, often serve to deny victimization in many instances. As Agustín (2006) highlights-</w:t>
      </w:r>
    </w:p>
    <w:p w:rsidR="00E53C03" w:rsidRPr="00E53C03" w:rsidRDefault="00E53C03" w:rsidP="00E53C03">
      <w:pPr>
        <w:spacing w:line="240" w:lineRule="auto"/>
        <w:ind w:left="720"/>
        <w:contextualSpacing/>
      </w:pPr>
      <w:r w:rsidRPr="00E53C03">
        <w:t>it is these worst cases that have prompted not only an appropriate public outcry but also a moral panic that erases all shades of meaning in other testimonies…the purpose of showing diversity of forms migration can take is not to deny that some forms are worse that others but rather to avoid homogenizing hundreds of thousands of women’s experiences (p. 125)</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The nuances in victimization experiences is masked when stereotypes are employed to distinguish victimhood. Central to the construction of sex trafficking victims to differentiate them from ‘sinful whores’ and ‘illegal immigrants’ is the ability to assert their unwillingness to participate in prostitution activities, which can often be complex, contingent, and unclear. As Doezema (2010) highlights, “policies to eradicate trafficking and reintegrate victims into society continue to be based on the notion of the ‘innocent,’ unwilling victim” (p. 17). Those who are deemed to have willingly entered prostitution are not afforded victim status in many of the dominant discourses on sex trafficking (Chuang, 2010). The issue of the role of coercion and consent to involvement in prostitution are at the center of the arguments over forced versus voluntary prostitution (Chapkis, 2005), but often it is difficult to draw clear distinctions between these phenomenon. </w:t>
      </w:r>
    </w:p>
    <w:p w:rsidR="00E53C03" w:rsidRPr="00E53C03" w:rsidRDefault="00E53C03" w:rsidP="00E53C03">
      <w:pPr>
        <w:ind w:firstLine="720"/>
        <w:contextualSpacing/>
      </w:pPr>
      <w:r w:rsidRPr="00E53C03">
        <w:t xml:space="preserve">Thus, it becomes more effective to base dominant constructions of trafficking victims in terms of an ‘ideal type’ victim as this diminishes the need to draw attention to the ambiguity and complexity of the phenomenon. It also deflects attention from the role of gender, class, and race on the crime of sex trafficking and victims. This normative construction of victimization allows for the restriction of victim status to ‘imperfect’ victims who have not been subjected to force, fraud, or coercion and are not blameless in their victimization (Srikantiah, 2007). As with most sexual crimes, the agency/complicity of the victim in their own victimization is of central concern. With regard to immigrant trafficking victims, the focus on the victims’ complicity is further questioned as many victims are also undocumented immigrants. The increasing fervor over stemming undocumented immigration in the United States has intensified the concern over how to deal with this category of trafficking victim. </w:t>
      </w:r>
    </w:p>
    <w:p w:rsidR="00E53C03" w:rsidRPr="00E53C03" w:rsidRDefault="00E53C03" w:rsidP="00E53C03">
      <w:pPr>
        <w:ind w:firstLine="720"/>
        <w:contextualSpacing/>
      </w:pPr>
      <w:r w:rsidRPr="00E53C03">
        <w:t xml:space="preserve">As Robertson and Sgoutas (2012) highlight “trafficking lies at the center of two of contemporary society’s biggest moral challenges - the regulation of migration and the regulation of sexuality” (p. 425). This connection between sex trafficking and immigration, the legal definition of victimhood in the crime of sex trafficking becomes complicated. The need to distinguish between those who have engaged in smuggling to cross international borders and those who have been trafficked across is tantamount to Western legal discourse. Those who are smuggled are guilty of a crime, while those victims determined to be trafficked are worthy of compassion and legal assistance (Maeda, 2011). </w:t>
      </w:r>
    </w:p>
    <w:p w:rsidR="00E53C03" w:rsidRPr="00E53C03" w:rsidRDefault="00E53C03" w:rsidP="00E53C03">
      <w:pPr>
        <w:ind w:firstLine="720"/>
        <w:contextualSpacing/>
      </w:pPr>
      <w:r w:rsidRPr="00E53C03">
        <w:t xml:space="preserve">The sexual nature of the crime also places it within the dominant discourses of how to regulate sexual conduct to maintain morality. Peach (2011) describes the dominant discourse on prostitution and sex trafficking as “reflect[ing] a particular hegemonic and culturally imperialistic perspective on the sexual body that is rooted in conservative Christian understandings of sexuality and prostitution as sinful, and the prostitute as either an ‘innocent victim’ or a ‘sinful whore’” (p. 66). Berman (2003) and Chuang (2010) point to the role of a near ‘sexual panic’ in informing the popular representations of sex trafficking victims, as many fear the proliferation of trafficking as degrading women and promoting ‘loose’ sexual mores.  </w:t>
      </w:r>
    </w:p>
    <w:p w:rsidR="00E53C03" w:rsidRPr="00E53C03" w:rsidRDefault="00E53C03" w:rsidP="00E53C03">
      <w:pPr>
        <w:ind w:firstLine="720"/>
        <w:contextualSpacing/>
      </w:pPr>
      <w:r w:rsidRPr="00E53C03">
        <w:t>These social constructions and the legal definitions that came from them shape the way legal actors to deal with the crime, their ability to address criminal issues, punish offenders, and provide services for victims. Thus, in order to adequately examine how the legal definitions operate on the ground in the legal field, consideration of how these definitions came into being is necessary along with a concluding examination in this chapter of how social service providers perceive the effects of sex trafficking legislation and complicate the dominant construction of sex trafficking and government interventions into trafficking and immigration.  In my own research, I found that dominant constructions were both problematized and reinforced by social service advocates who often wished to address sex trafficking as something more than a crime or target of law enforcement.  Often, they instead saw sex trafficking through the lenses of immigrant women’s lived experience. For this portion, two immigrant legal advocates, one social service advocate, and one trafficking advocate were interviewed.  Nonetheless, dominant definitions have had significant legal effects on lived experience as they are disseminated into the general public inform the way actors view the phenomenon of sex trafficking. As can be seen through this analysis, the struggle in constructing trafficking victims often involves how to differentiate them from those involved in smuggling and voluntary migrants. These tensions are apparent in fact in feminist debates that seek to define sex work and sex trafficking as a social problem.</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 xml:space="preserve">Feminist Reformer Discourses </w:t>
      </w:r>
    </w:p>
    <w:p w:rsidR="00E53C03" w:rsidRPr="00E53C03" w:rsidRDefault="00E53C03" w:rsidP="00E53C03">
      <w:pPr>
        <w:ind w:firstLine="720"/>
        <w:contextualSpacing/>
      </w:pPr>
      <w:r w:rsidRPr="00E53C03">
        <w:t xml:space="preserve">Many scholars highlight the role of prominent feminists in the construction of prostitution and sex trafficking as social problems (Samarasinghe, 2008; Srikantiah, 2007; Berman, 2006; Chuang, 2010; DeStefano, 2007). Two dominant feminist ideologies have come to the national forefront in the last forty years to voice their conceptualizations of the ‘harms’ of prostitution and influence legislation. These conflicting approaches to prostitution legal reform center on the ability for prostitution to be voluntarily entered into as a form of labor or whether it is inherently exploitive to the point which it cannot be entered into willingly. As Chuang (2010) states, “these debates are rooted in deeply conflicting views about gender roles, sexuality, and the proper role of criminal law in responding to societal harms” (p. 1664). </w:t>
      </w:r>
    </w:p>
    <w:p w:rsidR="00E53C03" w:rsidRPr="00E53C03" w:rsidRDefault="00E53C03" w:rsidP="00E53C03">
      <w:pPr>
        <w:ind w:firstLine="720"/>
        <w:contextualSpacing/>
      </w:pPr>
      <w:r w:rsidRPr="00E53C03">
        <w:t>Samarasinghe (2008) conceptualizes the opposing feminist ideologies as the abolitionists and the pro-prostitutionsists.</w:t>
      </w:r>
      <w:r w:rsidRPr="00E53C03">
        <w:rPr>
          <w:vertAlign w:val="superscript"/>
        </w:rPr>
        <w:footnoteReference w:id="28"/>
      </w:r>
      <w:r w:rsidRPr="00E53C03">
        <w:t xml:space="preserve"> The abolitionist ideology centers their argument that prostitution is inherently exploitive because of the harms of patriarchal and cultural normative restrictions on women. Chuang (2010) also highlights how this ideology also been influential in constructing sex trafficking as modern sexual slavery. The pro-prostitutionsist privileges the liberation of women, choice, and control over one’s body (Samarasinghe, 2008). Within the arguments over structure/agency, these groups concentrate on the capacity of individuals to make choices about their lives within social and economic pressures as “both movements are concerned with the welfare of prostitutes, although they have different perspectives” (Simmons, 1999, p. 127). </w:t>
      </w:r>
    </w:p>
    <w:p w:rsidR="00E53C03" w:rsidRPr="00E53C03" w:rsidRDefault="00E53C03" w:rsidP="00E53C03">
      <w:pPr>
        <w:ind w:firstLine="720"/>
        <w:contextualSpacing/>
      </w:pPr>
      <w:r w:rsidRPr="00E53C03">
        <w:t>Yet, as is shown in the feminist arguments over choice and agency, these concepts do not have clear, agreed upon definitions. As Hirschmann (1989) points out, choice always exists in context. This complicates the identification of identify forced prostitution to determine what constitutes trafficking (Samarasinghe, 2008). These dominant feminist ideologies have been instrumental in the framing of the federally codified construction of crimes of prostitution and trafficking, as they have lobbied for their points of view to be acknowledged and included in pieces of legislation. The ideological frames present in legislation can have lasting ramifications on case processing and the treatment of victims which do not fit within the decided-upon legal definition of criminal trafficking involving coercion, force, and what it means to be an agent which do not match the reality of lived experience for many trafficked for sexual exploitation.</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The Creation of Definition of Trafficking</w:t>
      </w:r>
    </w:p>
    <w:p w:rsidR="00E53C03" w:rsidRPr="00E53C03" w:rsidRDefault="00E53C03" w:rsidP="00E53C03">
      <w:pPr>
        <w:ind w:firstLine="720"/>
        <w:contextualSpacing/>
      </w:pPr>
      <w:r w:rsidRPr="00E53C03">
        <w:t xml:space="preserve">In the early 1900s, Christian and feminist groups banded together to bring awareness to a ‘growing’ issue of white slavery throughout the world (Berman, 2003). The moral panic over white slavery at the time was centered on concern over the proliferation of urban prostitution, rural to urban migration for increasing numbers of girls and women, and Progressive constructions of a morality crisis in the nation. A push for federal legislation came, as the fervor grew within the United States over a fear of ‘white slavers’ victimizing young girls and forcing them into prostitution across the nation (Connelly, 1980). </w:t>
      </w:r>
    </w:p>
    <w:p w:rsidR="00E53C03" w:rsidRPr="00E53C03" w:rsidRDefault="00E53C03" w:rsidP="00E53C03">
      <w:pPr>
        <w:ind w:firstLine="720"/>
        <w:contextualSpacing/>
      </w:pPr>
      <w:r w:rsidRPr="00E53C03">
        <w:t>The influence of this rhetoric was apparent in legislative hearings on anti-slavery bills at the time. A Congressman from Tennessee stated in subcommittee hearings on the subject of white slavery, that “whenever I think of a beautiful girl taken from one State to another…and drugged, debauched, and ruined…I can not bring myself to vote against this bill or any similar measure” (as cited in Connelly, 1980). In response to these concerns and the ‘growing’ problem of sexual slavery in the United States, the Mann Act was enacted in 1910 to “further regulate interstate and foreign commerce by prohibiting the transportation therein for immoral purposes of women and girls”.</w:t>
      </w:r>
      <w:r w:rsidRPr="00E53C03">
        <w:rPr>
          <w:vertAlign w:val="superscript"/>
        </w:rPr>
        <w:footnoteReference w:id="29"/>
      </w:r>
      <w:r w:rsidRPr="00E53C03">
        <w:t xml:space="preserve"> This law, pushed forward at the time by the prohibitionist Progressives, has been critiqued as unduly narrow and not able to adequately address the issues it set out to remedy. As Connelly (1980) highlights, </w:t>
      </w:r>
    </w:p>
    <w:p w:rsidR="00E53C03" w:rsidRPr="00E53C03" w:rsidRDefault="00E53C03" w:rsidP="00E53C03">
      <w:pPr>
        <w:spacing w:line="240" w:lineRule="auto"/>
        <w:ind w:left="720"/>
        <w:contextualSpacing/>
      </w:pPr>
      <w:r w:rsidRPr="00E53C03">
        <w:t xml:space="preserve">the portrayal of the white slave as a child-woman reduced the complexities of urban prostitution to the problem of a victimized children, a drastic oversimplification highly effective in terms in terms of melodramatic an sentimental appeal but of little worth as a contribution toward a rational understanding of a serious social problem (p. 127). </w:t>
      </w:r>
    </w:p>
    <w:p w:rsidR="00E53C03" w:rsidRPr="00E53C03" w:rsidRDefault="00E53C03" w:rsidP="00E53C03">
      <w:pPr>
        <w:spacing w:line="240" w:lineRule="auto"/>
        <w:ind w:firstLine="720"/>
        <w:contextualSpacing/>
      </w:pPr>
    </w:p>
    <w:p w:rsidR="00E53C03" w:rsidRPr="00E53C03" w:rsidRDefault="00E53C03" w:rsidP="00E53C03">
      <w:pPr>
        <w:ind w:firstLine="720"/>
        <w:contextualSpacing/>
      </w:pPr>
      <w:r w:rsidRPr="00E53C03">
        <w:t xml:space="preserve">Despite these critiques, the Mann Act continued to be one of the prominent pieces of legislation used in the United States to combat trafficking for sexual exploitation until the very early years of the twenty-first century as a renewed national interest in modern forms of slavery emerged. In the twilight years of the twentieth century, a number of high-profile trafficking cases caught the public’s attention. In one case investigated in 1997, the Cardena-Sosa family had trafficked young Mexican women to work in brothels throughout the United States (DeStefano, 2007). Two other cases involved other immigrant groups trafficked for labor. One case involved Thai immigrants being held in involuntary servitude and forced to work long hours, and in another approximately sixty deaf-mute Mexican men were forced to sell trinkets in across the United States (Joshi, 2002). As these cases struck an emotional chord with the public and converged with increasing fervor over undocumented immigration into the United States, the Christian right began to form a powerful alliance with feminist abolitionist groups to bring awareness to the issue of trafficking and modern slavery (DeStefano, 2007). </w:t>
      </w:r>
    </w:p>
    <w:p w:rsidR="00E53C03" w:rsidRPr="00E53C03" w:rsidRDefault="00E53C03" w:rsidP="00E53C03">
      <w:pPr>
        <w:ind w:firstLine="720"/>
        <w:contextualSpacing/>
      </w:pPr>
      <w:r w:rsidRPr="00E53C03">
        <w:t xml:space="preserve">On International Women’s Day in 1998, Senator Paul Wellstone introduced a Senate resolution condemning the practice of international sex trafficking (mirrored the same day by a similar House resolution), beginning the process of legislative inquiries into the practice. In March 1999, Senator Wellstone introduced a congressional anti-trafficking bill, which did not leave committee. But in April 2000, Wellstone, with the support of Senators Sam Brownback and Diane Feinstein, introduced another anti-trafficking bill (DeStefano, 2007). </w:t>
      </w:r>
    </w:p>
    <w:p w:rsidR="00E53C03" w:rsidRPr="00E53C03" w:rsidRDefault="00E53C03" w:rsidP="00E53C03">
      <w:pPr>
        <w:ind w:firstLine="720"/>
        <w:contextualSpacing/>
      </w:pPr>
      <w:r w:rsidRPr="00E53C03">
        <w:t xml:space="preserve">In opposition to Wellstone’s proposed legislation, the abolitionist coalition lobbied conservative Republican Representative Christopher Smith to sponsor another anti-trafficking bill, which was critiqued by some as overly restrictive and centered on the concept of sexual slavery as a moral problem (DeStefano, 2007). The final version of the compromised anti-trafficking bills became the </w:t>
      </w:r>
      <w:r w:rsidRPr="00E53C03">
        <w:rPr>
          <w:i/>
        </w:rPr>
        <w:t xml:space="preserve">Trafficking Victims Protection Act </w:t>
      </w:r>
      <w:r w:rsidRPr="00E53C03">
        <w:t>(Chuang, 2007; Berman, 2006; DeStefano, 2007). The abolitionists and their allies found the legislature a sympathetic audience to their pleas as many shared their ideological stance on prostitution as inherently exploitive and the conflation of trafficking to ‘slavery.’ As Senator Gejdenson once noted, this coalition of advocates had significantly impacts on the movement to bring the issue of human trafficking to the national stage and have the United States’ statute serve as model for the rest of world (</w:t>
      </w:r>
      <w:r w:rsidRPr="00E53C03">
        <w:rPr>
          <w:i/>
        </w:rPr>
        <w:t>Conference Report</w:t>
      </w:r>
      <w:r w:rsidRPr="00E53C03">
        <w:t>, 2000). This new surge in combatting trafficking, in particular for the purposes of sexual exploitation, revived the discourse of sexual slavery harkening back to the Mann Act.</w:t>
      </w:r>
    </w:p>
    <w:p w:rsidR="00E53C03" w:rsidRPr="00E53C03" w:rsidRDefault="00E53C03" w:rsidP="00E53C03">
      <w:pPr>
        <w:contextualSpacing/>
      </w:pPr>
      <w:r w:rsidRPr="00E53C03">
        <w:tab/>
        <w:t xml:space="preserve">On February 22 and April 4, 2000, the Senate </w:t>
      </w:r>
      <w:r w:rsidRPr="00E53C03">
        <w:rPr>
          <w:i/>
        </w:rPr>
        <w:t>Subcommittee on Near Eastern and South Asian Affairs of the Committee on Foreign Relations</w:t>
      </w:r>
      <w:r w:rsidRPr="00E53C03">
        <w:t xml:space="preserve"> chaired by Senator Brownback conducted a hearing to discuss sex trafficking as the “degrading institution of slavery [which] continues throughout the world” (</w:t>
      </w:r>
      <w:r w:rsidRPr="00E53C03">
        <w:rPr>
          <w:i/>
        </w:rPr>
        <w:t>International Trafficking</w:t>
      </w:r>
      <w:r w:rsidRPr="00E53C03">
        <w:t xml:space="preserve">, 2000, p. 1). The testimony given in this hearing (as well as in other hearings) came from abolitionist human rights leaders, government actors, and victims specifically invited by members of Congress. They shared their constructions of sex trafficking by telling sensational, racialized stories (some the product of combining numerous stories of trafficking into a single ‘horror’ story) of branding, forced abduction, AIDS epidemics, and police corruption in Asia and Eastern Europe. This furthered the framing of the issue as modern slavery to create what Chapkis (2005) calls a “moral outrage of enormous proportions” (p. 56). </w:t>
      </w:r>
    </w:p>
    <w:p w:rsidR="00E53C03" w:rsidRPr="00E53C03" w:rsidRDefault="00E53C03" w:rsidP="00E53C03">
      <w:pPr>
        <w:ind w:firstLine="720"/>
        <w:contextualSpacing/>
      </w:pPr>
      <w:r w:rsidRPr="00E53C03">
        <w:t>Within these hearings, the stories also put forward the construction of sex trafficking as only involving two means of obtaining victims- force or fraud (</w:t>
      </w:r>
      <w:r w:rsidRPr="00E53C03">
        <w:rPr>
          <w:i/>
        </w:rPr>
        <w:t>International Trafficking</w:t>
      </w:r>
      <w:r w:rsidRPr="00E53C03">
        <w:t>, 2000). The uses of force involved in trafficking were described in horrific terms- “where a girl is physically abducted, beaten, and held against her will, sometimes in chains” (</w:t>
      </w:r>
      <w:r w:rsidRPr="00E53C03">
        <w:rPr>
          <w:i/>
        </w:rPr>
        <w:t>International Trafficking</w:t>
      </w:r>
      <w:r w:rsidRPr="00E53C03">
        <w:t xml:space="preserve">, 2000, p. 2). There were a minority group of Congressmen who challenged these constructions and argued that the problem of sex trafficking had yet to be resolved by any previous legislative actions which did not address the systemic issues in the practice. Specifically, they supported the inclusion of a federal visa program in the legislation to assist law enforcement investigations of trafficking hampered by undocumented victims’ reluctance to cooperate and fear of deportation. The existence of a lack of cooperation by victims in these cases was not acknowledged by other Congressmen leading the charge for these anti-trafficking measures. Specifically, Senator Wellstone responded that this phenomenon seemed ironic to him in light of the seriousness of what had already happened to the victims. </w:t>
      </w:r>
    </w:p>
    <w:p w:rsidR="00E53C03" w:rsidRPr="00E53C03" w:rsidRDefault="00E53C03" w:rsidP="00E53C03">
      <w:pPr>
        <w:ind w:firstLine="720"/>
        <w:contextualSpacing/>
      </w:pPr>
      <w:r w:rsidRPr="00E53C03">
        <w:t xml:space="preserve">As shown here, the statements of Congressman and other presenters during these legislative hearings to create trafficking legislation highlight a lack of a nuanced understanding of the complex issue of sex trafficking beyond an emotional, moral indignation at the existence of what they deemed to be a modern form of slavery. As Berman (2006) states, “the duped girl lost in an illicit world of malevolent traffickers simultaneously functions to remove women’s agency and to render the dislocations broadly associated with globalization (unstable labor markets, bankruptcies, recession, migrations) in simple, dichotomous terms” (p. 277). This allows for a particular construction of the social problem of trafficking to restrict the legal protections to ‘ideal’ victims of the worst forms of exploitation. </w:t>
      </w:r>
    </w:p>
    <w:p w:rsidR="00E53C03" w:rsidRPr="00E53C03" w:rsidRDefault="00E53C03" w:rsidP="00E53C03">
      <w:pPr>
        <w:ind w:firstLine="720"/>
        <w:contextualSpacing/>
      </w:pPr>
      <w:r w:rsidRPr="00E53C03">
        <w:t xml:space="preserve">In addition, very little attention was given during the congressional hearings to recommendations seeking increases in federal funding for victim services and protections, including long wait times for immigrant victim visas and the use of domestic violence shelters to house sex trafficking victims as they are not equipped to deal with these kinds of issues. It appears as if they were not seeking to analyze the complex problem of sex trafficking in a way to produce meaningful impacts to curb the crime, but to support their ideological constructions of the crime. As Chuang states, “one of the key drawbacks of moral crusades is that ideology comes to substitute for evidence, with moral certainty precluding critical self-assessment” (Chuang, 2010, p. 1721). In addition, a simplistic, emotion-laden construction of trafficking as slavery provides compelling arguments to persuade the public of a particular view of a social problem rather than attempting to address the larger systemic issues (Chuang, 2010). </w:t>
      </w:r>
    </w:p>
    <w:p w:rsidR="00E53C03" w:rsidRPr="00E53C03" w:rsidRDefault="00E53C03" w:rsidP="00E53C03">
      <w:pPr>
        <w:ind w:firstLine="720"/>
        <w:contextualSpacing/>
      </w:pPr>
      <w:r w:rsidRPr="00E53C03">
        <w:t>Before continuing on to analyze the implications of the restrictive definitions of the TVPA and their effects on the treatment of immigrant victims in particular, it is important to explain what the codified version of the TVPA defines as criminal trafficking. This allows for the foundation of the analysis of what is not recognized within the law and the specific ways that these restrictive definitions and access to services affects the treatment of victims both legally recognized and unrecognized.</w:t>
      </w:r>
    </w:p>
    <w:p w:rsidR="00E53C03" w:rsidRPr="00E53C03" w:rsidRDefault="00E53C03" w:rsidP="00E53C03">
      <w:pPr>
        <w:ind w:firstLine="720"/>
        <w:contextualSpacing/>
      </w:pPr>
    </w:p>
    <w:p w:rsidR="00E53C03" w:rsidRPr="00E53C03" w:rsidRDefault="00E53C03" w:rsidP="00E53C03">
      <w:pPr>
        <w:contextualSpacing/>
        <w:rPr>
          <w:b/>
          <w:i/>
        </w:rPr>
      </w:pPr>
      <w:r w:rsidRPr="00E53C03">
        <w:rPr>
          <w:b/>
          <w:i/>
        </w:rPr>
        <w:t>Trafficking Victims Protection Act Definitions and Victim Provisions</w:t>
      </w:r>
    </w:p>
    <w:p w:rsidR="00E53C03" w:rsidRPr="00E53C03" w:rsidRDefault="00E53C03" w:rsidP="00E53C03">
      <w:pPr>
        <w:contextualSpacing/>
      </w:pPr>
      <w:r w:rsidRPr="00E53C03">
        <w:tab/>
        <w:t xml:space="preserve">The final version of the </w:t>
      </w:r>
      <w:r w:rsidRPr="00E53C03">
        <w:rPr>
          <w:i/>
        </w:rPr>
        <w:t>Trafficking Victims Protection Act of 2000</w:t>
      </w:r>
      <w:r w:rsidRPr="00E53C03">
        <w:t xml:space="preserve"> was enacted into law on October 28, 2000 within </w:t>
      </w:r>
      <w:r w:rsidRPr="00E53C03">
        <w:rPr>
          <w:i/>
        </w:rPr>
        <w:t>Public Law 106-386, 22 USC 7101</w:t>
      </w:r>
      <w:r w:rsidRPr="00E53C03">
        <w:t xml:space="preserve">. Within this legislation, there are two ‘types’ of trafficking, sex trafficking and ‘severe forms of trafficking.’ Only ‘severe forms of trafficking’ are punishable under the act and triggers victim protections and services. The main point of difference between the two types centers on the use of force, fraud, or coercion as a means to traffic individuals. Non-criminalized act of sex trafficking is defined as “the recruitment, harboring, transportation, provision, or obtaining of a person for the purpose of a commercial sex act” while severe forms of trafficking in persons is defined as </w:t>
      </w:r>
    </w:p>
    <w:p w:rsidR="00E53C03" w:rsidRPr="00E53C03" w:rsidRDefault="00E53C03" w:rsidP="00E53C03">
      <w:pPr>
        <w:spacing w:line="240" w:lineRule="auto"/>
        <w:ind w:left="720"/>
        <w:contextualSpacing/>
      </w:pPr>
      <w:r w:rsidRPr="00E53C03">
        <w:t>(a) sex trafficking in which a commercial sex act is induced by force, fraud, or coercion, or in which the person induced to perform such act has not attained 18 years of age; or (b) the recruitment, harboring, transportation, provision, or obtaining of a person for labor or services, through the use of force, fraud, or coercion for the purposes of subjection to involuntary servitude, peonage, debt bondage, or slavery (114 Stat. 1470)</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The legislation contains a very restrictive definition of coercion centered on the use or threat of physical harm as one of the main components differentiating the act of sex trafficking from the crime of ‘severe forms of trafficking.’ Coercion, for the purposes of this legislation is defined as </w:t>
      </w:r>
    </w:p>
    <w:p w:rsidR="00E53C03" w:rsidRPr="00E53C03" w:rsidRDefault="00E53C03" w:rsidP="00E53C03">
      <w:pPr>
        <w:spacing w:line="240" w:lineRule="auto"/>
        <w:ind w:left="720"/>
        <w:contextualSpacing/>
      </w:pPr>
      <w:r w:rsidRPr="00E53C03">
        <w:t xml:space="preserve">(a) threats of serious harm to or physical restrain against any person; (b) any scheme, plan, or pattern intended to cause a person to believe that failure to perform an act would result in serious harm to or physical restraint against any person; or (c) the abuse or threatened abuse of the legal processes (114 Stat. 1469). </w:t>
      </w:r>
    </w:p>
    <w:p w:rsidR="00E53C03" w:rsidRPr="00E53C03" w:rsidRDefault="00E53C03" w:rsidP="00E53C03">
      <w:pPr>
        <w:spacing w:line="240" w:lineRule="auto"/>
        <w:ind w:firstLine="720"/>
        <w:contextualSpacing/>
      </w:pPr>
    </w:p>
    <w:p w:rsidR="00E53C03" w:rsidRPr="00E53C03" w:rsidRDefault="00E53C03" w:rsidP="00E53C03">
      <w:pPr>
        <w:ind w:firstLine="720"/>
        <w:contextualSpacing/>
      </w:pPr>
      <w:r w:rsidRPr="00E53C03">
        <w:t xml:space="preserve">As can be seen here, the construction of trafficking by means of force (or forceful coercion) is the basis for the federal crime of ‘severe forms of trafficking.’ Only through meeting the definitional standards for this crime can a victim of trafficking be afforded protection, services, and the legitimated ascription of victim status. The legislation also places additional restrictions on the provision of victim services and protection beyond merely having the crimes against them tried under the TVPA. Victims of ‘severe forms of trafficking’ are only eligible to be federally certified as a victim by the Department of Health and Human Services to receive federal services if they are “willing to assist in every reasonable way in the investigation and prosecution,” have made an immigrant visa application, or are under a continuing presence for the purposes of prosecution (114 Stat. 1476). This protected class of victims is afforded the right not to be detained in custody, receive medical care and other social services, and protection from legal reprisals and public identification. </w:t>
      </w:r>
    </w:p>
    <w:p w:rsidR="00E53C03" w:rsidRPr="00E53C03" w:rsidRDefault="00E53C03" w:rsidP="00E53C03">
      <w:pPr>
        <w:ind w:firstLine="720"/>
        <w:contextualSpacing/>
      </w:pPr>
      <w:r w:rsidRPr="00E53C03">
        <w:t xml:space="preserve">A new t visa program was created within the legislation to provide immigrant victims of ‘severe forms of trafficking’ and certain family members temporary presence for four years on the conditions that they were present in the United States due to trafficking, have complied “any reasonable request for assistance in the investigation of prosecution,” or are under age fifteen, and “would suffer extreme hardship involving unusual and severe harm upon removal” (114 Stat. 1478). Five thousand visas were available annually for this purpose. After three years of being a person “of good moral character” under a t visa status, who again “complied with any reasonable request for assistance in the investigation or prosecution,” and with the same repatriation hardship may apply to have their immigration status adjusted to that of a permanent resident alien (114 Stat. 1479). Victims of all acts of trafficking other than ‘severe forms of trafficking’ are ineligible for federal protections and services under the TVPA. </w:t>
      </w:r>
    </w:p>
    <w:p w:rsidR="00E53C03" w:rsidRPr="00E53C03" w:rsidRDefault="00E53C03" w:rsidP="00E53C03">
      <w:pPr>
        <w:ind w:firstLine="720"/>
        <w:contextualSpacing/>
      </w:pPr>
      <w:r w:rsidRPr="00E53C03">
        <w:t>As with the other victim protections and services, the additional restrictions limiting the ability of immigrant victims to receive assistance further constrains who can be recognized as victims. Not only are the crimes against these victims subject to the law, but the immigrant victims also become subjects of the law in determining their eligibility for assistance. This forms a nexus between regulatory immigration law and trafficking law to shape who is a ‘true’ and productive immigrant victim in opposition to undocumented immigrants who became involved in prostitution.  In addition, the way that trafficking is socially constructed within specific codified definitions is important to acknowledge as it shapes the way legal and social service actors deal with the crime and their ability to address criminal issues, punish offenders, and provide services for victims on a daily basis within the constraints of the law.</w:t>
      </w:r>
    </w:p>
    <w:p w:rsidR="00E53C03" w:rsidRPr="00E53C03" w:rsidRDefault="00E53C03" w:rsidP="00E53C03">
      <w:pPr>
        <w:ind w:firstLine="720"/>
        <w:contextualSpacing/>
      </w:pPr>
      <w:r w:rsidRPr="00E53C03">
        <w:t xml:space="preserve">A year later on November 29, 2001, the </w:t>
      </w:r>
      <w:r w:rsidRPr="00E53C03">
        <w:rPr>
          <w:i/>
        </w:rPr>
        <w:t>Committee on International Relations</w:t>
      </w:r>
      <w:r w:rsidRPr="00E53C03">
        <w:t xml:space="preserve"> met to discuss the impact made by the </w:t>
      </w:r>
      <w:r w:rsidRPr="00E53C03">
        <w:rPr>
          <w:i/>
        </w:rPr>
        <w:t>Trafficking Victims Protection Act</w:t>
      </w:r>
      <w:r w:rsidRPr="00E53C03">
        <w:t xml:space="preserve"> and the progress that had been made in the “war against human trafficking” (</w:t>
      </w:r>
      <w:r w:rsidRPr="00E53C03">
        <w:rPr>
          <w:i/>
        </w:rPr>
        <w:t>Implementation</w:t>
      </w:r>
      <w:r w:rsidRPr="00E53C03">
        <w:t>, 2001, p. 7). Interestingly enough, these government actors specifically highlighted the influence of the abolitionist ideology on their legislative decisions. Senator Henry Hyde specifically highlighted the role of feminist ideology on the creation of the TVPA, as the legislature had to “choose between two dramatically different views of the commercial sex trade and its contribution to the problem of human trafficking” (</w:t>
      </w:r>
      <w:r w:rsidRPr="00E53C03">
        <w:rPr>
          <w:i/>
        </w:rPr>
        <w:t>Implementation</w:t>
      </w:r>
      <w:r w:rsidRPr="00E53C03">
        <w:t>, 2001, p. 7). He stated that Congress chose to adopt the latter view/ideology on prostitution and that the Act “squarely rejects any effort to legitimize prostitution by treating it as just another kind of work” (</w:t>
      </w:r>
      <w:r w:rsidRPr="00E53C03">
        <w:rPr>
          <w:i/>
        </w:rPr>
        <w:t>Implementation</w:t>
      </w:r>
      <w:r w:rsidRPr="00E53C03">
        <w:t xml:space="preserve">, 2001, p. 8). Thus, Congress constructed the crime of trafficking specifically to bracket it off from other issues which they did not seek to address with this legislation. The legislation was aimed to resist </w:t>
      </w:r>
    </w:p>
    <w:p w:rsidR="00E53C03" w:rsidRPr="00E53C03" w:rsidRDefault="00E53C03" w:rsidP="00E53C03">
      <w:pPr>
        <w:spacing w:line="240" w:lineRule="auto"/>
        <w:ind w:left="720"/>
        <w:contextualSpacing/>
      </w:pPr>
      <w:r w:rsidRPr="00E53C03">
        <w:t>efforts to define ‘trafficking’ so broadly that it would dilute and diminish the effort to attack the core problem. We know there are a wide range of related offenses such as immigrant smuggling and unfair labor practices which require just and effective remedies. But these remedies are better provided in the context of labor law or immigration law than in an antislavery bill (</w:t>
      </w:r>
      <w:r w:rsidRPr="00E53C03">
        <w:rPr>
          <w:i/>
        </w:rPr>
        <w:t>Implementation</w:t>
      </w:r>
      <w:r w:rsidRPr="00E53C03">
        <w:t>, 2001, p. 8)</w:t>
      </w:r>
      <w:bookmarkStart w:id="6" w:name="9"/>
      <w:bookmarkEnd w:id="6"/>
    </w:p>
    <w:p w:rsidR="00E53C03" w:rsidRPr="00E53C03" w:rsidRDefault="00E53C03" w:rsidP="00E53C03">
      <w:pPr>
        <w:spacing w:line="240" w:lineRule="auto"/>
        <w:ind w:left="720"/>
        <w:contextualSpacing/>
      </w:pPr>
    </w:p>
    <w:p w:rsidR="00E53C03" w:rsidRPr="00E53C03" w:rsidRDefault="00E53C03" w:rsidP="00E53C03">
      <w:pPr>
        <w:contextualSpacing/>
      </w:pPr>
      <w:r w:rsidRPr="00E53C03">
        <w:tab/>
        <w:t>The slavery rhetoric continues in government documents, policies, and directives creating an official stance on trafficking equating it with slavery and legitimizing the abolitionist ideology. They only sought to address slavery within the bill, thus the law was created with the restrictive construction of ‘severe forms of trafficking.’ President George W. Bush’s 2002 Presidential Directive highlights the role of the abolitionist-leaning ideology and discourse of slavery in the official government stance on prostitution and trafficking. This directive stated that the official government policy is-</w:t>
      </w:r>
    </w:p>
    <w:p w:rsidR="00E53C03" w:rsidRPr="00E53C03" w:rsidRDefault="00E53C03" w:rsidP="00E53C03">
      <w:pPr>
        <w:spacing w:line="240" w:lineRule="auto"/>
        <w:ind w:left="720"/>
        <w:contextualSpacing/>
      </w:pPr>
      <w:r w:rsidRPr="00E53C03">
        <w:t xml:space="preserve">based on an abolitionist approach to trafficking in persons, and our efforts must involve a comprehensive attack on such trafficking, which is a modern day form of slavery…the United States government opposes prostitution and any related activities, including pimping, pandering, or maintaining brothels, as contributing to the phenomenon of trafficking in persons. These activities are inherently harmful and dehumanizing. The United States Government’s position is that these activities should not be regulated as a legitimate form of work for any human being (p. 4-5). </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Despite stating that this policy and associated legislation is meant “to treat trafficked people as victims” and “support initiatives that provide education and employment opportunities to victims of trafficking, as well as shelter and services as these victims rebuild their lives” (Bush, 2002, p. 5), government protections and services, as previously outlined, are available only to victims of ‘severe forms of trafficking.’ By subjecting victims to these additional restrictions to receive services, large numbers of victims without federally-funded legal protections and services despite their exploitation and the prosecution of those who exploited them under other federal legislation. </w:t>
      </w:r>
    </w:p>
    <w:p w:rsidR="00E53C03" w:rsidRPr="00E53C03" w:rsidRDefault="00E53C03" w:rsidP="00E53C03">
      <w:pPr>
        <w:ind w:firstLine="720"/>
        <w:contextualSpacing/>
      </w:pPr>
      <w:r w:rsidRPr="00E53C03">
        <w:t>The federal government also seeks to have other countries adopt an abolitionist stance on prostitution and sex trafficking in their trafficking legislation and meet minimum standards to combat trafficking in persons as set out in the legislation. The 2003 Reauthorization of the TVPA included a provision prohibiting federal anti-trafficking funding to organizations which had “not stated in either a grant application, a grant agreement, or both, that it does not promote, support, or advocate the legalization or practice of prostitution” (</w:t>
      </w:r>
      <w:r w:rsidRPr="00E53C03">
        <w:rPr>
          <w:i/>
        </w:rPr>
        <w:t>H.R. 2620</w:t>
      </w:r>
      <w:r w:rsidRPr="00E53C03">
        <w:t xml:space="preserve">, p. 12). The </w:t>
      </w:r>
      <w:r w:rsidRPr="00E53C03">
        <w:rPr>
          <w:i/>
        </w:rPr>
        <w:t>2004 Trafficking in Persons Report</w:t>
      </w:r>
      <w:r w:rsidRPr="00E53C03">
        <w:t xml:space="preserve"> created by the State Department assigned ten countries to Tier 3, meaning they were in non-compliance with the minimum standards for combatting trafficking. The President authorized sanctions on Burma, Cuba, Equatorial Guinea, North Korea, Sudan and Venezuela for year to persuade them to meet these standards (White House, 2004).  </w:t>
      </w:r>
    </w:p>
    <w:p w:rsidR="00E53C03" w:rsidRPr="00E53C03" w:rsidRDefault="00E53C03" w:rsidP="00E53C03">
      <w:pPr>
        <w:ind w:firstLine="720"/>
        <w:contextualSpacing/>
      </w:pPr>
      <w:r w:rsidRPr="00E53C03">
        <w:t xml:space="preserve">This provision has been widely criticized for its moralistic and hegemonic stance and its possible negative impact on prevention and assistance efforts with stigmatized and vulnerable populations who are wary of condemnation of their activities (Chuang 2010). Various social service and advocacy groups throughout the United States with abolitionist leanings have received large grants from the federal government to raise awareness of the issue of sex trafficking and to conduct research on the topic (Berman, 2003). The confluence of the various restrictions on victim status ascription and funding restrictions to groups who provide services, training, and advocacy regarding sex trafficking all points back to the conflagration of trafficking with slavery involving the use of physical force which became codified in the TVPA. Thus, by framing the social problem of trafficking in terms of the slavery and forced prostitution, the legislature was able to justify codifying a restrictive definition of trafficking centered on those victimized through physical force to create the impression of ‘innocent’ victims. </w:t>
      </w:r>
    </w:p>
    <w:p w:rsidR="00E53C03" w:rsidRPr="00E53C03" w:rsidRDefault="00E53C03" w:rsidP="00E53C03">
      <w:pPr>
        <w:ind w:firstLine="720"/>
        <w:contextualSpacing/>
      </w:pPr>
      <w:r w:rsidRPr="00E53C03">
        <w:t xml:space="preserve">This, coupled with concerns surrounding an influx of undocumented immigrants into the United States, as previously noted, led to this codification of trafficking in terms of forced prostitution (or labor). This restrictive legal definition, as will be discussed throughout the rest of this chapter and the dissertation as a whole, has particular ramifications for case processing and treatment of victims as the legislature sought to protect against overbroad applications of the law. In actuality, Congress created a criminal definition of ‘severe forms of trafficking’ which does not match the lived experiences of many victims or legally recognize their exploitation. By not legally recognizing the crimes against sex trafficking victims whose experiences do not fit neatly within the confines of physically ‘forced’ prostitution, these crimes cannot be prosecuted under the TVPA. This creates a gap which can be used to bracket these victims from ‘true’ victims of trafficking, which not only leaves them without assistance but allows their victim status to be refuted in court and in public opinion as a ‘willing prostitute’ as will be shown in this project. </w:t>
      </w:r>
    </w:p>
    <w:p w:rsidR="00E53C03" w:rsidRPr="00E53C03" w:rsidRDefault="00E53C03" w:rsidP="00E53C03">
      <w:pPr>
        <w:ind w:firstLine="720"/>
        <w:contextualSpacing/>
      </w:pPr>
      <w:r w:rsidRPr="00E53C03">
        <w:t>In order to examine how these legal definitions and restrictions operate on the ground, I interviewed four local social service actors</w:t>
      </w:r>
      <w:r w:rsidRPr="00E53C03">
        <w:rPr>
          <w:vertAlign w:val="superscript"/>
        </w:rPr>
        <w:footnoteReference w:id="30"/>
      </w:r>
      <w:r w:rsidRPr="00E53C03">
        <w:t xml:space="preserve"> (two immigrant legal advocates, one victim advocate, and one trafficking advocate) involved in assisting and advocating on behalf of victims. I sought to examine how these individuals perceive the effects of the TVPA; dominant constructions of trafficking and trafficking victims; and government interventions into trafficking and immigration on their ability to serve victims and address trafficking. </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Dominant Discourse on the Ground</w:t>
      </w:r>
    </w:p>
    <w:p w:rsidR="00E53C03" w:rsidRPr="00E53C03" w:rsidRDefault="00E53C03" w:rsidP="00E53C03">
      <w:pPr>
        <w:contextualSpacing/>
      </w:pPr>
      <w:r w:rsidRPr="00E53C03">
        <w:tab/>
        <w:t>As previously mentioned, the dominant discourse on trafficking in the United States is centered on its construction as a form of modern slavery involving force, fraud, and coercion. These descriptions and characterizations inform the ways that social service actors involved in helping victims conceptualize the crime, offenders, and victims.</w:t>
      </w:r>
      <w:r w:rsidRPr="00E53C03">
        <w:rPr>
          <w:vertAlign w:val="superscript"/>
        </w:rPr>
        <w:footnoteReference w:id="31"/>
      </w:r>
      <w:r w:rsidRPr="00E53C03">
        <w:t xml:space="preserve"> A local victim advocate I interviewed referred to labor trafficking victims as slaves in her statement about how the bilingual victim advocates she works with “serve more human trafficking, some are brought here as domestic slaves.” </w:t>
      </w:r>
    </w:p>
    <w:p w:rsidR="00E53C03" w:rsidRPr="00E53C03" w:rsidRDefault="00E53C03" w:rsidP="00E53C03">
      <w:pPr>
        <w:ind w:firstLine="720"/>
        <w:contextualSpacing/>
      </w:pPr>
      <w:r w:rsidRPr="00E53C03">
        <w:t>In another interview, a legal advocate from Middle Tennessee expressed her understanding of the crime of sex trafficking and its importance in terms of the historical dominant discourse of sexual slavery.</w:t>
      </w:r>
    </w:p>
    <w:p w:rsidR="00E53C03" w:rsidRPr="00E53C03" w:rsidRDefault="00E53C03" w:rsidP="00E53C03">
      <w:pPr>
        <w:spacing w:line="240" w:lineRule="auto"/>
        <w:ind w:left="720"/>
        <w:contextualSpacing/>
      </w:pPr>
      <w:r w:rsidRPr="00E53C03">
        <w:t xml:space="preserve">Well I think that sex trafficking exists everywhere in the United States. They say that the number of slaves in the United States is greater than there were during the Mid-Atlantic slave trades. So I just think that mostly women and children are being trafficked, and it goes back to this thought of women being property and children being property. </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In response to a question about why sex trafficking was occurring in new destination areas within the Latino community, the same legal advocate stated that it occurs for the same reasons that the slave trade does- </w:t>
      </w:r>
    </w:p>
    <w:p w:rsidR="00E53C03" w:rsidRPr="00E53C03" w:rsidRDefault="00E53C03" w:rsidP="00E53C03">
      <w:pPr>
        <w:spacing w:line="240" w:lineRule="auto"/>
        <w:ind w:left="720"/>
        <w:contextualSpacing/>
      </w:pPr>
      <w:r w:rsidRPr="00E53C03">
        <w:t>“It’s all a part of vulnerable groups being exploited. Traffickers from the home country, two of our cases were people recruited in their home country and convinced that if they did this it would be a better life…It’s just like asking why does slavery exist…with the slave trade it’s the same question.”</w:t>
      </w:r>
    </w:p>
    <w:p w:rsidR="00E53C03" w:rsidRPr="00E53C03" w:rsidRDefault="00E53C03" w:rsidP="00E53C03">
      <w:pPr>
        <w:spacing w:line="240" w:lineRule="auto"/>
        <w:contextualSpacing/>
      </w:pPr>
    </w:p>
    <w:p w:rsidR="00E53C03" w:rsidRPr="00E53C03" w:rsidRDefault="00E53C03" w:rsidP="00E53C03">
      <w:pPr>
        <w:ind w:firstLine="720"/>
        <w:contextualSpacing/>
      </w:pPr>
      <w:r w:rsidRPr="00E53C03">
        <w:t xml:space="preserve">In describing what she conceptualized as the foundation for the problem of sex trafficking, a sex trafficking advocate also from Middle Tennessee had adopted an abolitionist stance specifically influenced by her religious beliefs. She stated that she believed “pornography was the number one root cause” of sex trafficking. She sought to address sexual demand in her advocacy “to help men become whole themselves and help them understand their worth that they don’t have to result to pornography to feel like a man.” She also though expanded the causes of sex trafficking to a number of social problems, which she believed were making women vulnerable to trafficking and sexual exploitation. She associated the problems of sexual abuse as leading men to traffic and victimize women, along with “fatherless homes,” runaways, poverty, a “hypersexualized” culture and media. Her assertions that the media is “still portraying women as objects” highlighted her belief that the commodification of women’s bodies and the sex trades were at the core of the problem of sex trafficking and fueling demand for sex workers.  </w:t>
      </w:r>
    </w:p>
    <w:p w:rsidR="00E53C03" w:rsidRPr="00E53C03" w:rsidRDefault="00E53C03" w:rsidP="00E53C03">
      <w:pPr>
        <w:ind w:firstLine="720"/>
        <w:contextualSpacing/>
      </w:pPr>
      <w:r w:rsidRPr="00E53C03">
        <w:t xml:space="preserve">In addition, this trafficking advocate worked with others to lobby the state of Tennessee to institute a sex trafficking awareness week and was successful in getting the State Assembly to designate May as the state’s “Human Trafficking Awareness Month,” the first of its kind in the nation. Thus, the framing of the social problem of trafficking at the state level is also being influenced by those who are lobbying for change subscribe to an abolitionist view on prostitution and trafficking. The 2011 published results of the study conducted by Vanderbilt University in conjunction with the Tennessee Bureau of investigation show evidence of the influence of the abolitionist discourse and conceptualization of trafficking as a form of slavery. The letter from the Director of the TBI introducing the study describes the crime of human sex trafficking as “the slavery of children and women forced to perform sex acts for money” (Tennessee Bureau of Investigation [TBI], 2011, para. 1). The study also continued to refer to the problem of trafficking in terms of “modern day slavery” involving force or coercion (TBI, 2011, p. 5), mirroring federal legislation. </w:t>
      </w:r>
    </w:p>
    <w:p w:rsidR="00E53C03" w:rsidRPr="00E53C03" w:rsidRDefault="00E53C03" w:rsidP="00E53C03">
      <w:pPr>
        <w:ind w:firstLine="720"/>
        <w:contextualSpacing/>
      </w:pPr>
      <w:r w:rsidRPr="00E53C03">
        <w:t xml:space="preserve">In order to increase awareness of the issue of trafficking, many of the social service actors mentioned that they believed there needed to be additional training for the public, legal actors, and social services on the specifics of the federal trafficking law, services available for victims, the rights and protections of individuals under the law, and the phenomenon of trafficking in general. The groups that the legal and victim advocates were a part of all dedicate significant amounts of time educating on these topics and community outreach to provide direct services and collaboration to achieve their specific goals assisting victims. </w:t>
      </w:r>
    </w:p>
    <w:p w:rsidR="00E53C03" w:rsidRPr="00E53C03" w:rsidRDefault="00E53C03" w:rsidP="00E53C03">
      <w:pPr>
        <w:ind w:firstLine="720"/>
        <w:contextualSpacing/>
      </w:pPr>
      <w:r w:rsidRPr="00E53C03">
        <w:t xml:space="preserve">The trafficking advocate stated that she spent considerable time on awareness campaigns to educate the public on the issue of sex trafficking. She stated that she often gets invited to present on the “who, what, where, why, and when of human trafficking” with all of the statistics to schools, churches, law enforcement, social workers, airport workers, and anywhere where people may see victims and be able to “save” them. She also targets high school age youth for awareness through a program called “I Promise to Do My Part” so that they bring awareness to others about the vulnerabilities of sex trafficking, because she believed young people have such a “passion” “in fighting social issues.” </w:t>
      </w:r>
    </w:p>
    <w:p w:rsidR="00E53C03" w:rsidRPr="00E53C03" w:rsidRDefault="00E53C03" w:rsidP="00E53C03">
      <w:pPr>
        <w:ind w:firstLine="720"/>
        <w:contextualSpacing/>
      </w:pPr>
      <w:r w:rsidRPr="00E53C03">
        <w:t>As shown above, the framing of social problems is important to how discourse and law operate ‘on the ground.’ The dominant discourses which framed the creation of the TVPA have informed the way that social service actors working ‘on the ground’ conceptualize of the phenomenon of trafficking generally. Yet, the restrictive nature of the law and the definition of trafficking under the law also informs how these actors must deal with victims and how they are able to provide services. These social service actors acknowledged the effects of increasing fervor over ‘the immigration problem’ and the provisions of victim services under the TVPA on their work assisting victims. Many commented on how the felt the intersection of immigration law and trafficking laws restrict women from getting the help and services they often need.</w:t>
      </w:r>
    </w:p>
    <w:p w:rsidR="00E53C03" w:rsidRPr="00E53C03" w:rsidRDefault="00E53C03" w:rsidP="00E53C03">
      <w:pPr>
        <w:ind w:firstLine="720"/>
        <w:contextualSpacing/>
      </w:pPr>
    </w:p>
    <w:p w:rsidR="00E53C03" w:rsidRPr="00E53C03" w:rsidRDefault="00E53C03" w:rsidP="00E53C03">
      <w:pPr>
        <w:contextualSpacing/>
        <w:rPr>
          <w:b/>
        </w:rPr>
      </w:pPr>
      <w:r w:rsidRPr="00E53C03">
        <w:rPr>
          <w:b/>
        </w:rPr>
        <w:t>Restrictions on Immigrant Victims’ Service and Protection Issues with the Trafficking Victims Protection Act</w:t>
      </w:r>
    </w:p>
    <w:p w:rsidR="00E53C03" w:rsidRPr="00E53C03" w:rsidRDefault="00E53C03" w:rsidP="00E53C03">
      <w:pPr>
        <w:ind w:firstLine="720"/>
        <w:contextualSpacing/>
      </w:pPr>
      <w:r w:rsidRPr="00E53C03">
        <w:t>The TVPA initially authorized a $10 million grant program to fund State and local governments, Indian tribes and nonprofit, nongovernmental victim service organizations to develop and expand programs for trafficking victims (</w:t>
      </w:r>
      <w:r w:rsidRPr="00E53C03">
        <w:rPr>
          <w:i/>
        </w:rPr>
        <w:t>Implementation</w:t>
      </w:r>
      <w:r w:rsidRPr="00E53C03">
        <w:t xml:space="preserve">, 2001, p. 67).  Despite growth in the amount of federal funding for these purposes, the essential nature of this money in providing victim services by non-governmental agencies, and the assertion that the TVPA is meant to be ‘victim centered,’ funding is still in short supply. Thus, non-governmental organizations, advocacy groups, law enforcement, and prosecution must work together to provide the highest level of assistance possible within the confines of the TVPA legislative restrictions. </w:t>
      </w:r>
    </w:p>
    <w:p w:rsidR="00E53C03" w:rsidRPr="00E53C03" w:rsidRDefault="00E53C03" w:rsidP="00E53C03">
      <w:pPr>
        <w:ind w:firstLine="720"/>
        <w:contextualSpacing/>
      </w:pPr>
      <w:r w:rsidRPr="00E53C03">
        <w:t xml:space="preserve">As previously mentioned, most forms of assistance reserved for victims of ‘severe forms of trafficking’ are unavailable for other victims despite a legal need for those victims’ continued presence in the United States for the purposes of a prosecution. This denial of service has been described as discriminatory and a human rights abuse. As Reiger (2007) states, “it would be unheard of for a rape victim to be denied assistance such as safe housing and medical treatment simply because she chose not to testify against her rapists. Yet this is precisely what happens if that rape victim is an illegal immigrant engaged in forced sex work” (p. 250). Many of the social service actors contested the restrictions placed on them to assist undocumented immigrants. Many were concerned with effects of limited funding opportunities and increasingly restrictive immigrations laws which they felt hindered their work and frightened victims. With the limited availability of funding for victim services, many social service groups turn to volunteers to attempt to address needs. As one local East Tennessee legal advocate stated, “funding is extremely difficult to get for this type of program, obviously immigration is not the sexiest politically right now.” </w:t>
      </w:r>
    </w:p>
    <w:p w:rsidR="00E53C03" w:rsidRPr="00E53C03" w:rsidRDefault="00E53C03" w:rsidP="00E53C03">
      <w:pPr>
        <w:ind w:firstLine="720"/>
        <w:contextualSpacing/>
      </w:pPr>
      <w:r w:rsidRPr="00E53C03">
        <w:t xml:space="preserve">A local women’s organization turned to training volunteers to serve as bilingual victim advocates to reach out to the immigrant populations in the area. In order to serve the local Latino immigrant community, these advocates spend significant amounts of time building up ties with community members and gain a measure of trust there. They feel that this will allow victims to feel more willing to come forward, report crimes, and seek out services and overcome their fear of government actors and social services. The victim advocate I interviewed there stated this type of outreach is particularly important within immigrant communities to assist victims, because without an outlet to report illegal activities “a lot of criminal activity, violence, family and street violence will go unchecked.” Thus, the dominant discourse about the nexus between crime and immigration had particular impacts on their abilities to provide services and assist victims. </w:t>
      </w:r>
    </w:p>
    <w:p w:rsidR="00E53C03" w:rsidRPr="00E53C03" w:rsidRDefault="00E53C03" w:rsidP="00E53C03">
      <w:pPr>
        <w:ind w:firstLine="720"/>
        <w:contextualSpacing/>
      </w:pPr>
      <w:r w:rsidRPr="00E53C03">
        <w:t>This group was concerned that the introduction of new 287G programs to train local law enforcement to act as ICE agents would harm their relationship with this community and lead the community to close ranks. She stated “that’s really frustrating for us. We are of course concerned that it will harm our advocates’ relationships with those communities also, you know. We certainly don’t want them to see us as part of that even though we work with law enforcement.” That victim advocate also stated in serving immigrant communities “one of the biggest challenges is that they are isolated, so they tend to not, they tend not to know their rights, to not know what community services are available and how to access them.” She felt her agency’s victim advocates “help the victim understand what’s really going on, what their rights are what’s going to happen, and, umm, and again build up that relationship of trust that they’re very unlikely to have with law enforcement at the beginning.” Thus, the trust they build up with the local immigrant communities is key to their assistance of victims and is something that they believe must be continually cultivated so that they can work to address needs. She highlighted how one of their main victim advocates depends on this trust to help trafficking victims come forward and report their victimization-</w:t>
      </w:r>
    </w:p>
    <w:p w:rsidR="00E53C03" w:rsidRPr="00E53C03" w:rsidRDefault="00E53C03" w:rsidP="00E53C03">
      <w:pPr>
        <w:spacing w:line="240" w:lineRule="auto"/>
        <w:ind w:left="720"/>
        <w:contextualSpacing/>
      </w:pPr>
      <w:r w:rsidRPr="00E53C03">
        <w:t>she kinda has to wait for them to open up but that can take a while because they are really scared and they really have to build up trust and sometimes they’ll tell her even if they’re working and…sometime she’s the first person to find that they are a victim of trafficking because they’ve built up this relationship of trust with her.</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The legal advocate from East Tennessee also shared this concern over these new restrictive immigration laws, because she felt that they “cause immigrants and refugees to become more fearful of cooperating or calling the police when there is a need for them because they’re worried that now their status was going to impact them more than being a victim of a crime.” Thus, the legal restriction on victim services and focus on deporting those who cannot assert a victim status under the law has the effect of stifling reports of crime.  </w:t>
      </w:r>
    </w:p>
    <w:p w:rsidR="00E53C03" w:rsidRPr="00E53C03" w:rsidRDefault="00E53C03" w:rsidP="00E53C03">
      <w:pPr>
        <w:ind w:firstLine="720"/>
        <w:contextualSpacing/>
      </w:pPr>
      <w:r w:rsidRPr="00E53C03">
        <w:t>Immigrant victims’ fear of deportation and close family and ethnic ties serves to reinforce this barrier to service. As the legal advocate from East Tennessee also pointed out, “they don’t make it immigrant or refugee friendly then expect everyone to want to collaborate and cooperate to get crime off the streets.” Thus, the fact that immigrant communities are often hard to reach creates an initial barrier between victims, social service providers, and law enforcement in addressing trafficking. This barrier is further exacerbated by the legislative restrictions placed on the provision of social services to victims under the TVPA.</w:t>
      </w:r>
    </w:p>
    <w:p w:rsidR="00E53C03" w:rsidRPr="00E53C03" w:rsidRDefault="00E53C03" w:rsidP="00E53C03">
      <w:pPr>
        <w:ind w:firstLine="720"/>
        <w:contextualSpacing/>
      </w:pPr>
    </w:p>
    <w:p w:rsidR="00E53C03" w:rsidRPr="00E53C03" w:rsidRDefault="00E53C03" w:rsidP="00E53C03">
      <w:pPr>
        <w:ind w:firstLine="720"/>
        <w:contextualSpacing/>
        <w:rPr>
          <w:b/>
        </w:rPr>
      </w:pPr>
      <w:r w:rsidRPr="00E53C03">
        <w:rPr>
          <w:b/>
        </w:rPr>
        <w:t>Housing Restrictions</w:t>
      </w:r>
    </w:p>
    <w:p w:rsidR="00E53C03" w:rsidRPr="00E53C03" w:rsidRDefault="00E53C03" w:rsidP="00E53C03">
      <w:pPr>
        <w:ind w:firstLine="720"/>
        <w:contextualSpacing/>
      </w:pPr>
      <w:r w:rsidRPr="00E53C03">
        <w:t xml:space="preserve">Very few safe houses exist for immediate placement of trafficking victims and even less options are available for non-certified victims.  The lack of housing options available even to victims of ‘severe forms of trafficking’ was mentioned by two of the social service actors as one of the largest issues faced in serving victims. A local legal advocate from East Tennessee stated that she believed that the lack of available housing for victims of trafficking was one of the most important needs to be addressed. </w:t>
      </w:r>
    </w:p>
    <w:p w:rsidR="00E53C03" w:rsidRPr="00E53C03" w:rsidRDefault="00E53C03" w:rsidP="00E53C03">
      <w:pPr>
        <w:spacing w:line="240" w:lineRule="auto"/>
        <w:ind w:left="720"/>
        <w:contextualSpacing/>
      </w:pPr>
      <w:r w:rsidRPr="00E53C03">
        <w:t xml:space="preserve">You want them to be in a safe place where they’re are not going to be found and everything is confidential. And like you said, domestic violence shelters, I mean they’ve already got their own issues with their own clients so they have to bring in something more sensitive like a trafficking victim to be placed somewhere, umm but again we just call around do you got openings can you take some, so far there’s just not an answer. You might just end up getting that person a hotel room for a few nights or a nice church parishioner who is willing to take someone in for a couple of nights. </w:t>
      </w:r>
    </w:p>
    <w:p w:rsidR="00E53C03" w:rsidRPr="00E53C03" w:rsidRDefault="00E53C03" w:rsidP="00E53C03">
      <w:pPr>
        <w:spacing w:line="240" w:lineRule="auto"/>
        <w:ind w:left="720"/>
        <w:contextualSpacing/>
      </w:pPr>
    </w:p>
    <w:p w:rsidR="00E53C03" w:rsidRPr="00E53C03" w:rsidRDefault="00E53C03" w:rsidP="00E53C03">
      <w:pPr>
        <w:contextualSpacing/>
      </w:pPr>
      <w:r w:rsidRPr="00E53C03">
        <w:tab/>
        <w:t xml:space="preserve">Thus due to funding restrictions and a lack of available safe houses for victims leads social services to seek out alternative housing opportunities. Another social service actor stated that her organization, which is able to provide housing assistance is working towards setting aside two rooms in their transitional housing area to be reserved solely for immediate placement of trafficking victims. </w:t>
      </w:r>
    </w:p>
    <w:p w:rsidR="00E53C03" w:rsidRPr="00E53C03" w:rsidRDefault="00E53C03" w:rsidP="00E53C03">
      <w:pPr>
        <w:ind w:firstLine="720"/>
        <w:contextualSpacing/>
      </w:pPr>
      <w:r w:rsidRPr="00E53C03">
        <w:t xml:space="preserve">In the case under study in this project, the victims, whose traffickers were being prosecuted under the Mann Act, did not qualify for federal social services and were held as material witnesses for the duration of the case under a continuing presence immigrant status. At different points they had to be moved between hotels, domestic violence shelters, and homes of local church members to provide them housing. In the words of the prosecutor, </w:t>
      </w:r>
    </w:p>
    <w:p w:rsidR="00E53C03" w:rsidRPr="00E53C03" w:rsidRDefault="00E53C03" w:rsidP="00E53C03">
      <w:pPr>
        <w:spacing w:line="240" w:lineRule="auto"/>
        <w:ind w:left="720"/>
        <w:contextualSpacing/>
      </w:pPr>
      <w:r w:rsidRPr="00E53C03">
        <w:t>We actually could have held them in detention until to the trial but we chose obviously not to do that. But we kept tabs on them…They are material witnesses and we have to have them here until the need for a trial goes away and after that time…</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Thus, despite being victims of a crime under the Mann Act, these women were not provided any federally funded services or protections and became wards of the state for the duration of the criminal prosecution. They were not free to move about as they pleased, but were not eligible for assistance which would have allowed them to work or be with their families. Thus, the restrictive nature of the TVPA and its provision of victim services had a profound effect on the lives of these women for nearly a year. </w:t>
      </w:r>
    </w:p>
    <w:p w:rsidR="00E53C03" w:rsidRPr="00E53C03" w:rsidRDefault="00E53C03" w:rsidP="00E53C03">
      <w:pPr>
        <w:ind w:firstLine="720"/>
        <w:contextualSpacing/>
      </w:pPr>
    </w:p>
    <w:p w:rsidR="00E53C03" w:rsidRPr="00E53C03" w:rsidRDefault="00E53C03" w:rsidP="00E53C03">
      <w:pPr>
        <w:ind w:firstLine="720"/>
        <w:contextualSpacing/>
        <w:rPr>
          <w:b/>
        </w:rPr>
      </w:pPr>
      <w:r w:rsidRPr="00E53C03">
        <w:rPr>
          <w:b/>
        </w:rPr>
        <w:t>Certification of Victims and Visas</w:t>
      </w:r>
    </w:p>
    <w:p w:rsidR="00E53C03" w:rsidRPr="00E53C03" w:rsidRDefault="00E53C03" w:rsidP="00E53C03">
      <w:pPr>
        <w:ind w:firstLine="720"/>
        <w:contextualSpacing/>
      </w:pPr>
      <w:r w:rsidRPr="00E53C03">
        <w:t>Another layer to the denial of services to immigrant victims is that their ‘certification’ as a victim is tied to their participation in the prosecution of their trafficker or their ability to prove their victimization to the federal government. This certification as a victim and its associated protections and services is particularly important for immigrant victims of trafficking for their ability to receive a t visa for temporary lawful immigrant status and federally funded social services to provide housing and treatment services. Trafficking victims without government certification or endorsement are legally subject to immigration law and deportation.</w:t>
      </w:r>
    </w:p>
    <w:p w:rsidR="00E53C03" w:rsidRPr="00E53C03" w:rsidRDefault="00E53C03" w:rsidP="00E53C03">
      <w:pPr>
        <w:ind w:firstLine="720"/>
        <w:contextualSpacing/>
      </w:pPr>
      <w:r w:rsidRPr="00E53C03">
        <w:t xml:space="preserve">This restriction of assistance to victims solely based on their ability to prove their victimization to the standards of a government official or through assisting has been critiqued as discriminatory and a hindrance to assisting victims (Rieger, 2007). Chapkis (205) highlights that the restrictions within the TVPA on assistance to immigrant victims was intended to limit its applicability to undocumented immigrants who had committed prior immigration crimes. </w:t>
      </w:r>
    </w:p>
    <w:p w:rsidR="00E53C03" w:rsidRPr="00E53C03" w:rsidRDefault="00E53C03" w:rsidP="00E53C03">
      <w:pPr>
        <w:ind w:firstLine="720"/>
        <w:contextualSpacing/>
      </w:pPr>
      <w:r w:rsidRPr="00E53C03">
        <w:t>This practice has even been critiqued by the UN High Commissioner for Human Rights in their statement,</w:t>
      </w:r>
    </w:p>
    <w:p w:rsidR="00E53C03" w:rsidRPr="00E53C03" w:rsidRDefault="00E53C03" w:rsidP="00E53C03">
      <w:pPr>
        <w:spacing w:line="240" w:lineRule="auto"/>
        <w:ind w:left="720"/>
        <w:contextualSpacing/>
      </w:pPr>
      <w:r w:rsidRPr="00E53C03">
        <w:t>Victims of trafficking would appear to gain very little from cooperating with national authorities in the prosecution of traffickers. Assistance and protection provisions must, at a minimum, meet basic international human rights standards. From this perspective, specific reference should be made to adequate housing, appropriate health care and other necessary support facilities” (UN General Assembly, 1999, p. 4)</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In addition to this, the practice of requiring victim participation in criminal prosecution as long been critiqued also along the lines that it can be psychologically harmful. As has been shown in research on sexual assault, having to testify is often described as an experience of another victimization, which is again in opposition to the assertion that anti-trafficking legislation was mean to be “victim-centered.”  The need for a t visa is tantamount for these women, as otherwise they will be deported and possibly subject to further victimization in their home country.  Yet, the restriction on the t-visas with regards to hardship are more stringent than those for asylum (Rieger, 2007). The House version of the TVPA contained language similar to of asylum application in regards to a “well-founded fear of retribution” upon return to their home country (</w:t>
      </w:r>
      <w:r w:rsidRPr="00E53C03">
        <w:rPr>
          <w:i/>
        </w:rPr>
        <w:t>H.R. 3244</w:t>
      </w:r>
      <w:r w:rsidRPr="00E53C03">
        <w:t xml:space="preserve">, p. 9), but language was not included in the final bill. </w:t>
      </w:r>
    </w:p>
    <w:p w:rsidR="00E53C03" w:rsidRPr="00E53C03" w:rsidRDefault="00E53C03" w:rsidP="00E53C03">
      <w:pPr>
        <w:ind w:firstLine="720"/>
        <w:contextualSpacing/>
      </w:pPr>
      <w:r w:rsidRPr="00E53C03">
        <w:t>I agree with Hartsough (2002) that “the Act’s emphasis on protecting only those subjected to ‘severe’ forms of trafficking and facing ‘extreme hardship’ upon removal, as well as its crime-fighting requirements, compromise the protection that should be afforded all people trafficked into the United States” (p. 102). During the Congressional debates regarding the federal trafficking legislation, there was some disagreement over whether law enforcement and prosecutions efforts to combat trafficking or the ability to assist victims of trafficking was the function of the t visa. Representative Tom Lantos showed concern for promoting the visa as a law enforcement tool by stating, “this visa should be in the first instance a humanitarian visa, not one used only as a club to obtain the law enforcement cooperation from frightened and abused victims who often are not only traumatized but suspicious of all government authorities” (</w:t>
      </w:r>
      <w:r w:rsidRPr="00E53C03">
        <w:rPr>
          <w:i/>
        </w:rPr>
        <w:t>Implementation</w:t>
      </w:r>
      <w:r w:rsidRPr="00E53C03">
        <w:t>, 2001, p. 14). Representative Watt felt that the cap of 5,000 y visas per year was not high enough and that “it is beneath our dignity as a nation to use an arbitrary cap to shut our doors to victims of slavery and sex trafficking” (</w:t>
      </w:r>
      <w:r w:rsidRPr="00E53C03">
        <w:rPr>
          <w:i/>
        </w:rPr>
        <w:t>Appointment of Conferees</w:t>
      </w:r>
      <w:r w:rsidRPr="00E53C03">
        <w:t>, 2000, p. H7628). He also critiqued those who felt that immigrants would use it to “fraudulently obtain a lawful status by claiming that they were a victim of sex trafficking or involuntary servitude” (</w:t>
      </w:r>
      <w:r w:rsidRPr="00E53C03">
        <w:rPr>
          <w:i/>
        </w:rPr>
        <w:t>Appointment of Conferees</w:t>
      </w:r>
      <w:r w:rsidRPr="00E53C03">
        <w:t>, 2000, p. H7628).</w:t>
      </w:r>
    </w:p>
    <w:p w:rsidR="00E53C03" w:rsidRPr="00E53C03" w:rsidRDefault="00E53C03" w:rsidP="00E53C03">
      <w:pPr>
        <w:ind w:firstLine="720"/>
        <w:contextualSpacing/>
      </w:pPr>
      <w:r w:rsidRPr="00E53C03">
        <w:t>On the opposite end of the argument, Representative Canady stated that he believed the need to prevent fraud was a more important concern and the number of victims eligible to receive a visa would never reach the cap. He was concerned though that-</w:t>
      </w:r>
    </w:p>
    <w:p w:rsidR="00E53C03" w:rsidRPr="00E53C03" w:rsidRDefault="00E53C03" w:rsidP="00E53C03">
      <w:pPr>
        <w:spacing w:line="240" w:lineRule="auto"/>
        <w:ind w:left="720"/>
        <w:contextualSpacing/>
      </w:pPr>
      <w:r w:rsidRPr="00E53C03">
        <w:t>whenever a new form of immigration relief is created, many aliens apply for that relief. Too often, those applications do not contain bona fide claims of relief. We need tools to prevent this form of relief from being abused and jeopardizing relief for valid and legitimate claimants (</w:t>
      </w:r>
      <w:r w:rsidRPr="00E53C03">
        <w:rPr>
          <w:i/>
        </w:rPr>
        <w:t>Appointment of Conferees</w:t>
      </w:r>
      <w:r w:rsidRPr="00E53C03">
        <w:t xml:space="preserve">, 2000, p. H7629). </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Despite initial predictions that a ‘flood’ of immigrants would attempt to use the T visa as a route to citizenship, very few have been awarded. Relph (2011) reported on the abysmally small numbers of T-visas granted, because as of 2010, little more than 2,300 total T-visas have been granted to victims of sex trafficking. As of the fourth quarter of 2014, the United States Citizenship and Immigration Services had awarded 4,444 t visas to victims since the first visas were approved in 2002 (USCIS, 2012; USCIS, 2014b). Numerous scholars have theorized about the reasons behind the low number of approved t visas and ‘certified’ victims with many highlighting the role of the restrictive legal definitions concerning trafficking which influence legal actors’ discretionary decisions (Rieger, 2007; Srikantiah, 2007; Raymond, 2013; Segrave, Milivojevic, &amp; Pickering, 2009). </w:t>
      </w:r>
    </w:p>
    <w:p w:rsidR="00E53C03" w:rsidRPr="00E53C03" w:rsidRDefault="00E53C03" w:rsidP="00E53C03">
      <w:pPr>
        <w:ind w:firstLine="720"/>
        <w:contextualSpacing/>
      </w:pPr>
      <w:r w:rsidRPr="00E53C03">
        <w:t xml:space="preserve">All three social service providers called for continued training of law enforcement in identifying victims and what the T and U visa programs were for. These social service providers depend on local, state, and federal law enforcement for documentation of crimes in order to file visa petitions for victims. These social service providers and advocates felt similarly that “you can’t have enough education” or outreach. Also, in order to assist immigrant victims in the most effective way possible, the victim advocate leader highlighted the need for “culturally specific responses.”    </w:t>
      </w:r>
    </w:p>
    <w:p w:rsidR="00E53C03" w:rsidRPr="00E53C03" w:rsidRDefault="00E53C03" w:rsidP="00E53C03">
      <w:pPr>
        <w:ind w:firstLine="720"/>
        <w:contextualSpacing/>
      </w:pPr>
      <w:r w:rsidRPr="00E53C03">
        <w:t xml:space="preserve">Segrave, Milivojevic, and Pickering (2009) highlight the influence of the ideal victim construction promoted by the legal definition based on force, fraud and coercion limits the ability of victims to be seen as legitimate instead of illegal immigrants. Their research shows that often “gendered narratives of ‘real’ victimization” influence “the decision-making process authorities draw upon women’s performance of victimization, which may also be understood as a performance of desired/accepted femininity,” highlighting the relationship between prejudice and decision-making (Segrave, Milivojevic, &amp; Pickering, 2009, p. 51). In their study, Thai, Serbian, and Australian legal actors stated that they believed that they could easily identify traumatized women with bruises or other physical effects of violence and were skeptical of women who could have left their exploitive situations or had cell phones. Thus, they relied on the ‘ideal’ image of “innocent and passive victim” to identify victims of trafficking (Segrave, Milivojevic, &amp; Pickering, 2009, p. 51). </w:t>
      </w:r>
    </w:p>
    <w:p w:rsidR="00E53C03" w:rsidRPr="00E53C03" w:rsidRDefault="00E53C03" w:rsidP="00E53C03">
      <w:pPr>
        <w:ind w:firstLine="720"/>
        <w:contextualSpacing/>
      </w:pPr>
      <w:r w:rsidRPr="00E53C03">
        <w:t xml:space="preserve">Srikantiah (2007) highlights the role of the high priority placed on successful prosecutions on the identification of victims and certification. Prosecutors’ need for successful prosecution witnesses has created a situation in which only those victims deemed good prosecution witnesses who fits the force, fraud, and coercion requirements of the TVPA and appeared to be completely controlled by their trafficker will be given an endorsement. Thus, the stereotypical, ‘iconic’ forced victim constructed by the dominant discourse has influenced the way that law enforcement and prosecutors’ perceive and evaluate victims as these ideal victims allow for greater legal arguments for the guilt and culpability of offenders. </w:t>
      </w:r>
    </w:p>
    <w:p w:rsidR="00E53C03" w:rsidRPr="00E53C03" w:rsidRDefault="00E53C03" w:rsidP="00E53C03">
      <w:pPr>
        <w:ind w:firstLine="720"/>
        <w:contextualSpacing/>
      </w:pPr>
      <w:r w:rsidRPr="00E53C03">
        <w:t xml:space="preserve">As shown here, the restrictions placed on the legal recognition of victimhood under the TVPA based on those victimized in sexual slavery through the means of force, fraud, and coercion and the additional restrictions placed on immigrant victims is interpreted in action by legal and social service actors affects the protection and services rendered to victims. Thus, trafficking victims’ treatment within the criminal justice system has been shaped by the law and policy provisions and further reshaped by actors’ interpretation of the law on the ground.  </w:t>
      </w:r>
    </w:p>
    <w:p w:rsidR="00E53C03" w:rsidRPr="00E53C03" w:rsidRDefault="00E53C03" w:rsidP="00E53C03">
      <w:pPr>
        <w:ind w:firstLine="720"/>
        <w:contextualSpacing/>
      </w:pPr>
      <w:r w:rsidRPr="00E53C03">
        <w:t xml:space="preserve">The legal advocates I spoke to in Tennessee who worked with victims to provide assistance with filing applications for t visas described the great need in immigrant communities for legal services, which are dependent on grant funding such as the Legal Assistance for Victims grants from the Department of Justice’s Office on Violence against Women. The victim advocacy lawyer working in Middle Tennessee states that they had assisted fifteen to twenty trafficking victims, which may “not seem high to somebody, but it is, because trafficking is hard to prosecute.” She accepted the fact that there were caps on the number of visas allowed as she stated “everything that I available in the United States has a cap, there’s only a certain number available a year.” </w:t>
      </w:r>
    </w:p>
    <w:p w:rsidR="00E53C03" w:rsidRPr="00E53C03" w:rsidRDefault="00E53C03" w:rsidP="00E53C03">
      <w:pPr>
        <w:ind w:firstLine="720"/>
        <w:contextualSpacing/>
      </w:pPr>
      <w:r w:rsidRPr="00E53C03">
        <w:t>She did acknowledge that often there was difficulty in obtaining endorsements and visas for victims which she attributed to “the philosophy of the police department” and sometimes “you have to fight a battle” to get a victim certified. She also stated-</w:t>
      </w:r>
    </w:p>
    <w:p w:rsidR="00E53C03" w:rsidRPr="00E53C03" w:rsidRDefault="00E53C03" w:rsidP="00E53C03">
      <w:pPr>
        <w:spacing w:line="240" w:lineRule="auto"/>
        <w:ind w:left="720"/>
        <w:contextualSpacing/>
      </w:pPr>
      <w:r w:rsidRPr="00E53C03">
        <w:t xml:space="preserve">If you are seeking the U, it depends on the facts of the case, if the victim was indeed cooperative, it depends on if their record’s available. I had one U that I couldn’t get signed even though this particular county had a philosophy that they would sign but there was just no records that she was in court. </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Concerns of witness tampering, the need to secure prosecutions, and avoid ‘giving away green cards’ has significant influence over the certification of victims by prosecutions and law enforcement (Rieger, 2007). The local victim advocate stated that she remembered a lot of “conservative criticism” after the reauthorization of VAWA “that people are going to make stuff up…just to get the visas. We see that very rarely and we know from the beginning, you know.” She attributed their concerns to a lack of understanding of the wants and feelings of victims and the restrictive nature of victim visa programs-</w:t>
      </w:r>
    </w:p>
    <w:p w:rsidR="00E53C03" w:rsidRPr="00E53C03" w:rsidRDefault="00E53C03" w:rsidP="00E53C03">
      <w:pPr>
        <w:spacing w:line="240" w:lineRule="auto"/>
        <w:ind w:left="720"/>
        <w:contextualSpacing/>
      </w:pPr>
      <w:r w:rsidRPr="00E53C03">
        <w:t xml:space="preserve">I think they don’t understand how intense the process is and how absolutely harrowing it is and the fact that by doing this, you are putting somebody else in jail and getting them deported, which is a very big deal. </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She further concerned with the limitation of visas to victims who are willing to cooperate especially in light of what she had seen in her work with domestic violence victims. She stated that there is often a “constant back and forth” with victims as they change their mind about reporting their victimization, which influences victim decisions to apply for visas. </w:t>
      </w:r>
    </w:p>
    <w:p w:rsidR="00E53C03" w:rsidRPr="00E53C03" w:rsidRDefault="00E53C03" w:rsidP="00E53C03">
      <w:pPr>
        <w:ind w:firstLine="720"/>
        <w:contextualSpacing/>
      </w:pPr>
      <w:r w:rsidRPr="00E53C03">
        <w:t>She stated that she understood the legal situation “of not being able to give visas to women who do not cooperate” but that it was a “shame that there is really no alternative”-</w:t>
      </w:r>
    </w:p>
    <w:p w:rsidR="00E53C03" w:rsidRPr="00E53C03" w:rsidRDefault="00E53C03" w:rsidP="00E53C03">
      <w:pPr>
        <w:spacing w:line="240" w:lineRule="auto"/>
        <w:ind w:left="720"/>
        <w:contextualSpacing/>
      </w:pPr>
      <w:r w:rsidRPr="00E53C03">
        <w:t xml:space="preserve">I think you know the u and t visas are really good. I mean, I’m so grateful that we have them but then that’s where the problem is that you can’t force someone to participate umm, and it’s really difficult for people who’ve been victimize in such a horrific way to participate in prosecution I mean. </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She struggled with the dominant construction of victimhood in which victims would be willing to participate in the prosecution of their traffickers and not be complicit in their crimes at all. She felt that victim cooperation was not as easy for the victims as may be commonly thought and wished there was an alternative avenue without these requirements available for victims. She highlighted that often trafficking victims may- </w:t>
      </w:r>
    </w:p>
    <w:p w:rsidR="00E53C03" w:rsidRPr="00E53C03" w:rsidRDefault="00E53C03" w:rsidP="00E53C03">
      <w:pPr>
        <w:spacing w:line="240" w:lineRule="auto"/>
        <w:ind w:left="720"/>
        <w:contextualSpacing/>
      </w:pPr>
      <w:r w:rsidRPr="00E53C03">
        <w:t>develop relationships with these people [their traffickers]. I mean they’re living with them and that’s all they have and that’s all they know…Most of the time they are extremely isolated. They’re not getting to go out and make friends...I think that a lot of the time those people do become their family.</w:t>
      </w:r>
    </w:p>
    <w:p w:rsidR="00E53C03" w:rsidRPr="00E53C03" w:rsidRDefault="00E53C03" w:rsidP="00E53C03">
      <w:pPr>
        <w:spacing w:line="240" w:lineRule="auto"/>
        <w:ind w:left="720" w:firstLine="720"/>
        <w:contextualSpacing/>
      </w:pPr>
    </w:p>
    <w:p w:rsidR="00E53C03" w:rsidRPr="00E53C03" w:rsidRDefault="00E53C03" w:rsidP="00E53C03">
      <w:pPr>
        <w:ind w:firstLine="720"/>
        <w:contextualSpacing/>
      </w:pPr>
      <w:r w:rsidRPr="00E53C03">
        <w:t xml:space="preserve">In her work with immigrant victims of sexual assault, domestic violence, and trafficking and women who had been involved in the sex trades, she found that often situations were more complicated that the law allows for. She also problematized the feminist arguments surrounding the exploitive nature of prostitution and the existence of forced prostitution. She seemed to feel that prostitution was a complex phenomenon involving larger systemic issues to influence an individual’s involvement in prostitution. </w:t>
      </w:r>
    </w:p>
    <w:p w:rsidR="00E53C03" w:rsidRPr="00E53C03" w:rsidRDefault="00E53C03" w:rsidP="00E53C03">
      <w:pPr>
        <w:spacing w:line="240" w:lineRule="auto"/>
        <w:ind w:left="720"/>
        <w:contextualSpacing/>
      </w:pPr>
      <w:r w:rsidRPr="00E53C03">
        <w:t>I think forced prostitution is definitely a problem and I think you know it’s kind of a tricky term…although there would certainly be a lot of benefits or legalizing or at least decriminalizing it for the prostitute I think that people say that it’s their bodies and they can do whatever they want as though it is just their free will. The fact is if you are working on the street in Knox County you are not doing it because it was something you really wanted to do. You are doing it because you have a drug problem or you’re doing it because it is all you have ever known because you were forced into it as a young person as child and it all you have every know and we definitely see both of those things, so that’s where the forced prostitution comes in.</w:t>
      </w:r>
    </w:p>
    <w:p w:rsidR="00E53C03" w:rsidRPr="00E53C03" w:rsidRDefault="00E53C03" w:rsidP="00E53C03">
      <w:pPr>
        <w:spacing w:line="240" w:lineRule="auto"/>
        <w:ind w:left="720"/>
        <w:contextualSpacing/>
      </w:pPr>
    </w:p>
    <w:p w:rsidR="00E53C03" w:rsidRPr="00E53C03" w:rsidRDefault="00E53C03" w:rsidP="00E53C03">
      <w:pPr>
        <w:ind w:firstLine="720"/>
        <w:contextualSpacing/>
      </w:pPr>
      <w:r w:rsidRPr="00E53C03">
        <w:t xml:space="preserve">She found that women working in the sex trades are greatly affected by their experiences and may be resistant because they “get something emotional out of it, you know there is something it in for them because that’s the only kind of intimacy they have in their lives…so I think that’s really, really for a lot of women to shake that lifestyle.” In addition, she felt that trafficking victims “develop relationships with these people I mean they’re living with them and that’s all they have and that’s all they know, it’s not like they’re umm you know. Most of the time they are extremely isolated they’re not getting to go out and make friends or other family around, so those I think a lot of time those people do become their family.” This complicates the recognition of these victims under the law as they may not describe their victimization and traffickers in ways which will allow them to be prosecuted under the TVPA as occurred in </w:t>
      </w:r>
      <w:r w:rsidRPr="00E53C03">
        <w:rPr>
          <w:i/>
        </w:rPr>
        <w:t>United States v. Rios et al</w:t>
      </w:r>
      <w:r w:rsidRPr="00E53C03">
        <w:t xml:space="preserve">. </w:t>
      </w:r>
    </w:p>
    <w:p w:rsidR="00E53C03" w:rsidRPr="00E53C03" w:rsidRDefault="00E53C03" w:rsidP="00E53C03">
      <w:pPr>
        <w:contextualSpacing/>
        <w:jc w:val="center"/>
        <w:rPr>
          <w:b/>
        </w:rPr>
      </w:pPr>
      <w:r w:rsidRPr="00E53C03">
        <w:rPr>
          <w:b/>
        </w:rPr>
        <w:t>Conclusion</w:t>
      </w:r>
    </w:p>
    <w:p w:rsidR="00E53C03" w:rsidRPr="00E53C03" w:rsidRDefault="00E53C03" w:rsidP="00E53C03">
      <w:pPr>
        <w:ind w:firstLine="720"/>
        <w:contextualSpacing/>
      </w:pPr>
      <w:r w:rsidRPr="00E53C03">
        <w:t>The construction of sex trafficking in the US as a social problem began as a human rights problem, but shifted to a crime control problem. Framing sex trafficking as a crime problem and association with larger crime issues limits the ability to assist victims. The simple conceptions of sex trafficking put forward by claims-makers for the purposes of creating legislation and creating a public discourse will not solve the deeply complex problems rooted in poverty, inequality, and migration (Farrell &amp; Fahy, 2009).</w:t>
      </w:r>
    </w:p>
    <w:p w:rsidR="00E53C03" w:rsidRPr="00E53C03" w:rsidRDefault="00E53C03" w:rsidP="00E53C03">
      <w:pPr>
        <w:ind w:firstLine="720"/>
        <w:contextualSpacing/>
      </w:pPr>
      <w:r w:rsidRPr="00E53C03">
        <w:t xml:space="preserve">As shown through the statements of these social service actors, the way that the TVPA is written does not address, but exacerbates the issues involving in assisting immigrant victims of trafficking. The TVPA, as shown through this analysis, has progressed little beyond the Mann Act in its ability to significantly protect and service victims of trafficking. Despite the existence of the TVPA and federal programs to assist victims, preferred outcomes for some of these social service actors were still not occurring. The victim advocate stated that she wanted to see “really effective prosecution of johns and traffickers and a real understanding of the situation that…prostitutes and trafficking victims are in.” This would require attention to the “nuances and how we may be harming people more than helping them.” </w:t>
      </w:r>
    </w:p>
    <w:p w:rsidR="00E53C03" w:rsidRPr="00E53C03" w:rsidRDefault="00E53C03" w:rsidP="00E53C03">
      <w:pPr>
        <w:ind w:firstLine="720"/>
        <w:contextualSpacing/>
      </w:pPr>
      <w:r w:rsidRPr="00E53C03">
        <w:t>The TVPA as constructed under the influence of the discourses of abolitionist feminism, trafficking as slavery, and restricting undocumented immigration, has constrained which types of victims will be recognized under the law and how social services actors are are able to assist victims (and immigrant victims in particular). By equating trafficking with modern forms of slavery and wishing to restrict the use of the visa program in the TVPA by ‘undeserving’ undocumented immigrant victims, legislators were able to create a narrow definition of ‘severe forms of trafficking’ through the means of force, fraud, and coercion to criminalize the worst forms of trafficking. This definition does not match the lived experiences of most trafficking victims which are not victimized through physical force or coercion as defined by the law, which leaves them ineligible for assistance and legal recognition of their victimization under the TVPA. In addition, the restrictive provisions within the TVPA regarding victim certification and eligibility for t visas further limits its applicability to serve victims who do meet the definition of victims of ‘severe forms of trafficking.’</w:t>
      </w:r>
    </w:p>
    <w:p w:rsidR="00E53C03" w:rsidRPr="00E53C03" w:rsidRDefault="00E53C03" w:rsidP="00E53C03">
      <w:pPr>
        <w:ind w:firstLine="720"/>
        <w:contextualSpacing/>
      </w:pPr>
      <w:r w:rsidRPr="00E53C03">
        <w:t xml:space="preserve">The restrictive definitions of the crime of ‘severe forms of trafficking’ and what victims must do to be certified to receive services, which was the culmination of the influences from these discourses, limits the ability of social service actors to effectively assist victims. Thus, the intersections of these discourses used to create the TVPA and other federal legislation and policy has important implications for how the law operates ‘on the ground.’ As Hoyle, Bosworth, and Dempsey (2011) state, the use of the rhetoric of modern day slavery involving force, fraud or coercion “oversimplifies our understanding of the range of causes and experiences of trafficking” (p. 314). </w:t>
      </w:r>
    </w:p>
    <w:p w:rsidR="00E53C03" w:rsidRPr="00E53C03" w:rsidRDefault="00E53C03" w:rsidP="00E53C03">
      <w:pPr>
        <w:ind w:firstLine="720"/>
        <w:contextualSpacing/>
      </w:pPr>
      <w:r w:rsidRPr="00E53C03">
        <w:t xml:space="preserve">As shown in this chapter, it also limits the acknowledgement of victims which is further compounded as social service actors working to assist victims must react to these legal definitions and policy restrictions in their work with victims. As Chapkis (2005) eloquently states, “a closer study of the law reveals that rather than being a significant departure from past practice on migration, poverty, and commercial sex, the new law actually serves as a soft glove covering a still punishing fist” (p. 51). The TVPA does not live up to its stated purpose to protect victims and combat trafficking in persons as it is currently constructed. The next chapter continues to examine these themes in the stories of offenders and victims as the construct their experiences and actions in the criminal case under study. Their statements highlight the centrality of the socially constructed concepts of force, fraud, coercion, and agency in their descriptions of their involvement in sex trafficking as they are made to ‘think like legal actors’ in how they represent themselves and their actions to have their stories recognized by the law. </w:t>
      </w: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rPr>
          <w:b/>
          <w:smallCaps/>
          <w:sz w:val="28"/>
          <w:szCs w:val="28"/>
        </w:rPr>
      </w:pPr>
    </w:p>
    <w:p w:rsidR="00E53C03" w:rsidRPr="00E53C03" w:rsidRDefault="00E53C03" w:rsidP="00E53C03">
      <w:pP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rPr>
          <w:b/>
          <w:smallCaps/>
          <w:sz w:val="28"/>
          <w:szCs w:val="28"/>
        </w:rPr>
      </w:pPr>
    </w:p>
    <w:p w:rsidR="00E53C03" w:rsidRPr="00E53C03" w:rsidRDefault="00E53C03" w:rsidP="00E53C03">
      <w:pPr>
        <w:contextualSpacing/>
        <w:jc w:val="center"/>
        <w:rPr>
          <w:b/>
          <w:smallCaps/>
          <w:sz w:val="28"/>
          <w:szCs w:val="28"/>
        </w:rPr>
      </w:pPr>
      <w:r w:rsidRPr="00E53C03">
        <w:rPr>
          <w:b/>
          <w:smallCaps/>
          <w:sz w:val="28"/>
          <w:szCs w:val="28"/>
        </w:rPr>
        <w:t>Chapter 7</w:t>
      </w:r>
    </w:p>
    <w:p w:rsidR="00E53C03" w:rsidRPr="00E53C03" w:rsidRDefault="00E53C03" w:rsidP="00E53C03">
      <w:pPr>
        <w:contextualSpacing/>
        <w:jc w:val="center"/>
        <w:rPr>
          <w:b/>
          <w:smallCaps/>
          <w:sz w:val="28"/>
          <w:szCs w:val="28"/>
        </w:rPr>
      </w:pPr>
      <w:r w:rsidRPr="00E53C03">
        <w:rPr>
          <w:b/>
          <w:smallCaps/>
          <w:sz w:val="28"/>
          <w:szCs w:val="28"/>
        </w:rPr>
        <w:t>Conclusions and Implications</w:t>
      </w:r>
    </w:p>
    <w:p w:rsidR="00E53C03" w:rsidRPr="00E53C03" w:rsidRDefault="00E53C03" w:rsidP="00E53C03">
      <w:pPr>
        <w:contextualSpacing/>
      </w:pPr>
      <w:r w:rsidRPr="00E53C03">
        <w:tab/>
        <w:t>This research was guided by the primary research question of “how sex traffickers, victims, legal actors, and other stakeholders conceptualize sex trafficking and construct it as a social problem.” The secondary research questions were “how Latino sex trafficking is investigated and prosecuted” and “how Latino sex trafficking is connected to the vulnerabilities of Latino women.” A specific criminal case of a Latino sex trafficking network operating in Tennessee and Kentucky was chosen as the basis of this project in order to address the research questions.  A multi-method approach was necessary for this research project in order to gather appropriate data about the law enforcement investigation and prosecution and ascertain how legal actors, social service providers, and advocates conceptualize sex trafficking in a new destination immigration area.</w:t>
      </w:r>
      <w:r w:rsidRPr="00E53C03">
        <w:tab/>
      </w:r>
    </w:p>
    <w:p w:rsidR="00E53C03" w:rsidRPr="00E53C03" w:rsidRDefault="00E53C03" w:rsidP="00E53C03">
      <w:pPr>
        <w:contextualSpacing/>
      </w:pPr>
      <w:r w:rsidRPr="00E53C03">
        <w:tab/>
        <w:t>I collected data in this research project from field research, semi-structured interviews, and secondary data analysis. I conducted field research to gather observational data at a state-sponsored training session on human trafficking and court hearings. I also employed a semi-structured interview method to obtain data from eight legal actors, three social service providers, and one trafficking advocate regarding their role in dealing with sex trafficking, the issues involved in dealing with the crime, personal constructions of the crime, and the criminal case under study. Secondary data from court and law enforcement records was collected and analyzed for information regarding the criminal investigation and prosecution of the Latino sex trafficking ring.</w:t>
      </w:r>
    </w:p>
    <w:p w:rsidR="00E53C03" w:rsidRPr="00E53C03" w:rsidRDefault="00E53C03" w:rsidP="00E53C03">
      <w:pPr>
        <w:ind w:firstLine="720"/>
        <w:contextualSpacing/>
      </w:pPr>
      <w:r w:rsidRPr="00E53C03">
        <w:t xml:space="preserve">Each of these methods provided a different, invaluable set of data on the broad topic of sex trafficking, Latino sex trafficking, social constructions of sex trafficking, and the criminal case under study. I sought to not only observe the actions and interactions between legal actors and the defendants within the context of the legal system. I found the need to gather a variety of data in order to complete a picture for what I wished to understand, no individual method would have provided more than a glimpse into this case of sex trafficking. In the words of Price-Glynn (2010), “each provided a way of seeing and not seeing” (p. 26). I wanted to supplement observations with data that was not easily observable, thus I felt the need to gather interview data in order to give information regarding the individual social constructions of sex trafficking. By gathering this data and being able to triangulate it with observation data, I can contextualize their actions within their narratives. </w:t>
      </w:r>
    </w:p>
    <w:p w:rsidR="00E53C03" w:rsidRPr="00E53C03" w:rsidRDefault="00E53C03" w:rsidP="00E53C03">
      <w:pPr>
        <w:ind w:firstLine="720"/>
        <w:contextualSpacing/>
      </w:pPr>
      <w:r w:rsidRPr="00E53C03">
        <w:t>As a result of this research, I found that the definitions of coercion, force, and what it mean to be an agent are central to the construction of sex trafficking and inform criminal case processing. The following are the core findings of this research:</w:t>
      </w:r>
    </w:p>
    <w:p w:rsidR="00E53C03" w:rsidRPr="00E53C03" w:rsidRDefault="00E53C03" w:rsidP="00E53C03">
      <w:pPr>
        <w:numPr>
          <w:ilvl w:val="0"/>
          <w:numId w:val="1"/>
        </w:numPr>
        <w:contextualSpacing/>
      </w:pPr>
      <w:r w:rsidRPr="00E53C03">
        <w:t xml:space="preserve">Law is informed by social construction and social constructions inform law’s implementation and processing and determination of legal cases. </w:t>
      </w:r>
    </w:p>
    <w:p w:rsidR="00E53C03" w:rsidRPr="00E53C03" w:rsidRDefault="00E53C03" w:rsidP="00E53C03">
      <w:pPr>
        <w:numPr>
          <w:ilvl w:val="0"/>
          <w:numId w:val="1"/>
        </w:numPr>
        <w:contextualSpacing/>
      </w:pPr>
      <w:r w:rsidRPr="00E53C03">
        <w:t>Strict interpretation of the legal TVPA definitions of Force, fraud, and coercion does not recognize and obscures the complexity of trafficking experiences and denies protections to those who do not fit within these frameworks.</w:t>
      </w:r>
    </w:p>
    <w:p w:rsidR="00E53C03" w:rsidRPr="00E53C03" w:rsidRDefault="00E53C03" w:rsidP="00E53C03">
      <w:pPr>
        <w:numPr>
          <w:ilvl w:val="0"/>
          <w:numId w:val="1"/>
        </w:numPr>
        <w:contextualSpacing/>
      </w:pPr>
      <w:r w:rsidRPr="00E53C03">
        <w:t>The victims of this case, as often is the case in the criminal justice system, were silenced in a number of ways-</w:t>
      </w:r>
    </w:p>
    <w:p w:rsidR="00E53C03" w:rsidRPr="00E53C03" w:rsidRDefault="00E53C03" w:rsidP="00E53C03">
      <w:pPr>
        <w:numPr>
          <w:ilvl w:val="1"/>
          <w:numId w:val="1"/>
        </w:numPr>
        <w:contextualSpacing/>
      </w:pPr>
      <w:r w:rsidRPr="00E53C03">
        <w:t>Presenting oneself, what happened to them, and one’s actions within the context of a criminal investigation while dealing with their fear of corrupt law enforcement, stigma associated with their involvement in prostitution, and their undocumented immigrant status.</w:t>
      </w:r>
    </w:p>
    <w:p w:rsidR="00E53C03" w:rsidRPr="00E53C03" w:rsidRDefault="00E53C03" w:rsidP="00E53C03">
      <w:pPr>
        <w:numPr>
          <w:ilvl w:val="1"/>
          <w:numId w:val="1"/>
        </w:numPr>
        <w:contextualSpacing/>
      </w:pPr>
      <w:r w:rsidRPr="00E53C03">
        <w:t>Only being represented in court by law enforcement’s notes on their comments given during the investigation.</w:t>
      </w:r>
    </w:p>
    <w:p w:rsidR="00E53C03" w:rsidRPr="00E53C03" w:rsidRDefault="00E53C03" w:rsidP="00E53C03">
      <w:pPr>
        <w:numPr>
          <w:ilvl w:val="0"/>
          <w:numId w:val="1"/>
        </w:numPr>
        <w:contextualSpacing/>
      </w:pPr>
      <w:r w:rsidRPr="00E53C03">
        <w:t xml:space="preserve">These victims’ identities were contested throughout the criminal proceedings and legal actors’ stories as these actors discursively constitute them in particular ways as informed by their roles. </w:t>
      </w:r>
    </w:p>
    <w:p w:rsidR="00E53C03" w:rsidRPr="00E53C03" w:rsidRDefault="00E53C03" w:rsidP="00E53C03">
      <w:pPr>
        <w:numPr>
          <w:ilvl w:val="0"/>
          <w:numId w:val="1"/>
        </w:numPr>
        <w:contextualSpacing/>
      </w:pPr>
      <w:r w:rsidRPr="00E53C03">
        <w:t xml:space="preserve">The complexity of the lived experiences of both the victims and the female handlers do not fit neatly into the dichotomous constructions of victim or offender.  </w:t>
      </w:r>
    </w:p>
    <w:p w:rsidR="00E53C03" w:rsidRPr="00E53C03" w:rsidRDefault="00E53C03" w:rsidP="00E53C03">
      <w:pPr>
        <w:numPr>
          <w:ilvl w:val="0"/>
          <w:numId w:val="1"/>
        </w:numPr>
        <w:contextualSpacing/>
      </w:pPr>
      <w:r w:rsidRPr="00E53C03">
        <w:t>The social construction of the definitions of force, coercion, and agency created a space for the offenders and defense attorneys to ‘conjure’ the victims as offenders, while the prosecution and law enforcement constructed them as victims but were constrained by legal definitions and had to negotiate these two things. </w:t>
      </w:r>
    </w:p>
    <w:p w:rsidR="00E53C03" w:rsidRPr="00E53C03" w:rsidRDefault="00E53C03" w:rsidP="00E53C03">
      <w:pPr>
        <w:numPr>
          <w:ilvl w:val="0"/>
          <w:numId w:val="1"/>
        </w:numPr>
        <w:contextualSpacing/>
      </w:pPr>
      <w:r w:rsidRPr="00E53C03">
        <w:t>I thought their argument about “discursive production of a reality” and the construction of difference (between sex trafficking and ‘severe forms of trafficking’ and whether they deserve assistance) which is then acted upon as if it is an objective reality.</w:t>
      </w:r>
    </w:p>
    <w:p w:rsidR="00E53C03" w:rsidRPr="00E53C03" w:rsidRDefault="00E53C03" w:rsidP="00E53C03">
      <w:pPr>
        <w:ind w:firstLine="720"/>
        <w:contextualSpacing/>
      </w:pPr>
      <w:r w:rsidRPr="00E53C03">
        <w:t xml:space="preserve">This research is contributes to the literature by focusing on the understudied phenomenon of Latino sex trafficking, the implications of the social construction of sex trafficking within the context of this specific criminal case, the implications of the specific use of definitions of force, coercion, and agency to discursively constitute and ‘conjure’ victims as offenders in the context of sex trafficking, the constraining effects of TVPA definitions, policies, and procedures on the processing on immigrant Latino sex trafficking, and highlight the ways in which the complexity of the lived experiences of Latino sex trafficking victims and female handlers are not recognized by the law and do not fit within the restrictive legal definitions of the TVPA. </w:t>
      </w:r>
    </w:p>
    <w:p w:rsidR="00E53C03" w:rsidRPr="00E53C03" w:rsidRDefault="00E53C03" w:rsidP="00E53C03">
      <w:pPr>
        <w:contextualSpacing/>
      </w:pPr>
      <w:r w:rsidRPr="00E53C03">
        <w:t xml:space="preserve">“Essentializing characterizations, though intriguing, do not reflect the diversity and polysemous nature of the phenomenon, and as of yet have been seldom challenged by social science research” (Anderson, 2005). </w:t>
      </w:r>
    </w:p>
    <w:p w:rsidR="00E53C03" w:rsidRPr="00E53C03" w:rsidRDefault="00E53C03" w:rsidP="00E53C03">
      <w:pPr>
        <w:contextualSpacing/>
      </w:pPr>
      <w:r w:rsidRPr="00E53C03">
        <w:t xml:space="preserve">“The stereotypical image of victims of trafficking is thus too narrow, unjustly suggesting that the experiences of all victims are alike and that all victims have similar backgrounds” (Breuil, Siegel, van Reenan, Beijer, &amp; Roos, 2011, p. 40). </w:t>
      </w:r>
    </w:p>
    <w:p w:rsidR="00E53C03" w:rsidRPr="00E53C03" w:rsidRDefault="00E53C03" w:rsidP="00E53C03">
      <w:pPr>
        <w:contextualSpacing/>
        <w:rPr>
          <w:rFonts w:eastAsia="Times New Roman"/>
          <w:b/>
        </w:rPr>
      </w:pPr>
      <w:r w:rsidRPr="00E53C03">
        <w:rPr>
          <w:rFonts w:eastAsia="Times New Roman"/>
          <w:b/>
        </w:rPr>
        <w:t>Limitations</w:t>
      </w:r>
    </w:p>
    <w:p w:rsidR="00E53C03" w:rsidRPr="00E53C03" w:rsidRDefault="00E53C03" w:rsidP="00E53C03">
      <w:pPr>
        <w:ind w:firstLine="720"/>
        <w:contextualSpacing/>
      </w:pPr>
      <w:r w:rsidRPr="00E53C03">
        <w:t xml:space="preserve">Qualitative research is subject to a limitation on generalizability due to small sample size, non-randomization of subjects, and a single site sample.  The case study nature of this research limits generalizability of this study, along with the small sample size of the interview population.  Generalizability, though, is not the aim of this research project, as it seeks to provide thick descriptions of the sex trafficking phenomenon in East Tennessee, how Latino migration to the area led to the emergence of the phenomenon, and social constructions of sex trafficking. Generalizations beyond this specific context will be limited and based on the theoretical considerations that led to the selection of this field site.  However, the detailed descriptions of Latino sex trafficking in East Tennessee, the local exemplar case of the phenomenon, and the factors leading migration to Tennessee will be useful for wider theoretical considerations of the socio-legal implications of sex trafficking in other Latino communities. </w:t>
      </w:r>
    </w:p>
    <w:p w:rsidR="00E53C03" w:rsidRPr="00E53C03" w:rsidRDefault="00E53C03" w:rsidP="00E53C03">
      <w:pPr>
        <w:ind w:firstLine="720"/>
        <w:contextualSpacing/>
      </w:pPr>
      <w:r w:rsidRPr="00E53C03">
        <w:t xml:space="preserve">A qualitative multi-method case was necessary for this research project in order to address the research questions and gather appropriate data on both the criminal case and the social construction of Latino sex trafficking in a new destination area. I subscribe to constructionist argument for triangulation in qualitative research, which informed my choice to use a multi-method research plan to gather data from numerous sources to identify how actors in the criminal case to stakeholders conceptualize and construct the crime of sex trafficking and the circumstances of this case.  </w:t>
      </w:r>
    </w:p>
    <w:p w:rsidR="00E53C03" w:rsidRPr="00E53C03" w:rsidRDefault="00E53C03" w:rsidP="00E53C03">
      <w:pPr>
        <w:ind w:firstLine="720"/>
        <w:contextualSpacing/>
      </w:pPr>
      <w:r w:rsidRPr="00E53C03">
        <w:t xml:space="preserve">I agree with Silverman (1993) in his assertion that a triangulation of methods and information sources can deepen our understanding of social phenomena, assist in addressing the situated nature of accounts, and bring to the surface the multiple constructed social realities that exist. Seale (1999) highlighted how qualitative triangulation highlights the multiple viewpoints and constructions of a phenomenon which may not have otherwise been accessible and therefore strengthens the research. Dingwall (1997) argued that triangulation affords researchers the opportunity to study and describe how narratives and actions are shaped and constrained by other actors. </w:t>
      </w:r>
    </w:p>
    <w:p w:rsidR="00E53C03" w:rsidRPr="00E53C03" w:rsidRDefault="00E53C03" w:rsidP="00E53C03">
      <w:pPr>
        <w:ind w:firstLine="720"/>
        <w:contextualSpacing/>
      </w:pPr>
      <w:r w:rsidRPr="00E53C03">
        <w:t xml:space="preserve">For all of these reasons, I felt it was important to gather as many perspectives on the phenomenon of Latino sex trafficking to build a framework for analyzing how the crime is socially constructed by various actors. As this research will show, there were, in fact, various constructions and narratives surrounding a single set of events, which each deserve to be acknowledged and examined as valid. I agree with Haraway (1988) that from the constructionist perspective, all forms of “knowledge claims” are worthy of study and no “perspective is privileged” as creating boundaries around knowledge are merely “power moves, not moves towards truth” (p. 576). Thus, research should deconstruct truth claims and rely on “the power of modern critical theories of how meanings and bodies get made” (Haraway, 1988, p. 580). </w:t>
      </w:r>
    </w:p>
    <w:p w:rsidR="00E53C03" w:rsidRPr="00E53C03" w:rsidRDefault="00E53C03" w:rsidP="00E53C03">
      <w:pPr>
        <w:ind w:firstLine="720"/>
        <w:contextualSpacing/>
      </w:pPr>
      <w:r w:rsidRPr="00E53C03">
        <w:t xml:space="preserve">At the time of the interviews, the victims in the case were “gone” as stated by the prosecutor. After they were no longer required as material witnesses for the trial, they were released by the government to go their own ways. Thus by the beginning of my research, the locations of the victims was unknown and the offenders were in the process of being processed into the federal Bureau of Prisons. Yet, as this project is intended to explore social constructions of sex trafficking and the criminal case, both the statements of victims to law enforcement and statements of the offenders in court, court documents, and to law enforcement shed light on their constructions. I plan on future projects which include interviews with offenders and victims to fully allow them to have their own voice.  </w:t>
      </w:r>
    </w:p>
    <w:p w:rsidR="00E53C03" w:rsidRPr="00E53C03" w:rsidRDefault="00E53C03" w:rsidP="00E53C03">
      <w:pPr>
        <w:contextualSpacing/>
        <w:rPr>
          <w:b/>
        </w:rPr>
      </w:pPr>
      <w:r w:rsidRPr="00E53C03">
        <w:rPr>
          <w:b/>
        </w:rPr>
        <w:t>Policy Implications</w:t>
      </w:r>
    </w:p>
    <w:p w:rsidR="00E53C03" w:rsidRPr="00E53C03" w:rsidRDefault="00E53C03" w:rsidP="00E53C03">
      <w:pPr>
        <w:contextualSpacing/>
      </w:pPr>
      <w:r w:rsidRPr="00E53C03">
        <w:tab/>
        <w:t xml:space="preserve">By examining Latino sex trafficking through the frame of social constructionism, this research highlighted how the problem of sex trafficking has been defined in specific ways to achieve specific ends. As Brock (2009) stated, solutions to social problems are created according to specific definitions of reality and the ability of those definitions to be put forward by those with the power to legislate them. Thus, the dominant social construction of a crime such as sex trafficking is constituted in law, but is one of only many constructions. Within the United States, the TVPA contains the legal construction of sex trafficking and ‘severe forms of trafficking’ which determine case processing and the treatment of victims. This law provides a framework for how the United States defines the actions involved, the punishment of offenders, and protections afforded to victims. As Carline (2011) stated, these interpretive frameworks “delimit who can be recognized and whose life is worthy of protection” (p. 138). </w:t>
      </w:r>
    </w:p>
    <w:p w:rsidR="00E53C03" w:rsidRPr="00E53C03" w:rsidRDefault="00E53C03" w:rsidP="00E53C03">
      <w:pPr>
        <w:contextualSpacing/>
      </w:pPr>
      <w:r w:rsidRPr="00E53C03">
        <w:tab/>
        <w:t xml:space="preserve">As previously mentioned, the strict interpretation of force, coercion, and agency included in the social construction of ‘severe forms of trafficking’ criminalized by US law is incapable of recognizing the majority of those harmed by sex trafficking and traffickers. Thus, most victims, especially undocumented immigrant women, receive little protection or services under the law and their traffickers are subject to significantly less punitive punishments. These definitions and lack of recognition also allows a space for these victims to be discursively ‘conjured’ as offenders and have their experiences and identities reshaped by legal actors in the courtroom and public sphere without the ability to refute these constructions.  Thus, these constructed categories of difference were constituted and legislated which allowed them to be powerful enough to influence perceptions and be utilized by various institutional actors as Henry and Milovanovic (2000) theorized. </w:t>
      </w:r>
    </w:p>
    <w:p w:rsidR="00E53C03" w:rsidRPr="00E53C03" w:rsidRDefault="00E53C03" w:rsidP="00E53C03">
      <w:pPr>
        <w:contextualSpacing/>
      </w:pPr>
      <w:r w:rsidRPr="00E53C03">
        <w:tab/>
        <w:t xml:space="preserve">For these reasons, the TVPA has been critiqued by many as burdensome and unwieldy (including the prosecutor and federal law enforcement official in this case) and doing not only a disservice to victims, but also purposefully denying services and protection to victims who do not fit into an ‘ideal’ victim status or are not willing to participate in the prosecution of the offender. As Desyllas (2007) stated, “While this law seeks to ‘protect’ and ‘prosecute,’ it places the burden of proof on the migrant to ‘prove her innocence’ and ‘coercion’ as information…this stipulation appears to be counterintuitive to what this policy supposedly stands for, to primarily ‘protect victims,’ as stated in its title” (p. 68). The case under study in this research provides a concrete example of this critique’s realization on the ground. The experiences of the prostituted women in this case located in the brothels did not meet the DOJ guidelines for prosecution under the TVPA, despite being subjected to forms of force, fraud, and coercion, and were denied victim status under this legislation. </w:t>
      </w:r>
    </w:p>
    <w:p w:rsidR="00E53C03" w:rsidRPr="00E53C03" w:rsidRDefault="00E53C03" w:rsidP="00E53C03">
      <w:pPr>
        <w:ind w:firstLine="720"/>
        <w:contextualSpacing/>
      </w:pPr>
      <w:r w:rsidRPr="00E53C03">
        <w:t xml:space="preserve">These women were in ineligible for federal housing assistance, continued medical or psychological treatment, social services, or immigration t-visas under the stipulations of the TVPA.  They were the subjects of legislation and a legal system all while being denied the protections as a victim of ‘severe forms of trafficking.’  This begs the question as put forward by Desyllas (2007) of “requiring women to participate in a criminal justice model aimed at ‘catching the bad guy’ traffickers calls into question whether this policy is another way of regulating and possessing control over a women’s body through the withholding of services unless women can assist in the ‘war against trafficking’” (p. 72).  In essence, these women were silenced and denied a legally recognized status, yet still necessary in the fight against crime and were held against their will on the chance they would be needed to provide evidence for the prosecution of a crime. </w:t>
      </w:r>
    </w:p>
    <w:p w:rsidR="00E53C03" w:rsidRPr="00E53C03" w:rsidRDefault="00E53C03" w:rsidP="00E53C03">
      <w:pPr>
        <w:ind w:firstLine="720"/>
        <w:contextualSpacing/>
      </w:pPr>
      <w:r w:rsidRPr="00E53C03">
        <w:t xml:space="preserve">Despite being held for almost a year as material witnesses under continuing presence status, the fall-back legislation their case was prosecuted under did not offer any victim services or protections. Once released from as material witnesses, they returned to the community not having worked for an extensive period of time and the loss of income from that experience, but also with the same vulnerabilities which were exploited by the offenders in this case. These Latina women remained impoverished, without sources of legitimate and sufficient income, undocumented immigrants, single mothers with little education, stigmatized by their work in prostitution, and responsible for financially supporting their families. Goodey (2003) highlighted how “a desire for successful prosecution remains at the heart of criminal justice responses to trafficking, there continues to be an absence of respect for the needs of victims in trafficking cases beyond their usefulness as witnesses for the prosecution.” (Goodey, 2003, p. 424). Pearson (2002) also commented on the law protecting the interests of those who are trafficked as secondary and only to those who are willing to participate in prosecutions. </w:t>
      </w:r>
    </w:p>
    <w:p w:rsidR="00E53C03" w:rsidRPr="00E53C03" w:rsidRDefault="00E53C03" w:rsidP="00E53C03">
      <w:pPr>
        <w:ind w:firstLine="720"/>
        <w:contextualSpacing/>
      </w:pPr>
      <w:r w:rsidRPr="00E53C03">
        <w:t>We must “examine the connections between law as written, understood by courts, acted upon by victims, and enforced by prosecutors” (Estrich, 1986, p. 1090).</w:t>
      </w:r>
    </w:p>
    <w:p w:rsidR="00E53C03" w:rsidRPr="00E53C03" w:rsidRDefault="00E53C03" w:rsidP="00E53C03">
      <w:pPr>
        <w:contextualSpacing/>
        <w:rPr>
          <w:b/>
        </w:rPr>
      </w:pPr>
      <w:r w:rsidRPr="00E53C03">
        <w:rPr>
          <w:b/>
        </w:rPr>
        <w:t>Policy Recommendations</w:t>
      </w:r>
    </w:p>
    <w:p w:rsidR="00E53C03" w:rsidRPr="00E53C03" w:rsidRDefault="00E53C03" w:rsidP="00E53C03">
      <w:pPr>
        <w:contextualSpacing/>
      </w:pPr>
      <w:r w:rsidRPr="00E53C03">
        <w:t xml:space="preserve">“The Act’s emphasis on protecting only those subjected to ‘severe’ forms of trafficking and facing ‘extreme hardship’ upon removal, as well as its crime-fighting requirements, compromise the protection that should be afforded all people trafficked into the United States” (Hartsough, 2002, p. 102). </w:t>
      </w:r>
    </w:p>
    <w:p w:rsidR="00E53C03" w:rsidRPr="00E53C03" w:rsidRDefault="00E53C03" w:rsidP="00E53C03">
      <w:pPr>
        <w:ind w:firstLine="720"/>
        <w:contextualSpacing/>
        <w:rPr>
          <w:b/>
        </w:rPr>
      </w:pPr>
      <w:r w:rsidRPr="00E53C03">
        <w:rPr>
          <w:b/>
        </w:rPr>
        <w:t>Definition of Sex Trafficking</w:t>
      </w:r>
    </w:p>
    <w:p w:rsidR="00E53C03" w:rsidRPr="00E53C03" w:rsidRDefault="00E53C03" w:rsidP="00E53C03">
      <w:pPr>
        <w:ind w:firstLine="720"/>
        <w:contextualSpacing/>
      </w:pPr>
      <w:r w:rsidRPr="00E53C03">
        <w:t>The definition of sex trafficking that I ascribe to is similar to that of Cameron and Newman (2008). This definition includes as victims those who initially consent to migration, even migration for sex work, when the individual is deceived about the nature or circumstances of their work or are coerced, forced, or exploited into working or continuing to work.  This research has shown that exploitation, coercion, and force take many forms in lived experience. While some of the women were subjected to threats of physical violence to themselves or others, some of the women felt powerless against their traffickers due to a confluence of factors such as lack of knowledge of their whereabouts, stigma, large debts and poverty, fear of the consequences of leaving, power differentials in romantic relationships, and violence experienced at the hands of clients. Each of these factors represent a measure of coercion which was used against these women to keep them involved in prostitution for the financial benefit of others.</w:t>
      </w:r>
    </w:p>
    <w:p w:rsidR="00E53C03" w:rsidRPr="00E53C03" w:rsidRDefault="00E53C03" w:rsidP="00E53C03">
      <w:pPr>
        <w:ind w:firstLine="720"/>
        <w:contextualSpacing/>
      </w:pPr>
      <w:r w:rsidRPr="00E53C03">
        <w:t xml:space="preserve">Without acknowledging the complexity of forms of exploitation, coercion, and force used in sex trafficking, the law has again rekindled the victim-blaming of early sexual assault legislation requiring ‘utmost resistance’ and denying the victimization of the majority of those subject to these crime. As Estrich (1986) highlighted in her analysis of ‘utmost resistance’ era sexual assault legislation that there were two versions of force, one of which was not recognized by the law. Force as conceptualized as physical force is recognized by the law, but “power can also be exercised without violence” and the concept of coercion is not limited to instances of physical force (Estrich, 1986, p. 1105). By not acknowledging these different manifestations of force, the law “creates a gulf between power and force” (Estrich, 1986, p. 1112). I believe these very same legal issues with constructions of force as she highlighted are again at work in the construction of another crime, sex trafficking. These limited definitional allotments allow for victims to be viewed as agents and denied their victimization just as occurred previously in sexual assault cases (and can be said to still be occurring). </w:t>
      </w:r>
    </w:p>
    <w:p w:rsidR="00E53C03" w:rsidRPr="00E53C03" w:rsidRDefault="00E53C03" w:rsidP="00E53C03">
      <w:pPr>
        <w:ind w:firstLine="720"/>
        <w:contextualSpacing/>
      </w:pPr>
      <w:r w:rsidRPr="00E53C03">
        <w:t xml:space="preserve">With this in mind, I agree with Aronowitz (2009) that “coercion is a complex issue” and “even though a woman may willingly agree to working in prostitution, when she is forced to turn over most or all of her wages to her traffickers, or ‘buy back’ her passport at an exorbitant fee, or when she is not free to leave the premises, determine her working conditions, or quit her job, then, she, too, is exploited and is a victim of trafficking” (p. 3).  Perhaps, exploitation is a better framework with which to understand the complexity of experiences within sex trafficking. As Breuil et al (2011) highlighted, other countries have extended the definition to focus on exploitation of another to compel them into prostitution. The UN definition of trafficking is also based on the concept of exploitation and expanded constructions of the means why which a person can be compelled into prostitution.  </w:t>
      </w:r>
    </w:p>
    <w:p w:rsidR="00E53C03" w:rsidRPr="00E53C03" w:rsidRDefault="00E53C03" w:rsidP="00E53C03">
      <w:pPr>
        <w:contextualSpacing/>
      </w:pPr>
      <w:r w:rsidRPr="00E53C03">
        <w:tab/>
        <w:t xml:space="preserve">The </w:t>
      </w:r>
      <w:r w:rsidRPr="00E53C03">
        <w:rPr>
          <w:i/>
        </w:rPr>
        <w:t xml:space="preserve">UN Protocol to Prevent, Suppress, and Punish Trafficking in Persons </w:t>
      </w:r>
      <w:r w:rsidRPr="00E53C03">
        <w:t>within the</w:t>
      </w:r>
      <w:r w:rsidRPr="00E53C03">
        <w:rPr>
          <w:i/>
        </w:rPr>
        <w:t xml:space="preserve"> UN Convention against Transnational Organized Crime and the Protocols Thereto</w:t>
      </w:r>
      <w:r w:rsidRPr="00E53C03">
        <w:t xml:space="preserve"> defines trafficking in persons as- </w:t>
      </w:r>
      <w:r w:rsidRPr="00E53C03">
        <w:tab/>
      </w:r>
    </w:p>
    <w:p w:rsidR="00E53C03" w:rsidRPr="00E53C03" w:rsidRDefault="00E53C03" w:rsidP="00E53C03">
      <w:pPr>
        <w:spacing w:line="240" w:lineRule="auto"/>
        <w:ind w:left="720"/>
        <w:contextualSpacing/>
      </w:pPr>
      <w:r w:rsidRPr="00E53C03">
        <w:rPr>
          <w:lang w:val="en-GB"/>
        </w:rPr>
        <w:t xml:space="preserve">the recruitment, transportation, transfer, harbouring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 </w:t>
      </w:r>
      <w:r w:rsidRPr="00E53C03">
        <w:t>(United Nations, 2004, Article 3 (a), p. 42).</w:t>
      </w:r>
    </w:p>
    <w:p w:rsidR="00E53C03" w:rsidRPr="00E53C03" w:rsidRDefault="00E53C03" w:rsidP="00E53C03">
      <w:pPr>
        <w:spacing w:line="240" w:lineRule="auto"/>
        <w:ind w:left="720"/>
        <w:contextualSpacing/>
      </w:pPr>
    </w:p>
    <w:p w:rsidR="00E53C03" w:rsidRPr="00E53C03" w:rsidRDefault="00E53C03" w:rsidP="00E53C03">
      <w:pPr>
        <w:ind w:firstLine="720"/>
        <w:contextualSpacing/>
        <w:rPr>
          <w:lang w:val="en-GB"/>
        </w:rPr>
      </w:pPr>
      <w:r w:rsidRPr="00E53C03">
        <w:rPr>
          <w:lang w:val="en-GB"/>
        </w:rPr>
        <w:t xml:space="preserve">In addition, the role of consent in the crime of trafficking is removed within the UN definition as Article 3(b) states that “the consent of a victim of trafficking in persons to the intended exploitation set forth in subparagraph (a) of this article shall be irrelevant where any of the means set forth in subparagraph (a) have been used.” (United Nations, 2004, p. 43).  The inclusion of this statement in the definition, in conjunction with the larger construction of means used to traffic, restricts the legal argument often put forward by defense attorneys that victims were willing participants (as was espoused in this case). </w:t>
      </w:r>
    </w:p>
    <w:p w:rsidR="00E53C03" w:rsidRPr="00E53C03" w:rsidRDefault="00E53C03" w:rsidP="00E53C03">
      <w:pPr>
        <w:ind w:firstLine="720"/>
        <w:contextualSpacing/>
        <w:rPr>
          <w:lang w:val="en-GB"/>
        </w:rPr>
      </w:pPr>
      <w:r w:rsidRPr="00E53C03">
        <w:rPr>
          <w:lang w:val="en-GB"/>
        </w:rPr>
        <w:t xml:space="preserve">The UN definitional framework also remedies the strict interpretation of physical force and coercion contained within the TVPA. The TVPA defines coercion as- </w:t>
      </w:r>
    </w:p>
    <w:p w:rsidR="00E53C03" w:rsidRPr="00E53C03" w:rsidRDefault="00E53C03" w:rsidP="00E53C03">
      <w:pPr>
        <w:ind w:left="720"/>
        <w:contextualSpacing/>
        <w:rPr>
          <w:lang w:val="en-GB"/>
        </w:rPr>
      </w:pPr>
      <w:r w:rsidRPr="00E53C03">
        <w:rPr>
          <w:lang w:val="en-GB"/>
        </w:rPr>
        <w:t xml:space="preserve">(a) threats of serious harm to or physical restraint against any person; (b) any scheme, plan, or pattern intended to cause a person to believe that failure to perform an act would result in serious harm to or physical restrain against any person; or (c) the abuse or threatened abuse of the legal process (114 STAT 1469). </w:t>
      </w:r>
    </w:p>
    <w:p w:rsidR="00E53C03" w:rsidRPr="00E53C03" w:rsidRDefault="00E53C03" w:rsidP="00E53C03">
      <w:pPr>
        <w:ind w:firstLine="720"/>
        <w:contextualSpacing/>
        <w:rPr>
          <w:lang w:val="en-GB"/>
        </w:rPr>
      </w:pPr>
      <w:r w:rsidRPr="00E53C03">
        <w:rPr>
          <w:lang w:val="en-GB"/>
        </w:rPr>
        <w:t xml:space="preserve">The more inclusive construction of trafficking contained within the UN definition allows for the recognition of means of compelling someone to engage in prostitution outside of physical force and coercion, which acknowledges the complexity of circumstances in which sex trafficking arises. Through a framework focused on exploitation and inclusive of a multitude of means for trafficking, the issues of excluding large numbers of victims from legal recognition and remedy for their experiences could be addressed. </w:t>
      </w:r>
    </w:p>
    <w:p w:rsidR="00E53C03" w:rsidRPr="00E53C03" w:rsidRDefault="00E53C03" w:rsidP="00E53C03">
      <w:pPr>
        <w:ind w:firstLine="720"/>
        <w:contextualSpacing/>
        <w:rPr>
          <w:lang w:val="en-GB"/>
        </w:rPr>
      </w:pPr>
      <w:r w:rsidRPr="00E53C03">
        <w:rPr>
          <w:lang w:val="en-GB"/>
        </w:rPr>
        <w:t xml:space="preserve">As Neurwirth (2008) stated- </w:t>
      </w:r>
    </w:p>
    <w:p w:rsidR="00E53C03" w:rsidRPr="00E53C03" w:rsidRDefault="00E53C03" w:rsidP="00E53C03">
      <w:pPr>
        <w:spacing w:line="240" w:lineRule="auto"/>
        <w:ind w:left="720"/>
        <w:contextualSpacing/>
      </w:pPr>
      <w:r w:rsidRPr="00E53C03">
        <w:t>The TVPA has not been an effective tool for law enforcement in sex trafficking prosecutions over the last seven years since it was passed because the "force, fraud, or coercion" requirement in the law is very difficult to prove, even when the conduct does constitute force, fraud, or coercion. Such prosecutions rely heavily on victim testimony, which puts a huge burden on victims, who are afforded little protection under the law.  In addition to being under direct threat themselves, trafficking victims often have family back in their country of origin under threat; these and many other kinds of coercive pressure, which is very real and very frightening, often prevents them from testifying. (para. 3).</w:t>
      </w:r>
    </w:p>
    <w:p w:rsidR="00E53C03" w:rsidRPr="00E53C03" w:rsidRDefault="00E53C03" w:rsidP="00E53C03">
      <w:pPr>
        <w:spacing w:line="240" w:lineRule="auto"/>
        <w:ind w:left="720"/>
        <w:contextualSpacing/>
      </w:pPr>
    </w:p>
    <w:p w:rsidR="00E53C03" w:rsidRPr="00E53C03" w:rsidRDefault="00E53C03" w:rsidP="00E53C03">
      <w:pPr>
        <w:ind w:firstLine="720"/>
        <w:contextualSpacing/>
        <w:rPr>
          <w:b/>
          <w:lang w:val="en-GB"/>
        </w:rPr>
      </w:pPr>
      <w:r w:rsidRPr="00E53C03">
        <w:rPr>
          <w:b/>
          <w:lang w:val="en-GB"/>
        </w:rPr>
        <w:t>Remove Requirement of Victim Participation and Restrictions to Receiving Services</w:t>
      </w:r>
    </w:p>
    <w:p w:rsidR="00E53C03" w:rsidRPr="00E53C03" w:rsidRDefault="00E53C03" w:rsidP="00E53C03">
      <w:pPr>
        <w:contextualSpacing/>
        <w:rPr>
          <w:lang w:val="en-GB"/>
        </w:rPr>
      </w:pPr>
      <w:r w:rsidRPr="00E53C03">
        <w:rPr>
          <w:lang w:val="en-GB"/>
        </w:rPr>
        <w:tab/>
      </w:r>
      <w:r w:rsidRPr="00E53C03">
        <w:t xml:space="preserve">Sex trafficking is still considered, even with its focus on victims, in terms of illegal immigration. Individuals who entered the country as undocumented immigrants then were trafficked or individuals who were trafficked across international borders are subject to deportation after they are recovered if they cannot be certified as a victim of sex trafficking. </w:t>
      </w:r>
      <w:r w:rsidRPr="00E53C03">
        <w:rPr>
          <w:lang w:val="en-GB"/>
        </w:rPr>
        <w:t xml:space="preserve">As Rieger (2007) highlighted, </w:t>
      </w:r>
      <w:r w:rsidRPr="00E53C03">
        <w:t xml:space="preserve">“it would be unheard of for a rape victim to be denied assistance such as safe housing and medical treatment simply because she chose not to testify against her rapists. Yet this is precisely what happens if that rape victim is an illegal immigrant engaged in forced sex work” (p. 250). The right for those who are undocumented in this country to be afforded protections and services under the law, even if they are victims of crime is highly contested in the current political climate.  Chapkis (2005) argued that “making assistance to even ‘deserving’ victims contingent on their willingness to assist authorities in the prosecution of traffickers, the legislation further seals U.S. borders against penetration by ‘undeserving’ economic migrants (Chapkis, 2005, p. 52-53). Again, despite the assertion that the TVPA and the US government are focused on protecting and serving victims of trafficking, the immigration status of a victim limits what assistance they may receive from the federal government.  </w:t>
      </w:r>
    </w:p>
    <w:p w:rsidR="00E53C03" w:rsidRPr="00E53C03" w:rsidRDefault="00E53C03" w:rsidP="00E53C03">
      <w:pPr>
        <w:contextualSpacing/>
        <w:rPr>
          <w:lang w:val="en-GB"/>
        </w:rPr>
      </w:pPr>
      <w:r w:rsidRPr="00E53C03">
        <w:rPr>
          <w:lang w:val="en-GB"/>
        </w:rPr>
        <w:tab/>
        <w:t xml:space="preserve">I agree Rieger’s (2007) assertion that </w:t>
      </w:r>
      <w:r w:rsidRPr="00E53C03">
        <w:t xml:space="preserve">“drawing a distinction between a woman who is a citizen and a woman who is an immigrant in terms of giving the former but not the latter choices concerning prosecution of their perpetrators is arbitrary and discriminatory” (p. 250). No victim, regardless of their immigration status should be denied medical, housing, employment, or another other type of social services, nor should their receiving of these services be contingent on their assistance to law enforcement or their participation in the prosecution of their victimizer. </w:t>
      </w:r>
    </w:p>
    <w:p w:rsidR="00E53C03" w:rsidRPr="00E53C03" w:rsidRDefault="00E53C03" w:rsidP="00E53C03">
      <w:pPr>
        <w:contextualSpacing/>
        <w:rPr>
          <w:b/>
          <w:lang w:val="en-GB"/>
        </w:rPr>
      </w:pPr>
      <w:r w:rsidRPr="00E53C03">
        <w:rPr>
          <w:lang w:val="en-GB"/>
        </w:rPr>
        <w:tab/>
      </w:r>
      <w:r w:rsidRPr="00E53C03">
        <w:rPr>
          <w:b/>
          <w:lang w:val="en-GB"/>
        </w:rPr>
        <w:t>Ease Restrictions to T visa for Immigrant Victims</w:t>
      </w:r>
    </w:p>
    <w:p w:rsidR="00E53C03" w:rsidRPr="00E53C03" w:rsidRDefault="00E53C03" w:rsidP="00E53C03">
      <w:pPr>
        <w:contextualSpacing/>
        <w:rPr>
          <w:lang w:val="en-GB"/>
        </w:rPr>
      </w:pPr>
      <w:r w:rsidRPr="00E53C03">
        <w:rPr>
          <w:lang w:val="en-GB"/>
        </w:rPr>
        <w:tab/>
        <w:t xml:space="preserve">Victims of all forms of trafficking under current US law, not just ‘severe forms of trafficking’ should be permitted to apply for a t visa. The restriction of protections to only those who are certified victims or can prove they have been a victim of ‘severe forms of trafficking’ perpetuates the notion that there are ‘deserving’ and ‘undeserving’ victims of crime. Despite their victimization under federal law, even though not under the TVPA, undocumented victims are subject to deportation.  In addition, by restricting most victims of sex trafficking and their families from receiving visas and legal immigration status in the United States has the potential to place large numbers of individuals in harm’s way as retribution for the prosecution of traffickers does occur. </w:t>
      </w:r>
    </w:p>
    <w:p w:rsidR="00E53C03" w:rsidRPr="00E53C03" w:rsidRDefault="00E53C03" w:rsidP="00E53C03">
      <w:pPr>
        <w:contextualSpacing/>
      </w:pPr>
      <w:r w:rsidRPr="00E53C03">
        <w:rPr>
          <w:lang w:val="en-GB"/>
        </w:rPr>
        <w:tab/>
      </w:r>
      <w:r w:rsidRPr="00E53C03">
        <w:t xml:space="preserve">“The legislation strengthens the ability of law enforcement agencies to investigate and prosecute human trafficking, and also offer protection to victims” (USCIS, 2010, para. 2). “The T nonimmigrant visa allows victims to remain in the United States to assist federal authorities in the investigation and prosecution of human trafficking cases” (USCIS, 2010, para. 3). </w:t>
      </w:r>
    </w:p>
    <w:p w:rsidR="00E53C03" w:rsidRPr="00E53C03" w:rsidRDefault="00E53C03" w:rsidP="00E53C03">
      <w:pPr>
        <w:ind w:firstLine="720"/>
        <w:contextualSpacing/>
      </w:pPr>
      <w:r w:rsidRPr="00E53C03">
        <w:t xml:space="preserve">There are a large number of eligibility restrictions t visas, beyond the requirement that one be a victim of ‘severe forms of trafficking’ or other certified victim. According to US Citizenship and Immigration Services (2010), to be eligible one must “comply with any reasonable request from a law enforcement agency for assistance in the investigation or prosecution of human trafficking” and be subject to “extreme hardship involving severe and unusual harm if you were removed from the United States” (USCIS, 2010, para. 9), unless they are under the age of eighteen.  In addition, the Form I-194 (t visa) application includes that it would be in the individuals best interest to include a personal description of their trafficking experience, requires that a person be present in the US only because of trafficking (which must be supported by evidence), and contains questions regarding whether a person has ever been involved in prostitution or a number of other illegal practices. It also contains a warning at the end of the form that if an undocumented individual’s application is not granted, they are subject to removal and all information in the application can be used in any removal proceeding (USCIS, 2014). </w:t>
      </w:r>
    </w:p>
    <w:p w:rsidR="00E53C03" w:rsidRPr="00E53C03" w:rsidRDefault="00E53C03" w:rsidP="00E53C03">
      <w:pPr>
        <w:ind w:firstLine="720"/>
        <w:contextualSpacing/>
      </w:pPr>
      <w:r w:rsidRPr="00E53C03">
        <w:t xml:space="preserve">In order to gain permanent residency after three years, an individual must maintain a good moral character, complied with any reasonable request by law enforcement or prosecutors for investigations and prosecutions, demonstrate extreme hardship involving unusual severe harm upon removal, and be admissible to the US (USCIS, 2010). In order to be eligible for federal benefits, a victim must be certified by DHHS Office of Refugee Resettlement (USCIS, 2010). </w:t>
      </w:r>
    </w:p>
    <w:p w:rsidR="00E53C03" w:rsidRPr="00E53C03" w:rsidRDefault="00E53C03" w:rsidP="00E53C03">
      <w:pPr>
        <w:contextualSpacing/>
        <w:rPr>
          <w:b/>
        </w:rPr>
      </w:pPr>
      <w:r w:rsidRPr="00E53C03">
        <w:rPr>
          <w:b/>
        </w:rPr>
        <w:t>Sociological and Criminological Implications</w:t>
      </w:r>
    </w:p>
    <w:p w:rsidR="00E53C03" w:rsidRPr="00E53C03" w:rsidRDefault="00E53C03" w:rsidP="00E53C03">
      <w:pPr>
        <w:contextualSpacing/>
      </w:pPr>
      <w:r w:rsidRPr="00E53C03">
        <w:tab/>
        <w:t xml:space="preserve">This study provides another example of how lived experience and the lives of women who are deemed as offenders and victims are not adequately reflected in these categorizations. As Ferraro (2006) highlighted, lived experience, particularly that of women, are infinitely more complex than the law or dominant social constructions of crime, offenders, and victims allow. The fields of sociology and criminology (and for that sake criminal justice) must move forward to delve into these complexities and highlight their effects on lives, crime, law, and society in order to better address social issues. Despite the growing critical literature critiquing legal constructions and their impacts on victims, communities, and the prison system, there is still work to be done. This study builds on one particular section of this literature centered on the effects of an ‘ideal’ victim typology on legislation, crime processing, and victim treatment. Strides have been made to draw attention to these issues, but in order to affect change at the level of official constructions of crime, offenders, and victims, further research is called for. </w:t>
      </w:r>
    </w:p>
    <w:p w:rsidR="00E53C03" w:rsidRPr="00E53C03" w:rsidRDefault="00E53C03" w:rsidP="00E53C03">
      <w:pPr>
        <w:contextualSpacing/>
        <w:rPr>
          <w:b/>
        </w:rPr>
      </w:pPr>
      <w:r w:rsidRPr="00E53C03">
        <w:rPr>
          <w:b/>
        </w:rPr>
        <w:t>Future Research Directions</w:t>
      </w:r>
    </w:p>
    <w:p w:rsidR="00E53C03" w:rsidRPr="00E53C03" w:rsidRDefault="00E53C03" w:rsidP="00E53C03">
      <w:pPr>
        <w:contextualSpacing/>
      </w:pPr>
      <w:r w:rsidRPr="00E53C03">
        <w:tab/>
        <w:t xml:space="preserve">Victims need to be given the opportunity to have a voice in the literature (and their cases). As Brock (2009) stated, through continuing to “treat prostitution simply as a social problem, relying uncritically on knowledge derived from ‘authoritative’ sources like the police, the courts, and the media, we unwittingly participate in the silencing, marginalization, and control of these sex workers” (p. 13).  Critical research is need to bring their stories into the literature and examine the complexities of their experiences and how they conceive of what happened to them or what they were involved in. The continued silencing of these individuals is unacceptable, they should be able to participate in constructing how they are constituted and understood both within the literature and society at large. </w:t>
      </w:r>
    </w:p>
    <w:p w:rsidR="00E53C03" w:rsidRPr="00E53C03" w:rsidRDefault="00E53C03" w:rsidP="00E53C03">
      <w:pPr>
        <w:ind w:firstLine="720"/>
        <w:contextualSpacing/>
      </w:pPr>
      <w:r w:rsidRPr="00E53C03">
        <w:t>Further exploratory research, both of victims’ stories and particular case studies of criminal investigations/prosecutions is needed to determine how other sex trafficking networks are operated and the means with which they traffic others. We must move past anecdotal evidence of trafficking constructions to build the literature on actual cases (and not just those prosecuted under the TVPA) and the lived experiences of those involved in the trade. In that capacity, the stories of offenders are as important as those of victims for detailed understandings of any criminal behavior.</w:t>
      </w:r>
    </w:p>
    <w:p w:rsidR="00E53C03" w:rsidRPr="00E53C03" w:rsidRDefault="00E53C03" w:rsidP="00E53C03">
      <w:pPr>
        <w:ind w:firstLine="720"/>
        <w:contextualSpacing/>
        <w:rPr>
          <w:b/>
        </w:rPr>
      </w:pPr>
      <w:r w:rsidRPr="00E53C03">
        <w:rPr>
          <w:b/>
        </w:rPr>
        <w:t>Final Thoughts: A Step Forward</w:t>
      </w:r>
    </w:p>
    <w:p w:rsidR="00E53C03" w:rsidRPr="00E53C03" w:rsidRDefault="00E53C03" w:rsidP="00E53C03">
      <w:pPr>
        <w:ind w:firstLine="720"/>
        <w:contextualSpacing/>
      </w:pPr>
      <w:r w:rsidRPr="00E53C03">
        <w:t xml:space="preserve">Despite agreeing with Chapkis (2005) that the TVPA is a “soft glove covering a still punishing fist” (p. 51), I hope that this research and other centered on critiquing the social construction of sex trafficking in the United States (and globally) are steps towards addressing the issues that still remain with addressing sex trafficking. I found hope in the acknowledgment of some of the legal actors in this study that the current legislation and definitions surrounding sex trafficking are inadequate and actually hindering our abilities to assist victims and curtail sex trafficking. This shows that there are those who object to the way we are currently ‘combatting’ sex trafficking to the detriment of those we are supposed to protect. The critical legal scholarship regarding the TVPA also provides a glimmer of hope that change is possible and a concern for many in the legal field. </w:t>
      </w:r>
    </w:p>
    <w:p w:rsidR="00E53C03" w:rsidRPr="00E53C03" w:rsidRDefault="00E53C03" w:rsidP="00E53C03">
      <w:pPr>
        <w:ind w:firstLine="720"/>
        <w:contextualSpacing/>
      </w:pPr>
      <w:r w:rsidRPr="00E53C03">
        <w:t xml:space="preserve">Those involved in this case both as victims and handlers, faced significant hardship in their lives, much of which would be inconceivable to most people. The ‘problem’ of sex trafficking is connected to much larger issues leading to the vulnerability of many to harm, exploitation, and suffering. Latino migrant sex trafficking, as with all forms of trafficking, are only the tip of the iceberg. May this research be a step in the direction of understanding these issues and the much smaller matter of protecting and serving victims of sex trafficking. </w:t>
      </w:r>
    </w:p>
    <w:p w:rsidR="00E53C03" w:rsidRPr="00E53C03" w:rsidRDefault="00E53C03" w:rsidP="00E53C03"/>
    <w:p w:rsidR="00E53C03" w:rsidRPr="00E53C03" w:rsidRDefault="00E53C03" w:rsidP="00E53C03">
      <w:pPr>
        <w:jc w:val="center"/>
        <w:rPr>
          <w:b/>
          <w:smallCaps/>
          <w:sz w:val="28"/>
          <w:szCs w:val="28"/>
        </w:rPr>
      </w:pPr>
    </w:p>
    <w:p w:rsidR="00E53C03" w:rsidRPr="00E53C03" w:rsidRDefault="00E53C03" w:rsidP="00E53C03">
      <w:pPr>
        <w:rPr>
          <w:b/>
          <w:smallCaps/>
          <w:sz w:val="28"/>
          <w:szCs w:val="28"/>
        </w:rPr>
      </w:pPr>
    </w:p>
    <w:p w:rsidR="00E53C03" w:rsidRPr="00E53C03" w:rsidRDefault="00E53C03" w:rsidP="00E53C03">
      <w:pPr>
        <w:rPr>
          <w:b/>
          <w:smallCaps/>
          <w:sz w:val="28"/>
          <w:szCs w:val="28"/>
        </w:rPr>
      </w:pPr>
    </w:p>
    <w:p w:rsidR="00E53C03" w:rsidRPr="00E53C03" w:rsidRDefault="00E53C03" w:rsidP="00E53C03">
      <w:pPr>
        <w:rPr>
          <w:b/>
          <w:smallCaps/>
          <w:sz w:val="28"/>
          <w:szCs w:val="28"/>
        </w:rPr>
      </w:pPr>
    </w:p>
    <w:p w:rsidR="00E53C03" w:rsidRPr="00E53C03" w:rsidRDefault="00E53C03" w:rsidP="00E53C03">
      <w:pPr>
        <w:rPr>
          <w:b/>
          <w:smallCaps/>
          <w:sz w:val="28"/>
          <w:szCs w:val="28"/>
        </w:rPr>
      </w:pPr>
    </w:p>
    <w:p w:rsidR="00E53C03" w:rsidRPr="00E53C03" w:rsidRDefault="00E53C03" w:rsidP="00E53C03">
      <w:pPr>
        <w:rPr>
          <w:b/>
          <w:smallCaps/>
          <w:sz w:val="28"/>
          <w:szCs w:val="28"/>
        </w:rPr>
      </w:pPr>
    </w:p>
    <w:p w:rsidR="00E53C03" w:rsidRPr="00E53C03" w:rsidRDefault="00E53C03" w:rsidP="00E53C03">
      <w:pPr>
        <w:rPr>
          <w:b/>
          <w:smallCaps/>
          <w:sz w:val="28"/>
          <w:szCs w:val="28"/>
        </w:rPr>
      </w:pPr>
    </w:p>
    <w:p w:rsidR="00E53C03" w:rsidRPr="00E53C03" w:rsidRDefault="00E53C03" w:rsidP="00E53C03">
      <w:pPr>
        <w:rPr>
          <w:b/>
          <w:smallCaps/>
          <w:sz w:val="28"/>
          <w:szCs w:val="28"/>
        </w:rPr>
      </w:pPr>
    </w:p>
    <w:p w:rsidR="00E53C03" w:rsidRPr="00E53C03" w:rsidRDefault="00E53C03" w:rsidP="00E53C03">
      <w:pPr>
        <w:jc w:val="center"/>
        <w:rPr>
          <w:b/>
          <w:smallCaps/>
          <w:sz w:val="28"/>
          <w:szCs w:val="28"/>
        </w:rPr>
      </w:pPr>
      <w:r w:rsidRPr="00E53C03">
        <w:rPr>
          <w:b/>
          <w:smallCaps/>
          <w:sz w:val="28"/>
          <w:szCs w:val="28"/>
        </w:rPr>
        <w:t>References</w:t>
      </w: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rPr>
          <w:b/>
          <w:smallCaps/>
          <w:sz w:val="28"/>
          <w:szCs w:val="28"/>
        </w:rPr>
      </w:pPr>
    </w:p>
    <w:p w:rsidR="00E53C03" w:rsidRPr="00E53C03" w:rsidRDefault="00E53C03" w:rsidP="00E53C03">
      <w:pPr>
        <w:spacing w:after="200"/>
        <w:ind w:left="720" w:hanging="720"/>
        <w:contextualSpacing/>
        <w:rPr>
          <w:rFonts w:eastAsia="Calibri"/>
        </w:rPr>
      </w:pPr>
      <w:r w:rsidRPr="00E53C03">
        <w:rPr>
          <w:rFonts w:eastAsia="Calibri"/>
        </w:rPr>
        <w:t xml:space="preserve">Aas, K.F. (2007). </w:t>
      </w:r>
      <w:r w:rsidRPr="00E53C03">
        <w:rPr>
          <w:rFonts w:eastAsia="Calibri"/>
          <w:i/>
        </w:rPr>
        <w:t>Globalization &amp; crime</w:t>
      </w:r>
      <w:r w:rsidRPr="00E53C03">
        <w:rPr>
          <w:rFonts w:eastAsia="Calibri"/>
        </w:rPr>
        <w:t xml:space="preserve">. Los Angeles: Sage. </w:t>
      </w:r>
    </w:p>
    <w:p w:rsidR="00E53C03" w:rsidRPr="00E53C03" w:rsidRDefault="00E53C03" w:rsidP="00E53C03">
      <w:pPr>
        <w:spacing w:after="200"/>
        <w:ind w:left="720" w:hanging="720"/>
        <w:contextualSpacing/>
        <w:rPr>
          <w:rFonts w:eastAsia="Calibri"/>
        </w:rPr>
      </w:pPr>
      <w:r w:rsidRPr="00E53C03">
        <w:rPr>
          <w:rFonts w:eastAsia="Calibri"/>
        </w:rPr>
        <w:t xml:space="preserve">Abrams, K. (1995). Sex wars redux: Agency and coercion in feminist legal theory. </w:t>
      </w:r>
      <w:r w:rsidRPr="00E53C03">
        <w:rPr>
          <w:rFonts w:eastAsia="Calibri"/>
          <w:i/>
        </w:rPr>
        <w:t>Columbia Law Review</w:t>
      </w:r>
      <w:r w:rsidRPr="00E53C03">
        <w:rPr>
          <w:rFonts w:eastAsia="Calibri"/>
        </w:rPr>
        <w:t xml:space="preserve">, 95: 304-376. </w:t>
      </w:r>
    </w:p>
    <w:p w:rsidR="00E53C03" w:rsidRPr="00E53C03" w:rsidRDefault="00E53C03" w:rsidP="00E53C03">
      <w:pPr>
        <w:spacing w:after="200"/>
        <w:ind w:left="720" w:hanging="720"/>
        <w:contextualSpacing/>
        <w:rPr>
          <w:rFonts w:eastAsia="Calibri"/>
        </w:rPr>
      </w:pPr>
      <w:r w:rsidRPr="00E53C03">
        <w:rPr>
          <w:rFonts w:eastAsia="Calibri"/>
        </w:rPr>
        <w:t xml:space="preserve">Agustín, L. (2006). The conundrum of women’s agency: Migrations and the sex industry. In R. Campbell and M. O’Neill (Eds.), </w:t>
      </w:r>
      <w:r w:rsidRPr="00E53C03">
        <w:rPr>
          <w:rFonts w:eastAsia="Calibri"/>
          <w:i/>
        </w:rPr>
        <w:t>Sex work now</w:t>
      </w:r>
      <w:r w:rsidRPr="00E53C03">
        <w:rPr>
          <w:rFonts w:eastAsia="Calibri"/>
        </w:rPr>
        <w:t xml:space="preserve"> (pp. 116-140). Portland, OR: Willan. </w:t>
      </w:r>
    </w:p>
    <w:p w:rsidR="00E53C03" w:rsidRPr="00E53C03" w:rsidRDefault="00E53C03" w:rsidP="00E53C03">
      <w:pPr>
        <w:spacing w:after="200"/>
        <w:ind w:left="720" w:hanging="720"/>
        <w:contextualSpacing/>
        <w:rPr>
          <w:rFonts w:eastAsia="Calibri"/>
        </w:rPr>
      </w:pPr>
      <w:r w:rsidRPr="00E53C03">
        <w:rPr>
          <w:rFonts w:eastAsia="Calibri"/>
        </w:rPr>
        <w:t xml:space="preserve">Agustín, L. (2006). The disappearing of a migration category: Migrants who sell sex. </w:t>
      </w:r>
      <w:r w:rsidRPr="00E53C03">
        <w:rPr>
          <w:rFonts w:eastAsia="Calibri"/>
          <w:i/>
        </w:rPr>
        <w:t>Journal of Ethnic and Migration Studies</w:t>
      </w:r>
      <w:r w:rsidRPr="00E53C03">
        <w:rPr>
          <w:rFonts w:eastAsia="Calibri"/>
        </w:rPr>
        <w:t xml:space="preserve">, 32(1), 29-47. </w:t>
      </w:r>
    </w:p>
    <w:p w:rsidR="00E53C03" w:rsidRPr="00E53C03" w:rsidRDefault="00E53C03" w:rsidP="00E53C03">
      <w:pPr>
        <w:ind w:left="720" w:hanging="720"/>
        <w:contextualSpacing/>
      </w:pPr>
      <w:r w:rsidRPr="00E53C03">
        <w:t xml:space="preserve">Amsterdam, A. &amp; Bruner, J. (2001). </w:t>
      </w:r>
      <w:r w:rsidRPr="00E53C03">
        <w:rPr>
          <w:i/>
        </w:rPr>
        <w:t>Minding the law: How courts rely on storytelling, and how their stories change the ways we understand the law and ourselves</w:t>
      </w:r>
      <w:r w:rsidRPr="00E53C03">
        <w:t xml:space="preserve">. Cambridge, MA: Harvard University. </w:t>
      </w:r>
    </w:p>
    <w:p w:rsidR="00E53C03" w:rsidRPr="00E53C03" w:rsidRDefault="00E53C03" w:rsidP="00E53C03">
      <w:pPr>
        <w:ind w:left="720" w:hanging="720"/>
        <w:contextualSpacing/>
      </w:pPr>
      <w:r w:rsidRPr="00E53C03">
        <w:t xml:space="preserve">Anderson, T. (2005). Dimensions of women’s power in the illicit drug economy. </w:t>
      </w:r>
      <w:r w:rsidRPr="00E53C03">
        <w:rPr>
          <w:i/>
        </w:rPr>
        <w:t>Theoretical Criminology</w:t>
      </w:r>
      <w:r w:rsidRPr="00E53C03">
        <w:t xml:space="preserve">, 9(4), 371-400. </w:t>
      </w:r>
    </w:p>
    <w:p w:rsidR="00E53C03" w:rsidRPr="00E53C03" w:rsidRDefault="00E53C03" w:rsidP="00E53C03">
      <w:pPr>
        <w:ind w:left="720" w:hanging="720"/>
        <w:contextualSpacing/>
      </w:pPr>
      <w:r w:rsidRPr="00E53C03">
        <w:t xml:space="preserve">Appointment of Conferees on H.R. 3244, Trafficking Victims Protection Act of 2000. Cong. Rec. H7628. (September 14, 2000). </w:t>
      </w:r>
    </w:p>
    <w:p w:rsidR="00E53C03" w:rsidRPr="00E53C03" w:rsidRDefault="00E53C03" w:rsidP="00E53C03">
      <w:pPr>
        <w:ind w:left="720" w:hanging="720"/>
        <w:contextualSpacing/>
      </w:pPr>
      <w:r w:rsidRPr="00E53C03">
        <w:t xml:space="preserve">Aronowitz, A.A. (2009). </w:t>
      </w:r>
      <w:r w:rsidRPr="00E53C03">
        <w:rPr>
          <w:i/>
        </w:rPr>
        <w:t>Human trafficking, human misery: The global trade in human beings</w:t>
      </w:r>
      <w:r w:rsidRPr="00E53C03">
        <w:t xml:space="preserve">. Westport, CT: Praeger. </w:t>
      </w:r>
    </w:p>
    <w:p w:rsidR="00E53C03" w:rsidRPr="00E53C03" w:rsidRDefault="00E53C03" w:rsidP="00E53C03">
      <w:pPr>
        <w:ind w:left="720" w:hanging="720"/>
        <w:contextualSpacing/>
      </w:pPr>
      <w:r w:rsidRPr="00E53C03">
        <w:t xml:space="preserve">Atkinson, P. &amp; Coffey, A. (2003). Revisiting the relationship between participant observation and interviewing. In J.F. Gubrium and J.A. Holstein (Eds.), </w:t>
      </w:r>
      <w:r w:rsidRPr="00E53C03">
        <w:rPr>
          <w:i/>
        </w:rPr>
        <w:t>Postmodern interviewing</w:t>
      </w:r>
      <w:r w:rsidRPr="00E53C03">
        <w:t xml:space="preserve">. (pp. 109-122). London: Sage. </w:t>
      </w:r>
    </w:p>
    <w:p w:rsidR="00E53C03" w:rsidRPr="00E53C03" w:rsidRDefault="00E53C03" w:rsidP="00E53C03">
      <w:pPr>
        <w:ind w:left="720" w:hanging="720"/>
        <w:contextualSpacing/>
      </w:pPr>
      <w:r w:rsidRPr="00E53C03">
        <w:t xml:space="preserve">Banwell, S. (2011). Women, violence, and gray zones: Resolving the paradox of the female victim-perpetrator. </w:t>
      </w:r>
      <w:r w:rsidRPr="00E53C03">
        <w:rPr>
          <w:i/>
        </w:rPr>
        <w:t>Internet Journal of Criminology</w:t>
      </w:r>
      <w:r w:rsidRPr="00E53C03">
        <w:t>, 1-19. Retrieved from: http://www.internetjournalofcriminology.com/Banwell_Women_Violence_and_Gray_Zones_IJC_September_2011.pdf</w:t>
      </w:r>
    </w:p>
    <w:p w:rsidR="00E53C03" w:rsidRPr="00E53C03" w:rsidRDefault="00E53C03" w:rsidP="00E53C03">
      <w:pPr>
        <w:ind w:left="720" w:hanging="720"/>
        <w:contextualSpacing/>
      </w:pPr>
      <w:r w:rsidRPr="00E53C03">
        <w:t xml:space="preserve">Barcus, H.R. (2006). New destinations for Hispanic migrants: An analysis of rural Kentucky. In H.A. Smith and O.J. Furuseth (Eds.), </w:t>
      </w:r>
      <w:r w:rsidRPr="00E53C03">
        <w:rPr>
          <w:i/>
        </w:rPr>
        <w:t xml:space="preserve">Latinos in the new south: Transformations of place </w:t>
      </w:r>
      <w:r w:rsidRPr="00E53C03">
        <w:t xml:space="preserve">(pp. 89-110). Burlington, VT: Ashgate. </w:t>
      </w:r>
    </w:p>
    <w:p w:rsidR="00E53C03" w:rsidRPr="00E53C03" w:rsidRDefault="00E53C03" w:rsidP="00E53C03">
      <w:pPr>
        <w:ind w:left="720" w:hanging="720"/>
        <w:contextualSpacing/>
      </w:pPr>
      <w:r w:rsidRPr="00E53C03">
        <w:t xml:space="preserve">Baxter, J. (2003). </w:t>
      </w:r>
      <w:r w:rsidRPr="00E53C03">
        <w:rPr>
          <w:i/>
        </w:rPr>
        <w:t>Positioning gender in discourse: A feminist methodology</w:t>
      </w:r>
      <w:r w:rsidRPr="00E53C03">
        <w:t xml:space="preserve">. New York: Palgrave MacMillan. </w:t>
      </w:r>
    </w:p>
    <w:p w:rsidR="00E53C03" w:rsidRPr="00E53C03" w:rsidRDefault="00E53C03" w:rsidP="00E53C03">
      <w:pPr>
        <w:ind w:left="720" w:hanging="720"/>
        <w:contextualSpacing/>
      </w:pPr>
      <w:r w:rsidRPr="00E53C03">
        <w:t xml:space="preserve">Bergoffen, D., Gilbert, P.R., &amp; Harvey, T. (2011). Introduction: Women’s lives, human rights. In D. Bergoffen, P.R. Gilbert, T. Harvey, &amp; C.L. McNeely (Eds.), </w:t>
      </w:r>
      <w:r w:rsidRPr="00E53C03">
        <w:rPr>
          <w:i/>
        </w:rPr>
        <w:t xml:space="preserve">Confronting global gender justice: Women’s lives, human rights </w:t>
      </w:r>
      <w:r w:rsidRPr="00E53C03">
        <w:t xml:space="preserve">(pp. 1-18). New York: Routledge. </w:t>
      </w:r>
    </w:p>
    <w:p w:rsidR="00E53C03" w:rsidRPr="00E53C03" w:rsidRDefault="00E53C03" w:rsidP="00E53C03">
      <w:pPr>
        <w:ind w:left="720" w:hanging="720"/>
        <w:contextualSpacing/>
      </w:pPr>
      <w:r w:rsidRPr="00E53C03">
        <w:t xml:space="preserve">Berman, J. (2003). (Un)popular strangers and crises (un)bounded: Discourses of sex trafficking, the European political community and the panicked state of the modern state. </w:t>
      </w:r>
      <w:r w:rsidRPr="00E53C03">
        <w:rPr>
          <w:i/>
        </w:rPr>
        <w:t>European Journal of International Relations</w:t>
      </w:r>
      <w:r w:rsidRPr="00E53C03">
        <w:t xml:space="preserve">, 9(1), 37-86. </w:t>
      </w:r>
    </w:p>
    <w:p w:rsidR="00E53C03" w:rsidRPr="00E53C03" w:rsidRDefault="00E53C03" w:rsidP="00E53C03">
      <w:pPr>
        <w:ind w:left="720" w:hanging="720"/>
        <w:contextualSpacing/>
      </w:pPr>
      <w:r w:rsidRPr="00E53C03">
        <w:t xml:space="preserve">Berman, J. (2006). The left, the right, and the prostitute: The making of U.S. antitrafficking in persons policy. </w:t>
      </w:r>
      <w:r w:rsidRPr="00E53C03">
        <w:rPr>
          <w:i/>
        </w:rPr>
        <w:t>Tulane Journal of International and Comparative Law</w:t>
      </w:r>
      <w:r w:rsidRPr="00E53C03">
        <w:t xml:space="preserve">, 14, 269-293. </w:t>
      </w:r>
    </w:p>
    <w:p w:rsidR="00E53C03" w:rsidRPr="00E53C03" w:rsidRDefault="00E53C03" w:rsidP="00E53C03">
      <w:pPr>
        <w:ind w:left="720" w:hanging="720"/>
        <w:contextualSpacing/>
      </w:pPr>
      <w:r w:rsidRPr="00E53C03">
        <w:t xml:space="preserve">Bishop, C. (2003). The </w:t>
      </w:r>
      <w:r w:rsidRPr="00E53C03">
        <w:rPr>
          <w:i/>
        </w:rPr>
        <w:t>Trafficking Victims Protection Act of 2000</w:t>
      </w:r>
      <w:r w:rsidRPr="00E53C03">
        <w:t xml:space="preserve">: Three years later. </w:t>
      </w:r>
      <w:r w:rsidRPr="00E53C03">
        <w:rPr>
          <w:i/>
        </w:rPr>
        <w:t>International Migration</w:t>
      </w:r>
      <w:r w:rsidRPr="00E53C03">
        <w:t xml:space="preserve">, 41(5), 219-231. </w:t>
      </w:r>
    </w:p>
    <w:p w:rsidR="00E53C03" w:rsidRPr="00E53C03" w:rsidRDefault="00E53C03" w:rsidP="00E53C03">
      <w:pPr>
        <w:ind w:left="720" w:hanging="720"/>
        <w:contextualSpacing/>
      </w:pPr>
      <w:r w:rsidRPr="00E53C03">
        <w:t xml:space="preserve">Bletzer, K.V. &amp; Koss, M.P. (2004). Narrative constructions of sexual violence as told by female rape survivors in three populations of the Southwestern United States: Scripts of coercion, scripts of consent. </w:t>
      </w:r>
      <w:r w:rsidRPr="00E53C03">
        <w:rPr>
          <w:i/>
        </w:rPr>
        <w:t>Medical Anthropology: Cross-Cultural Studies in Health and Illness</w:t>
      </w:r>
      <w:r w:rsidRPr="00E53C03">
        <w:t xml:space="preserve">, 23(2), 113-156. </w:t>
      </w:r>
    </w:p>
    <w:p w:rsidR="00E53C03" w:rsidRPr="00E53C03" w:rsidRDefault="00E53C03" w:rsidP="00E53C03">
      <w:pPr>
        <w:ind w:left="720" w:hanging="720"/>
        <w:contextualSpacing/>
      </w:pPr>
      <w:r w:rsidRPr="00E53C03">
        <w:t xml:space="preserve">Block, J. (2004). Why the faith trade is interested in the sex trade. </w:t>
      </w:r>
      <w:r w:rsidRPr="00E53C03">
        <w:rPr>
          <w:i/>
        </w:rPr>
        <w:t>Conscience: The Newsjournal of Catholic Opinion</w:t>
      </w:r>
      <w:r w:rsidRPr="00E53C03">
        <w:t>. Retrieved from: http://www.catholicsforchoice.org/conscience/archives/c2004sum_sextrafficking.asp</w:t>
      </w:r>
    </w:p>
    <w:p w:rsidR="00E53C03" w:rsidRPr="00E53C03" w:rsidRDefault="00E53C03" w:rsidP="00E53C03">
      <w:pPr>
        <w:ind w:left="720" w:hanging="720"/>
        <w:contextualSpacing/>
      </w:pPr>
      <w:r w:rsidRPr="00E53C03">
        <w:t xml:space="preserve">Breuil, B.C.O., Siegel, D., van Reenan, P., Beijer, A., &amp; Roos, L. (2011). Human trafficking revisited: Legal, enforcement and ethnographic narratives on sex trafficking in Western Europe. </w:t>
      </w:r>
      <w:r w:rsidRPr="00E53C03">
        <w:rPr>
          <w:i/>
        </w:rPr>
        <w:t>Trends in Organized Crime</w:t>
      </w:r>
      <w:r w:rsidRPr="00E53C03">
        <w:t xml:space="preserve">, 14, 30-46. </w:t>
      </w:r>
    </w:p>
    <w:p w:rsidR="00E53C03" w:rsidRPr="00E53C03" w:rsidRDefault="00E53C03" w:rsidP="00E53C03">
      <w:pPr>
        <w:ind w:left="720" w:hanging="720"/>
        <w:contextualSpacing/>
      </w:pPr>
      <w:r w:rsidRPr="00E53C03">
        <w:t xml:space="preserve">Brock, D.R. (2009) </w:t>
      </w:r>
      <w:r w:rsidRPr="00E53C03">
        <w:rPr>
          <w:i/>
        </w:rPr>
        <w:t>Making work, making trouble</w:t>
      </w:r>
      <w:r w:rsidRPr="00E53C03">
        <w:t>. (2</w:t>
      </w:r>
      <w:r w:rsidRPr="00E53C03">
        <w:rPr>
          <w:vertAlign w:val="superscript"/>
        </w:rPr>
        <w:t>nd</w:t>
      </w:r>
      <w:r w:rsidRPr="00E53C03">
        <w:t xml:space="preserve"> Ed.). Toronto: University of Toronto. </w:t>
      </w:r>
    </w:p>
    <w:p w:rsidR="00E53C03" w:rsidRPr="00E53C03" w:rsidRDefault="00E53C03" w:rsidP="00E53C03">
      <w:pPr>
        <w:ind w:left="720" w:hanging="720"/>
        <w:contextualSpacing/>
      </w:pPr>
      <w:r w:rsidRPr="00E53C03">
        <w:t xml:space="preserve">Brooks, P. (1996). The law as narrative and rhetoric. In P. Brooks and P. Gerwitz (Eds.), </w:t>
      </w:r>
      <w:r w:rsidRPr="00E53C03">
        <w:rPr>
          <w:i/>
        </w:rPr>
        <w:t>Law’s stories: Narrative and rhetoric in the law</w:t>
      </w:r>
      <w:r w:rsidRPr="00E53C03">
        <w:t xml:space="preserve"> (pp. 14-23). New Haven, CT: Yale. </w:t>
      </w:r>
    </w:p>
    <w:p w:rsidR="00E53C03" w:rsidRPr="00E53C03" w:rsidRDefault="00E53C03" w:rsidP="00E53C03">
      <w:pPr>
        <w:ind w:left="720" w:hanging="720"/>
        <w:contextualSpacing/>
      </w:pPr>
      <w:r w:rsidRPr="00E53C03">
        <w:t xml:space="preserve">Bruckert, C. &amp; Parent, C. (2013). The </w:t>
      </w:r>
      <w:r w:rsidRPr="00E53C03">
        <w:rPr>
          <w:i/>
        </w:rPr>
        <w:t>work</w:t>
      </w:r>
      <w:r w:rsidRPr="00E53C03">
        <w:t xml:space="preserve"> of sex work. In C. Parent, C. Bruckert, P. Corriveau, M.N. Menseh, and L. Toupin (Eds.), </w:t>
      </w:r>
      <w:r w:rsidRPr="00E53C03">
        <w:rPr>
          <w:i/>
        </w:rPr>
        <w:t>Sex work: Rethinking the job, rethinking the workers</w:t>
      </w:r>
      <w:r w:rsidRPr="00E53C03">
        <w:t xml:space="preserve"> (pp. 57-80). Vancouver: UBC. </w:t>
      </w:r>
    </w:p>
    <w:p w:rsidR="00E53C03" w:rsidRPr="00E53C03" w:rsidRDefault="00E53C03" w:rsidP="00E53C03">
      <w:pPr>
        <w:ind w:left="720" w:hanging="720"/>
        <w:contextualSpacing/>
      </w:pPr>
      <w:r w:rsidRPr="00E53C03">
        <w:t xml:space="preserve">Bruner, J. (2002). </w:t>
      </w:r>
      <w:r w:rsidRPr="00E53C03">
        <w:rPr>
          <w:i/>
        </w:rPr>
        <w:t>Making stories: Law, literature, life</w:t>
      </w:r>
      <w:r w:rsidRPr="00E53C03">
        <w:t xml:space="preserve">. New York:  Farrar, Straus, and Giroux. </w:t>
      </w:r>
    </w:p>
    <w:p w:rsidR="00E53C03" w:rsidRPr="00E53C03" w:rsidRDefault="00E53C03" w:rsidP="00E53C03">
      <w:pPr>
        <w:ind w:left="720" w:hanging="720"/>
        <w:contextualSpacing/>
      </w:pPr>
      <w:r w:rsidRPr="00E53C03">
        <w:t xml:space="preserve">Bumiller, K. (1988). </w:t>
      </w:r>
      <w:r w:rsidRPr="00E53C03">
        <w:rPr>
          <w:i/>
        </w:rPr>
        <w:t>The civil rights society: The social construction of victims</w:t>
      </w:r>
      <w:r w:rsidRPr="00E53C03">
        <w:t xml:space="preserve">. Baltimore: Johns Hopkins. </w:t>
      </w:r>
    </w:p>
    <w:p w:rsidR="00E53C03" w:rsidRPr="00E53C03" w:rsidRDefault="00E53C03" w:rsidP="00E53C03">
      <w:pPr>
        <w:ind w:left="720" w:hanging="720"/>
        <w:contextualSpacing/>
      </w:pPr>
      <w:r w:rsidRPr="00E53C03">
        <w:t xml:space="preserve">Burr, V. (1998). Overview: Realism, relativism, social constructionism and discourse. In I. Parker (Ed.), </w:t>
      </w:r>
      <w:r w:rsidRPr="00E53C03">
        <w:rPr>
          <w:i/>
        </w:rPr>
        <w:t>Social constructionism, discourse and realism</w:t>
      </w:r>
      <w:r w:rsidRPr="00E53C03">
        <w:t xml:space="preserve"> (pp. 186-206). London: Sage. </w:t>
      </w:r>
    </w:p>
    <w:p w:rsidR="00E53C03" w:rsidRPr="00E53C03" w:rsidRDefault="00E53C03" w:rsidP="00E53C03">
      <w:pPr>
        <w:ind w:left="720" w:hanging="720"/>
        <w:contextualSpacing/>
      </w:pPr>
      <w:r w:rsidRPr="00E53C03">
        <w:t xml:space="preserve">Burr, V. &amp; Butt, T.W. (2000). Psychological distress and postmodern though. In D. Fee (Ed.), </w:t>
      </w:r>
      <w:r w:rsidRPr="00E53C03">
        <w:rPr>
          <w:i/>
        </w:rPr>
        <w:t xml:space="preserve">Pathology and the postmodern: Mental illness as discourse and experience </w:t>
      </w:r>
      <w:r w:rsidRPr="00E53C03">
        <w:t xml:space="preserve">(pp. 13-26). London: Sage. </w:t>
      </w:r>
    </w:p>
    <w:p w:rsidR="00E53C03" w:rsidRPr="00E53C03" w:rsidRDefault="00E53C03" w:rsidP="00E53C03">
      <w:pPr>
        <w:ind w:left="720" w:hanging="720"/>
        <w:contextualSpacing/>
      </w:pPr>
      <w:r w:rsidRPr="00E53C03">
        <w:t xml:space="preserve">Bush, G.W. (2002, December 16). </w:t>
      </w:r>
      <w:r w:rsidRPr="00E53C03">
        <w:rPr>
          <w:i/>
        </w:rPr>
        <w:t>Combatting trafficking in persons</w:t>
      </w:r>
      <w:r w:rsidRPr="00E53C03">
        <w:t>. National Security Presidential Directive/NSPD-22. Washington, DC: The White House. Retrieved from: http://www.combat-trafficking.army.mil/documents/policy/NSPD-22.pdf</w:t>
      </w:r>
    </w:p>
    <w:p w:rsidR="00E53C03" w:rsidRPr="00E53C03" w:rsidRDefault="00E53C03" w:rsidP="00E53C03">
      <w:pPr>
        <w:ind w:left="720" w:hanging="720"/>
        <w:contextualSpacing/>
      </w:pPr>
      <w:r w:rsidRPr="00E53C03">
        <w:t xml:space="preserve">Buttny, R. (2004). </w:t>
      </w:r>
      <w:r w:rsidRPr="00E53C03">
        <w:rPr>
          <w:i/>
        </w:rPr>
        <w:t>Talking problems: Studies of discursive construction</w:t>
      </w:r>
      <w:r w:rsidRPr="00E53C03">
        <w:t xml:space="preserve">. Albany, NY: State University of New York. </w:t>
      </w:r>
    </w:p>
    <w:p w:rsidR="00E53C03" w:rsidRPr="00E53C03" w:rsidRDefault="00E53C03" w:rsidP="00E53C03">
      <w:pPr>
        <w:ind w:left="720" w:hanging="720"/>
        <w:contextualSpacing/>
      </w:pPr>
      <w:r w:rsidRPr="00E53C03">
        <w:t xml:space="preserve">Cameron, S. &amp; Newman, E. (2008). Trafficking in humans: Structural factors. In S. Cameron and E. Newman (Eds.), </w:t>
      </w:r>
      <w:r w:rsidRPr="00E53C03">
        <w:rPr>
          <w:i/>
        </w:rPr>
        <w:t>Trafficking in humans: Social, cultural, and political dimensions</w:t>
      </w:r>
      <w:r w:rsidRPr="00E53C03">
        <w:t xml:space="preserve"> (pp. 21-57). New York: United Nations University. </w:t>
      </w:r>
    </w:p>
    <w:p w:rsidR="00E53C03" w:rsidRPr="00E53C03" w:rsidRDefault="00E53C03" w:rsidP="00E53C03">
      <w:pPr>
        <w:ind w:left="720" w:hanging="720"/>
        <w:contextualSpacing/>
      </w:pPr>
      <w:r w:rsidRPr="00E53C03">
        <w:t xml:space="preserve">Carline, A. (2011). Perspectives on trafficking and the Policing and Crime Act of 2009: Challenging notions of vulnerability through a Butlerian lens. In S.A. FitzGerald (Ed.), </w:t>
      </w:r>
      <w:r w:rsidRPr="00E53C03">
        <w:rPr>
          <w:i/>
        </w:rPr>
        <w:t>Regulating the international movement of women: From protection to control</w:t>
      </w:r>
      <w:r w:rsidRPr="00E53C03">
        <w:t xml:space="preserve"> (pp. 135- 153. New York: Routledge. </w:t>
      </w:r>
    </w:p>
    <w:p w:rsidR="00E53C03" w:rsidRPr="00E53C03" w:rsidRDefault="00E53C03" w:rsidP="00E53C03">
      <w:pPr>
        <w:ind w:left="720" w:hanging="720"/>
        <w:contextualSpacing/>
      </w:pPr>
      <w:r w:rsidRPr="00E53C03">
        <w:t xml:space="preserve">Chapkis, W. (2003). Trafficking, migration, and the law: Protecting innocents, punishing immigrants. </w:t>
      </w:r>
      <w:r w:rsidRPr="00E53C03">
        <w:rPr>
          <w:i/>
        </w:rPr>
        <w:t>Gender &amp; Society</w:t>
      </w:r>
      <w:r w:rsidRPr="00E53C03">
        <w:t xml:space="preserve">, 17(6), 923-937. </w:t>
      </w:r>
    </w:p>
    <w:p w:rsidR="00E53C03" w:rsidRPr="00E53C03" w:rsidRDefault="00E53C03" w:rsidP="00E53C03">
      <w:pPr>
        <w:ind w:left="720" w:hanging="720"/>
        <w:contextualSpacing/>
      </w:pPr>
      <w:r w:rsidRPr="00E53C03">
        <w:t xml:space="preserve">Chapkis, W. (2005). Soft glove, punishing fist: The Trafficking Victims Protection Act of 2000. In E. Bernstein and L. Schaffner (Eds.), </w:t>
      </w:r>
      <w:r w:rsidRPr="00E53C03">
        <w:rPr>
          <w:i/>
        </w:rPr>
        <w:t>Regulating sex: The politics of intimacy and identity</w:t>
      </w:r>
      <w:r w:rsidRPr="00E53C03">
        <w:t xml:space="preserve"> (pp. 51-). New York: Routledge. </w:t>
      </w:r>
    </w:p>
    <w:p w:rsidR="00E53C03" w:rsidRPr="00E53C03" w:rsidRDefault="00E53C03" w:rsidP="00E53C03">
      <w:pPr>
        <w:ind w:left="720" w:hanging="720"/>
        <w:contextualSpacing/>
      </w:pPr>
      <w:r w:rsidRPr="00E53C03">
        <w:t xml:space="preserve">Chuang, J.A. (2010). Rescuing trafficking from ideological capture: Prostitution reform and anti-trafficking law and policy. </w:t>
      </w:r>
      <w:r w:rsidRPr="00E53C03">
        <w:rPr>
          <w:i/>
        </w:rPr>
        <w:t>University of Pennsylvania Law Review</w:t>
      </w:r>
      <w:r w:rsidRPr="00E53C03">
        <w:t xml:space="preserve">, 158, 1655-1728. </w:t>
      </w:r>
    </w:p>
    <w:p w:rsidR="00E53C03" w:rsidRPr="00E53C03" w:rsidRDefault="00E53C03" w:rsidP="00E53C03">
      <w:pPr>
        <w:ind w:left="720" w:hanging="720"/>
        <w:contextualSpacing/>
      </w:pPr>
      <w:r w:rsidRPr="00E53C03">
        <w:t xml:space="preserve">Cianciarulo, M.S. (2008). What is choice? Examining sex trafficking legislation through the lenses of rape law and prostitution. </w:t>
      </w:r>
      <w:r w:rsidRPr="00E53C03">
        <w:rPr>
          <w:i/>
        </w:rPr>
        <w:t>University of St. Thomas Law Journal</w:t>
      </w:r>
      <w:r w:rsidRPr="00E53C03">
        <w:t>, 6(1), 54-76.</w:t>
      </w:r>
    </w:p>
    <w:p w:rsidR="00E53C03" w:rsidRPr="00E53C03" w:rsidRDefault="00E53C03" w:rsidP="00E53C03">
      <w:pPr>
        <w:spacing w:after="200"/>
        <w:ind w:left="720" w:hanging="720"/>
        <w:contextualSpacing/>
        <w:rPr>
          <w:rFonts w:eastAsia="Calibri"/>
        </w:rPr>
      </w:pPr>
      <w:r w:rsidRPr="00E53C03">
        <w:rPr>
          <w:rFonts w:eastAsia="Calibri"/>
        </w:rPr>
        <w:t xml:space="preserve">Collins, P.H. (1990). </w:t>
      </w:r>
      <w:r w:rsidRPr="00E53C03">
        <w:rPr>
          <w:rFonts w:eastAsia="Calibri"/>
          <w:i/>
        </w:rPr>
        <w:t>Black feminist thought: Knowledge, consciousness, and the politics of empowerment.</w:t>
      </w:r>
      <w:r w:rsidRPr="00E53C03">
        <w:rPr>
          <w:rFonts w:eastAsia="Calibri"/>
        </w:rPr>
        <w:t xml:space="preserve"> Boston: Unwin Hyman. </w:t>
      </w:r>
    </w:p>
    <w:p w:rsidR="00E53C03" w:rsidRPr="00E53C03" w:rsidRDefault="00E53C03" w:rsidP="00E53C03">
      <w:pPr>
        <w:spacing w:after="200"/>
        <w:ind w:left="720" w:hanging="720"/>
        <w:contextualSpacing/>
        <w:rPr>
          <w:rFonts w:eastAsia="Calibri"/>
        </w:rPr>
      </w:pPr>
      <w:r w:rsidRPr="00E53C03">
        <w:rPr>
          <w:rFonts w:eastAsia="Calibri"/>
        </w:rPr>
        <w:t xml:space="preserve">Collins, P.H. (1998). It’s all in the family: Intersections of gender, race, and nation. </w:t>
      </w:r>
      <w:r w:rsidRPr="00E53C03">
        <w:rPr>
          <w:rFonts w:eastAsia="Calibri"/>
          <w:i/>
        </w:rPr>
        <w:t>Hypatia</w:t>
      </w:r>
      <w:r w:rsidRPr="00E53C03">
        <w:rPr>
          <w:rFonts w:eastAsia="Calibri"/>
        </w:rPr>
        <w:t xml:space="preserve">, 13(3), 62-82. </w:t>
      </w:r>
    </w:p>
    <w:p w:rsidR="00E53C03" w:rsidRPr="00E53C03" w:rsidRDefault="00E53C03" w:rsidP="00E53C03">
      <w:pPr>
        <w:spacing w:after="200"/>
        <w:ind w:left="720" w:hanging="720"/>
        <w:contextualSpacing/>
        <w:rPr>
          <w:rFonts w:eastAsia="Calibri"/>
        </w:rPr>
      </w:pPr>
      <w:r w:rsidRPr="00E53C03">
        <w:rPr>
          <w:rFonts w:eastAsia="Calibri"/>
        </w:rPr>
        <w:t xml:space="preserve">Collins, P.H. (2009). Emerging intersections- Building knowledge and transforming institutions. In B.T. Hill and R.E. Zambrana (Eds.), </w:t>
      </w:r>
      <w:r w:rsidRPr="00E53C03">
        <w:rPr>
          <w:rFonts w:eastAsia="Calibri"/>
          <w:i/>
        </w:rPr>
        <w:t>Emerging intersections: Race, class, and gender in theory, policy, and practice</w:t>
      </w:r>
      <w:r w:rsidRPr="00E53C03">
        <w:rPr>
          <w:rFonts w:eastAsia="Calibri"/>
        </w:rPr>
        <w:t xml:space="preserve">. New Brunswick, NJ: Rutgers University. </w:t>
      </w:r>
    </w:p>
    <w:p w:rsidR="00E53C03" w:rsidRPr="00E53C03" w:rsidRDefault="00E53C03" w:rsidP="00E53C03">
      <w:pPr>
        <w:ind w:left="720" w:hanging="720"/>
        <w:contextualSpacing/>
      </w:pPr>
      <w:r w:rsidRPr="00E53C03">
        <w:t xml:space="preserve">Connelly, M.T. (1980). </w:t>
      </w:r>
      <w:r w:rsidRPr="00E53C03">
        <w:rPr>
          <w:i/>
        </w:rPr>
        <w:t>The response to prostitution in the progressive era</w:t>
      </w:r>
      <w:r w:rsidRPr="00E53C03">
        <w:t xml:space="preserve">. Chapel Hill, NC: University of North Carolina. </w:t>
      </w:r>
    </w:p>
    <w:p w:rsidR="00E53C03" w:rsidRPr="00E53C03" w:rsidRDefault="00E53C03" w:rsidP="00E53C03">
      <w:pPr>
        <w:ind w:left="720" w:hanging="720"/>
        <w:contextualSpacing/>
      </w:pPr>
      <w:r w:rsidRPr="00E53C03">
        <w:t xml:space="preserve">Conference Report on H.R. 3244, Victims of Trafficking and Violence Protection Act of 2000. Cong. Rec. H9029. (October 6, 2000). </w:t>
      </w:r>
    </w:p>
    <w:p w:rsidR="00E53C03" w:rsidRPr="00E53C03" w:rsidRDefault="00E53C03" w:rsidP="00E53C03">
      <w:pPr>
        <w:spacing w:after="200"/>
        <w:ind w:left="720" w:hanging="720"/>
        <w:contextualSpacing/>
        <w:rPr>
          <w:rFonts w:eastAsia="Calibri"/>
        </w:rPr>
      </w:pPr>
      <w:r w:rsidRPr="00E53C03">
        <w:rPr>
          <w:rFonts w:eastAsia="Calibri"/>
        </w:rPr>
        <w:t xml:space="preserve">Crawford, M. (2010). </w:t>
      </w:r>
      <w:r w:rsidRPr="00E53C03">
        <w:rPr>
          <w:rFonts w:eastAsia="Calibri"/>
          <w:i/>
        </w:rPr>
        <w:t>Sex trafficking in South Asia: Telling Maya’s story</w:t>
      </w:r>
      <w:r w:rsidRPr="00E53C03">
        <w:rPr>
          <w:rFonts w:eastAsia="Calibri"/>
        </w:rPr>
        <w:t xml:space="preserve">. New York: Rutledge. </w:t>
      </w:r>
    </w:p>
    <w:p w:rsidR="00E53C03" w:rsidRPr="00E53C03" w:rsidRDefault="00E53C03" w:rsidP="00E53C03">
      <w:pPr>
        <w:spacing w:after="200"/>
        <w:ind w:left="720" w:hanging="720"/>
        <w:contextualSpacing/>
        <w:rPr>
          <w:rFonts w:eastAsia="Calibri"/>
        </w:rPr>
      </w:pPr>
      <w:r w:rsidRPr="00E53C03">
        <w:rPr>
          <w:rFonts w:eastAsia="Calibri"/>
        </w:rPr>
        <w:t xml:space="preserve">Crenshaw, K. (1991). Mapping the margins: Intersectionality, identity politics, and violence against women of color. </w:t>
      </w:r>
      <w:r w:rsidRPr="00E53C03">
        <w:rPr>
          <w:rFonts w:eastAsia="Calibri"/>
          <w:i/>
        </w:rPr>
        <w:t>Stanford Law Review</w:t>
      </w:r>
      <w:r w:rsidRPr="00E53C03">
        <w:rPr>
          <w:rFonts w:eastAsia="Calibri"/>
        </w:rPr>
        <w:t xml:space="preserve">, 43(6), 1241-1299. </w:t>
      </w:r>
    </w:p>
    <w:p w:rsidR="00E53C03" w:rsidRPr="00E53C03" w:rsidRDefault="00E53C03" w:rsidP="00E53C03">
      <w:pPr>
        <w:ind w:left="720" w:hanging="720"/>
        <w:contextualSpacing/>
      </w:pPr>
      <w:r w:rsidRPr="00E53C03">
        <w:t xml:space="preserve">Cromwell, P. &amp; Thurman, Q. (2003). The devil made me do it: Use of neutralization by shoplifters. </w:t>
      </w:r>
      <w:r w:rsidRPr="00E53C03">
        <w:rPr>
          <w:i/>
        </w:rPr>
        <w:t>Deviant Behavior</w:t>
      </w:r>
      <w:r w:rsidRPr="00E53C03">
        <w:t xml:space="preserve">, 24, 535-550.  </w:t>
      </w:r>
    </w:p>
    <w:p w:rsidR="00E53C03" w:rsidRPr="00E53C03" w:rsidRDefault="00E53C03" w:rsidP="00E53C03">
      <w:pPr>
        <w:ind w:left="720" w:hanging="720"/>
        <w:contextualSpacing/>
      </w:pPr>
      <w:r w:rsidRPr="00E53C03">
        <w:t>Cypher, J. &amp; Delgado Wise, R. (2008). Mexico's reperipherization under NAFTA's labour export-led model. In P. Browles and R. Broomhill (Eds),</w:t>
      </w:r>
      <w:r w:rsidRPr="00E53C03">
        <w:rPr>
          <w:i/>
        </w:rPr>
        <w:t xml:space="preserve"> International Trade and Neoliberal Globalism: Towards Reperipherization in Australia, Canada, and Mexico? </w:t>
      </w:r>
      <w:r w:rsidRPr="00E53C03">
        <w:t xml:space="preserve">New York: Routledge. </w:t>
      </w:r>
    </w:p>
    <w:p w:rsidR="00E53C03" w:rsidRPr="00E53C03" w:rsidRDefault="00E53C03" w:rsidP="00E53C03">
      <w:pPr>
        <w:ind w:left="720" w:hanging="720"/>
        <w:contextualSpacing/>
      </w:pPr>
      <w:r w:rsidRPr="00E53C03">
        <w:t xml:space="preserve">Daly, K. &amp; Chesney-Lind, M. (1988). Feminism and criminology. </w:t>
      </w:r>
      <w:r w:rsidRPr="00E53C03">
        <w:rPr>
          <w:i/>
        </w:rPr>
        <w:t>Justice Quarterly</w:t>
      </w:r>
      <w:r w:rsidRPr="00E53C03">
        <w:t xml:space="preserve">, 5(4), 497-538. </w:t>
      </w:r>
    </w:p>
    <w:p w:rsidR="00E53C03" w:rsidRPr="00E53C03" w:rsidRDefault="00E53C03" w:rsidP="00E53C03">
      <w:pPr>
        <w:ind w:left="720" w:hanging="720"/>
        <w:contextualSpacing/>
      </w:pPr>
      <w:r w:rsidRPr="00E53C03">
        <w:t xml:space="preserve">Delgado Wise, R. Márquez Covarrubias, H. (2009). A Mexican perspective on the role of mass labor migration under NAFTA. In F. Ansley and J. Shefner (Eds.), </w:t>
      </w:r>
      <w:r w:rsidRPr="00E53C03">
        <w:rPr>
          <w:i/>
        </w:rPr>
        <w:t>Global connections and local receptions: New Latino immigration to the southeastern United States</w:t>
      </w:r>
      <w:r w:rsidRPr="00E53C03">
        <w:t>. Knoxville, TN: University of Tennessee.</w:t>
      </w:r>
    </w:p>
    <w:p w:rsidR="00E53C03" w:rsidRPr="00E53C03" w:rsidRDefault="00E53C03" w:rsidP="00E53C03">
      <w:pPr>
        <w:ind w:left="720" w:hanging="720"/>
        <w:contextualSpacing/>
      </w:pPr>
      <w:r w:rsidRPr="00E53C03">
        <w:t xml:space="preserve">DeStefano, A.M. (2007). </w:t>
      </w:r>
      <w:r w:rsidRPr="00E53C03">
        <w:rPr>
          <w:i/>
        </w:rPr>
        <w:t>The war on human trafficking: U.S. policy assessed</w:t>
      </w:r>
      <w:r w:rsidRPr="00E53C03">
        <w:t xml:space="preserve">. New Brunswick, NJ: Rutgers University. </w:t>
      </w:r>
    </w:p>
    <w:p w:rsidR="00E53C03" w:rsidRPr="00E53C03" w:rsidRDefault="00E53C03" w:rsidP="00E53C03">
      <w:pPr>
        <w:ind w:left="720" w:hanging="720"/>
        <w:contextualSpacing/>
      </w:pPr>
      <w:r w:rsidRPr="00E53C03">
        <w:t xml:space="preserve">Desyllas, M.C. (2007). A critique of the global trafficking discourse and U.S. policy. </w:t>
      </w:r>
      <w:r w:rsidRPr="00E53C03">
        <w:rPr>
          <w:i/>
        </w:rPr>
        <w:t>Journal of Sociology and Social Welfare</w:t>
      </w:r>
      <w:r w:rsidRPr="00E53C03">
        <w:t xml:space="preserve">, 34(4), 57-79. </w:t>
      </w:r>
    </w:p>
    <w:p w:rsidR="00E53C03" w:rsidRPr="00E53C03" w:rsidRDefault="00E53C03" w:rsidP="00E53C03">
      <w:pPr>
        <w:spacing w:after="200"/>
        <w:ind w:left="720" w:hanging="720"/>
        <w:contextualSpacing/>
        <w:rPr>
          <w:rFonts w:eastAsia="Calibri"/>
        </w:rPr>
      </w:pPr>
      <w:r w:rsidRPr="00E53C03">
        <w:rPr>
          <w:rFonts w:eastAsia="Calibri"/>
        </w:rPr>
        <w:t xml:space="preserve">Dill, B.T. (2002). Intersections, identities, and inequalities in higher education. </w:t>
      </w:r>
      <w:r w:rsidRPr="00E53C03">
        <w:rPr>
          <w:rFonts w:eastAsia="Calibri"/>
          <w:i/>
        </w:rPr>
        <w:t>Robin Williams, Jr. Lecture</w:t>
      </w:r>
      <w:r w:rsidRPr="00E53C03">
        <w:rPr>
          <w:rFonts w:eastAsia="Calibri"/>
        </w:rPr>
        <w:t>, Eastern Sociological Society.</w:t>
      </w:r>
    </w:p>
    <w:p w:rsidR="00E53C03" w:rsidRPr="00E53C03" w:rsidRDefault="00E53C03" w:rsidP="00E53C03">
      <w:pPr>
        <w:spacing w:after="0"/>
        <w:ind w:left="720" w:hanging="720"/>
        <w:contextualSpacing/>
        <w:rPr>
          <w:rFonts w:eastAsia="Times New Roman"/>
        </w:rPr>
      </w:pPr>
      <w:r w:rsidRPr="00E53C03">
        <w:rPr>
          <w:rFonts w:eastAsia="Times New Roman"/>
        </w:rPr>
        <w:t xml:space="preserve">Dingwall, M. (1997). Accounts, interviews and observations. In G. Miller &amp; R. Dingwall (Eds.), </w:t>
      </w:r>
      <w:r w:rsidRPr="00E53C03">
        <w:rPr>
          <w:rFonts w:eastAsia="Times New Roman"/>
          <w:i/>
        </w:rPr>
        <w:t>Context and method in qualitative research</w:t>
      </w:r>
      <w:r w:rsidRPr="00E53C03">
        <w:rPr>
          <w:rFonts w:eastAsia="Times New Roman"/>
        </w:rPr>
        <w:t xml:space="preserve"> (pp. 51-65). London: Sage</w:t>
      </w:r>
    </w:p>
    <w:p w:rsidR="00E53C03" w:rsidRPr="00E53C03" w:rsidRDefault="00E53C03" w:rsidP="00E53C03">
      <w:pPr>
        <w:ind w:left="720" w:hanging="720"/>
        <w:contextualSpacing/>
      </w:pPr>
      <w:r w:rsidRPr="00E53C03">
        <w:t xml:space="preserve">Doezema, J. (1998). Forced to choose. In K. Kempadoo and J. Doezema (Eds.), Global sex workers (pp. ). New York: Routledge. </w:t>
      </w:r>
    </w:p>
    <w:p w:rsidR="00E53C03" w:rsidRPr="00E53C03" w:rsidRDefault="00E53C03" w:rsidP="00E53C03">
      <w:pPr>
        <w:ind w:left="720" w:hanging="720"/>
        <w:contextualSpacing/>
      </w:pPr>
      <w:r w:rsidRPr="00E53C03">
        <w:t xml:space="preserve">Doezema, J. (2002). Who gets to choose? Coercion, consent, and the UN Trafficking Protocol. </w:t>
      </w:r>
      <w:r w:rsidRPr="00E53C03">
        <w:rPr>
          <w:i/>
        </w:rPr>
        <w:t>Gender and Development</w:t>
      </w:r>
      <w:r w:rsidRPr="00E53C03">
        <w:t xml:space="preserve">, 10(1), 20-27. </w:t>
      </w:r>
    </w:p>
    <w:p w:rsidR="00E53C03" w:rsidRPr="00E53C03" w:rsidRDefault="00E53C03" w:rsidP="00E53C03">
      <w:pPr>
        <w:ind w:left="720" w:hanging="720"/>
        <w:contextualSpacing/>
      </w:pPr>
      <w:r w:rsidRPr="00E53C03">
        <w:t xml:space="preserve">Doezema, J. (2010). </w:t>
      </w:r>
      <w:r w:rsidRPr="00E53C03">
        <w:rPr>
          <w:i/>
        </w:rPr>
        <w:t>Sex slaves and discourse masters: The construction of trafficking</w:t>
      </w:r>
      <w:r w:rsidRPr="00E53C03">
        <w:t xml:space="preserve">. New York: Zed Books. </w:t>
      </w:r>
    </w:p>
    <w:p w:rsidR="00E53C03" w:rsidRPr="00E53C03" w:rsidRDefault="00E53C03" w:rsidP="00E53C03">
      <w:pPr>
        <w:ind w:left="720" w:hanging="720"/>
        <w:contextualSpacing/>
      </w:pPr>
      <w:r w:rsidRPr="00E53C03">
        <w:t xml:space="preserve">Donato, F.D. (2011). Constructing legal narratives: Client-lawyer’s stories. In A. Wagner and L. Cheng (Eds.), </w:t>
      </w:r>
      <w:r w:rsidRPr="00E53C03">
        <w:rPr>
          <w:i/>
        </w:rPr>
        <w:t>Exploring courtroom discourse: The language of power and control</w:t>
      </w:r>
      <w:r w:rsidRPr="00E53C03">
        <w:t>. (pp. 111- 127). Burlington, VT: Ashgate.</w:t>
      </w:r>
    </w:p>
    <w:p w:rsidR="00E53C03" w:rsidRPr="00E53C03" w:rsidRDefault="00E53C03" w:rsidP="00E53C03">
      <w:pPr>
        <w:ind w:left="720" w:hanging="720"/>
        <w:contextualSpacing/>
      </w:pPr>
      <w:r w:rsidRPr="00E53C03">
        <w:t xml:space="preserve">Donovan, B. &amp; Bares-Brus, T. (2011). Narratives of sexual consent and coercion: Forced prostitution trials in Progressive-era New York City. </w:t>
      </w:r>
      <w:r w:rsidRPr="00E53C03">
        <w:rPr>
          <w:i/>
        </w:rPr>
        <w:t>Law &amp; Social Inquiry</w:t>
      </w:r>
      <w:r w:rsidRPr="00E53C03">
        <w:t xml:space="preserve">, 36(3), 597-619. </w:t>
      </w:r>
    </w:p>
    <w:p w:rsidR="00E53C03" w:rsidRPr="00E53C03" w:rsidRDefault="00E53C03" w:rsidP="00E53C03">
      <w:pPr>
        <w:ind w:left="720" w:hanging="720"/>
        <w:contextualSpacing/>
      </w:pPr>
      <w:r w:rsidRPr="00E53C03">
        <w:t xml:space="preserve">Drever, A.I. (2006). New neighbors in Dixie: The community impacts of Latino migration to Tennessee. In H.A. Smith and O.J. Furuseth (Eds.), </w:t>
      </w:r>
      <w:r w:rsidRPr="00E53C03">
        <w:rPr>
          <w:i/>
        </w:rPr>
        <w:t xml:space="preserve">Latinos in the new south: Transformations of place </w:t>
      </w:r>
      <w:r w:rsidRPr="00E53C03">
        <w:t xml:space="preserve">(pp. 19-36). Burlington, VT: Ashgate. </w:t>
      </w:r>
    </w:p>
    <w:p w:rsidR="00E53C03" w:rsidRPr="00E53C03" w:rsidRDefault="00E53C03" w:rsidP="00E53C03">
      <w:pPr>
        <w:ind w:left="720" w:hanging="720"/>
        <w:contextualSpacing/>
      </w:pPr>
      <w:r w:rsidRPr="00E53C03">
        <w:t>Dunn, J.L. (2010).</w:t>
      </w:r>
      <w:r w:rsidRPr="00E53C03">
        <w:rPr>
          <w:i/>
        </w:rPr>
        <w:t xml:space="preserve"> Judging victims: Why we stigmatize survivors, and how they can reclaim respect</w:t>
      </w:r>
      <w:r w:rsidRPr="00E53C03">
        <w:t xml:space="preserve">. Boulder, CO: Lynne Reinner. </w:t>
      </w:r>
    </w:p>
    <w:p w:rsidR="00E53C03" w:rsidRPr="00E53C03" w:rsidRDefault="00E53C03" w:rsidP="00E53C03">
      <w:pPr>
        <w:ind w:left="720" w:hanging="720"/>
        <w:contextualSpacing/>
      </w:pPr>
      <w:r w:rsidRPr="00E53C03">
        <w:t xml:space="preserve">Ehrlich, S. (1998). The discursive reconstruction of sexual consent. </w:t>
      </w:r>
      <w:r w:rsidRPr="00E53C03">
        <w:rPr>
          <w:i/>
        </w:rPr>
        <w:t>Discourse &amp; Society</w:t>
      </w:r>
      <w:r w:rsidRPr="00E53C03">
        <w:t xml:space="preserve">, 9(2), 149-171. </w:t>
      </w:r>
    </w:p>
    <w:p w:rsidR="00E53C03" w:rsidRPr="00E53C03" w:rsidRDefault="00E53C03" w:rsidP="00E53C03">
      <w:pPr>
        <w:ind w:left="720" w:hanging="720"/>
        <w:contextualSpacing/>
      </w:pPr>
      <w:r w:rsidRPr="00E53C03">
        <w:t xml:space="preserve">Espinoza, L.G. (1997). Legal narratives, therapeutic narratives: The invisibility and omnipresence of race and gender. </w:t>
      </w:r>
      <w:r w:rsidRPr="00E53C03">
        <w:rPr>
          <w:i/>
        </w:rPr>
        <w:t>Michigan Law Review</w:t>
      </w:r>
      <w:r w:rsidRPr="00E53C03">
        <w:t xml:space="preserve">, 95(4), 901-937. </w:t>
      </w:r>
    </w:p>
    <w:p w:rsidR="00E53C03" w:rsidRPr="00E53C03" w:rsidRDefault="00E53C03" w:rsidP="00E53C03">
      <w:pPr>
        <w:ind w:left="720" w:hanging="720"/>
        <w:contextualSpacing/>
        <w:rPr>
          <w:rFonts w:cstheme="minorBidi"/>
        </w:rPr>
      </w:pPr>
      <w:r w:rsidRPr="00E53C03">
        <w:rPr>
          <w:rFonts w:cstheme="minorBidi"/>
        </w:rPr>
        <w:t xml:space="preserve">Farrell, A. &amp; Fahy, S. (2009). The problem of human trafficking in the US: Public frames and policy responses. </w:t>
      </w:r>
      <w:r w:rsidRPr="00E53C03">
        <w:rPr>
          <w:rFonts w:cstheme="minorBidi"/>
          <w:i/>
        </w:rPr>
        <w:t>Journal of Criminal Justice</w:t>
      </w:r>
      <w:r w:rsidRPr="00E53C03">
        <w:rPr>
          <w:rFonts w:cstheme="minorBidi"/>
        </w:rPr>
        <w:t xml:space="preserve">, 37, 617-626. </w:t>
      </w:r>
    </w:p>
    <w:p w:rsidR="00E53C03" w:rsidRPr="00E53C03" w:rsidRDefault="00E53C03" w:rsidP="00E53C03">
      <w:pPr>
        <w:ind w:left="720" w:hanging="720"/>
        <w:contextualSpacing/>
        <w:rPr>
          <w:rFonts w:cstheme="minorBidi"/>
        </w:rPr>
      </w:pPr>
      <w:r w:rsidRPr="00E53C03">
        <w:rPr>
          <w:rFonts w:cstheme="minorBidi"/>
        </w:rPr>
        <w:t xml:space="preserve">Farrell, A., McDevitt, J., &amp; Fahy, S. (2010). Where are all the victims? Understanding the determinants of official identification of human trafficking incidents. </w:t>
      </w:r>
      <w:r w:rsidRPr="00E53C03">
        <w:rPr>
          <w:rFonts w:cstheme="minorBidi"/>
          <w:i/>
        </w:rPr>
        <w:t>Criminology &amp; Public Policy</w:t>
      </w:r>
      <w:r w:rsidRPr="00E53C03">
        <w:rPr>
          <w:rFonts w:cstheme="minorBidi"/>
        </w:rPr>
        <w:t xml:space="preserve">, 9(2), 201-233. </w:t>
      </w:r>
    </w:p>
    <w:p w:rsidR="00E53C03" w:rsidRPr="00E53C03" w:rsidRDefault="00E53C03" w:rsidP="00E53C03">
      <w:pPr>
        <w:ind w:left="720" w:hanging="720"/>
        <w:contextualSpacing/>
        <w:rPr>
          <w:rFonts w:cstheme="minorBidi"/>
        </w:rPr>
      </w:pPr>
      <w:r w:rsidRPr="00E53C03">
        <w:rPr>
          <w:rFonts w:cstheme="minorBidi"/>
        </w:rPr>
        <w:t xml:space="preserve">Feingold, D.A. (2010). Trafficking in numbers: The social construction of human trafficking data. In P. Andreas and K.M. Greenhill (Eds.), </w:t>
      </w:r>
      <w:r w:rsidRPr="00E53C03">
        <w:rPr>
          <w:rFonts w:cstheme="minorBidi"/>
          <w:i/>
        </w:rPr>
        <w:t>Sex, drugs, and body counts: The politics of numbers in global crime and conflict</w:t>
      </w:r>
      <w:r w:rsidRPr="00E53C03">
        <w:rPr>
          <w:rFonts w:cstheme="minorBidi"/>
        </w:rPr>
        <w:t xml:space="preserve"> (pp. 46-74). Ithaca, NY: Cornell University. </w:t>
      </w:r>
    </w:p>
    <w:p w:rsidR="00E53C03" w:rsidRPr="00E53C03" w:rsidRDefault="00E53C03" w:rsidP="00E53C03">
      <w:pPr>
        <w:ind w:left="720" w:hanging="720"/>
        <w:contextualSpacing/>
      </w:pPr>
      <w:r w:rsidRPr="00E53C03">
        <w:t xml:space="preserve">Ferraro, K. J. (2006). </w:t>
      </w:r>
      <w:r w:rsidRPr="00E53C03">
        <w:rPr>
          <w:i/>
        </w:rPr>
        <w:t>Neither angels nor demons: Women, crime, and victimization</w:t>
      </w:r>
      <w:r w:rsidRPr="00E53C03">
        <w:t>. Boston: Northeastern University.</w:t>
      </w:r>
    </w:p>
    <w:p w:rsidR="00E53C03" w:rsidRPr="00E53C03" w:rsidRDefault="00E53C03" w:rsidP="00E53C03">
      <w:pPr>
        <w:ind w:left="720" w:hanging="720"/>
        <w:contextualSpacing/>
      </w:pPr>
      <w:r w:rsidRPr="00E53C03">
        <w:t xml:space="preserve">Fitzpatrick, J. (2003). Trafficking as a human rights violation: The complex intersection of legal frameworks for conceptualizing and combating trafficking. </w:t>
      </w:r>
      <w:r w:rsidRPr="00E53C03">
        <w:rPr>
          <w:i/>
        </w:rPr>
        <w:t>Michigan Journal of International Law</w:t>
      </w:r>
      <w:r w:rsidRPr="00E53C03">
        <w:t xml:space="preserve">, 24, 1143- 1167. </w:t>
      </w:r>
    </w:p>
    <w:p w:rsidR="00E53C03" w:rsidRPr="00E53C03" w:rsidRDefault="00E53C03" w:rsidP="00E53C03">
      <w:pPr>
        <w:ind w:left="720" w:hanging="720"/>
        <w:contextualSpacing/>
      </w:pPr>
      <w:r w:rsidRPr="00E53C03">
        <w:t xml:space="preserve">Frazier, J.W. &amp; Riesinger, M.E. (2006). The new south in perspective: Observations and commentary. In H.A. Smith and O.J. Furuseth (Eds.), </w:t>
      </w:r>
      <w:r w:rsidRPr="00E53C03">
        <w:rPr>
          <w:i/>
        </w:rPr>
        <w:t xml:space="preserve">Latinos in the new south: Transformations of place </w:t>
      </w:r>
      <w:r w:rsidRPr="00E53C03">
        <w:t>(pp. 257-283). Burlington, VT: Ashgate.</w:t>
      </w:r>
    </w:p>
    <w:p w:rsidR="00E53C03" w:rsidRPr="00E53C03" w:rsidRDefault="00E53C03" w:rsidP="00E53C03">
      <w:pPr>
        <w:ind w:left="720" w:hanging="720"/>
        <w:contextualSpacing/>
      </w:pPr>
      <w:r w:rsidRPr="00E53C03">
        <w:t xml:space="preserve">Furuseth, O.J. &amp; Smith, H.A. (2006). From Winn-Dixie to tiendas: the remaking of the new south. In H.A. Smith and O.J. Furuseth (Eds.), </w:t>
      </w:r>
      <w:r w:rsidRPr="00E53C03">
        <w:rPr>
          <w:i/>
        </w:rPr>
        <w:t xml:space="preserve">Latinos in the new south: Transformations of place </w:t>
      </w:r>
      <w:r w:rsidRPr="00E53C03">
        <w:t xml:space="preserve">(pp. 1-18). Burlington, VT: Ashgate. </w:t>
      </w:r>
    </w:p>
    <w:p w:rsidR="00E53C03" w:rsidRPr="00E53C03" w:rsidRDefault="00E53C03" w:rsidP="00E53C03">
      <w:pPr>
        <w:ind w:left="720" w:hanging="720"/>
        <w:contextualSpacing/>
      </w:pPr>
      <w:r w:rsidRPr="00E53C03">
        <w:t xml:space="preserve">Gaarder, E., Rodriguez, N., Zatz, M.S. (2004). Criers, liars, and manipulators: Probation officer’s views of girls. </w:t>
      </w:r>
      <w:r w:rsidRPr="00E53C03">
        <w:rPr>
          <w:i/>
        </w:rPr>
        <w:t>Justice Quarterly</w:t>
      </w:r>
      <w:r w:rsidRPr="00E53C03">
        <w:t xml:space="preserve">, 21(3), 547-578.  </w:t>
      </w:r>
    </w:p>
    <w:p w:rsidR="00E53C03" w:rsidRPr="00E53C03" w:rsidRDefault="00E53C03" w:rsidP="00E53C03">
      <w:pPr>
        <w:ind w:left="720" w:hanging="720"/>
        <w:contextualSpacing/>
      </w:pPr>
      <w:r w:rsidRPr="00E53C03">
        <w:t xml:space="preserve">Gathings, M.J. &amp; Parrotta, K. (2013). The use of gendered narrative in the courtroom: Constructing an identity worthy of leniency. </w:t>
      </w:r>
      <w:r w:rsidRPr="00E53C03">
        <w:rPr>
          <w:i/>
        </w:rPr>
        <w:t>Journal of Contemporary Ethnography</w:t>
      </w:r>
      <w:r w:rsidRPr="00E53C03">
        <w:t xml:space="preserve">, 42(6), 668-689). </w:t>
      </w:r>
    </w:p>
    <w:p w:rsidR="00E53C03" w:rsidRPr="00E53C03" w:rsidRDefault="00E53C03" w:rsidP="00E53C03">
      <w:pPr>
        <w:ind w:left="720" w:hanging="720"/>
        <w:contextualSpacing/>
      </w:pPr>
      <w:r w:rsidRPr="00E53C03">
        <w:t xml:space="preserve">Goffman, E. (1959). </w:t>
      </w:r>
      <w:r w:rsidRPr="00E53C03">
        <w:rPr>
          <w:i/>
        </w:rPr>
        <w:t>The presentation of self in everyday life</w:t>
      </w:r>
      <w:r w:rsidRPr="00E53C03">
        <w:t xml:space="preserve">. Garden City, NY: Anchor. </w:t>
      </w:r>
    </w:p>
    <w:p w:rsidR="00E53C03" w:rsidRPr="00E53C03" w:rsidRDefault="00E53C03" w:rsidP="00E53C03">
      <w:pPr>
        <w:ind w:left="720" w:hanging="720"/>
        <w:contextualSpacing/>
      </w:pPr>
      <w:r w:rsidRPr="00E53C03">
        <w:t xml:space="preserve">Goffman, E. (1963). </w:t>
      </w:r>
      <w:r w:rsidRPr="00E53C03">
        <w:rPr>
          <w:i/>
        </w:rPr>
        <w:t>Stigma</w:t>
      </w:r>
      <w:r w:rsidRPr="00E53C03">
        <w:t xml:space="preserve">. New York: Touchstone. </w:t>
      </w:r>
    </w:p>
    <w:p w:rsidR="00E53C03" w:rsidRPr="00E53C03" w:rsidRDefault="00E53C03" w:rsidP="00E53C03">
      <w:pPr>
        <w:ind w:left="720" w:hanging="720"/>
        <w:contextualSpacing/>
      </w:pPr>
      <w:r w:rsidRPr="00E53C03">
        <w:t xml:space="preserve">Goffman, E. (1967). </w:t>
      </w:r>
      <w:r w:rsidRPr="00E53C03">
        <w:rPr>
          <w:i/>
        </w:rPr>
        <w:t>Interaction ritual: Essays on face-to-face behavior.</w:t>
      </w:r>
      <w:r w:rsidRPr="00E53C03">
        <w:t xml:space="preserve"> New York: Pantheon. </w:t>
      </w:r>
    </w:p>
    <w:p w:rsidR="00E53C03" w:rsidRPr="00E53C03" w:rsidRDefault="00E53C03" w:rsidP="00E53C03">
      <w:pPr>
        <w:ind w:left="720" w:hanging="720"/>
        <w:contextualSpacing/>
      </w:pPr>
      <w:r w:rsidRPr="00E53C03">
        <w:t xml:space="preserve">Goodey, J. (2003). Migration, crime, and victimhood: Responses to sex trafficking in the EU. </w:t>
      </w:r>
      <w:r w:rsidRPr="00E53C03">
        <w:rPr>
          <w:i/>
        </w:rPr>
        <w:t>Punishment &amp; Society</w:t>
      </w:r>
      <w:r w:rsidRPr="00E53C03">
        <w:t xml:space="preserve">, 5(4), 415-431, </w:t>
      </w:r>
    </w:p>
    <w:p w:rsidR="00E53C03" w:rsidRPr="00E53C03" w:rsidRDefault="00E53C03" w:rsidP="00E53C03">
      <w:pPr>
        <w:ind w:left="720" w:hanging="720"/>
        <w:contextualSpacing/>
      </w:pPr>
      <w:r w:rsidRPr="00E53C03">
        <w:t xml:space="preserve">Gordon L. (1993). Women’s agency, social control, and the construction of “rights” by battered women. In S. Fisher and K. Davis (Eds.), Negotiating at the margins: The gendered discourses of power and resistance (pp. 122-144). New Brunswick, NJ: Rutgers University. </w:t>
      </w:r>
    </w:p>
    <w:p w:rsidR="00E53C03" w:rsidRPr="00E53C03" w:rsidRDefault="00E53C03" w:rsidP="00E53C03">
      <w:pPr>
        <w:ind w:left="720" w:hanging="720"/>
        <w:contextualSpacing/>
      </w:pPr>
      <w:r w:rsidRPr="00E53C03">
        <w:t xml:space="preserve">Grieco, E. (2003). The foreign born from Mexico in the United States. </w:t>
      </w:r>
      <w:r w:rsidRPr="00E53C03">
        <w:rPr>
          <w:i/>
        </w:rPr>
        <w:t>Migration Information Source</w:t>
      </w:r>
      <w:r w:rsidRPr="00E53C03">
        <w:t>. Retrieved from: http://www.migrationpolicy.org/article/foreign-born-mexico-united-states.</w:t>
      </w:r>
    </w:p>
    <w:p w:rsidR="00E53C03" w:rsidRPr="00E53C03" w:rsidRDefault="00E53C03" w:rsidP="00E53C03">
      <w:pPr>
        <w:ind w:left="720" w:hanging="720"/>
        <w:contextualSpacing/>
      </w:pPr>
      <w:r w:rsidRPr="00E53C03">
        <w:t xml:space="preserve">Gubrium, J.F. &amp; Holstein, J.A. (2009). </w:t>
      </w:r>
      <w:r w:rsidRPr="00E53C03">
        <w:rPr>
          <w:i/>
        </w:rPr>
        <w:t>Analyzing narrative reality</w:t>
      </w:r>
      <w:r w:rsidRPr="00E53C03">
        <w:t xml:space="preserve">. Los Angeles: Sage. </w:t>
      </w:r>
    </w:p>
    <w:p w:rsidR="00E53C03" w:rsidRPr="00E53C03" w:rsidRDefault="00E53C03" w:rsidP="00E53C03">
      <w:pPr>
        <w:ind w:left="720" w:hanging="720"/>
        <w:contextualSpacing/>
      </w:pPr>
      <w:r w:rsidRPr="00E53C03">
        <w:t xml:space="preserve">Harris, S.R. (2013). Studying the constructionism of social problems. In J. Best and S.R. Harris (Eds.), </w:t>
      </w:r>
      <w:r w:rsidRPr="00E53C03">
        <w:rPr>
          <w:i/>
        </w:rPr>
        <w:t>Making sense of social problems: New images, new issues</w:t>
      </w:r>
      <w:r w:rsidRPr="00E53C03">
        <w:t xml:space="preserve"> (pp. 1-10). Boulder, CO: Lynne Rienner. </w:t>
      </w:r>
    </w:p>
    <w:p w:rsidR="00E53C03" w:rsidRPr="00E53C03" w:rsidRDefault="00E53C03" w:rsidP="00E53C03">
      <w:pPr>
        <w:ind w:left="720" w:hanging="720"/>
        <w:contextualSpacing/>
      </w:pPr>
      <w:r w:rsidRPr="00E53C03">
        <w:t xml:space="preserve">Hartsough, T. (2002). Asylum for trafficked women: Escape strategies beyond the T Visa. </w:t>
      </w:r>
      <w:r w:rsidRPr="00E53C03">
        <w:rPr>
          <w:i/>
        </w:rPr>
        <w:t>Hasting’s Women’s Law Journal</w:t>
      </w:r>
      <w:r w:rsidRPr="00E53C03">
        <w:t xml:space="preserve">, 13(1), 77-116. </w:t>
      </w:r>
    </w:p>
    <w:p w:rsidR="00E53C03" w:rsidRPr="00E53C03" w:rsidRDefault="00E53C03" w:rsidP="00E53C03">
      <w:pPr>
        <w:ind w:left="720" w:hanging="720"/>
        <w:contextualSpacing/>
      </w:pPr>
      <w:r w:rsidRPr="00E53C03">
        <w:t xml:space="preserve">Haque, S. (2006). Ambiguities and confusions in migration-trafficking nexus: A developmental challenge. In K. Beeks &amp; D. Amir (Eds.), </w:t>
      </w:r>
      <w:r w:rsidRPr="00E53C03">
        <w:rPr>
          <w:i/>
        </w:rPr>
        <w:t>Trafficking and the global sex industry</w:t>
      </w:r>
      <w:r w:rsidRPr="00E53C03">
        <w:t xml:space="preserve"> (pp. 3-20). Landham, MD: Lexington.</w:t>
      </w:r>
    </w:p>
    <w:p w:rsidR="00E53C03" w:rsidRPr="00E53C03" w:rsidRDefault="00E53C03" w:rsidP="00E53C03">
      <w:pPr>
        <w:ind w:left="720" w:hanging="720"/>
        <w:contextualSpacing/>
      </w:pPr>
      <w:r w:rsidRPr="00E53C03">
        <w:t xml:space="preserve">Haynes, D.F. (2004). Used, abused, arrested, and deported: Extending immigration benefits to protect the victims of trafficking and to secure the prosecution of traffickers. </w:t>
      </w:r>
      <w:r w:rsidRPr="00E53C03">
        <w:rPr>
          <w:i/>
        </w:rPr>
        <w:t>Human Rights Quarterly</w:t>
      </w:r>
      <w:r w:rsidRPr="00E53C03">
        <w:t>, 26, 221-272.</w:t>
      </w:r>
    </w:p>
    <w:p w:rsidR="00E53C03" w:rsidRPr="00E53C03" w:rsidRDefault="00E53C03" w:rsidP="00E53C03">
      <w:pPr>
        <w:spacing w:after="200"/>
        <w:ind w:left="720" w:hanging="720"/>
        <w:contextualSpacing/>
        <w:rPr>
          <w:rFonts w:eastAsia="Calibri"/>
        </w:rPr>
      </w:pPr>
      <w:r w:rsidRPr="00E53C03">
        <w:rPr>
          <w:rFonts w:eastAsia="Calibri"/>
        </w:rPr>
        <w:t xml:space="preserve">Heiges, M. (2009). Note: From the inside out: Reforming state and local prostitution enforcement to combat sex trafficking in the United States and abroad. </w:t>
      </w:r>
      <w:r w:rsidRPr="00E53C03">
        <w:rPr>
          <w:rFonts w:eastAsia="Calibri"/>
          <w:i/>
        </w:rPr>
        <w:t>Minnesota Law Review</w:t>
      </w:r>
      <w:r w:rsidRPr="00E53C03">
        <w:rPr>
          <w:rFonts w:eastAsia="Calibri"/>
        </w:rPr>
        <w:t xml:space="preserve">, 94, 428-466. </w:t>
      </w:r>
    </w:p>
    <w:p w:rsidR="00E53C03" w:rsidRPr="00E53C03" w:rsidRDefault="00E53C03" w:rsidP="00E53C03">
      <w:pPr>
        <w:spacing w:after="200"/>
        <w:ind w:left="720" w:hanging="720"/>
        <w:contextualSpacing/>
        <w:rPr>
          <w:rFonts w:eastAsia="Calibri"/>
        </w:rPr>
      </w:pPr>
      <w:r w:rsidRPr="00E53C03">
        <w:rPr>
          <w:rFonts w:eastAsia="Calibri"/>
        </w:rPr>
        <w:t xml:space="preserve">Henderson, D. &amp; Tickmyer, A. (2009). Intersections of poverty discourses: Race, class, culture, and gender. In B.T. Hill and R.E. Zambrana (Eds.), </w:t>
      </w:r>
      <w:r w:rsidRPr="00E53C03">
        <w:rPr>
          <w:rFonts w:eastAsia="Calibri"/>
          <w:i/>
        </w:rPr>
        <w:t>Emerging intersections: Race, class, and gender in theory, policy, and practice</w:t>
      </w:r>
      <w:r w:rsidRPr="00E53C03">
        <w:rPr>
          <w:rFonts w:eastAsia="Calibri"/>
        </w:rPr>
        <w:t>. New Brunswick, NJ: Rutgers University.</w:t>
      </w:r>
    </w:p>
    <w:p w:rsidR="00E53C03" w:rsidRPr="00E53C03" w:rsidRDefault="00E53C03" w:rsidP="00E53C03">
      <w:pPr>
        <w:ind w:left="720" w:hanging="720"/>
        <w:contextualSpacing/>
      </w:pPr>
      <w:r w:rsidRPr="00E53C03">
        <w:t xml:space="preserve">Henry, S. &amp; Milovanovic, D. (1996). </w:t>
      </w:r>
      <w:r w:rsidRPr="00E53C03">
        <w:rPr>
          <w:i/>
        </w:rPr>
        <w:t>Constitutive criminology: Beyond postmodernism</w:t>
      </w:r>
      <w:r w:rsidRPr="00E53C03">
        <w:t xml:space="preserve">. Thousand Oaks, CA: Sage. </w:t>
      </w:r>
    </w:p>
    <w:p w:rsidR="00E53C03" w:rsidRPr="00E53C03" w:rsidRDefault="00E53C03" w:rsidP="00E53C03">
      <w:pPr>
        <w:ind w:left="720" w:hanging="720"/>
        <w:contextualSpacing/>
      </w:pPr>
      <w:r w:rsidRPr="00E53C03">
        <w:t xml:space="preserve">Hirschmann, N.J. (1989). Freedom, recognition, and obligation: A feminist approach to political theory. </w:t>
      </w:r>
      <w:r w:rsidRPr="00E53C03">
        <w:rPr>
          <w:i/>
        </w:rPr>
        <w:t>American Political Science Review</w:t>
      </w:r>
      <w:r w:rsidRPr="00E53C03">
        <w:t xml:space="preserve">, 83(4), 127-1244. </w:t>
      </w:r>
    </w:p>
    <w:p w:rsidR="00E53C03" w:rsidRPr="00E53C03" w:rsidRDefault="00E53C03" w:rsidP="00E53C03">
      <w:pPr>
        <w:ind w:left="720" w:hanging="720"/>
        <w:contextualSpacing/>
      </w:pPr>
      <w:r w:rsidRPr="00E53C03">
        <w:t xml:space="preserve">Holstein, J.A. &amp; Gubrium, J.F. (2000). </w:t>
      </w:r>
      <w:r w:rsidRPr="00E53C03">
        <w:rPr>
          <w:i/>
        </w:rPr>
        <w:t>The self we live by: Narrative identity in a postmodern world</w:t>
      </w:r>
      <w:r w:rsidRPr="00E53C03">
        <w:t xml:space="preserve">. New York: Oxford. </w:t>
      </w:r>
    </w:p>
    <w:p w:rsidR="00E53C03" w:rsidRPr="00E53C03" w:rsidRDefault="00E53C03" w:rsidP="00E53C03">
      <w:pPr>
        <w:ind w:left="720" w:hanging="720"/>
        <w:contextualSpacing/>
      </w:pPr>
      <w:r w:rsidRPr="00E53C03">
        <w:t xml:space="preserve">Holstein, J.A. &amp; Miller, G. (1997). Introduction: Social problems as work. In G. Miller and J.A. Holstein (Eds.), </w:t>
      </w:r>
      <w:r w:rsidRPr="00E53C03">
        <w:rPr>
          <w:i/>
        </w:rPr>
        <w:t>Social problems in everyday life: Studies of social problems work</w:t>
      </w:r>
      <w:r w:rsidRPr="00E53C03">
        <w:t xml:space="preserve"> (pp. ix-xxi). Greenwich, CT: JAI. </w:t>
      </w:r>
    </w:p>
    <w:p w:rsidR="00E53C03" w:rsidRPr="00E53C03" w:rsidRDefault="00E53C03" w:rsidP="00E53C03">
      <w:pPr>
        <w:ind w:left="720" w:hanging="720"/>
        <w:contextualSpacing/>
      </w:pPr>
      <w:r w:rsidRPr="00E53C03">
        <w:t xml:space="preserve">Holstein, J.A. &amp; Miller, G. (1997). Rethinking victimization: An interactional approach to victimology. In G. Miller and J.A. Holstein (Eds.), </w:t>
      </w:r>
      <w:r w:rsidRPr="00E53C03">
        <w:rPr>
          <w:i/>
        </w:rPr>
        <w:t>Social problems in everyday life: Studies of social problems work</w:t>
      </w:r>
      <w:r w:rsidRPr="00E53C03">
        <w:t xml:space="preserve"> (pp. 25-47). Greenwich, CT: JAI. </w:t>
      </w:r>
    </w:p>
    <w:p w:rsidR="00E53C03" w:rsidRPr="00E53C03" w:rsidRDefault="00E53C03" w:rsidP="00E53C03">
      <w:pPr>
        <w:ind w:left="720" w:hanging="720"/>
        <w:contextualSpacing/>
      </w:pPr>
      <w:r w:rsidRPr="00E53C03">
        <w:t xml:space="preserve">Hoyle, C., Bosworth, M. &amp; Dempsey, M. (2011). Labelling the victims of sex trafficking: Exploring the borderland between rhetoric and reality. </w:t>
      </w:r>
      <w:r w:rsidRPr="00E53C03">
        <w:rPr>
          <w:i/>
        </w:rPr>
        <w:t>Social &amp; Legal Studies</w:t>
      </w:r>
      <w:r w:rsidRPr="00E53C03">
        <w:t xml:space="preserve">, 20, 313-329. </w:t>
      </w:r>
    </w:p>
    <w:p w:rsidR="00E53C03" w:rsidRPr="00E53C03" w:rsidRDefault="00E53C03" w:rsidP="00E53C03">
      <w:pPr>
        <w:ind w:left="720" w:hanging="720"/>
        <w:contextualSpacing/>
      </w:pPr>
      <w:r w:rsidRPr="00E53C03">
        <w:rPr>
          <w:i/>
        </w:rPr>
        <w:t>Implementation of the Trafficking Victims Protection Act: Hearing before the Committee on International Relations, United States House of Representatives</w:t>
      </w:r>
      <w:r w:rsidRPr="00E53C03">
        <w:t>, 107</w:t>
      </w:r>
      <w:r w:rsidRPr="00E53C03">
        <w:rPr>
          <w:vertAlign w:val="superscript"/>
        </w:rPr>
        <w:t>th</w:t>
      </w:r>
      <w:r w:rsidRPr="00E53C03">
        <w:t xml:space="preserve"> Cong. 1 (2001). </w:t>
      </w:r>
    </w:p>
    <w:p w:rsidR="00E53C03" w:rsidRPr="00E53C03" w:rsidRDefault="00E53C03" w:rsidP="00E53C03">
      <w:pPr>
        <w:ind w:left="720" w:hanging="720"/>
        <w:contextualSpacing/>
      </w:pPr>
      <w:r w:rsidRPr="00E53C03">
        <w:t>International Human Rights Law Institute. (2005). In modern bondage: Sex trafficking in the Americas. Chicago: DePaul University College of Law. Retrieved from: http://www.law.depaul.edu/centers_institutes/ihrli/downloads/modern_bondage_2_edition.pdf</w:t>
      </w:r>
    </w:p>
    <w:p w:rsidR="00E53C03" w:rsidRPr="00E53C03" w:rsidRDefault="00E53C03" w:rsidP="00E53C03">
      <w:pPr>
        <w:ind w:left="720" w:hanging="720"/>
        <w:contextualSpacing/>
      </w:pPr>
      <w:r w:rsidRPr="00E53C03">
        <w:rPr>
          <w:i/>
        </w:rPr>
        <w:t>International trafficking in women and children: Hearings before the Subcommittee on Near Eastern and South Asian Affairs of the Committee on Foreign Relations, United States Senate</w:t>
      </w:r>
      <w:r w:rsidRPr="00E53C03">
        <w:t>, 106</w:t>
      </w:r>
      <w:r w:rsidRPr="00E53C03">
        <w:rPr>
          <w:vertAlign w:val="superscript"/>
        </w:rPr>
        <w:t>th</w:t>
      </w:r>
      <w:r w:rsidRPr="00E53C03">
        <w:t xml:space="preserve"> Cong. 2 (2000). </w:t>
      </w:r>
    </w:p>
    <w:p w:rsidR="00E53C03" w:rsidRPr="00E53C03" w:rsidRDefault="00E53C03" w:rsidP="00E53C03">
      <w:pPr>
        <w:ind w:left="720" w:hanging="720"/>
        <w:contextualSpacing/>
      </w:pPr>
      <w:r w:rsidRPr="00E53C03">
        <w:t xml:space="preserve">Joshi, A. (2002). The face of human trafficking. </w:t>
      </w:r>
      <w:r w:rsidRPr="00E53C03">
        <w:rPr>
          <w:i/>
        </w:rPr>
        <w:t>Hastings Women’s Law Journal</w:t>
      </w:r>
      <w:r w:rsidRPr="00E53C03">
        <w:t>, 13, 31-52.</w:t>
      </w:r>
    </w:p>
    <w:p w:rsidR="00E53C03" w:rsidRPr="00E53C03" w:rsidRDefault="00E53C03" w:rsidP="00E53C03">
      <w:pPr>
        <w:ind w:left="720" w:hanging="720"/>
        <w:contextualSpacing/>
      </w:pPr>
      <w:r w:rsidRPr="00E53C03">
        <w:t xml:space="preserve">Kadoch, L.C. (2001). Seduced by narrative: Persuasion in the courtroom. </w:t>
      </w:r>
      <w:r w:rsidRPr="00E53C03">
        <w:rPr>
          <w:i/>
        </w:rPr>
        <w:t>Drake Law Review</w:t>
      </w:r>
      <w:r w:rsidRPr="00E53C03">
        <w:t xml:space="preserve">, 49, 71-123. </w:t>
      </w:r>
    </w:p>
    <w:p w:rsidR="00E53C03" w:rsidRPr="00E53C03" w:rsidRDefault="00E53C03" w:rsidP="00E53C03">
      <w:pPr>
        <w:ind w:left="720" w:hanging="720"/>
        <w:contextualSpacing/>
      </w:pPr>
      <w:r w:rsidRPr="00E53C03">
        <w:t xml:space="preserve">Kapur, R. (2008). Migrant women and the legal politics of anti-trafficking interventions. In S. Cameron and E. Newman (Eds.), </w:t>
      </w:r>
      <w:r w:rsidRPr="00E53C03">
        <w:rPr>
          <w:i/>
        </w:rPr>
        <w:t>Trafficking in humans: Social, cultural, and political dimensions</w:t>
      </w:r>
      <w:r w:rsidRPr="00E53C03">
        <w:t xml:space="preserve"> (pp. 111-125). New York: United Nations University. </w:t>
      </w:r>
    </w:p>
    <w:p w:rsidR="00E53C03" w:rsidRPr="00E53C03" w:rsidRDefault="00E53C03" w:rsidP="00E53C03">
      <w:pPr>
        <w:ind w:left="720" w:hanging="720"/>
        <w:contextualSpacing/>
      </w:pPr>
      <w:r w:rsidRPr="00E53C03">
        <w:t xml:space="preserve">King, G. (2004). </w:t>
      </w:r>
      <w:r w:rsidRPr="00E53C03">
        <w:rPr>
          <w:i/>
        </w:rPr>
        <w:t>Woman, child for sale: The new slave trade in the 21</w:t>
      </w:r>
      <w:r w:rsidRPr="00E53C03">
        <w:rPr>
          <w:i/>
          <w:vertAlign w:val="superscript"/>
        </w:rPr>
        <w:t>st</w:t>
      </w:r>
      <w:r w:rsidRPr="00E53C03">
        <w:rPr>
          <w:i/>
        </w:rPr>
        <w:t xml:space="preserve"> century</w:t>
      </w:r>
      <w:r w:rsidRPr="00E53C03">
        <w:t xml:space="preserve">. New York: Chamberlain Brothers. </w:t>
      </w:r>
    </w:p>
    <w:p w:rsidR="00E53C03" w:rsidRPr="00E53C03" w:rsidRDefault="00E53C03" w:rsidP="00E53C03">
      <w:pPr>
        <w:ind w:left="720" w:hanging="720"/>
        <w:contextualSpacing/>
      </w:pPr>
      <w:r w:rsidRPr="00E53C03">
        <w:t xml:space="preserve">Lamb, S. (1999). Constructing the victim: Popular images and lasting labels. In S. Lamb (Ed.), </w:t>
      </w:r>
      <w:r w:rsidRPr="00E53C03">
        <w:rPr>
          <w:i/>
        </w:rPr>
        <w:t>New versions of victims: Feminists struggle with the concept</w:t>
      </w:r>
      <w:r w:rsidRPr="00E53C03">
        <w:t xml:space="preserve"> (pp. 108-138). New York: New York University. </w:t>
      </w:r>
    </w:p>
    <w:p w:rsidR="00E53C03" w:rsidRPr="00E53C03" w:rsidRDefault="00E53C03" w:rsidP="00E53C03">
      <w:pPr>
        <w:ind w:left="720" w:hanging="720"/>
        <w:contextualSpacing/>
      </w:pPr>
      <w:r w:rsidRPr="00E53C03">
        <w:t xml:space="preserve">Leidholdt, D.A. (2003). Prostitution and trafficking in women: An intimate relationship. </w:t>
      </w:r>
      <w:r w:rsidRPr="00E53C03">
        <w:rPr>
          <w:i/>
        </w:rPr>
        <w:t>Journal of Trauma Practice,</w:t>
      </w:r>
      <w:r w:rsidRPr="00E53C03">
        <w:t xml:space="preserve"> 2(3/4), 167-183. </w:t>
      </w:r>
    </w:p>
    <w:p w:rsidR="00E53C03" w:rsidRPr="00E53C03" w:rsidRDefault="00E53C03" w:rsidP="00E53C03">
      <w:pPr>
        <w:ind w:left="720" w:hanging="720"/>
        <w:contextualSpacing/>
      </w:pPr>
      <w:r w:rsidRPr="00E53C03">
        <w:t xml:space="preserve">Leidholdt, D.A. (2007). </w:t>
      </w:r>
      <w:r w:rsidRPr="00E53C03">
        <w:rPr>
          <w:i/>
        </w:rPr>
        <w:t>Successfully prosecuting sex traffickers</w:t>
      </w:r>
      <w:r w:rsidRPr="00E53C03">
        <w:t>. Testimony to One Hundred Tenth US Congress. Retrieved from:</w:t>
      </w:r>
      <w:r w:rsidRPr="00E53C03">
        <w:rPr>
          <w:rFonts w:asciiTheme="minorHAnsi" w:hAnsiTheme="minorHAnsi" w:cstheme="minorBidi"/>
          <w:sz w:val="22"/>
          <w:szCs w:val="22"/>
        </w:rPr>
        <w:t xml:space="preserve"> </w:t>
      </w:r>
      <w:r w:rsidRPr="00E53C03">
        <w:t>http://www.catwinternational.org/Home/Article/40-successfully-prosecuting-sex-traffickers</w:t>
      </w:r>
    </w:p>
    <w:p w:rsidR="00E53C03" w:rsidRPr="00E53C03" w:rsidRDefault="00E53C03" w:rsidP="00E53C03">
      <w:pPr>
        <w:ind w:left="720" w:hanging="720"/>
        <w:contextualSpacing/>
      </w:pPr>
      <w:r w:rsidRPr="00E53C03">
        <w:t xml:space="preserve">Loseke, D. R. (1992). </w:t>
      </w:r>
      <w:r w:rsidRPr="00E53C03">
        <w:rPr>
          <w:i/>
        </w:rPr>
        <w:t>Battered woman and shelters: The social construction of wife abuse</w:t>
      </w:r>
      <w:r w:rsidRPr="00E53C03">
        <w:t xml:space="preserve">. Albany, NY: State University of New York. </w:t>
      </w:r>
    </w:p>
    <w:p w:rsidR="00E53C03" w:rsidRPr="00E53C03" w:rsidRDefault="00E53C03" w:rsidP="00E53C03">
      <w:pPr>
        <w:ind w:left="720" w:hanging="720"/>
        <w:contextualSpacing/>
      </w:pPr>
      <w:r w:rsidRPr="00E53C03">
        <w:t xml:space="preserve">Loseke, D.R. (2007). The study of identity as cultural, institutional, organizational, and personal narratives: Theoretical and empirical integrations. </w:t>
      </w:r>
      <w:r w:rsidRPr="00E53C03">
        <w:rPr>
          <w:i/>
        </w:rPr>
        <w:t>The Sociological Quarterly</w:t>
      </w:r>
      <w:r w:rsidRPr="00E53C03">
        <w:t xml:space="preserve">, 48(4), 661-688. </w:t>
      </w:r>
    </w:p>
    <w:p w:rsidR="00E53C03" w:rsidRPr="00E53C03" w:rsidRDefault="00E53C03" w:rsidP="00E53C03">
      <w:pPr>
        <w:ind w:left="720" w:hanging="720"/>
        <w:contextualSpacing/>
      </w:pPr>
      <w:r w:rsidRPr="00E53C03">
        <w:t xml:space="preserve">Luibheid, E. (2002). </w:t>
      </w:r>
      <w:r w:rsidRPr="00E53C03">
        <w:rPr>
          <w:i/>
        </w:rPr>
        <w:t>Entry denied: Controlling sexuality at the border</w:t>
      </w:r>
      <w:r w:rsidRPr="00E53C03">
        <w:t xml:space="preserve">. Minneapolis: University of Minnesota. </w:t>
      </w:r>
    </w:p>
    <w:p w:rsidR="00E53C03" w:rsidRPr="00E53C03" w:rsidRDefault="00E53C03" w:rsidP="00E53C03">
      <w:pPr>
        <w:ind w:left="720" w:hanging="720"/>
        <w:contextualSpacing/>
      </w:pPr>
      <w:r w:rsidRPr="00E53C03">
        <w:t xml:space="preserve">Maeda, D.K. (2011). Transforming the representable: Asian women in anti-trafficking discourse. In D. Bergoffen, P.R. Gilbert, T. Harvey, &amp; C.L. McNeely (Eds.), </w:t>
      </w:r>
      <w:r w:rsidRPr="00E53C03">
        <w:rPr>
          <w:i/>
        </w:rPr>
        <w:t xml:space="preserve">Confronting global gender justice: Women’s lives, human rights </w:t>
      </w:r>
      <w:r w:rsidRPr="00E53C03">
        <w:t xml:space="preserve">(pp. 50-65). New York: Routledge.  </w:t>
      </w:r>
    </w:p>
    <w:p w:rsidR="00E53C03" w:rsidRPr="00E53C03" w:rsidRDefault="00E53C03" w:rsidP="00E53C03">
      <w:pPr>
        <w:ind w:left="720" w:hanging="720"/>
        <w:contextualSpacing/>
      </w:pPr>
      <w:r w:rsidRPr="00E53C03">
        <w:t xml:space="preserve">Mahoney, M.R. (1994). Victimization or oppression? Women’s lives, violence, and agency. In M.A. Fineman and R. Mykitiuk (Ed.), </w:t>
      </w:r>
      <w:r w:rsidRPr="00E53C03">
        <w:rPr>
          <w:i/>
        </w:rPr>
        <w:t>The public nature of private violence: The discovery of domestic abuse</w:t>
      </w:r>
      <w:r w:rsidRPr="00E53C03">
        <w:t xml:space="preserve">. New York: Routledge. </w:t>
      </w:r>
    </w:p>
    <w:p w:rsidR="00E53C03" w:rsidRPr="00E53C03" w:rsidRDefault="00E53C03" w:rsidP="00E53C03">
      <w:pPr>
        <w:ind w:left="720" w:hanging="720"/>
        <w:contextualSpacing/>
      </w:pPr>
      <w:r w:rsidRPr="00E53C03">
        <w:t xml:space="preserve">Marin, B.V.O., Gomez, C.A., &amp; Hearst, N. (1993). Multiple heterosexual partners and condom use among Hispanics and non-Hispanic whites. </w:t>
      </w:r>
      <w:r w:rsidRPr="00E53C03">
        <w:rPr>
          <w:i/>
        </w:rPr>
        <w:t>Family Planning Perspectives</w:t>
      </w:r>
      <w:r w:rsidRPr="00E53C03">
        <w:t xml:space="preserve">, 25(4), 170-174. </w:t>
      </w:r>
    </w:p>
    <w:p w:rsidR="00E53C03" w:rsidRPr="00E53C03" w:rsidRDefault="00E53C03" w:rsidP="00E53C03">
      <w:pPr>
        <w:ind w:left="720" w:hanging="720"/>
        <w:contextualSpacing/>
      </w:pPr>
      <w:r w:rsidRPr="00E53C03">
        <w:t xml:space="preserve">McCaul, K. (2011). Understanding courtroom communication through cultural scripts. In A. Wagner and L. Cheng (Eds.), </w:t>
      </w:r>
      <w:r w:rsidRPr="00E53C03">
        <w:rPr>
          <w:i/>
        </w:rPr>
        <w:t>Exploring courtroom discourse: The language of power and control</w:t>
      </w:r>
      <w:r w:rsidRPr="00E53C03">
        <w:t>. (pp. 11-28). Burlington, VT: Ashgate.</w:t>
      </w:r>
    </w:p>
    <w:p w:rsidR="00E53C03" w:rsidRPr="00E53C03" w:rsidRDefault="00E53C03" w:rsidP="00E53C03">
      <w:pPr>
        <w:ind w:left="720" w:hanging="720"/>
        <w:contextualSpacing/>
      </w:pPr>
      <w:r w:rsidRPr="00E53C03">
        <w:t xml:space="preserve">Miller, G. (1997). Contextualizing texts: Studying organizational texts. In G. Miller &amp; R. Dingwall, </w:t>
      </w:r>
      <w:r w:rsidRPr="00E53C03">
        <w:rPr>
          <w:i/>
        </w:rPr>
        <w:t>Context and method in qualitative research</w:t>
      </w:r>
      <w:r w:rsidRPr="00E53C03">
        <w:t xml:space="preserve"> (pp. ). Thousand Oaks, CA: Sage. </w:t>
      </w:r>
    </w:p>
    <w:p w:rsidR="00E53C03" w:rsidRPr="00E53C03" w:rsidRDefault="00E53C03" w:rsidP="00E53C03">
      <w:pPr>
        <w:ind w:left="720" w:hanging="720"/>
        <w:contextualSpacing/>
      </w:pPr>
      <w:r w:rsidRPr="00E53C03">
        <w:t xml:space="preserve">Miller, E., Decker, M.R., Silverman, J.G. &amp; Raj, A. (2007). Migration, sexual exploitation, and women’s health: A case report from a community health center. </w:t>
      </w:r>
      <w:r w:rsidRPr="00E53C03">
        <w:rPr>
          <w:i/>
        </w:rPr>
        <w:t>Violence Against Women</w:t>
      </w:r>
      <w:r w:rsidRPr="00E53C03">
        <w:t xml:space="preserve">, 13(5), 486-497. </w:t>
      </w:r>
    </w:p>
    <w:p w:rsidR="00E53C03" w:rsidRPr="00E53C03" w:rsidRDefault="00E53C03" w:rsidP="00E53C03">
      <w:pPr>
        <w:ind w:left="720" w:hanging="720"/>
        <w:contextualSpacing/>
      </w:pPr>
      <w:r w:rsidRPr="00E53C03">
        <w:t xml:space="preserve">Miriam, K. (2005). Stopping the traffic in women: Power, agency, and abolition in feminist debates over sex trafficking. </w:t>
      </w:r>
      <w:r w:rsidRPr="00E53C03">
        <w:rPr>
          <w:i/>
        </w:rPr>
        <w:t>Journal of Social Philosophy</w:t>
      </w:r>
      <w:r w:rsidRPr="00E53C03">
        <w:t>, 36(1), 1-17.</w:t>
      </w:r>
    </w:p>
    <w:p w:rsidR="00E53C03" w:rsidRPr="00E53C03" w:rsidRDefault="00E53C03" w:rsidP="00E53C03">
      <w:pPr>
        <w:ind w:left="720" w:hanging="720"/>
        <w:contextualSpacing/>
      </w:pPr>
      <w:r w:rsidRPr="00E53C03">
        <w:t xml:space="preserve">Munro, V.E. (2008). Of rights and rhetoric: Discourses of degradation and exploitation in the context of sex trafficking. </w:t>
      </w:r>
      <w:r w:rsidRPr="00E53C03">
        <w:rPr>
          <w:i/>
        </w:rPr>
        <w:t>Journal of Law and Society</w:t>
      </w:r>
      <w:r w:rsidRPr="00E53C03">
        <w:t xml:space="preserve">, 35(2), 240-264. </w:t>
      </w:r>
    </w:p>
    <w:p w:rsidR="00E53C03" w:rsidRPr="00E53C03" w:rsidRDefault="00E53C03" w:rsidP="00E53C03">
      <w:pPr>
        <w:ind w:left="720" w:hanging="720"/>
        <w:contextualSpacing/>
      </w:pPr>
      <w:r w:rsidRPr="00E53C03">
        <w:t xml:space="preserve">Neuwirth, J. (2008, June 11). </w:t>
      </w:r>
      <w:r w:rsidRPr="00E53C03">
        <w:rPr>
          <w:i/>
        </w:rPr>
        <w:t>Testimony, New York City Council</w:t>
      </w:r>
      <w:r w:rsidRPr="00E53C03">
        <w:t>. Equality Now. Retrieved from: http://www.equalitynow.org/node/954</w:t>
      </w:r>
    </w:p>
    <w:p w:rsidR="00E53C03" w:rsidRPr="00E53C03" w:rsidRDefault="00E53C03" w:rsidP="00E53C03">
      <w:pPr>
        <w:ind w:left="720" w:hanging="720"/>
        <w:contextualSpacing/>
      </w:pPr>
      <w:r w:rsidRPr="00E53C03">
        <w:t xml:space="preserve">O’Connell Davidson, J. (2010). New slavery, old binaries: Human trafficking and the borders of ‘freedom.’ </w:t>
      </w:r>
      <w:r w:rsidRPr="00E53C03">
        <w:rPr>
          <w:i/>
        </w:rPr>
        <w:t>Global Networks</w:t>
      </w:r>
      <w:r w:rsidRPr="00E53C03">
        <w:t xml:space="preserve">, 10(2), 244-261. </w:t>
      </w:r>
    </w:p>
    <w:p w:rsidR="00E53C03" w:rsidRPr="00E53C03" w:rsidRDefault="00E53C03" w:rsidP="00E53C03">
      <w:pPr>
        <w:ind w:left="720" w:hanging="720"/>
        <w:contextualSpacing/>
      </w:pPr>
      <w:r w:rsidRPr="00E53C03">
        <w:t xml:space="preserve">Office of the United States Trade Representative. (n.d.) </w:t>
      </w:r>
      <w:r w:rsidRPr="00E53C03">
        <w:rPr>
          <w:i/>
        </w:rPr>
        <w:t>North America free trade agreement</w:t>
      </w:r>
      <w:r w:rsidRPr="00E53C03">
        <w:t>. Retrieved from http://www.ustr.gov/trade-agreements/free-trade-agreements/north-american-free-trade-agreement-nafta.</w:t>
      </w:r>
    </w:p>
    <w:p w:rsidR="00E53C03" w:rsidRPr="00E53C03" w:rsidRDefault="00E53C03" w:rsidP="00E53C03">
      <w:pPr>
        <w:ind w:left="720" w:hanging="720"/>
        <w:contextualSpacing/>
      </w:pPr>
      <w:r w:rsidRPr="00E53C03">
        <w:t xml:space="preserve">Organista, K.C., Organista, P.B., Garcia de Alba, J.E., Morán, M.A.C, &amp; Carrillo, L.E.U. (1997). Survey of condom-related beliefs, behaviors, and perceived social norms in Mexican migrant laborers. </w:t>
      </w:r>
      <w:r w:rsidRPr="00E53C03">
        <w:rPr>
          <w:i/>
        </w:rPr>
        <w:t>Journal of Community Health</w:t>
      </w:r>
      <w:r w:rsidRPr="00E53C03">
        <w:t xml:space="preserve">, 22(3), 185-198. </w:t>
      </w:r>
    </w:p>
    <w:p w:rsidR="00E53C03" w:rsidRPr="00E53C03" w:rsidRDefault="00E53C03" w:rsidP="00E53C03">
      <w:pPr>
        <w:ind w:left="720" w:hanging="720"/>
        <w:contextualSpacing/>
      </w:pPr>
      <w:r w:rsidRPr="00E53C03">
        <w:t xml:space="preserve">Owen, B. (1998). </w:t>
      </w:r>
      <w:r w:rsidRPr="00E53C03">
        <w:rPr>
          <w:i/>
        </w:rPr>
        <w:t>In the mix: Struggle and survival in a women’s prison</w:t>
      </w:r>
      <w:r w:rsidRPr="00E53C03">
        <w:t xml:space="preserve">. Albany, NY: State University of New York </w:t>
      </w:r>
    </w:p>
    <w:p w:rsidR="00E53C03" w:rsidRPr="00E53C03" w:rsidRDefault="00E53C03" w:rsidP="00E53C03">
      <w:pPr>
        <w:ind w:left="720" w:hanging="720"/>
        <w:contextualSpacing/>
      </w:pPr>
      <w:r w:rsidRPr="00E53C03">
        <w:t xml:space="preserve">Peach, L. (2011). Sin, salvation, or starvation? The problematic role of religious morality in U.S. anti-sex trafficking policy. In D. Bergoffen, P.R. Gilbert, T. Harvey, &amp; C.L. McNeely (Eds.), </w:t>
      </w:r>
      <w:r w:rsidRPr="00E53C03">
        <w:rPr>
          <w:i/>
        </w:rPr>
        <w:t xml:space="preserve">Confronting global gender justice: Women’s lives, human rights </w:t>
      </w:r>
      <w:r w:rsidRPr="00E53C03">
        <w:t xml:space="preserve">(pp. 65-82). New York: Routledge. </w:t>
      </w:r>
    </w:p>
    <w:p w:rsidR="00E53C03" w:rsidRPr="00E53C03" w:rsidRDefault="00E53C03" w:rsidP="00E53C03">
      <w:pPr>
        <w:ind w:left="720" w:hanging="720"/>
        <w:contextualSpacing/>
      </w:pPr>
      <w:r w:rsidRPr="00E53C03">
        <w:t xml:space="preserve">Pearson, E. (2002). Half-hearted protection: What does victim protection really mean for victims of trafficking in Europe? Gender and Development, 10(1), 56-59. </w:t>
      </w:r>
    </w:p>
    <w:p w:rsidR="00E53C03" w:rsidRPr="00E53C03" w:rsidRDefault="00E53C03" w:rsidP="00E53C03">
      <w:pPr>
        <w:ind w:left="720" w:hanging="720"/>
        <w:contextualSpacing/>
      </w:pPr>
      <w:r w:rsidRPr="00E53C03">
        <w:t xml:space="preserve">Phillips, N. (2009). Migration as development strategy? The new political economy of dispossession and inequality in the Americas. </w:t>
      </w:r>
      <w:r w:rsidRPr="00E53C03">
        <w:rPr>
          <w:i/>
        </w:rPr>
        <w:t>Review of International Political Economy</w:t>
      </w:r>
      <w:r w:rsidRPr="00E53C03">
        <w:t xml:space="preserve">, 16(2), 231-259. </w:t>
      </w:r>
    </w:p>
    <w:p w:rsidR="00E53C03" w:rsidRPr="00E53C03" w:rsidRDefault="00E53C03" w:rsidP="00E53C03">
      <w:pPr>
        <w:ind w:left="720" w:hanging="720"/>
        <w:contextualSpacing/>
      </w:pPr>
      <w:r w:rsidRPr="00E53C03">
        <w:t xml:space="preserve">Phoenix, J. &amp; Oerton, S. (2005). </w:t>
      </w:r>
      <w:r w:rsidRPr="00E53C03">
        <w:rPr>
          <w:i/>
        </w:rPr>
        <w:t>Illicit and illegal: Sex, regulation, and social control</w:t>
      </w:r>
      <w:r w:rsidRPr="00E53C03">
        <w:t xml:space="preserve">. Portland, OR: Willan. </w:t>
      </w:r>
    </w:p>
    <w:p w:rsidR="00E53C03" w:rsidRPr="00E53C03" w:rsidRDefault="00E53C03" w:rsidP="00E53C03">
      <w:pPr>
        <w:ind w:left="720" w:hanging="720"/>
        <w:contextualSpacing/>
      </w:pPr>
      <w:r w:rsidRPr="00E53C03">
        <w:t xml:space="preserve">Portes, A. (2009). The new Latin nation: Immigration and the Latino population of the United States. In F. Ansley and J. Shefner (Eds.), </w:t>
      </w:r>
      <w:r w:rsidRPr="00E53C03">
        <w:rPr>
          <w:i/>
        </w:rPr>
        <w:t>Global connections and local receptions: New Latino immigration to the southeastern United States</w:t>
      </w:r>
      <w:r w:rsidRPr="00E53C03">
        <w:t xml:space="preserve">. Knoxville, TN: University of Tennessee. </w:t>
      </w:r>
    </w:p>
    <w:p w:rsidR="00E53C03" w:rsidRPr="00E53C03" w:rsidRDefault="00E53C03" w:rsidP="00E53C03">
      <w:pPr>
        <w:ind w:left="720" w:hanging="720"/>
        <w:contextualSpacing/>
      </w:pPr>
      <w:r w:rsidRPr="00E53C03">
        <w:t xml:space="preserve">Presser, L. (2004). Violent offenders, moral selves: Constructing identities and accounts in the research interview. </w:t>
      </w:r>
      <w:r w:rsidRPr="00E53C03">
        <w:rPr>
          <w:i/>
        </w:rPr>
        <w:t>Social Problems</w:t>
      </w:r>
      <w:r w:rsidRPr="00E53C03">
        <w:t xml:space="preserve">, 51(1), p. 82-101. </w:t>
      </w:r>
    </w:p>
    <w:p w:rsidR="00E53C03" w:rsidRPr="00E53C03" w:rsidRDefault="00E53C03" w:rsidP="00E53C03">
      <w:pPr>
        <w:ind w:left="720" w:hanging="720"/>
        <w:contextualSpacing/>
      </w:pPr>
      <w:r w:rsidRPr="00E53C03">
        <w:t xml:space="preserve">Presser, L. (2008). Been a heavy life </w:t>
      </w:r>
    </w:p>
    <w:p w:rsidR="00E53C03" w:rsidRPr="00E53C03" w:rsidRDefault="00E53C03" w:rsidP="00E53C03">
      <w:pPr>
        <w:ind w:left="720" w:hanging="720"/>
        <w:contextualSpacing/>
      </w:pPr>
      <w:r w:rsidRPr="00E53C03">
        <w:t xml:space="preserve">Presser, L. (2009). The narratives of offenders. </w:t>
      </w:r>
      <w:r w:rsidRPr="00E53C03">
        <w:rPr>
          <w:i/>
        </w:rPr>
        <w:t>Theoretical Criminology</w:t>
      </w:r>
      <w:r w:rsidRPr="00E53C03">
        <w:t xml:space="preserve">, 13(2), 177-200. </w:t>
      </w:r>
    </w:p>
    <w:p w:rsidR="00E53C03" w:rsidRPr="00E53C03" w:rsidRDefault="00E53C03" w:rsidP="00E53C03">
      <w:pPr>
        <w:ind w:left="720" w:hanging="720"/>
        <w:contextualSpacing/>
      </w:pPr>
      <w:r w:rsidRPr="00E53C03">
        <w:t xml:space="preserve">Presser, L. (2010). Collecting and analyzing the stories of offenders. </w:t>
      </w:r>
      <w:r w:rsidRPr="00E53C03">
        <w:rPr>
          <w:i/>
        </w:rPr>
        <w:t>Journal of Criminal Justice Education</w:t>
      </w:r>
      <w:r w:rsidRPr="00E53C03">
        <w:t xml:space="preserve">, 21(4), 431-446. </w:t>
      </w:r>
    </w:p>
    <w:p w:rsidR="00E53C03" w:rsidRPr="00E53C03" w:rsidRDefault="00E53C03" w:rsidP="00E53C03">
      <w:pPr>
        <w:ind w:left="720" w:hanging="720"/>
        <w:contextualSpacing/>
      </w:pPr>
      <w:r w:rsidRPr="00E53C03">
        <w:t xml:space="preserve">Price-Glynn, K. (2010). </w:t>
      </w:r>
      <w:r w:rsidRPr="00E53C03">
        <w:rPr>
          <w:i/>
        </w:rPr>
        <w:t>Strip club: Gender, power, and sex work</w:t>
      </w:r>
      <w:r w:rsidRPr="00E53C03">
        <w:t xml:space="preserve">. New York: New York University. </w:t>
      </w:r>
    </w:p>
    <w:p w:rsidR="00E53C03" w:rsidRPr="00E53C03" w:rsidRDefault="00E53C03" w:rsidP="00E53C03">
      <w:pPr>
        <w:ind w:left="720" w:hanging="720"/>
        <w:contextualSpacing/>
      </w:pPr>
      <w:r w:rsidRPr="00E53C03">
        <w:t xml:space="preserve">Quinney, R. (1970). </w:t>
      </w:r>
      <w:r w:rsidRPr="00E53C03">
        <w:rPr>
          <w:i/>
        </w:rPr>
        <w:t>The social reality of crime</w:t>
      </w:r>
      <w:r w:rsidRPr="00E53C03">
        <w:t xml:space="preserve">. Boston: Little, Brown. </w:t>
      </w:r>
    </w:p>
    <w:p w:rsidR="00E53C03" w:rsidRPr="00E53C03" w:rsidRDefault="00E53C03" w:rsidP="00E53C03">
      <w:pPr>
        <w:ind w:left="720" w:hanging="720"/>
        <w:contextualSpacing/>
      </w:pPr>
      <w:r w:rsidRPr="00E53C03">
        <w:t xml:space="preserve">Quinney, R. (1972). Who is the victim? </w:t>
      </w:r>
      <w:r w:rsidRPr="00E53C03">
        <w:rPr>
          <w:i/>
        </w:rPr>
        <w:t>Criminology</w:t>
      </w:r>
      <w:r w:rsidRPr="00E53C03">
        <w:t xml:space="preserve">, 10(3), 314-323. </w:t>
      </w:r>
    </w:p>
    <w:p w:rsidR="00E53C03" w:rsidRPr="00E53C03" w:rsidRDefault="00E53C03" w:rsidP="00E53C03">
      <w:pPr>
        <w:ind w:left="720" w:hanging="720"/>
        <w:contextualSpacing/>
      </w:pPr>
      <w:r w:rsidRPr="00E53C03">
        <w:t xml:space="preserve">Ramazanoglu, C. &amp; Holland, J. (2002). </w:t>
      </w:r>
      <w:r w:rsidRPr="00E53C03">
        <w:rPr>
          <w:i/>
        </w:rPr>
        <w:t>Feminist methodology: Challenges and choices</w:t>
      </w:r>
      <w:r w:rsidRPr="00E53C03">
        <w:t xml:space="preserve">. London: Sage. </w:t>
      </w:r>
    </w:p>
    <w:p w:rsidR="00E53C03" w:rsidRPr="00E53C03" w:rsidRDefault="00E53C03" w:rsidP="00E53C03">
      <w:pPr>
        <w:ind w:left="720" w:hanging="720"/>
        <w:contextualSpacing/>
      </w:pPr>
      <w:r w:rsidRPr="00E53C03">
        <w:t>Raymond, J.G., Hughes, D.M., &amp; Gomez, C.J. (2001). Sex trafficking of women in the United States: International and domestic trends. Retrieved from: http://action.web.ca/home/catw/attach/sex_traff_us.pdf</w:t>
      </w:r>
    </w:p>
    <w:p w:rsidR="00E53C03" w:rsidRPr="00E53C03" w:rsidRDefault="00E53C03" w:rsidP="00E53C03">
      <w:pPr>
        <w:contextualSpacing/>
      </w:pPr>
      <w:r w:rsidRPr="00E53C03">
        <w:t xml:space="preserve">Reinharz, S. (1992). </w:t>
      </w:r>
      <w:r w:rsidRPr="00E53C03">
        <w:rPr>
          <w:i/>
        </w:rPr>
        <w:t>Feminist methods in social research</w:t>
      </w:r>
      <w:r w:rsidRPr="00E53C03">
        <w:t>. New York: Oxford University.</w:t>
      </w:r>
    </w:p>
    <w:p w:rsidR="00E53C03" w:rsidRPr="00E53C03" w:rsidRDefault="00E53C03" w:rsidP="00E53C03">
      <w:pPr>
        <w:ind w:left="720" w:hanging="720"/>
        <w:contextualSpacing/>
      </w:pPr>
      <w:r w:rsidRPr="00E53C03">
        <w:t>Relph, A.J. (2011, July 11). Potent weapon to stem sex slavery often left unused. NBC News. Retrieved from: http://www.nbcnews.com/id/43611445/ns/us_news-enslaved_in_america/t/potent-weapon-stem-sex-slavery-often-left-unused/#.U20p1FePOjc</w:t>
      </w:r>
    </w:p>
    <w:p w:rsidR="00E53C03" w:rsidRPr="00E53C03" w:rsidRDefault="00E53C03" w:rsidP="00E53C03">
      <w:pPr>
        <w:ind w:left="720" w:hanging="720"/>
        <w:contextualSpacing/>
      </w:pPr>
      <w:r w:rsidRPr="00E53C03">
        <w:t xml:space="preserve">Riessman, C.K. (1990). </w:t>
      </w:r>
      <w:r w:rsidRPr="00E53C03">
        <w:rPr>
          <w:i/>
        </w:rPr>
        <w:t>Divorce talk: Women and men make sense of person relationships</w:t>
      </w:r>
      <w:r w:rsidRPr="00E53C03">
        <w:t xml:space="preserve">. New Brunswick, NJ: Rutgers University. </w:t>
      </w:r>
    </w:p>
    <w:p w:rsidR="00E53C03" w:rsidRPr="00E53C03" w:rsidRDefault="00E53C03" w:rsidP="00E53C03">
      <w:pPr>
        <w:ind w:left="720" w:hanging="720"/>
        <w:contextualSpacing/>
      </w:pPr>
      <w:r w:rsidRPr="00E53C03">
        <w:t xml:space="preserve">Riessman, C.K. (1993). </w:t>
      </w:r>
      <w:r w:rsidRPr="00E53C03">
        <w:rPr>
          <w:i/>
        </w:rPr>
        <w:t>Narrative analysis</w:t>
      </w:r>
      <w:r w:rsidRPr="00E53C03">
        <w:t xml:space="preserve">. Newbury Park, CA: Sage. </w:t>
      </w:r>
    </w:p>
    <w:p w:rsidR="00E53C03" w:rsidRPr="00E53C03" w:rsidRDefault="00E53C03" w:rsidP="00E53C03">
      <w:pPr>
        <w:ind w:left="720" w:hanging="720"/>
        <w:contextualSpacing/>
      </w:pPr>
      <w:r w:rsidRPr="00E53C03">
        <w:t xml:space="preserve">Rieger, A. (2007). Missing the mark: Why the </w:t>
      </w:r>
      <w:r w:rsidRPr="00E53C03">
        <w:rPr>
          <w:i/>
        </w:rPr>
        <w:t>Trafficking Victims Protection Act</w:t>
      </w:r>
      <w:r w:rsidRPr="00E53C03">
        <w:t xml:space="preserve"> fails to protect sex trafficking victims in the United States. </w:t>
      </w:r>
      <w:r w:rsidRPr="00E53C03">
        <w:rPr>
          <w:i/>
        </w:rPr>
        <w:t>Harvard Journal of Law &amp; Gender</w:t>
      </w:r>
      <w:r w:rsidRPr="00E53C03">
        <w:t xml:space="preserve">, 30, 231-256. </w:t>
      </w:r>
    </w:p>
    <w:p w:rsidR="00E53C03" w:rsidRPr="00E53C03" w:rsidRDefault="00E53C03" w:rsidP="00E53C03">
      <w:pPr>
        <w:ind w:left="720" w:hanging="720"/>
        <w:contextualSpacing/>
      </w:pPr>
      <w:r w:rsidRPr="00E53C03">
        <w:t xml:space="preserve">Robertson, M.A. &amp; Sgoutas, A. (2012). Thinking beyond the category of sexual identity: At the intersection of sexuality and human trafficking policy. </w:t>
      </w:r>
      <w:r w:rsidRPr="00E53C03">
        <w:rPr>
          <w:i/>
        </w:rPr>
        <w:t>Politics &amp; Gender</w:t>
      </w:r>
      <w:r w:rsidRPr="00E53C03">
        <w:t xml:space="preserve">, 8(3), 421-429. </w:t>
      </w:r>
    </w:p>
    <w:p w:rsidR="00E53C03" w:rsidRPr="00E53C03" w:rsidRDefault="00E53C03" w:rsidP="00E53C03">
      <w:pPr>
        <w:ind w:left="720" w:hanging="720"/>
        <w:contextualSpacing/>
      </w:pPr>
      <w:r w:rsidRPr="00E53C03">
        <w:t xml:space="preserve">Rodríguez Pizarro, G. (2008). Human trafficking in Latin America in the context of international migration. In S. Cameron and E. Newman (Eds.), </w:t>
      </w:r>
      <w:r w:rsidRPr="00E53C03">
        <w:rPr>
          <w:i/>
        </w:rPr>
        <w:t>Trafficking in humans: Social, cultural, and political dimensions</w:t>
      </w:r>
      <w:r w:rsidRPr="00E53C03">
        <w:t xml:space="preserve"> (pp. 206-223). New York: United Nations University. </w:t>
      </w:r>
    </w:p>
    <w:p w:rsidR="00E53C03" w:rsidRPr="00E53C03" w:rsidRDefault="00E53C03" w:rsidP="00E53C03">
      <w:pPr>
        <w:ind w:left="720" w:hanging="720"/>
        <w:contextualSpacing/>
      </w:pPr>
      <w:r w:rsidRPr="00E53C03">
        <w:t xml:space="preserve">Samarasinghe, C. (2008). </w:t>
      </w:r>
      <w:r w:rsidRPr="00E53C03">
        <w:rPr>
          <w:i/>
        </w:rPr>
        <w:t>Female sex trafficking in Asia: The resilience of patriarchy in a changing world.</w:t>
      </w:r>
      <w:r w:rsidRPr="00E53C03">
        <w:t xml:space="preserve"> New York: Routledge. </w:t>
      </w:r>
    </w:p>
    <w:p w:rsidR="00E53C03" w:rsidRPr="00E53C03" w:rsidRDefault="00E53C03" w:rsidP="00E53C03">
      <w:pPr>
        <w:ind w:left="720" w:hanging="720"/>
        <w:contextualSpacing/>
      </w:pPr>
      <w:r w:rsidRPr="00E53C03">
        <w:t xml:space="preserve">Sandberg, S. (2009). A narrative search for respect. </w:t>
      </w:r>
      <w:r w:rsidRPr="00E53C03">
        <w:rPr>
          <w:i/>
        </w:rPr>
        <w:t>Deviant Behavior</w:t>
      </w:r>
      <w:r w:rsidRPr="00E53C03">
        <w:t xml:space="preserve">, 30, 487-510. </w:t>
      </w:r>
    </w:p>
    <w:p w:rsidR="00E53C03" w:rsidRPr="00E53C03" w:rsidRDefault="00E53C03" w:rsidP="00E53C03">
      <w:pPr>
        <w:ind w:left="720" w:hanging="720"/>
        <w:contextualSpacing/>
      </w:pPr>
      <w:r w:rsidRPr="00E53C03">
        <w:t xml:space="preserve">Sandberg, S. (2010). What can ‘lies’ tell us about life? Notes towards a framework of narrative criminology. </w:t>
      </w:r>
      <w:r w:rsidRPr="00E53C03">
        <w:rPr>
          <w:i/>
        </w:rPr>
        <w:t>Journal of Criminal Justice Education</w:t>
      </w:r>
      <w:r w:rsidRPr="00E53C03">
        <w:t xml:space="preserve">, 21(4), 447-465. </w:t>
      </w:r>
    </w:p>
    <w:p w:rsidR="00E53C03" w:rsidRPr="00E53C03" w:rsidRDefault="00E53C03" w:rsidP="00E53C03">
      <w:pPr>
        <w:ind w:left="720" w:hanging="720"/>
        <w:contextualSpacing/>
      </w:pPr>
      <w:r w:rsidRPr="00E53C03">
        <w:t xml:space="preserve">Sanghera, J. (2005). Unpacking the trafficking discourse. In K. Kempadoo, J. Sanghera, and B. Pattanaik (Eds.), </w:t>
      </w:r>
      <w:r w:rsidRPr="00E53C03">
        <w:rPr>
          <w:i/>
        </w:rPr>
        <w:t>Trafficking and prostitution reconsidered: New perspectives on migration, sex work, and human rights</w:t>
      </w:r>
      <w:r w:rsidRPr="00E53C03">
        <w:t xml:space="preserve"> (pp. 3-24). Boulder, CO: Paradigm. </w:t>
      </w:r>
    </w:p>
    <w:p w:rsidR="00E53C03" w:rsidRPr="00E53C03" w:rsidRDefault="00E53C03" w:rsidP="00E53C03">
      <w:pPr>
        <w:ind w:left="720" w:hanging="720"/>
        <w:contextualSpacing/>
      </w:pPr>
      <w:r w:rsidRPr="00E53C03">
        <w:t xml:space="preserve">Schiavi, P. (2011). The construction of truth in legal decision-making. In A. Wagner and L. Cheng (Eds.), </w:t>
      </w:r>
      <w:r w:rsidRPr="00E53C03">
        <w:rPr>
          <w:i/>
        </w:rPr>
        <w:t>Exploring courtroom discourse: The language of power and control</w:t>
      </w:r>
      <w:r w:rsidRPr="00E53C03">
        <w:t>. (pp. 193-207). Burlington, VT: Ashgate.</w:t>
      </w:r>
    </w:p>
    <w:p w:rsidR="00E53C03" w:rsidRPr="00E53C03" w:rsidRDefault="00E53C03" w:rsidP="00E53C03">
      <w:pPr>
        <w:ind w:left="720" w:hanging="720"/>
        <w:contextualSpacing/>
      </w:pPr>
      <w:r w:rsidRPr="00E53C03">
        <w:t xml:space="preserve">Schneider, A. &amp; Ingram, H. (1993). Social construction of target populations: Implications for politics and policy. </w:t>
      </w:r>
      <w:r w:rsidRPr="00E53C03">
        <w:rPr>
          <w:i/>
        </w:rPr>
        <w:t>American Political Science Review</w:t>
      </w:r>
      <w:r w:rsidRPr="00E53C03">
        <w:t xml:space="preserve">, 87(2), 334-347. </w:t>
      </w:r>
    </w:p>
    <w:p w:rsidR="00E53C03" w:rsidRPr="00E53C03" w:rsidRDefault="00E53C03" w:rsidP="00E53C03">
      <w:pPr>
        <w:contextualSpacing/>
      </w:pPr>
      <w:r w:rsidRPr="00E53C03">
        <w:rPr>
          <w:rFonts w:eastAsia="Times New Roman"/>
        </w:rPr>
        <w:t xml:space="preserve">Seale, C. F. (1999). </w:t>
      </w:r>
      <w:r w:rsidRPr="00E53C03">
        <w:rPr>
          <w:rFonts w:eastAsia="Times New Roman"/>
          <w:i/>
        </w:rPr>
        <w:t>The quality of qualitative research</w:t>
      </w:r>
      <w:r w:rsidRPr="00E53C03">
        <w:rPr>
          <w:rFonts w:eastAsia="Times New Roman"/>
        </w:rPr>
        <w:t>. London: Sage</w:t>
      </w:r>
    </w:p>
    <w:p w:rsidR="00E53C03" w:rsidRPr="00E53C03" w:rsidRDefault="00E53C03" w:rsidP="00E53C03">
      <w:pPr>
        <w:ind w:left="720" w:hanging="720"/>
        <w:contextualSpacing/>
      </w:pPr>
      <w:r w:rsidRPr="00E53C03">
        <w:t xml:space="preserve">Segrave, M., Milivojevic, S., &amp; Pickering, S. (2009). </w:t>
      </w:r>
      <w:r w:rsidRPr="00E53C03">
        <w:rPr>
          <w:i/>
        </w:rPr>
        <w:t>Sex trafficking: International context and response</w:t>
      </w:r>
      <w:r w:rsidRPr="00E53C03">
        <w:t xml:space="preserve">. Portland, OR: Willan. </w:t>
      </w:r>
    </w:p>
    <w:p w:rsidR="00E53C03" w:rsidRPr="00E53C03" w:rsidRDefault="00E53C03" w:rsidP="00E53C03">
      <w:pPr>
        <w:ind w:left="720" w:hanging="720"/>
        <w:contextualSpacing/>
      </w:pPr>
      <w:r w:rsidRPr="00E53C03">
        <w:t xml:space="preserve">Shedlin, M.G., Decena, C.U., &amp; Oliver-Velez, D. (2005). Initial acculturation and HIV risk among new Hispanic immigrants. </w:t>
      </w:r>
      <w:r w:rsidRPr="00E53C03">
        <w:rPr>
          <w:i/>
        </w:rPr>
        <w:t>Journal of the National Medical Association</w:t>
      </w:r>
      <w:r w:rsidRPr="00E53C03">
        <w:t xml:space="preserve">, 97(7), 32S-37S. </w:t>
      </w:r>
    </w:p>
    <w:p w:rsidR="00E53C03" w:rsidRPr="00E53C03" w:rsidRDefault="00E53C03" w:rsidP="00E53C03">
      <w:pPr>
        <w:ind w:left="720" w:hanging="720"/>
        <w:contextualSpacing/>
      </w:pPr>
      <w:r w:rsidRPr="00E53C03">
        <w:t xml:space="preserve">Shelley, L. (2011). Human trafficking: Why is it such an important women’s issue? In D. Bergoffen, P.R. Gilbert, T. Harvey, &amp; C.L. McNeely (Eds.), </w:t>
      </w:r>
      <w:r w:rsidRPr="00E53C03">
        <w:rPr>
          <w:i/>
        </w:rPr>
        <w:t xml:space="preserve">Confronting global gender justice: Women’s lives, human rights </w:t>
      </w:r>
      <w:r w:rsidRPr="00E53C03">
        <w:t xml:space="preserve">(pp. 35-49). New York: Routledge. </w:t>
      </w:r>
    </w:p>
    <w:p w:rsidR="00E53C03" w:rsidRPr="00E53C03" w:rsidRDefault="00E53C03" w:rsidP="00E53C03">
      <w:pPr>
        <w:spacing w:after="0"/>
        <w:ind w:left="720" w:hanging="720"/>
        <w:contextualSpacing/>
        <w:rPr>
          <w:rFonts w:eastAsia="Times New Roman"/>
        </w:rPr>
      </w:pPr>
      <w:r w:rsidRPr="00E53C03">
        <w:rPr>
          <w:rFonts w:eastAsia="Times New Roman"/>
        </w:rPr>
        <w:t xml:space="preserve">Sileno, G., Boer, A., van Engers, T. (2012). Analysis of legal narrative: A conceptual framework. In B. Schäfer (Ed.), </w:t>
      </w:r>
      <w:r w:rsidRPr="00E53C03">
        <w:rPr>
          <w:rFonts w:eastAsia="Times New Roman"/>
          <w:i/>
        </w:rPr>
        <w:t>Legal Knowledge and Information Systems- JURIX 2012: The Twenty-fifth Annual Conference, University of Amsterdam, The Netherlands</w:t>
      </w:r>
      <w:r w:rsidRPr="00E53C03">
        <w:rPr>
          <w:rFonts w:eastAsia="Times New Roman"/>
        </w:rPr>
        <w:t xml:space="preserve"> (pp. 143-146). IOS Press. </w:t>
      </w:r>
    </w:p>
    <w:p w:rsidR="00E53C03" w:rsidRPr="00E53C03" w:rsidRDefault="00E53C03" w:rsidP="00E53C03">
      <w:pPr>
        <w:spacing w:after="0"/>
        <w:ind w:left="720" w:hanging="720"/>
        <w:contextualSpacing/>
        <w:rPr>
          <w:rFonts w:eastAsia="Times New Roman"/>
        </w:rPr>
      </w:pPr>
      <w:r w:rsidRPr="00E53C03">
        <w:rPr>
          <w:rFonts w:eastAsia="Times New Roman"/>
        </w:rPr>
        <w:t xml:space="preserve">Silverman, D. (1993). </w:t>
      </w:r>
      <w:r w:rsidRPr="00E53C03">
        <w:rPr>
          <w:rFonts w:eastAsia="Times New Roman"/>
          <w:i/>
        </w:rPr>
        <w:t>Interpreting qualitative data: Methods for analysing talk, text and interaction</w:t>
      </w:r>
      <w:r w:rsidRPr="00E53C03">
        <w:rPr>
          <w:rFonts w:eastAsia="Times New Roman"/>
        </w:rPr>
        <w:t>. London: Sage</w:t>
      </w:r>
    </w:p>
    <w:p w:rsidR="00E53C03" w:rsidRPr="00E53C03" w:rsidRDefault="00E53C03" w:rsidP="00E53C03">
      <w:pPr>
        <w:ind w:left="720" w:hanging="720"/>
        <w:contextualSpacing/>
      </w:pPr>
      <w:r w:rsidRPr="00E53C03">
        <w:t xml:space="preserve">Simmons, M. (1999). Theorizing prostitution: The question of agency. In B.M. Dank and R. Refinetti (Eds.), </w:t>
      </w:r>
      <w:r w:rsidRPr="00E53C03">
        <w:rPr>
          <w:i/>
        </w:rPr>
        <w:t>Sex work &amp; sex workers</w:t>
      </w:r>
      <w:r w:rsidRPr="00E53C03">
        <w:t xml:space="preserve"> (pp. 125-148). New Brunswick: NJ: Transaction. </w:t>
      </w:r>
    </w:p>
    <w:p w:rsidR="00E53C03" w:rsidRPr="00E53C03" w:rsidRDefault="00E53C03" w:rsidP="00E53C03">
      <w:pPr>
        <w:ind w:left="720" w:hanging="720"/>
        <w:contextualSpacing/>
      </w:pPr>
      <w:r w:rsidRPr="00E53C03">
        <w:t xml:space="preserve">Simpson, P. (1993). </w:t>
      </w:r>
      <w:r w:rsidRPr="00E53C03">
        <w:rPr>
          <w:i/>
        </w:rPr>
        <w:t>Language, ideology and point of view</w:t>
      </w:r>
      <w:r w:rsidRPr="00E53C03">
        <w:t xml:space="preserve">. New York: Routledge. </w:t>
      </w:r>
    </w:p>
    <w:p w:rsidR="00E53C03" w:rsidRPr="00E53C03" w:rsidRDefault="00E53C03" w:rsidP="00E53C03">
      <w:pPr>
        <w:ind w:left="720" w:hanging="720"/>
        <w:contextualSpacing/>
      </w:pPr>
      <w:r w:rsidRPr="00E53C03">
        <w:t xml:space="preserve">Skilbrei, M. (2010). Taking trafficking to court. </w:t>
      </w:r>
      <w:r w:rsidRPr="00E53C03">
        <w:rPr>
          <w:i/>
        </w:rPr>
        <w:t>Women &amp; Criminal Justice</w:t>
      </w:r>
      <w:r w:rsidRPr="00E53C03">
        <w:t xml:space="preserve">, 20, 40-56. </w:t>
      </w:r>
    </w:p>
    <w:p w:rsidR="00E53C03" w:rsidRPr="00E53C03" w:rsidRDefault="00E53C03" w:rsidP="00E53C03">
      <w:pPr>
        <w:ind w:left="720" w:hanging="720"/>
        <w:contextualSpacing/>
      </w:pPr>
      <w:r w:rsidRPr="00E53C03">
        <w:t xml:space="preserve">Srikantiah, J. (2007). Perfect victims and real survivors: The iconic victim in domestic human trafficking law. </w:t>
      </w:r>
      <w:r w:rsidRPr="00E53C03">
        <w:rPr>
          <w:i/>
        </w:rPr>
        <w:t>Boston University Law Journal</w:t>
      </w:r>
      <w:r w:rsidRPr="00E53C03">
        <w:t xml:space="preserve">, 87, 157-211. </w:t>
      </w:r>
    </w:p>
    <w:p w:rsidR="00E53C03" w:rsidRPr="00E53C03" w:rsidRDefault="00E53C03" w:rsidP="00E53C03">
      <w:pPr>
        <w:ind w:left="720" w:hanging="720"/>
        <w:contextualSpacing/>
      </w:pPr>
      <w:r w:rsidRPr="00E53C03">
        <w:t xml:space="preserve">Stratton, A.M. (2004). Courtroom narrative and findings of fact: Reconstructing their past one (cinder) black at a time. </w:t>
      </w:r>
      <w:r w:rsidRPr="00E53C03">
        <w:rPr>
          <w:i/>
        </w:rPr>
        <w:t>Quinnipiac Law Review</w:t>
      </w:r>
      <w:r w:rsidRPr="00E53C03">
        <w:t xml:space="preserve">, 22, 923-946. </w:t>
      </w:r>
    </w:p>
    <w:p w:rsidR="00E53C03" w:rsidRPr="00E53C03" w:rsidRDefault="00E53C03" w:rsidP="00E53C03">
      <w:pPr>
        <w:ind w:left="720" w:hanging="720"/>
        <w:contextualSpacing/>
      </w:pPr>
      <w:r w:rsidRPr="00E53C03">
        <w:t xml:space="preserve">Stewart, M.W., Dobbin, S.A. &amp; Gatowski, S.I. (1996). “Real” rapes and “real victims”: The shared reliance on common cultural definitions of rape. Feminist Legal Studies, IV(2), 159-177. </w:t>
      </w:r>
    </w:p>
    <w:p w:rsidR="00E53C03" w:rsidRPr="00E53C03" w:rsidRDefault="00E53C03" w:rsidP="00E53C03">
      <w:pPr>
        <w:ind w:left="720" w:hanging="720"/>
        <w:contextualSpacing/>
      </w:pPr>
      <w:r w:rsidRPr="00E53C03">
        <w:t xml:space="preserve">Stolz, B.A. (2007). Interpreting the U.S. human trafficking debate through the lens of symbolic politics. </w:t>
      </w:r>
      <w:r w:rsidRPr="00E53C03">
        <w:rPr>
          <w:i/>
        </w:rPr>
        <w:t>Law &amp; Policy</w:t>
      </w:r>
      <w:r w:rsidRPr="00E53C03">
        <w:t xml:space="preserve">, 29(3), 311- 338. </w:t>
      </w:r>
    </w:p>
    <w:p w:rsidR="00E53C03" w:rsidRPr="00E53C03" w:rsidRDefault="00E53C03" w:rsidP="00E53C03">
      <w:pPr>
        <w:ind w:left="720" w:hanging="720"/>
        <w:contextualSpacing/>
      </w:pPr>
      <w:r w:rsidRPr="00E53C03">
        <w:t xml:space="preserve">Stull, D.D. &amp; Broadway, M.J. (2004). </w:t>
      </w:r>
      <w:r w:rsidRPr="00E53C03">
        <w:rPr>
          <w:i/>
        </w:rPr>
        <w:t>Slaughterhouse blues: The meat and poultry industry in North America</w:t>
      </w:r>
      <w:r w:rsidRPr="00E53C03">
        <w:t xml:space="preserve">. Belmont, CA: Wadsworth. </w:t>
      </w:r>
    </w:p>
    <w:p w:rsidR="00E53C03" w:rsidRPr="00E53C03" w:rsidRDefault="00E53C03" w:rsidP="00E53C03">
      <w:pPr>
        <w:contextualSpacing/>
      </w:pPr>
      <w:r w:rsidRPr="00E53C03">
        <w:t>Tennessee Bureau of Investigation. (2011). Tennessee human sex trafficking and its impact on children and youth. Retrieved from: http://www.tbi.tn.gov/documents/FINALTNHumanSexTraffickingStudyColorrev2.pdf</w:t>
      </w:r>
    </w:p>
    <w:p w:rsidR="00E53C03" w:rsidRPr="00E53C03" w:rsidRDefault="00E53C03" w:rsidP="00E53C03">
      <w:pPr>
        <w:ind w:left="720" w:hanging="720"/>
        <w:contextualSpacing/>
      </w:pPr>
      <w:r w:rsidRPr="00E53C03">
        <w:t xml:space="preserve">Tomkinson, S. (2012). The multiplicity of truths about human trafficking: Beyond ‘the sex slave’ discourse. </w:t>
      </w:r>
      <w:r w:rsidRPr="00E53C03">
        <w:rPr>
          <w:i/>
        </w:rPr>
        <w:t>CEU Political Science Journal</w:t>
      </w:r>
      <w:r w:rsidRPr="00E53C03">
        <w:t>, 7(1), 50-67.</w:t>
      </w:r>
    </w:p>
    <w:p w:rsidR="00E53C03" w:rsidRPr="00E53C03" w:rsidRDefault="00E53C03" w:rsidP="00E53C03">
      <w:pPr>
        <w:ind w:left="720" w:hanging="720"/>
        <w:contextualSpacing/>
      </w:pPr>
      <w:r w:rsidRPr="00E53C03">
        <w:rPr>
          <w:i/>
        </w:rPr>
        <w:t>Trafficking Victims Protection Act of 2000, H.R. 3244.</w:t>
      </w:r>
      <w:r w:rsidRPr="00E53C03">
        <w:t xml:space="preserve"> (2000, April 13). House of Representatives, 106</w:t>
      </w:r>
      <w:r w:rsidRPr="00E53C03">
        <w:rPr>
          <w:vertAlign w:val="superscript"/>
        </w:rPr>
        <w:t>th</w:t>
      </w:r>
      <w:r w:rsidRPr="00E53C03">
        <w:t xml:space="preserve"> Cong 2d Ses. Report 106-487, Part II. </w:t>
      </w:r>
    </w:p>
    <w:p w:rsidR="00E53C03" w:rsidRPr="00E53C03" w:rsidRDefault="00E53C03" w:rsidP="00E53C03">
      <w:pPr>
        <w:ind w:left="720" w:hanging="720"/>
        <w:contextualSpacing/>
      </w:pPr>
      <w:r w:rsidRPr="00E53C03">
        <w:rPr>
          <w:i/>
        </w:rPr>
        <w:t>Trafficking Victims Protection Reauthorization Act of 2003, H.R. 2620</w:t>
      </w:r>
      <w:r w:rsidRPr="00E53C03">
        <w:t>. (2003, January, 7). 108</w:t>
      </w:r>
      <w:r w:rsidRPr="00E53C03">
        <w:rPr>
          <w:vertAlign w:val="superscript"/>
        </w:rPr>
        <w:t>th</w:t>
      </w:r>
      <w:r w:rsidRPr="00E53C03">
        <w:t xml:space="preserve"> Cong 1</w:t>
      </w:r>
      <w:r w:rsidRPr="00E53C03">
        <w:rPr>
          <w:vertAlign w:val="superscript"/>
        </w:rPr>
        <w:t>st</w:t>
      </w:r>
      <w:r w:rsidRPr="00E53C03">
        <w:t xml:space="preserve"> Ses. </w:t>
      </w:r>
    </w:p>
    <w:p w:rsidR="00E53C03" w:rsidRPr="00E53C03" w:rsidRDefault="00E53C03" w:rsidP="00E53C03">
      <w:pPr>
        <w:ind w:left="720" w:hanging="720"/>
        <w:contextualSpacing/>
      </w:pPr>
      <w:r w:rsidRPr="00E53C03">
        <w:rPr>
          <w:i/>
        </w:rPr>
        <w:t>UN Convention against Transnational Organized Crime and the Protocols Thereto</w:t>
      </w:r>
      <w:r w:rsidRPr="00E53C03">
        <w:t>. (2004). Retrieved from: http://www.unodc.org/documents/treaties/UNTOC/Publications/TOC%20Convention/TOCebook-e.pdf</w:t>
      </w:r>
    </w:p>
    <w:p w:rsidR="00E53C03" w:rsidRPr="00E53C03" w:rsidRDefault="00E53C03" w:rsidP="00E53C03">
      <w:pPr>
        <w:ind w:left="720" w:hanging="720"/>
        <w:contextualSpacing/>
      </w:pPr>
      <w:r w:rsidRPr="00E53C03">
        <w:t xml:space="preserve">UN General Assembly. (1999, June 1). </w:t>
      </w:r>
      <w:r w:rsidRPr="00E53C03">
        <w:rPr>
          <w:i/>
        </w:rPr>
        <w:t>Informal note by the United Nations High Commissioner for Human Rights</w:t>
      </w:r>
      <w:r w:rsidRPr="00E53C03">
        <w:t>. Ad Hoc Committee on the Elaboration of a Convention against Transnational Organized Crime, 4</w:t>
      </w:r>
      <w:r w:rsidRPr="00E53C03">
        <w:rPr>
          <w:vertAlign w:val="superscript"/>
        </w:rPr>
        <w:t>th</w:t>
      </w:r>
      <w:r w:rsidRPr="00E53C03">
        <w:t xml:space="preserve"> Session. UN Doc A/AC.254/16. Retrieved from: http://daccess-dds-ny.un.org/doc/UNDOC/GEN/V99/845/67/PDF/V9984567.pdf?OpenElement </w:t>
      </w:r>
    </w:p>
    <w:p w:rsidR="00E53C03" w:rsidRPr="00E53C03" w:rsidRDefault="00E53C03" w:rsidP="00E53C03">
      <w:pPr>
        <w:ind w:left="720" w:hanging="720"/>
        <w:contextualSpacing/>
      </w:pPr>
      <w:r w:rsidRPr="00E53C03">
        <w:t xml:space="preserve">US Citizenship and Immigration Services. (2010). </w:t>
      </w:r>
      <w:r w:rsidRPr="00E53C03">
        <w:rPr>
          <w:i/>
        </w:rPr>
        <w:t>Questions and answers: Victims of human trafficking, T Nonimmigrant Status</w:t>
      </w:r>
      <w:r w:rsidRPr="00E53C03">
        <w:t>. Retrieved from: http://www.uscis.gov/humanitarian/victims-human-trafficking-other-crimes/victims-human-trafficking-t-nonimmigrant-status/questions-and-answers-victims-human-trafficking-t-nonimmigrant-status</w:t>
      </w:r>
    </w:p>
    <w:p w:rsidR="00E53C03" w:rsidRPr="00E53C03" w:rsidRDefault="00E53C03" w:rsidP="00E53C03">
      <w:pPr>
        <w:ind w:left="720" w:hanging="720"/>
        <w:contextualSpacing/>
      </w:pPr>
      <w:r w:rsidRPr="00E53C03">
        <w:t>US Citizenship and Immigration Services. (2012)</w:t>
      </w:r>
      <w:r w:rsidRPr="00E53C03">
        <w:rPr>
          <w:i/>
        </w:rPr>
        <w:t>. Form I-914- Application for T Nonimmigrant Status and Form I-918- Petition for U Nonimmigrant Status Visa service-wide receipts, approvals, and denials.</w:t>
      </w:r>
      <w:r w:rsidRPr="00E53C03">
        <w:t xml:space="preserve"> Retrieved from: http://www.uscis.gov/sites/default/files/USCIS/Resources/Reports%20and%20Studies/Immigration%20Forms%20Data/Victims/I914T-I918U-visastatistics-2013-oct.pdf</w:t>
      </w:r>
    </w:p>
    <w:p w:rsidR="00E53C03" w:rsidRPr="00E53C03" w:rsidRDefault="00E53C03" w:rsidP="00E53C03">
      <w:pPr>
        <w:ind w:left="720" w:hanging="720"/>
        <w:contextualSpacing/>
      </w:pPr>
      <w:r w:rsidRPr="00E53C03">
        <w:t xml:space="preserve">US Citizenship and Immigration Services. (2014). </w:t>
      </w:r>
      <w:r w:rsidRPr="00E53C03">
        <w:rPr>
          <w:i/>
        </w:rPr>
        <w:t>I-914, Application for Nonimmigrant Status</w:t>
      </w:r>
      <w:r w:rsidRPr="00E53C03">
        <w:t>. ONB No. 1615-0099. Retrieved from: http://www.uscis.gov/sites/default/files/files/form/i-914.pdf</w:t>
      </w:r>
    </w:p>
    <w:p w:rsidR="00E53C03" w:rsidRPr="00E53C03" w:rsidRDefault="00E53C03" w:rsidP="00E53C03">
      <w:pPr>
        <w:ind w:left="720" w:hanging="720"/>
        <w:contextualSpacing/>
      </w:pPr>
      <w:r w:rsidRPr="00E53C03">
        <w:t xml:space="preserve">US Citizenship and Immigration Services. (2014). </w:t>
      </w:r>
      <w:r w:rsidRPr="00E53C03">
        <w:rPr>
          <w:i/>
        </w:rPr>
        <w:t>Number of I-914 applications for T Nonimmigrant Status (victims of severe forms of trafficking and family members) by fiscal year, quarter, and case status 2008-2014</w:t>
      </w:r>
      <w:r w:rsidRPr="00E53C03">
        <w:t>. Retrieved from: http://www.uscis.gov/sites/default/files/USCIS/Resources/Reports%20and%20Studies/Immigration%20Forms%20Data/Victims/I914t_visastatistics_fy2014qtr2.pdf</w:t>
      </w:r>
    </w:p>
    <w:p w:rsidR="00E53C03" w:rsidRPr="00E53C03" w:rsidRDefault="00E53C03" w:rsidP="00E53C03">
      <w:pPr>
        <w:ind w:left="720" w:hanging="720"/>
        <w:contextualSpacing/>
      </w:pPr>
      <w:r w:rsidRPr="00E53C03">
        <w:t xml:space="preserve">Uy, R. (2011). Blinded by red lights: Why trafficking discourse should shift away from sex and the “perfect victim” paradigm. </w:t>
      </w:r>
      <w:r w:rsidRPr="00E53C03">
        <w:rPr>
          <w:i/>
        </w:rPr>
        <w:t>Berkeley Journal of Gender, Law, &amp; Justice</w:t>
      </w:r>
      <w:r w:rsidRPr="00E53C03">
        <w:t xml:space="preserve">, 26, 204-219. </w:t>
      </w:r>
    </w:p>
    <w:p w:rsidR="00E53C03" w:rsidRPr="00E53C03" w:rsidRDefault="00E53C03" w:rsidP="00E53C03">
      <w:pPr>
        <w:ind w:left="720" w:hanging="720"/>
        <w:contextualSpacing/>
      </w:pPr>
      <w:r w:rsidRPr="00E53C03">
        <w:t xml:space="preserve">Viadro, C.I. &amp; Earp, J.A.L. (2000). The sexual behavior of married Mexican immigrant men in North Carolina. </w:t>
      </w:r>
      <w:r w:rsidRPr="00E53C03">
        <w:rPr>
          <w:i/>
        </w:rPr>
        <w:t>Social Science &amp; Medicine</w:t>
      </w:r>
      <w:r w:rsidRPr="00E53C03">
        <w:t xml:space="preserve">, 50, 723-735. </w:t>
      </w:r>
    </w:p>
    <w:p w:rsidR="00E53C03" w:rsidRPr="00E53C03" w:rsidRDefault="00E53C03" w:rsidP="00E53C03">
      <w:pPr>
        <w:ind w:left="720" w:hanging="720"/>
        <w:contextualSpacing/>
      </w:pPr>
      <w:r w:rsidRPr="00E53C03">
        <w:t xml:space="preserve">Walsh, B.W. &amp; Grossman, A.M. (2008, February 14). </w:t>
      </w:r>
      <w:r w:rsidRPr="00E53C03">
        <w:rPr>
          <w:i/>
        </w:rPr>
        <w:t>Human trafficking reauthorization would undermine existing anti-trafficking efforts and constitutional federalism</w:t>
      </w:r>
      <w:r w:rsidRPr="00E53C03">
        <w:t>. The Heritage Foundation. Retrieved from: http://www.heritage.org/research/reports/2008/02/human-trafficking-reauthorization-would-undermine-existing-anti-trafficking-efforts-and-constitutional-federalism</w:t>
      </w:r>
    </w:p>
    <w:p w:rsidR="00E53C03" w:rsidRPr="00E53C03" w:rsidRDefault="00E53C03" w:rsidP="00E53C03">
      <w:pPr>
        <w:ind w:left="720" w:hanging="720"/>
        <w:contextualSpacing/>
      </w:pPr>
      <w:r w:rsidRPr="00E53C03">
        <w:t xml:space="preserve">Warren, K. B. (2012). Troubling victim/trafficker dichotomy in efforts to combat human trafficking: The unintended consequences of moralizing labor migration. </w:t>
      </w:r>
      <w:r w:rsidRPr="00E53C03">
        <w:rPr>
          <w:i/>
        </w:rPr>
        <w:t>Indiana Journal of Global Legal Studies</w:t>
      </w:r>
      <w:r w:rsidRPr="00E53C03">
        <w:t xml:space="preserve">, 19(1), 105-120. </w:t>
      </w:r>
    </w:p>
    <w:p w:rsidR="00E53C03" w:rsidRPr="00E53C03" w:rsidRDefault="00E53C03" w:rsidP="00E53C03">
      <w:pPr>
        <w:ind w:left="720" w:hanging="720"/>
        <w:contextualSpacing/>
      </w:pPr>
      <w:r w:rsidRPr="00E53C03">
        <w:t xml:space="preserve">Weitzer, R. (2007). The social construction of sex trafficking: Ideology and institutionalization of a moral crusade. </w:t>
      </w:r>
      <w:r w:rsidRPr="00E53C03">
        <w:rPr>
          <w:i/>
        </w:rPr>
        <w:t>Politics &amp; Society</w:t>
      </w:r>
      <w:r w:rsidRPr="00E53C03">
        <w:t xml:space="preserve">, 35(3), 447-475. </w:t>
      </w:r>
    </w:p>
    <w:p w:rsidR="00E53C03" w:rsidRPr="00E53C03" w:rsidRDefault="00E53C03" w:rsidP="00E53C03">
      <w:pPr>
        <w:ind w:left="720" w:hanging="720"/>
        <w:contextualSpacing/>
      </w:pPr>
      <w:r w:rsidRPr="00E53C03">
        <w:t xml:space="preserve">Weitzer, R. (2012). Sex trafficking and the sex industry: The need for evidence-based theory and legislation. </w:t>
      </w:r>
      <w:r w:rsidRPr="00E53C03">
        <w:rPr>
          <w:i/>
        </w:rPr>
        <w:t>The Journal of Criminal Law and Criminology</w:t>
      </w:r>
      <w:r w:rsidRPr="00E53C03">
        <w:t xml:space="preserve">, 101(4), 1337-1370. </w:t>
      </w:r>
    </w:p>
    <w:p w:rsidR="00E53C03" w:rsidRPr="00E53C03" w:rsidRDefault="00E53C03" w:rsidP="00E53C03">
      <w:pPr>
        <w:ind w:left="720" w:hanging="720"/>
        <w:contextualSpacing/>
      </w:pPr>
      <w:r w:rsidRPr="00E53C03">
        <w:t xml:space="preserve">White House. (2004, September 10). </w:t>
      </w:r>
      <w:r w:rsidRPr="00E53C03">
        <w:rPr>
          <w:i/>
        </w:rPr>
        <w:t>Presidential determination with respect to foreign governments’ efforts regarding trafficking in persons</w:t>
      </w:r>
      <w:r w:rsidRPr="00E53C03">
        <w:t>. White House Press Release. Washington, DC: Office of the Press Secretary. Retrieved from: http://2001-2009.state.gov/g/tip/rls/prsrl/36127.htm</w:t>
      </w:r>
    </w:p>
    <w:p w:rsidR="00E53C03" w:rsidRPr="00E53C03" w:rsidRDefault="00E53C03" w:rsidP="00E53C03">
      <w:pPr>
        <w:ind w:left="720" w:hanging="720"/>
        <w:contextualSpacing/>
      </w:pPr>
      <w:r w:rsidRPr="00E53C03">
        <w:t xml:space="preserve">Winders, J. (2006). Placing Latino/as in the music city: Latino migration and urban transformation in Nashville, Tennessee. In H.A. Smith and O.J. Furuseth (Eds.), </w:t>
      </w:r>
      <w:r w:rsidRPr="00E53C03">
        <w:rPr>
          <w:i/>
        </w:rPr>
        <w:t xml:space="preserve">Latinos in the new south: Transformations of place </w:t>
      </w:r>
      <w:r w:rsidRPr="00E53C03">
        <w:t xml:space="preserve">(pp. 167-190). Burlington, VT: Ashgate. </w:t>
      </w:r>
    </w:p>
    <w:p w:rsidR="00E53C03" w:rsidRPr="00E53C03" w:rsidRDefault="00E53C03" w:rsidP="00E53C03">
      <w:pPr>
        <w:ind w:left="720" w:hanging="720"/>
        <w:contextualSpacing/>
      </w:pPr>
      <w:r w:rsidRPr="00E53C03">
        <w:t xml:space="preserve">Wieder, D.L. (1974). </w:t>
      </w:r>
      <w:r w:rsidRPr="00E53C03">
        <w:rPr>
          <w:i/>
        </w:rPr>
        <w:t>Language and social reality: The case of telling the convict code</w:t>
      </w:r>
      <w:r w:rsidRPr="00E53C03">
        <w:t xml:space="preserve">. Lanham, MD: University Press of America. </w:t>
      </w:r>
    </w:p>
    <w:p w:rsidR="00E53C03" w:rsidRPr="00E53C03" w:rsidRDefault="00E53C03" w:rsidP="00E53C03">
      <w:pPr>
        <w:ind w:left="720" w:hanging="720"/>
        <w:contextualSpacing/>
      </w:pPr>
      <w:r w:rsidRPr="00E53C03">
        <w:t xml:space="preserve">Winders, J. (2009). Placing Latino migration and migrant experiences in the U.S. south: The complexities of regional and local trends. In F. Ansley and J. Shefner (Eds.), </w:t>
      </w:r>
      <w:r w:rsidRPr="00E53C03">
        <w:rPr>
          <w:i/>
        </w:rPr>
        <w:t>Global connections and local receptions: New Latino immigration to the southeastern United States</w:t>
      </w:r>
      <w:r w:rsidRPr="00E53C03">
        <w:t>. Knoxville, TN: University of Tennessee.</w:t>
      </w:r>
    </w:p>
    <w:p w:rsidR="00E53C03" w:rsidRPr="00E53C03" w:rsidRDefault="00E53C03" w:rsidP="00E53C03">
      <w:pPr>
        <w:ind w:left="720" w:hanging="720"/>
        <w:contextualSpacing/>
      </w:pPr>
      <w:r w:rsidRPr="00E53C03">
        <w:t xml:space="preserve">Wood, L.A. &amp; Rennie, H. (1994). Formulating rape: The discursive construction of victims and villains. </w:t>
      </w:r>
      <w:r w:rsidRPr="00E53C03">
        <w:rPr>
          <w:i/>
        </w:rPr>
        <w:t>Discourse &amp; Society</w:t>
      </w:r>
      <w:r w:rsidRPr="00E53C03">
        <w:t xml:space="preserve">, 5(1), 125-148. </w:t>
      </w: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pPr>
    </w:p>
    <w:p w:rsidR="00E53C03" w:rsidRPr="00E53C03" w:rsidRDefault="00E53C03" w:rsidP="00E53C03">
      <w:pPr>
        <w:ind w:left="720" w:hanging="720"/>
        <w:contextualSpacing/>
        <w:jc w:val="center"/>
        <w:rPr>
          <w:b/>
          <w:smallCaps/>
          <w:sz w:val="28"/>
          <w:szCs w:val="28"/>
        </w:rPr>
      </w:pPr>
      <w:r w:rsidRPr="00E53C03">
        <w:rPr>
          <w:b/>
          <w:smallCaps/>
          <w:sz w:val="28"/>
          <w:szCs w:val="28"/>
        </w:rPr>
        <w:t>Appendices</w:t>
      </w: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r w:rsidRPr="00E53C03">
        <w:rPr>
          <w:b/>
          <w:smallCaps/>
          <w:sz w:val="28"/>
          <w:szCs w:val="28"/>
        </w:rPr>
        <w:t>Appendix A- Informed Consent Document</w:t>
      </w:r>
    </w:p>
    <w:p w:rsidR="00E53C03" w:rsidRPr="00E53C03" w:rsidRDefault="00E53C03" w:rsidP="00E53C03">
      <w:pPr>
        <w:spacing w:line="240" w:lineRule="auto"/>
        <w:contextualSpacing/>
        <w:jc w:val="center"/>
        <w:rPr>
          <w:b/>
          <w:bCs/>
        </w:rPr>
      </w:pPr>
      <w:r w:rsidRPr="00E53C03">
        <w:rPr>
          <w:b/>
          <w:bCs/>
        </w:rPr>
        <w:t xml:space="preserve">INFORMED CONSENT STATEMENT </w:t>
      </w:r>
    </w:p>
    <w:p w:rsidR="00E53C03" w:rsidRPr="00E53C03" w:rsidRDefault="00E53C03" w:rsidP="00E53C03">
      <w:pPr>
        <w:spacing w:line="240" w:lineRule="auto"/>
        <w:contextualSpacing/>
        <w:jc w:val="center"/>
        <w:rPr>
          <w:bCs/>
        </w:rPr>
      </w:pPr>
      <w:r w:rsidRPr="00E53C03">
        <w:rPr>
          <w:b/>
          <w:bCs/>
        </w:rPr>
        <w:br/>
      </w:r>
      <w:r w:rsidRPr="00E53C03">
        <w:rPr>
          <w:bCs/>
        </w:rPr>
        <w:t>A Case Study of Sex Trafficking in an Hispanic Immigrant Community</w:t>
      </w:r>
    </w:p>
    <w:p w:rsidR="00E53C03" w:rsidRPr="00E53C03" w:rsidRDefault="00E53C03" w:rsidP="00E53C03">
      <w:pPr>
        <w:spacing w:before="100" w:beforeAutospacing="1" w:after="100" w:afterAutospacing="1" w:line="240" w:lineRule="auto"/>
        <w:contextualSpacing/>
        <w:rPr>
          <w:rFonts w:eastAsia="Times New Roman"/>
        </w:rPr>
      </w:pPr>
      <w:r w:rsidRPr="00E53C03">
        <w:rPr>
          <w:rFonts w:eastAsia="Times New Roman"/>
          <w:b/>
          <w:bCs/>
        </w:rPr>
        <w:t>INTRODUCTION</w:t>
      </w:r>
      <w:r w:rsidRPr="00E53C03">
        <w:rPr>
          <w:rFonts w:eastAsia="Times New Roman"/>
          <w:b/>
        </w:rPr>
        <w:t xml:space="preserve"> </w:t>
      </w:r>
      <w:r w:rsidRPr="00E53C03">
        <w:rPr>
          <w:rFonts w:eastAsia="Times New Roman"/>
        </w:rPr>
        <w:br/>
      </w:r>
      <w:r w:rsidRPr="00E53C03">
        <w:rPr>
          <w:rFonts w:eastAsia="Times New Roman"/>
        </w:rPr>
        <w:br/>
        <w:t>You are invited to participate in a research study. Before you decide to participate in the study, it is important that you understand why the research is being conducted and what the project involves. Please take the time to read the following information carefully. Please ask the researcher if anything is unclear or you have any questions.</w:t>
      </w:r>
    </w:p>
    <w:p w:rsidR="00E53C03" w:rsidRPr="00E53C03" w:rsidRDefault="00E53C03" w:rsidP="00E53C03">
      <w:pPr>
        <w:spacing w:after="0" w:line="240" w:lineRule="auto"/>
        <w:rPr>
          <w:rFonts w:eastAsia="Times New Roman"/>
          <w:bCs/>
        </w:rPr>
      </w:pPr>
      <w:r w:rsidRPr="00E53C03">
        <w:rPr>
          <w:rFonts w:eastAsia="Times New Roman"/>
          <w:bCs/>
        </w:rPr>
        <w:t xml:space="preserve">This project is designed to explore the sex trafficking trade spanning from Latin America into the United States, specifically within the context of the East Tennessee region. Of specific concern for this project is the local socio-legal response to sex trafficking. </w:t>
      </w:r>
    </w:p>
    <w:p w:rsidR="00E53C03" w:rsidRPr="00E53C03" w:rsidRDefault="00E53C03" w:rsidP="00E53C03">
      <w:pPr>
        <w:spacing w:after="0" w:line="240" w:lineRule="auto"/>
        <w:rPr>
          <w:rFonts w:eastAsia="Times New Roman"/>
          <w:bCs/>
        </w:rPr>
      </w:pPr>
    </w:p>
    <w:p w:rsidR="00E53C03" w:rsidRPr="00E53C03" w:rsidRDefault="00E53C03" w:rsidP="00E53C03">
      <w:pPr>
        <w:spacing w:after="0" w:line="240" w:lineRule="auto"/>
        <w:rPr>
          <w:rFonts w:eastAsia="Times New Roman"/>
          <w:b/>
          <w:bCs/>
        </w:rPr>
      </w:pPr>
      <w:r w:rsidRPr="00E53C03">
        <w:rPr>
          <w:rFonts w:eastAsia="Times New Roman"/>
          <w:bCs/>
        </w:rPr>
        <w:t>This research will be based on legal records, observations of legal proceedings, interviews with local law enforcement and other criminal justice officials, defense attorneys, social service providers, and advocacy groups concerning their conceptions of the social and criminal problem of sex trafficking.</w:t>
      </w:r>
      <w:r w:rsidRPr="00E53C03">
        <w:rPr>
          <w:rFonts w:eastAsia="Times New Roman"/>
          <w:b/>
          <w:bCs/>
        </w:rPr>
        <w:t xml:space="preserve"> </w:t>
      </w:r>
      <w:r w:rsidRPr="00E53C03">
        <w:rPr>
          <w:rFonts w:eastAsia="Times New Roman"/>
          <w:bCs/>
        </w:rPr>
        <w:t xml:space="preserve"> This data will give insights into the experiences of victims of traffickers, those who traffic others, and the government actors and non-government actors who handle the crime and its consequences.</w:t>
      </w:r>
    </w:p>
    <w:p w:rsidR="00E53C03" w:rsidRPr="00E53C03" w:rsidRDefault="00E53C03" w:rsidP="00E53C03">
      <w:pPr>
        <w:spacing w:after="0" w:line="240" w:lineRule="auto"/>
        <w:rPr>
          <w:rFonts w:eastAsia="Times New Roman"/>
          <w:b/>
          <w:bCs/>
        </w:rPr>
      </w:pPr>
      <w:r w:rsidRPr="00E53C03">
        <w:rPr>
          <w:rFonts w:eastAsia="Times New Roman"/>
        </w:rPr>
        <w:br/>
      </w:r>
      <w:r w:rsidRPr="00E53C03">
        <w:rPr>
          <w:rFonts w:eastAsia="Times New Roman"/>
          <w:b/>
          <w:bCs/>
        </w:rPr>
        <w:t>INFORMATION ABOUT PARTICIPANTS' INVOLVEMENT IN THE STUDY</w:t>
      </w:r>
      <w:r w:rsidRPr="00E53C03">
        <w:rPr>
          <w:rFonts w:eastAsia="Times New Roman"/>
        </w:rPr>
        <w:t xml:space="preserve"> </w:t>
      </w:r>
      <w:r w:rsidRPr="00E53C03">
        <w:rPr>
          <w:rFonts w:eastAsia="Times New Roman"/>
        </w:rPr>
        <w:br/>
      </w:r>
      <w:r w:rsidRPr="00E53C03">
        <w:rPr>
          <w:rFonts w:eastAsia="Times New Roman"/>
        </w:rPr>
        <w:br/>
        <w:t>The interview portion of this study will be based on individual in-person interviews with participants. Each interviews will last approximately less than two (2) hours. You will be asked to allow the researcher to audio tape the interview session. You may refuse to have the interview audio-taped if you wish and the researcher will take written notes of the interview instead of audio-taping the interview.</w:t>
      </w:r>
      <w:r w:rsidRPr="00E53C03">
        <w:rPr>
          <w:rFonts w:eastAsia="Times New Roman"/>
        </w:rPr>
        <w:br/>
      </w:r>
      <w:r w:rsidRPr="00E53C03">
        <w:rPr>
          <w:rFonts w:eastAsia="Times New Roman"/>
        </w:rPr>
        <w:br/>
      </w:r>
      <w:r w:rsidRPr="00E53C03">
        <w:rPr>
          <w:rFonts w:eastAsia="Times New Roman"/>
          <w:b/>
          <w:bCs/>
        </w:rPr>
        <w:t>RISKS</w:t>
      </w:r>
      <w:r w:rsidRPr="00E53C03">
        <w:rPr>
          <w:rFonts w:eastAsia="Times New Roman"/>
        </w:rPr>
        <w:t xml:space="preserve"> </w:t>
      </w:r>
      <w:r w:rsidRPr="00E53C03">
        <w:rPr>
          <w:rFonts w:eastAsia="Times New Roman"/>
        </w:rPr>
        <w:br/>
      </w:r>
      <w:r w:rsidRPr="00E53C03">
        <w:rPr>
          <w:rFonts w:eastAsia="Times New Roman"/>
        </w:rPr>
        <w:br/>
        <w:t xml:space="preserve">The risks of participating in this study are minimal. Do not divulge any legally sensitive information or actual names of victims and maintain all attorney-client privilege. </w:t>
      </w:r>
      <w:r w:rsidRPr="00E53C03">
        <w:rPr>
          <w:rFonts w:eastAsia="Times New Roman"/>
        </w:rPr>
        <w:br/>
      </w:r>
      <w:r w:rsidRPr="00E53C03">
        <w:rPr>
          <w:rFonts w:eastAsia="Times New Roman"/>
        </w:rPr>
        <w:br/>
      </w:r>
      <w:r w:rsidRPr="00E53C03">
        <w:rPr>
          <w:rFonts w:eastAsia="Times New Roman"/>
          <w:b/>
          <w:bCs/>
        </w:rPr>
        <w:t>CONFIDENTIALITY</w:t>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 xml:space="preserve">All information from the interviews, audio files, notes from the interviews, and transcripts from the interviews will be kept confidential for participants that are not elected public officials. All interviews and data obtained from elected public officials will not be confidential and will be attributed specifically to that individual. All data from this study will be stored securely and will be made available only to persons conducting the study unless participants specifically give permission in writing to do otherwise. </w:t>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________ Participant's initials</w:t>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Local notoriety and knowledge of the case could potentially allow other to ascertain of the identity of participants, but no actual names will be revealed without written consent from the participant that is not an elected public official.</w:t>
      </w:r>
      <w:r w:rsidRPr="00E53C03">
        <w:rPr>
          <w:rFonts w:eastAsia="Times New Roman"/>
        </w:rPr>
        <w:br/>
      </w:r>
      <w:r w:rsidRPr="00E53C03">
        <w:rPr>
          <w:rFonts w:eastAsia="Times New Roman"/>
        </w:rPr>
        <w:br/>
      </w:r>
      <w:r w:rsidRPr="00E53C03">
        <w:rPr>
          <w:rFonts w:eastAsia="Times New Roman"/>
          <w:b/>
          <w:bCs/>
        </w:rPr>
        <w:t>EMERGENCY MEDICAL TREATMENT</w:t>
      </w:r>
      <w:r w:rsidRPr="00E53C03">
        <w:rPr>
          <w:rFonts w:eastAsia="Times New Roman"/>
        </w:rPr>
        <w:t xml:space="preserve"> </w:t>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 xml:space="preserve">The University of Tennessee does not "automatically" reimburse subjects for medical claims or other compensation. If physical injury is suffered in the course of research, or for more information, please notify the investigator in charge (Lauren Copley, 304-544-0770). </w:t>
      </w:r>
      <w:r w:rsidRPr="00E53C03">
        <w:rPr>
          <w:rFonts w:eastAsia="Times New Roman"/>
        </w:rPr>
        <w:br/>
      </w:r>
      <w:r w:rsidRPr="00E53C03">
        <w:rPr>
          <w:rFonts w:eastAsia="Times New Roman"/>
        </w:rPr>
        <w:br/>
      </w:r>
      <w:r w:rsidRPr="00E53C03">
        <w:rPr>
          <w:rFonts w:eastAsia="Times New Roman"/>
          <w:b/>
          <w:bCs/>
        </w:rPr>
        <w:t xml:space="preserve">CONTACT INFORMATION </w:t>
      </w:r>
      <w:r w:rsidRPr="00E53C03">
        <w:rPr>
          <w:rFonts w:eastAsia="Times New Roman"/>
        </w:rPr>
        <w:br/>
      </w:r>
      <w:r w:rsidRPr="00E53C03">
        <w:rPr>
          <w:rFonts w:eastAsia="Times New Roman"/>
        </w:rPr>
        <w:br/>
        <w:t xml:space="preserve">If you have questions at any time about the study or the procedures, (or you experience adverse effects as a result of participating in this study), you may contact the researcher, Lauren Copley, at Aconda Court 315E, and 304-544-0770. If you have questions about your rights as a participant, contact the Office of Research Compliance Officer at (865) 974-3466. </w:t>
      </w:r>
      <w:r w:rsidRPr="00E53C03">
        <w:rPr>
          <w:rFonts w:eastAsia="Times New Roman"/>
        </w:rPr>
        <w:br/>
      </w:r>
      <w:r w:rsidRPr="00E53C03">
        <w:rPr>
          <w:rFonts w:eastAsia="Times New Roman"/>
        </w:rPr>
        <w:br/>
      </w:r>
      <w:r w:rsidRPr="00E53C03">
        <w:rPr>
          <w:rFonts w:eastAsia="Times New Roman"/>
          <w:b/>
          <w:bCs/>
        </w:rPr>
        <w:t>PARTICIPATION</w:t>
      </w:r>
      <w:r w:rsidRPr="00E53C03">
        <w:rPr>
          <w:rFonts w:eastAsia="Times New Roman"/>
        </w:rPr>
        <w:t xml:space="preserve"> </w:t>
      </w:r>
      <w:r w:rsidRPr="00E53C03">
        <w:rPr>
          <w:rFonts w:eastAsia="Times New Roman"/>
        </w:rPr>
        <w:br/>
      </w:r>
      <w:r w:rsidRPr="00E53C03">
        <w:rPr>
          <w:rFonts w:eastAsia="Times New Roman"/>
        </w:rPr>
        <w:br/>
        <w:t>Your participation in this study is voluntary; you may decline to participate without penalty. If you decide to participate, you may withdraw from the study at anytime without penalty. You may refuse to answer any or all questions posed to you. If you withdraw from the study before data collection is completed your data will be returned to you or destroyed.</w:t>
      </w:r>
    </w:p>
    <w:p w:rsidR="00E53C03" w:rsidRPr="00E53C03" w:rsidRDefault="00E53C03" w:rsidP="00E53C03">
      <w:pPr>
        <w:spacing w:before="100" w:beforeAutospacing="1" w:after="100" w:afterAutospacing="1" w:line="240" w:lineRule="auto"/>
        <w:rPr>
          <w:rFonts w:eastAsia="Times New Roman"/>
          <w:b/>
        </w:rPr>
      </w:pPr>
      <w:r w:rsidRPr="00E53C03">
        <w:rPr>
          <w:rFonts w:eastAsia="Times New Roman"/>
          <w:b/>
        </w:rPr>
        <w:t>AUDIO TAPING OF INTERVIEWS</w:t>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For the purposes of collecting accurate transcribed data of the interviews from this study, the researcher wishes to audio record all interviews. You may decline to have your interview audio recorded, as this portion of the project is also voluntary. If the interview is not audio recorded, the researcher will record notes from the interview through written notes during the interview. The audio recordings of the interviews will be destroyed after they are transcribed and all identifying information will be removed in the transcription, unless you consent to be identified in the research project or are an elected public official.</w:t>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r w:rsidRPr="00E53C03">
        <w:rPr>
          <w:rFonts w:eastAsia="Times New Roman"/>
        </w:rPr>
        <w:softHyphen/>
      </w:r>
    </w:p>
    <w:p w:rsidR="00E53C03" w:rsidRPr="00E53C03" w:rsidRDefault="00E53C03" w:rsidP="00E53C03">
      <w:pPr>
        <w:spacing w:before="100" w:beforeAutospacing="1" w:after="100" w:afterAutospacing="1" w:line="240" w:lineRule="auto"/>
        <w:rPr>
          <w:rFonts w:eastAsia="Times New Roman"/>
        </w:rPr>
      </w:pPr>
    </w:p>
    <w:p w:rsidR="00E53C03" w:rsidRPr="00E53C03" w:rsidRDefault="00E53C03" w:rsidP="00E53C03">
      <w:pPr>
        <w:spacing w:before="100" w:beforeAutospacing="1" w:after="100" w:afterAutospacing="1" w:line="240" w:lineRule="auto"/>
        <w:rPr>
          <w:rFonts w:eastAsia="Times New Roman"/>
        </w:rPr>
      </w:pP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________ Participant's initials</w:t>
      </w:r>
    </w:p>
    <w:p w:rsidR="00E53C03" w:rsidRPr="00E53C03" w:rsidRDefault="00E53C03" w:rsidP="00E53C03">
      <w:pPr>
        <w:spacing w:before="100" w:beforeAutospacing="1" w:after="100" w:afterAutospacing="1" w:line="240" w:lineRule="auto"/>
        <w:rPr>
          <w:rFonts w:eastAsia="Times New Roman"/>
        </w:rPr>
      </w:pPr>
    </w:p>
    <w:p w:rsidR="00E53C03" w:rsidRPr="00E53C03" w:rsidRDefault="00E53C03" w:rsidP="00E53C03">
      <w:pPr>
        <w:spacing w:before="100" w:beforeAutospacing="1" w:after="100" w:afterAutospacing="1" w:line="240" w:lineRule="auto"/>
        <w:rPr>
          <w:rFonts w:eastAsia="Times New Roman"/>
        </w:rPr>
      </w:pP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________________________________________________________________________</w:t>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b/>
          <w:bCs/>
        </w:rPr>
        <w:t>CONSENT</w:t>
      </w:r>
      <w:r w:rsidRPr="00E53C03">
        <w:rPr>
          <w:rFonts w:eastAsia="Times New Roman"/>
        </w:rPr>
        <w:t xml:space="preserve"> </w:t>
      </w:r>
      <w:r w:rsidRPr="00E53C03">
        <w:rPr>
          <w:rFonts w:eastAsia="Times New Roman"/>
        </w:rPr>
        <w:br/>
      </w:r>
      <w:r w:rsidRPr="00E53C03">
        <w:rPr>
          <w:rFonts w:eastAsia="Times New Roman"/>
        </w:rPr>
        <w:br/>
        <w:t xml:space="preserve">I have read the above information. I have received a copy of this form. I agree to participate in this study. </w:t>
      </w:r>
      <w:r w:rsidRPr="00E53C03">
        <w:rPr>
          <w:rFonts w:eastAsia="Times New Roman"/>
        </w:rPr>
        <w:br/>
      </w:r>
      <w:r w:rsidRPr="00E53C03">
        <w:rPr>
          <w:rFonts w:eastAsia="Times New Roman"/>
        </w:rPr>
        <w:br/>
      </w:r>
      <w:r w:rsidRPr="00E53C03">
        <w:rPr>
          <w:rFonts w:eastAsia="Times New Roman"/>
        </w:rPr>
        <w:br/>
        <w:t xml:space="preserve">Participant's signature ______________________________ Date __________ </w:t>
      </w:r>
      <w:r w:rsidRPr="00E53C03">
        <w:rPr>
          <w:rFonts w:eastAsia="Times New Roman"/>
        </w:rPr>
        <w:br/>
      </w:r>
      <w:r w:rsidRPr="00E53C03">
        <w:rPr>
          <w:rFonts w:eastAsia="Times New Roman"/>
        </w:rPr>
        <w:br/>
      </w:r>
      <w:r w:rsidRPr="00E53C03">
        <w:rPr>
          <w:rFonts w:eastAsia="Times New Roman"/>
        </w:rPr>
        <w:br/>
      </w:r>
      <w:r w:rsidRPr="00E53C03">
        <w:rPr>
          <w:rFonts w:eastAsia="Times New Roman"/>
        </w:rPr>
        <w:br/>
        <w:t xml:space="preserve">Investigator's signature _____________________________ Date __________ </w:t>
      </w:r>
      <w:r w:rsidRPr="00E53C03">
        <w:rPr>
          <w:rFonts w:eastAsia="Times New Roman"/>
        </w:rPr>
        <w:br/>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I agree to have my interview audio recorded.</w:t>
      </w:r>
    </w:p>
    <w:p w:rsidR="00E53C03" w:rsidRPr="00E53C03" w:rsidRDefault="00E53C03" w:rsidP="00E53C03">
      <w:pPr>
        <w:spacing w:before="100" w:beforeAutospacing="1" w:after="100" w:afterAutospacing="1" w:line="240" w:lineRule="auto"/>
        <w:rPr>
          <w:rFonts w:eastAsia="Times New Roman"/>
        </w:rPr>
      </w:pP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 xml:space="preserve">Participant's signature ______________________________ Date __________ </w:t>
      </w:r>
    </w:p>
    <w:p w:rsidR="00E53C03" w:rsidRPr="00E53C03" w:rsidRDefault="00E53C03" w:rsidP="00E53C03">
      <w:pPr>
        <w:spacing w:before="100" w:beforeAutospacing="1" w:after="100" w:afterAutospacing="1" w:line="240" w:lineRule="auto"/>
        <w:rPr>
          <w:rFonts w:eastAsia="Times New Roman"/>
        </w:rPr>
      </w:pP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I agree to be identified by my true identity in this research project.</w:t>
      </w:r>
    </w:p>
    <w:p w:rsidR="00E53C03" w:rsidRPr="00E53C03" w:rsidRDefault="00E53C03" w:rsidP="00E53C03">
      <w:pPr>
        <w:spacing w:before="100" w:beforeAutospacing="1" w:after="100" w:afterAutospacing="1" w:line="240" w:lineRule="auto"/>
        <w:rPr>
          <w:rFonts w:eastAsia="Times New Roman"/>
        </w:rPr>
      </w:pP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t xml:space="preserve">Participant's signature ______________________________ Date __________ </w:t>
      </w:r>
      <w:r w:rsidRPr="00E53C03">
        <w:rPr>
          <w:rFonts w:eastAsia="Times New Roman"/>
        </w:rPr>
        <w:br/>
      </w:r>
      <w:r w:rsidRPr="00E53C03">
        <w:rPr>
          <w:rFonts w:eastAsia="Times New Roman"/>
        </w:rPr>
        <w:br/>
      </w:r>
    </w:p>
    <w:p w:rsidR="00E53C03" w:rsidRPr="00E53C03" w:rsidRDefault="00E53C03" w:rsidP="00E53C03">
      <w:pPr>
        <w:spacing w:before="100" w:beforeAutospacing="1" w:after="100" w:afterAutospacing="1" w:line="240" w:lineRule="auto"/>
        <w:rPr>
          <w:rFonts w:eastAsia="Times New Roman"/>
        </w:rPr>
      </w:pPr>
      <w:r w:rsidRPr="00E53C03">
        <w:rPr>
          <w:rFonts w:eastAsia="Times New Roman"/>
        </w:rPr>
        <w:br/>
      </w:r>
      <w:r w:rsidRPr="00E53C03">
        <w:rPr>
          <w:rFonts w:eastAsia="Times New Roman"/>
        </w:rPr>
        <w:br/>
      </w:r>
    </w:p>
    <w:p w:rsidR="00E53C03" w:rsidRPr="00E53C03" w:rsidRDefault="00E53C03" w:rsidP="00E53C03"/>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ind w:left="720" w:hanging="720"/>
        <w:contextualSpacing/>
        <w:jc w:val="center"/>
        <w:rPr>
          <w:b/>
          <w:smallCaps/>
          <w:sz w:val="28"/>
          <w:szCs w:val="28"/>
        </w:rPr>
      </w:pPr>
      <w:r w:rsidRPr="00E53C03">
        <w:rPr>
          <w:b/>
          <w:smallCaps/>
          <w:sz w:val="28"/>
          <w:szCs w:val="28"/>
        </w:rPr>
        <w:t>Appendix B</w:t>
      </w:r>
    </w:p>
    <w:p w:rsidR="00E53C03" w:rsidRPr="00E53C03" w:rsidRDefault="00E53C03" w:rsidP="00E53C03">
      <w:pPr>
        <w:ind w:left="720" w:hanging="720"/>
        <w:contextualSpacing/>
        <w:jc w:val="center"/>
        <w:rPr>
          <w:b/>
          <w:smallCaps/>
          <w:sz w:val="28"/>
          <w:szCs w:val="28"/>
        </w:rPr>
      </w:pPr>
      <w:r w:rsidRPr="00E53C03">
        <w:rPr>
          <w:b/>
          <w:smallCaps/>
          <w:sz w:val="28"/>
          <w:szCs w:val="28"/>
        </w:rPr>
        <w:t>List of Legal Publications, Statutes, Legislation, and Legal Documents Cited</w:t>
      </w:r>
    </w:p>
    <w:p w:rsidR="00E53C03" w:rsidRPr="00E53C03" w:rsidRDefault="00E53C03" w:rsidP="00E53C03">
      <w:pPr>
        <w:ind w:left="720" w:hanging="720"/>
        <w:contextualSpacing/>
      </w:pPr>
      <w:r w:rsidRPr="00E53C03">
        <w:t>8 U.S.C. § 1324(a)(1)(A)(ii-iii)</w:t>
      </w:r>
    </w:p>
    <w:p w:rsidR="00E53C03" w:rsidRPr="00E53C03" w:rsidRDefault="00E53C03" w:rsidP="00E53C03">
      <w:pPr>
        <w:ind w:left="720" w:hanging="720"/>
        <w:contextualSpacing/>
      </w:pPr>
      <w:r w:rsidRPr="00E53C03">
        <w:t>18 U.S.C. § 371</w:t>
      </w:r>
    </w:p>
    <w:p w:rsidR="00E53C03" w:rsidRPr="00E53C03" w:rsidRDefault="00E53C03" w:rsidP="00E53C03">
      <w:pPr>
        <w:ind w:left="720" w:hanging="720"/>
        <w:contextualSpacing/>
      </w:pPr>
      <w:r w:rsidRPr="00E53C03">
        <w:t>18 U.S.C. § 2421</w:t>
      </w:r>
    </w:p>
    <w:p w:rsidR="00E53C03" w:rsidRPr="00E53C03" w:rsidRDefault="00E53C03" w:rsidP="00E53C03">
      <w:pPr>
        <w:ind w:left="720" w:hanging="720"/>
        <w:contextualSpacing/>
      </w:pPr>
      <w:r w:rsidRPr="00E53C03">
        <w:t>18 U.S.C. § 2422(a)</w:t>
      </w:r>
    </w:p>
    <w:p w:rsidR="00E53C03" w:rsidRPr="00E53C03" w:rsidRDefault="00E53C03" w:rsidP="00E53C03">
      <w:pPr>
        <w:ind w:left="720" w:hanging="720"/>
        <w:contextualSpacing/>
      </w:pPr>
      <w:r w:rsidRPr="00E53C03">
        <w:t>18 U.S.C. § 2424</w:t>
      </w:r>
    </w:p>
    <w:p w:rsidR="00E53C03" w:rsidRPr="00E53C03" w:rsidRDefault="00E53C03" w:rsidP="00E53C03">
      <w:pPr>
        <w:ind w:left="720" w:hanging="720"/>
        <w:contextualSpacing/>
      </w:pPr>
      <w:r w:rsidRPr="00E53C03">
        <w:t>8 U.S.C. § 1324(a)(1)(A)(ii-iii)</w:t>
      </w:r>
    </w:p>
    <w:p w:rsidR="00E53C03" w:rsidRPr="00E53C03" w:rsidRDefault="00E53C03" w:rsidP="00E53C03">
      <w:pPr>
        <w:ind w:left="720" w:hanging="720"/>
        <w:contextualSpacing/>
      </w:pPr>
      <w:r w:rsidRPr="00E53C03">
        <w:t>Application and Affidavit for a Search Warrant Doc. No. 115-1, United States v. Reyna Rodriguez Rios et al., No. 2:11-cr-00041 (6</w:t>
      </w:r>
      <w:r w:rsidRPr="00E53C03">
        <w:rPr>
          <w:vertAlign w:val="superscript"/>
        </w:rPr>
        <w:t>th</w:t>
      </w:r>
      <w:r w:rsidRPr="00E53C03">
        <w:t xml:space="preserve"> Cir. July 1, 2011). </w:t>
      </w:r>
    </w:p>
    <w:p w:rsidR="00E53C03" w:rsidRPr="00E53C03" w:rsidRDefault="00E53C03" w:rsidP="00E53C03">
      <w:pPr>
        <w:ind w:left="720" w:hanging="720"/>
        <w:contextualSpacing/>
      </w:pPr>
      <w:r w:rsidRPr="00E53C03">
        <w:t>Application and Affidavit for a Search Warrant Doc. No. 116-1, United States v. Reyna Rodriguez Rios et al., No. 2:11-cr-00041 (6</w:t>
      </w:r>
      <w:r w:rsidRPr="00E53C03">
        <w:rPr>
          <w:vertAlign w:val="superscript"/>
        </w:rPr>
        <w:t>th</w:t>
      </w:r>
      <w:r w:rsidRPr="00E53C03">
        <w:t xml:space="preserve"> Cir. July 1, 2011). </w:t>
      </w:r>
    </w:p>
    <w:p w:rsidR="00E53C03" w:rsidRPr="00E53C03" w:rsidRDefault="00E53C03" w:rsidP="00E53C03">
      <w:pPr>
        <w:ind w:left="720" w:hanging="720"/>
        <w:contextualSpacing/>
      </w:pPr>
      <w:r w:rsidRPr="00E53C03">
        <w:t>Application for a Search Warrant Doc. No. 121-1, United States v. Reyna Rodriguez Rios et al., No. 2:11-cr-00041 (6</w:t>
      </w:r>
      <w:r w:rsidRPr="00E53C03">
        <w:rPr>
          <w:vertAlign w:val="superscript"/>
        </w:rPr>
        <w:t>th</w:t>
      </w:r>
      <w:r w:rsidRPr="00E53C03">
        <w:t xml:space="preserve"> Cir. July 14, 2011). </w:t>
      </w:r>
    </w:p>
    <w:p w:rsidR="00E53C03" w:rsidRPr="00E53C03" w:rsidRDefault="00E53C03" w:rsidP="00E53C03">
      <w:pPr>
        <w:ind w:left="720" w:hanging="720"/>
        <w:contextualSpacing/>
      </w:pPr>
      <w:r w:rsidRPr="00E53C03">
        <w:t>Application for a Search Warrant Doc. No. 122-1, United States v. Reyna Rodriguez Rios et al., No. 2:11-cr-00041 (6</w:t>
      </w:r>
      <w:r w:rsidRPr="00E53C03">
        <w:rPr>
          <w:vertAlign w:val="superscript"/>
        </w:rPr>
        <w:t>th</w:t>
      </w:r>
      <w:r w:rsidRPr="00E53C03">
        <w:t xml:space="preserve"> Cir. July 15, 2011). </w:t>
      </w:r>
    </w:p>
    <w:p w:rsidR="00E53C03" w:rsidRPr="00E53C03" w:rsidRDefault="00E53C03" w:rsidP="00E53C03">
      <w:pPr>
        <w:ind w:left="720" w:hanging="720"/>
        <w:contextualSpacing/>
      </w:pPr>
      <w:r w:rsidRPr="00E53C03">
        <w:t>Criminal Complaint Doc. No. 1, United States v. Selvin Salvador Perdomo, No. 3:10-cr-00097 (6</w:t>
      </w:r>
      <w:r w:rsidRPr="00E53C03">
        <w:rPr>
          <w:vertAlign w:val="superscript"/>
        </w:rPr>
        <w:t>th</w:t>
      </w:r>
      <w:r w:rsidRPr="00E53C03">
        <w:t xml:space="preserve"> Cir. July 14, 2010). </w:t>
      </w:r>
    </w:p>
    <w:p w:rsidR="00E53C03" w:rsidRPr="00E53C03" w:rsidRDefault="00E53C03" w:rsidP="00E53C03">
      <w:pPr>
        <w:ind w:left="720" w:hanging="720"/>
        <w:contextualSpacing/>
      </w:pPr>
      <w:r w:rsidRPr="00E53C03">
        <w:t>Gov. Ex. No. 1, United States v. Eusebio Flores Martinez, No. 2:11-cr-00041-002 (6</w:t>
      </w:r>
      <w:r w:rsidRPr="00E53C03">
        <w:rPr>
          <w:vertAlign w:val="superscript"/>
        </w:rPr>
        <w:t>th</w:t>
      </w:r>
      <w:r w:rsidRPr="00E53C03">
        <w:t xml:space="preserve"> Cir May 3, 2012).</w:t>
      </w:r>
    </w:p>
    <w:p w:rsidR="00E53C03" w:rsidRPr="00E53C03" w:rsidRDefault="00E53C03" w:rsidP="00E53C03">
      <w:pPr>
        <w:ind w:left="720" w:hanging="720"/>
        <w:contextualSpacing/>
      </w:pPr>
      <w:r w:rsidRPr="00E53C03">
        <w:t>Gov. Ex. No. 2, United States v. Eusebio Flores Martinez, No. 2:11-cr-00041-002 (6</w:t>
      </w:r>
      <w:r w:rsidRPr="00E53C03">
        <w:rPr>
          <w:vertAlign w:val="superscript"/>
        </w:rPr>
        <w:t>th</w:t>
      </w:r>
      <w:r w:rsidRPr="00E53C03">
        <w:t xml:space="preserve"> Cir May 3, 2012).</w:t>
      </w:r>
    </w:p>
    <w:p w:rsidR="00E53C03" w:rsidRPr="00E53C03" w:rsidRDefault="00E53C03" w:rsidP="00E53C03">
      <w:pPr>
        <w:ind w:left="720" w:hanging="720"/>
        <w:contextualSpacing/>
      </w:pPr>
      <w:r w:rsidRPr="00E53C03">
        <w:t>Gov. Ex. No. 3, United States v. Eusebio Flores Martinez, No. 2:11-cr-00041-002 (6</w:t>
      </w:r>
      <w:r w:rsidRPr="00E53C03">
        <w:rPr>
          <w:vertAlign w:val="superscript"/>
        </w:rPr>
        <w:t>th</w:t>
      </w:r>
      <w:r w:rsidRPr="00E53C03">
        <w:t xml:space="preserve"> Cir May 3, 2012).</w:t>
      </w:r>
    </w:p>
    <w:p w:rsidR="00E53C03" w:rsidRPr="00E53C03" w:rsidRDefault="00E53C03" w:rsidP="00E53C03">
      <w:pPr>
        <w:ind w:left="720" w:hanging="720"/>
        <w:contextualSpacing/>
      </w:pPr>
      <w:r w:rsidRPr="00E53C03">
        <w:t>Gov. Ex. No. 3, United States v. Reyna Rodriguez Rios, No. 2:11-cr-00041-001 (6</w:t>
      </w:r>
      <w:r w:rsidRPr="00E53C03">
        <w:rPr>
          <w:vertAlign w:val="superscript"/>
        </w:rPr>
        <w:t>th</w:t>
      </w:r>
      <w:r w:rsidRPr="00E53C03">
        <w:t xml:space="preserve"> Cir May 3, 2012). </w:t>
      </w:r>
    </w:p>
    <w:p w:rsidR="00E53C03" w:rsidRPr="00E53C03" w:rsidRDefault="00E53C03" w:rsidP="00E53C03">
      <w:pPr>
        <w:ind w:left="720" w:hanging="720"/>
        <w:contextualSpacing/>
      </w:pPr>
      <w:r w:rsidRPr="00E53C03">
        <w:t>Gov. Ex. No. 4, United States v. Reyna Rodriguez Rios, No. 2:11-cr-00041-001 (6</w:t>
      </w:r>
      <w:r w:rsidRPr="00E53C03">
        <w:rPr>
          <w:vertAlign w:val="superscript"/>
        </w:rPr>
        <w:t>th</w:t>
      </w:r>
      <w:r w:rsidRPr="00E53C03">
        <w:t xml:space="preserve"> Cir May 3, 2012). </w:t>
      </w:r>
    </w:p>
    <w:p w:rsidR="00E53C03" w:rsidRPr="00E53C03" w:rsidRDefault="00E53C03" w:rsidP="00E53C03">
      <w:pPr>
        <w:ind w:left="720" w:hanging="720"/>
        <w:contextualSpacing/>
      </w:pPr>
      <w:r w:rsidRPr="00E53C03">
        <w:t>Gov. Ex. No. 5, United States v. Reyna Rodriguez Rios, No. 2:11-cr-00041-001 (6</w:t>
      </w:r>
      <w:r w:rsidRPr="00E53C03">
        <w:rPr>
          <w:vertAlign w:val="superscript"/>
        </w:rPr>
        <w:t>th</w:t>
      </w:r>
      <w:r w:rsidRPr="00E53C03">
        <w:t xml:space="preserve"> Cir May 3, 2012). </w:t>
      </w:r>
    </w:p>
    <w:p w:rsidR="00E53C03" w:rsidRPr="00E53C03" w:rsidRDefault="00E53C03" w:rsidP="00E53C03">
      <w:pPr>
        <w:ind w:left="720" w:hanging="720"/>
        <w:contextualSpacing/>
      </w:pPr>
      <w:r w:rsidRPr="00E53C03">
        <w:t>Gov. Ex. No. 4, United States v. Reyna Rodriguez Rios, No. 2:11-cr-00041-001 (6</w:t>
      </w:r>
      <w:r w:rsidRPr="00E53C03">
        <w:rPr>
          <w:vertAlign w:val="superscript"/>
        </w:rPr>
        <w:t>th</w:t>
      </w:r>
      <w:r w:rsidRPr="00E53C03">
        <w:t xml:space="preserve"> Cir May 3, 2012). </w:t>
      </w:r>
    </w:p>
    <w:p w:rsidR="00E53C03" w:rsidRPr="00E53C03" w:rsidRDefault="00E53C03" w:rsidP="00E53C03">
      <w:pPr>
        <w:ind w:left="720" w:hanging="720"/>
        <w:contextualSpacing/>
      </w:pPr>
      <w:r w:rsidRPr="00E53C03">
        <w:t>Gov. Ex. No. 7, United States v. Rubio Trinidad Narciso, No. 2:11-cr-00041-005 (6</w:t>
      </w:r>
      <w:r w:rsidRPr="00E53C03">
        <w:rPr>
          <w:vertAlign w:val="superscript"/>
        </w:rPr>
        <w:t>th</w:t>
      </w:r>
      <w:r w:rsidRPr="00E53C03">
        <w:t xml:space="preserve"> Cir. ).</w:t>
      </w:r>
    </w:p>
    <w:p w:rsidR="00E53C03" w:rsidRPr="00E53C03" w:rsidRDefault="00E53C03" w:rsidP="00E53C03">
      <w:pPr>
        <w:ind w:left="720" w:hanging="720"/>
        <w:contextualSpacing/>
      </w:pPr>
      <w:r w:rsidRPr="00E53C03">
        <w:t>Gov. Ex. No. 6, United States v. Esthela Silfa Vasquez, No. 2:11-cr-00041-005 (6</w:t>
      </w:r>
      <w:r w:rsidRPr="00E53C03">
        <w:rPr>
          <w:vertAlign w:val="superscript"/>
        </w:rPr>
        <w:t>th</w:t>
      </w:r>
      <w:r w:rsidRPr="00E53C03">
        <w:t xml:space="preserve"> Cir. April 5, 2012).</w:t>
      </w:r>
    </w:p>
    <w:p w:rsidR="00E53C03" w:rsidRPr="00E53C03" w:rsidRDefault="00E53C03" w:rsidP="00E53C03">
      <w:pPr>
        <w:ind w:left="720" w:hanging="720"/>
        <w:contextualSpacing/>
      </w:pPr>
      <w:r w:rsidRPr="00E53C03">
        <w:t>Gov. Ex. No. 7, United States v. Esthela Silfa Vasquez, No. 2:11-cr-00041-005 (6</w:t>
      </w:r>
      <w:r w:rsidRPr="00E53C03">
        <w:rPr>
          <w:vertAlign w:val="superscript"/>
        </w:rPr>
        <w:t>th</w:t>
      </w:r>
      <w:r w:rsidRPr="00E53C03">
        <w:t xml:space="preserve"> Cir. April 5, 2012).</w:t>
      </w:r>
    </w:p>
    <w:p w:rsidR="00E53C03" w:rsidRPr="00E53C03" w:rsidRDefault="00E53C03" w:rsidP="00E53C03">
      <w:pPr>
        <w:ind w:left="720" w:hanging="720"/>
        <w:contextualSpacing/>
      </w:pPr>
      <w:r w:rsidRPr="00E53C03">
        <w:t>Gov. Ex. No. 8, United States v. Esthela Silfa Vasquez, No. 2:11-cr-00041-005 (6</w:t>
      </w:r>
      <w:r w:rsidRPr="00E53C03">
        <w:rPr>
          <w:vertAlign w:val="superscript"/>
        </w:rPr>
        <w:t>th</w:t>
      </w:r>
      <w:r w:rsidRPr="00E53C03">
        <w:t xml:space="preserve"> Cir. April 5, 2012).</w:t>
      </w:r>
    </w:p>
    <w:p w:rsidR="00E53C03" w:rsidRPr="00E53C03" w:rsidRDefault="00E53C03" w:rsidP="00E53C03">
      <w:pPr>
        <w:ind w:left="720" w:hanging="720"/>
        <w:contextualSpacing/>
      </w:pPr>
      <w:r w:rsidRPr="00E53C03">
        <w:t>Indictment Doc. No. 7 United States v. Reyna Rodriguez Rios et al., No. 2:11-cr-00041 (6</w:t>
      </w:r>
      <w:r w:rsidRPr="00E53C03">
        <w:rPr>
          <w:vertAlign w:val="superscript"/>
        </w:rPr>
        <w:t>th</w:t>
      </w:r>
      <w:r w:rsidRPr="00E53C03">
        <w:t xml:space="preserve"> Cir. May 3, 2011).</w:t>
      </w:r>
    </w:p>
    <w:p w:rsidR="00E53C03" w:rsidRPr="00E53C03" w:rsidRDefault="00E53C03" w:rsidP="00E53C03">
      <w:pPr>
        <w:ind w:left="720" w:hanging="720"/>
        <w:contextualSpacing/>
      </w:pPr>
      <w:r w:rsidRPr="00E53C03">
        <w:t>Letter Doc. No. 265-1, United States v. Reyna Rodriguez Rios et al., No. 2:11-cr-00041 (6</w:t>
      </w:r>
      <w:r w:rsidRPr="00E53C03">
        <w:rPr>
          <w:vertAlign w:val="superscript"/>
        </w:rPr>
        <w:t>th</w:t>
      </w:r>
      <w:r w:rsidRPr="00E53C03">
        <w:t xml:space="preserve"> Cir. April 4, 2012).</w:t>
      </w:r>
    </w:p>
    <w:p w:rsidR="00E53C03" w:rsidRPr="00E53C03" w:rsidRDefault="00E53C03" w:rsidP="00E53C03">
      <w:pPr>
        <w:ind w:left="720" w:hanging="720"/>
        <w:contextualSpacing/>
      </w:pPr>
      <w:r w:rsidRPr="00E53C03">
        <w:t>Life History of Elda Dorali Moreno Ramirez Doc. No. 191-1, United States v. Reyna Rodriguez Rios et al., No. 2:11-cr-00041 (6</w:t>
      </w:r>
      <w:r w:rsidRPr="00E53C03">
        <w:rPr>
          <w:vertAlign w:val="superscript"/>
        </w:rPr>
        <w:t>th</w:t>
      </w:r>
      <w:r w:rsidRPr="00E53C03">
        <w:t xml:space="preserve"> Cir. April 30, 2012).</w:t>
      </w:r>
    </w:p>
    <w:p w:rsidR="00E53C03" w:rsidRPr="00E53C03" w:rsidRDefault="00E53C03" w:rsidP="00E53C03">
      <w:pPr>
        <w:ind w:left="720" w:hanging="720"/>
        <w:contextualSpacing/>
      </w:pPr>
      <w:r w:rsidRPr="00E53C03">
        <w:t>Motion for Variance and Sentencing Memorandum Doc. No. 283, United States v. Reyna Rodriguez Rios et al., No. 2:11-cr-00041 (6</w:t>
      </w:r>
      <w:r w:rsidRPr="00E53C03">
        <w:rPr>
          <w:vertAlign w:val="superscript"/>
        </w:rPr>
        <w:t>th</w:t>
      </w:r>
      <w:r w:rsidRPr="00E53C03">
        <w:t xml:space="preserve"> Cir. April 30, 2012).</w:t>
      </w:r>
    </w:p>
    <w:p w:rsidR="00E53C03" w:rsidRPr="00E53C03" w:rsidRDefault="00E53C03" w:rsidP="00E53C03">
      <w:pPr>
        <w:ind w:left="720" w:hanging="720"/>
        <w:contextualSpacing/>
      </w:pPr>
      <w:r w:rsidRPr="00E53C03">
        <w:t>Motion to Seal Search Warrant Application and File Doc. No. 104-1, United States v. Reyna Rodriguez Rios et al., No. 2:11-cr-00041 (6</w:t>
      </w:r>
      <w:r w:rsidRPr="00E53C03">
        <w:rPr>
          <w:vertAlign w:val="superscript"/>
        </w:rPr>
        <w:t>th</w:t>
      </w:r>
      <w:r w:rsidRPr="00E53C03">
        <w:t xml:space="preserve"> Cir. June 30, 2011). </w:t>
      </w:r>
    </w:p>
    <w:p w:rsidR="00E53C03" w:rsidRPr="00E53C03" w:rsidRDefault="00E53C03" w:rsidP="00E53C03">
      <w:pPr>
        <w:ind w:left="720" w:hanging="720"/>
        <w:contextualSpacing/>
      </w:pPr>
      <w:r w:rsidRPr="00E53C03">
        <w:t>Motion to Seal Search Warrant Application and File Doc. No. 106-1, United States v. Reyna Rodriguez Rios et al., No. 2:11-cr-00041 (6</w:t>
      </w:r>
      <w:r w:rsidRPr="00E53C03">
        <w:rPr>
          <w:vertAlign w:val="superscript"/>
        </w:rPr>
        <w:t>th</w:t>
      </w:r>
      <w:r w:rsidRPr="00E53C03">
        <w:t xml:space="preserve"> Cir. July 1, 2011). </w:t>
      </w:r>
    </w:p>
    <w:p w:rsidR="00E53C03" w:rsidRPr="00E53C03" w:rsidRDefault="00E53C03" w:rsidP="00E53C03">
      <w:pPr>
        <w:ind w:left="720" w:hanging="720"/>
        <w:contextualSpacing/>
      </w:pPr>
      <w:r w:rsidRPr="00E53C03">
        <w:t>Motion to Seal Search Warrant Application and File Doc. No. 108-1, United States v. Reyna Rodriguez Rios et al., No. 2:11-cr-00041 (6</w:t>
      </w:r>
      <w:r w:rsidRPr="00E53C03">
        <w:rPr>
          <w:vertAlign w:val="superscript"/>
        </w:rPr>
        <w:t>th</w:t>
      </w:r>
      <w:r w:rsidRPr="00E53C03">
        <w:t xml:space="preserve"> Cir. July 1, 2011). </w:t>
      </w:r>
    </w:p>
    <w:p w:rsidR="00E53C03" w:rsidRPr="00E53C03" w:rsidRDefault="00E53C03" w:rsidP="00E53C03">
      <w:pPr>
        <w:ind w:left="720" w:hanging="720"/>
        <w:contextualSpacing/>
      </w:pPr>
      <w:r w:rsidRPr="00E53C03">
        <w:t>Motion to Seal Search Warrant Application and File Doc. No. 110-1, United States v. Reyna Rodriguez Rios et al., No. 2:11-cr-00041 (6</w:t>
      </w:r>
      <w:r w:rsidRPr="00E53C03">
        <w:rPr>
          <w:vertAlign w:val="superscript"/>
        </w:rPr>
        <w:t>th</w:t>
      </w:r>
      <w:r w:rsidRPr="00E53C03">
        <w:t xml:space="preserve"> Cir. July 1, 2011). </w:t>
      </w:r>
    </w:p>
    <w:p w:rsidR="00E53C03" w:rsidRPr="00E53C03" w:rsidRDefault="00E53C03" w:rsidP="00E53C03">
      <w:pPr>
        <w:ind w:left="720" w:hanging="720"/>
        <w:contextualSpacing/>
      </w:pPr>
      <w:r w:rsidRPr="00E53C03">
        <w:t>Motion to Transfer Doc. No. 5, United States v. Reyna Rodriguez Rios et al., No. 2:11-cr-00041 (6</w:t>
      </w:r>
      <w:r w:rsidRPr="00E53C03">
        <w:rPr>
          <w:vertAlign w:val="superscript"/>
        </w:rPr>
        <w:t>th</w:t>
      </w:r>
      <w:r w:rsidRPr="00E53C03">
        <w:t xml:space="preserve"> Cir. May 3, 2011). </w:t>
      </w:r>
    </w:p>
    <w:p w:rsidR="00E53C03" w:rsidRPr="00E53C03" w:rsidRDefault="00E53C03" w:rsidP="00E53C03">
      <w:pPr>
        <w:ind w:left="720" w:hanging="720"/>
        <w:contextualSpacing/>
      </w:pPr>
      <w:r w:rsidRPr="00E53C03">
        <w:t>Order Doc. No. 286, United States v. Reyna Rodriguez Rios et al., No. 2:11-cr-00041 (6</w:t>
      </w:r>
      <w:r w:rsidRPr="00E53C03">
        <w:rPr>
          <w:vertAlign w:val="superscript"/>
        </w:rPr>
        <w:t>th</w:t>
      </w:r>
      <w:r w:rsidRPr="00E53C03">
        <w:t xml:space="preserve"> Cir. May 1, 2012).</w:t>
      </w:r>
    </w:p>
    <w:p w:rsidR="00E53C03" w:rsidRPr="00E53C03" w:rsidRDefault="00E53C03" w:rsidP="00E53C03">
      <w:pPr>
        <w:ind w:left="720" w:hanging="720"/>
        <w:contextualSpacing/>
      </w:pPr>
      <w:r w:rsidRPr="00E53C03">
        <w:t>Plea Agreement Doc. No. 129, United States v. Reyna Rodriguez Rios et al., No. 2:11-cr-00041 (6</w:t>
      </w:r>
      <w:r w:rsidRPr="00E53C03">
        <w:rPr>
          <w:vertAlign w:val="superscript"/>
        </w:rPr>
        <w:t>th</w:t>
      </w:r>
      <w:r w:rsidRPr="00E53C03">
        <w:t xml:space="preserve"> Cir. July 31, 2011).</w:t>
      </w:r>
    </w:p>
    <w:p w:rsidR="00E53C03" w:rsidRPr="00E53C03" w:rsidRDefault="00E53C03" w:rsidP="00E53C03">
      <w:pPr>
        <w:ind w:left="720" w:hanging="720"/>
        <w:contextualSpacing/>
      </w:pPr>
      <w:r w:rsidRPr="00E53C03">
        <w:t>Plea Agreement Doc. No. 132, United States v. Reyna Rodriguez Rios et al., No. 2:11-cr-00041 (6</w:t>
      </w:r>
      <w:r w:rsidRPr="00E53C03">
        <w:rPr>
          <w:vertAlign w:val="superscript"/>
        </w:rPr>
        <w:t>th</w:t>
      </w:r>
      <w:r w:rsidRPr="00E53C03">
        <w:t xml:space="preserve"> Cir. August 1, 2011).</w:t>
      </w:r>
    </w:p>
    <w:p w:rsidR="00E53C03" w:rsidRPr="00E53C03" w:rsidRDefault="00E53C03" w:rsidP="00E53C03">
      <w:pPr>
        <w:ind w:left="720" w:hanging="720"/>
        <w:contextualSpacing/>
      </w:pPr>
      <w:r w:rsidRPr="00E53C03">
        <w:t>Plea Agreement Doc. No. 135, United States v. Reyna Rodriguez Rios et al., No. 2:11-cr-00041 (6</w:t>
      </w:r>
      <w:r w:rsidRPr="00E53C03">
        <w:rPr>
          <w:vertAlign w:val="superscript"/>
        </w:rPr>
        <w:t>th</w:t>
      </w:r>
      <w:r w:rsidRPr="00E53C03">
        <w:t xml:space="preserve"> Cir. August 3, 2011).</w:t>
      </w:r>
    </w:p>
    <w:p w:rsidR="00E53C03" w:rsidRPr="00E53C03" w:rsidRDefault="00E53C03" w:rsidP="00E53C03">
      <w:pPr>
        <w:ind w:left="720" w:hanging="720"/>
        <w:contextualSpacing/>
      </w:pPr>
      <w:r w:rsidRPr="00E53C03">
        <w:t>Plea Agreement Doc. No. 141, United States v. Reyna Rodriguez Rios et al., No. 2:11-cr-00041 (6</w:t>
      </w:r>
      <w:r w:rsidRPr="00E53C03">
        <w:rPr>
          <w:vertAlign w:val="superscript"/>
        </w:rPr>
        <w:t>th</w:t>
      </w:r>
      <w:r w:rsidRPr="00E53C03">
        <w:t xml:space="preserve"> Cir. August 9, 2011).</w:t>
      </w:r>
    </w:p>
    <w:p w:rsidR="00E53C03" w:rsidRPr="00E53C03" w:rsidRDefault="00E53C03" w:rsidP="00E53C03">
      <w:pPr>
        <w:ind w:left="720" w:hanging="720"/>
        <w:contextualSpacing/>
      </w:pPr>
      <w:r w:rsidRPr="00E53C03">
        <w:t>Plea Agreement Doc. No. 152, United States v. Reyna Rodriguez Rios et al., No. 2:11-cr-00041 (6</w:t>
      </w:r>
      <w:r w:rsidRPr="00E53C03">
        <w:rPr>
          <w:vertAlign w:val="superscript"/>
        </w:rPr>
        <w:t>th</w:t>
      </w:r>
      <w:r w:rsidRPr="00E53C03">
        <w:t xml:space="preserve"> Cir. August 15, 2011).</w:t>
      </w:r>
    </w:p>
    <w:p w:rsidR="00E53C03" w:rsidRPr="00E53C03" w:rsidRDefault="00E53C03" w:rsidP="00E53C03">
      <w:pPr>
        <w:ind w:left="720" w:hanging="720"/>
        <w:contextualSpacing/>
      </w:pPr>
      <w:r w:rsidRPr="00E53C03">
        <w:t>Plea Agreement Doc. No. 153, United States v. Reyna Rodriguez Rios et al., No. 2:11-cr-00041 (6</w:t>
      </w:r>
      <w:r w:rsidRPr="00E53C03">
        <w:rPr>
          <w:vertAlign w:val="superscript"/>
        </w:rPr>
        <w:t>th</w:t>
      </w:r>
      <w:r w:rsidRPr="00E53C03">
        <w:t xml:space="preserve"> Cir. August 15, 2011).</w:t>
      </w:r>
    </w:p>
    <w:p w:rsidR="00E53C03" w:rsidRPr="00E53C03" w:rsidRDefault="00E53C03" w:rsidP="00E53C03">
      <w:pPr>
        <w:ind w:left="720" w:hanging="720"/>
        <w:contextualSpacing/>
      </w:pPr>
      <w:r w:rsidRPr="00E53C03">
        <w:t>Plea Agreement Doc. No. 169, United States v. Reyna Rodriguez Rios et al., No. 2:11-cr-00041 (6</w:t>
      </w:r>
      <w:r w:rsidRPr="00E53C03">
        <w:rPr>
          <w:vertAlign w:val="superscript"/>
        </w:rPr>
        <w:t>th</w:t>
      </w:r>
      <w:r w:rsidRPr="00E53C03">
        <w:t xml:space="preserve"> Cir. August 30, 2011).</w:t>
      </w:r>
    </w:p>
    <w:p w:rsidR="00E53C03" w:rsidRPr="00E53C03" w:rsidRDefault="00E53C03" w:rsidP="00E53C03">
      <w:pPr>
        <w:ind w:left="720" w:hanging="720"/>
        <w:contextualSpacing/>
      </w:pPr>
      <w:r w:rsidRPr="00E53C03">
        <w:t>Plea Agreement Doc. No. 179, United States v. Reyna Rodriguez Rios et al., No. 2:11-cr-00041 (6</w:t>
      </w:r>
      <w:r w:rsidRPr="00E53C03">
        <w:rPr>
          <w:vertAlign w:val="superscript"/>
        </w:rPr>
        <w:t>th</w:t>
      </w:r>
      <w:r w:rsidRPr="00E53C03">
        <w:t xml:space="preserve"> Cir. September 22, 2011).</w:t>
      </w:r>
    </w:p>
    <w:p w:rsidR="00E53C03" w:rsidRPr="00E53C03" w:rsidRDefault="00E53C03" w:rsidP="00E53C03">
      <w:pPr>
        <w:ind w:left="720" w:hanging="720"/>
        <w:contextualSpacing/>
      </w:pPr>
      <w:r w:rsidRPr="00E53C03">
        <w:t>Plea Agreement Doc. No. 182, United States v. Reyna Rodriguez Rios et al., No. 2:11-cr-00041 (6</w:t>
      </w:r>
      <w:r w:rsidRPr="00E53C03">
        <w:rPr>
          <w:vertAlign w:val="superscript"/>
        </w:rPr>
        <w:t>th</w:t>
      </w:r>
      <w:r w:rsidRPr="00E53C03">
        <w:t xml:space="preserve"> Cir. September 29, 2011).</w:t>
      </w:r>
    </w:p>
    <w:p w:rsidR="00E53C03" w:rsidRPr="00E53C03" w:rsidRDefault="00E53C03" w:rsidP="00E53C03">
      <w:pPr>
        <w:ind w:left="720" w:hanging="720"/>
        <w:contextualSpacing/>
      </w:pPr>
      <w:r w:rsidRPr="00E53C03">
        <w:t>Sealing Order Doc. No. 98-1, United States v. Reyna Rodriguez Rios, No. 2:11-cr-00041 (6</w:t>
      </w:r>
      <w:r w:rsidRPr="00E53C03">
        <w:rPr>
          <w:vertAlign w:val="superscript"/>
        </w:rPr>
        <w:t>th</w:t>
      </w:r>
      <w:r w:rsidRPr="00E53C03">
        <w:t xml:space="preserve"> Cir. June 30, 2011). </w:t>
      </w:r>
    </w:p>
    <w:p w:rsidR="00E53C03" w:rsidRPr="00E53C03" w:rsidRDefault="00E53C03" w:rsidP="00E53C03">
      <w:pPr>
        <w:ind w:left="720" w:hanging="720"/>
        <w:contextualSpacing/>
      </w:pPr>
      <w:r w:rsidRPr="00E53C03">
        <w:t>Sealing Order Doc. No. 102-1, United States v. Reyna Rodriguez Rios, No. 2:11-cr-00041 (6</w:t>
      </w:r>
      <w:r w:rsidRPr="00E53C03">
        <w:rPr>
          <w:vertAlign w:val="superscript"/>
        </w:rPr>
        <w:t>th</w:t>
      </w:r>
      <w:r w:rsidRPr="00E53C03">
        <w:t xml:space="preserve"> Cir. June 30, 2011). </w:t>
      </w:r>
    </w:p>
    <w:p w:rsidR="00E53C03" w:rsidRPr="00E53C03" w:rsidRDefault="00E53C03" w:rsidP="00E53C03">
      <w:pPr>
        <w:ind w:left="720" w:hanging="720"/>
        <w:contextualSpacing/>
      </w:pPr>
      <w:r w:rsidRPr="00E53C03">
        <w:t>Sealing Order Doc. No. 112-1, United States v. Reyna Rodriguez Rios, No. 2:11-cr-00041 (6</w:t>
      </w:r>
      <w:r w:rsidRPr="00E53C03">
        <w:rPr>
          <w:vertAlign w:val="superscript"/>
        </w:rPr>
        <w:t>th</w:t>
      </w:r>
      <w:r w:rsidRPr="00E53C03">
        <w:t xml:space="preserve"> Cir. July 1, 2011). </w:t>
      </w:r>
    </w:p>
    <w:p w:rsidR="00E53C03" w:rsidRPr="00E53C03" w:rsidRDefault="00E53C03" w:rsidP="00E53C03">
      <w:pPr>
        <w:ind w:left="720" w:hanging="720"/>
        <w:contextualSpacing/>
      </w:pPr>
      <w:r w:rsidRPr="00E53C03">
        <w:t>Sentencing Memorandum Doc. No. 191, United States v. Reyna Rodriguez Rios et al., No. 2:11-cr-00041 (6</w:t>
      </w:r>
      <w:r w:rsidRPr="00E53C03">
        <w:rPr>
          <w:vertAlign w:val="superscript"/>
        </w:rPr>
        <w:t>th</w:t>
      </w:r>
      <w:r w:rsidRPr="00E53C03">
        <w:t xml:space="preserve"> Cir. December 29, 2011).</w:t>
      </w:r>
    </w:p>
    <w:p w:rsidR="00E53C03" w:rsidRPr="00E53C03" w:rsidRDefault="00E53C03" w:rsidP="00E53C03">
      <w:pPr>
        <w:ind w:left="720" w:hanging="720"/>
        <w:contextualSpacing/>
      </w:pPr>
      <w:r w:rsidRPr="00E53C03">
        <w:t>Sentencing Memorandum Doc. No. 229, United States v. Reyna Rodriguez Rios et al., No. 2:11-cr-00041 (6</w:t>
      </w:r>
      <w:r w:rsidRPr="00E53C03">
        <w:rPr>
          <w:vertAlign w:val="superscript"/>
        </w:rPr>
        <w:t>th</w:t>
      </w:r>
      <w:r w:rsidRPr="00E53C03">
        <w:t xml:space="preserve"> Cir. February 9, 2012).</w:t>
      </w:r>
    </w:p>
    <w:p w:rsidR="00E53C03" w:rsidRPr="00E53C03" w:rsidRDefault="00E53C03" w:rsidP="00E53C03">
      <w:pPr>
        <w:ind w:left="720" w:hanging="720"/>
        <w:contextualSpacing/>
      </w:pPr>
      <w:r w:rsidRPr="00E53C03">
        <w:t>Sentencing Memorandum Doc. No. 245, United States v. Reyna Rodriguez Rios et al., No. 2:11-cr-00041 (6</w:t>
      </w:r>
      <w:r w:rsidRPr="00E53C03">
        <w:rPr>
          <w:vertAlign w:val="superscript"/>
        </w:rPr>
        <w:t>th</w:t>
      </w:r>
      <w:r w:rsidRPr="00E53C03">
        <w:t xml:space="preserve"> Cir. March 12, 2012).</w:t>
      </w:r>
    </w:p>
    <w:p w:rsidR="00E53C03" w:rsidRPr="00E53C03" w:rsidRDefault="00E53C03" w:rsidP="00E53C03">
      <w:pPr>
        <w:ind w:left="720" w:hanging="720"/>
        <w:contextualSpacing/>
      </w:pPr>
      <w:r w:rsidRPr="00E53C03">
        <w:t>Sentencing Memorandum Doc. No. 279, United States v. Reyna Rodriguez Rios et al., No. 2:11-cr-00041 (6</w:t>
      </w:r>
      <w:r w:rsidRPr="00E53C03">
        <w:rPr>
          <w:vertAlign w:val="superscript"/>
        </w:rPr>
        <w:t>th</w:t>
      </w:r>
      <w:r w:rsidRPr="00E53C03">
        <w:t xml:space="preserve"> Cir. April 12, 2012).</w:t>
      </w:r>
    </w:p>
    <w:p w:rsidR="00E53C03" w:rsidRPr="00E53C03" w:rsidRDefault="00E53C03" w:rsidP="00E53C03">
      <w:pPr>
        <w:ind w:left="720" w:hanging="720"/>
        <w:contextualSpacing/>
      </w:pPr>
      <w:r w:rsidRPr="00E53C03">
        <w:t>Sentencing Memorandum Doc. No. 298, United States v. Reyna Rodriguez Rios et al., No. 2:11-cr-00041 (6</w:t>
      </w:r>
      <w:r w:rsidRPr="00E53C03">
        <w:rPr>
          <w:vertAlign w:val="superscript"/>
        </w:rPr>
        <w:t>th</w:t>
      </w:r>
      <w:r w:rsidRPr="00E53C03">
        <w:t xml:space="preserve"> Cir. May 21, 2012).</w:t>
      </w:r>
    </w:p>
    <w:p w:rsidR="00E53C03" w:rsidRPr="00E53C03" w:rsidRDefault="00E53C03" w:rsidP="00E53C03">
      <w:pPr>
        <w:ind w:left="720" w:hanging="720"/>
        <w:contextualSpacing/>
      </w:pPr>
      <w:r w:rsidRPr="00E53C03">
        <w:t>Sentencing Memorandum Doc. No. 300, United States v. Reyna Rodriguez Rios et al., No. 2:11-cr-00041 (6</w:t>
      </w:r>
      <w:r w:rsidRPr="00E53C03">
        <w:rPr>
          <w:vertAlign w:val="superscript"/>
        </w:rPr>
        <w:t>th</w:t>
      </w:r>
      <w:r w:rsidRPr="00E53C03">
        <w:t xml:space="preserve"> Cir. March 30, 2012).</w:t>
      </w:r>
    </w:p>
    <w:p w:rsidR="00E53C03" w:rsidRPr="00E53C03" w:rsidRDefault="00E53C03" w:rsidP="00E53C03">
      <w:pPr>
        <w:ind w:left="720" w:hanging="720"/>
        <w:contextualSpacing/>
      </w:pPr>
      <w:r w:rsidRPr="00E53C03">
        <w:t>Sentencing Memorandum and Request for Variance Doc. No. 217, United States v. Reyna Rodriguez Rios et al., No. 2:11-cr-00041 (6</w:t>
      </w:r>
      <w:r w:rsidRPr="00E53C03">
        <w:rPr>
          <w:vertAlign w:val="superscript"/>
        </w:rPr>
        <w:t>th</w:t>
      </w:r>
      <w:r w:rsidRPr="00E53C03">
        <w:t xml:space="preserve"> Cir. January 25, 2012).</w:t>
      </w:r>
    </w:p>
    <w:p w:rsidR="00E53C03" w:rsidRPr="00E53C03" w:rsidRDefault="00E53C03" w:rsidP="00E53C03">
      <w:pPr>
        <w:ind w:left="720" w:hanging="720"/>
        <w:contextualSpacing/>
      </w:pPr>
      <w:r w:rsidRPr="00E53C03">
        <w:t>Sentencing Memorandum and Request for Variance of Defendant Esthela Silfa Vasquez Doc. No. 257, United States v. Reyna Rodriguez Rios et al., No. 2:11-cr-00041 (6</w:t>
      </w:r>
      <w:r w:rsidRPr="00E53C03">
        <w:rPr>
          <w:vertAlign w:val="superscript"/>
        </w:rPr>
        <w:t>th</w:t>
      </w:r>
      <w:r w:rsidRPr="00E53C03">
        <w:t xml:space="preserve"> Cir. March 22, 2012).</w:t>
      </w:r>
    </w:p>
    <w:p w:rsidR="00E53C03" w:rsidRPr="00E53C03" w:rsidRDefault="00E53C03" w:rsidP="00E53C03">
      <w:pPr>
        <w:ind w:left="720" w:hanging="720"/>
        <w:contextualSpacing/>
      </w:pPr>
      <w:r w:rsidRPr="00E53C03">
        <w:t>Superseding Indictment Doc. No. 118, United States v. Reyna Rodriguez Rios et al., No. 2:11-cr-00041 (6</w:t>
      </w:r>
      <w:r w:rsidRPr="00E53C03">
        <w:rPr>
          <w:vertAlign w:val="superscript"/>
        </w:rPr>
        <w:t>th</w:t>
      </w:r>
      <w:r w:rsidRPr="00E53C03">
        <w:t xml:space="preserve"> Cir. July 6, 2011).</w:t>
      </w:r>
    </w:p>
    <w:p w:rsidR="00E53C03" w:rsidRPr="00E53C03" w:rsidRDefault="00E53C03" w:rsidP="00E53C03">
      <w:pPr>
        <w:ind w:left="720" w:hanging="720"/>
        <w:contextualSpacing/>
      </w:pPr>
      <w:r w:rsidRPr="00E53C03">
        <w:t xml:space="preserve">Trafficking Victims Protection Act of 2000, Pub. L. 106-386, 114 Stat. 1464. </w:t>
      </w:r>
    </w:p>
    <w:p w:rsidR="00E53C03" w:rsidRPr="00E53C03" w:rsidRDefault="00E53C03" w:rsidP="00E53C03">
      <w:pPr>
        <w:ind w:left="720" w:hanging="720"/>
        <w:contextualSpacing/>
      </w:pPr>
      <w:r w:rsidRPr="00E53C03">
        <w:t>Transcript of Sentencing, United States v. Freddy Lopez Torres, No. 2:11-cr-00041-008 (6</w:t>
      </w:r>
      <w:r w:rsidRPr="00E53C03">
        <w:rPr>
          <w:vertAlign w:val="superscript"/>
        </w:rPr>
        <w:t>th</w:t>
      </w:r>
      <w:r w:rsidRPr="00E53C03">
        <w:t xml:space="preserve"> Cir. February 23, 2012). </w:t>
      </w:r>
    </w:p>
    <w:p w:rsidR="00E53C03" w:rsidRPr="00E53C03" w:rsidRDefault="00E53C03" w:rsidP="00E53C03">
      <w:pPr>
        <w:ind w:left="720" w:hanging="720"/>
        <w:contextualSpacing/>
      </w:pPr>
      <w:r w:rsidRPr="00E53C03">
        <w:t>Transcript of Sentencing, United States v. Rosa Garcia Menendez, No. 2:11-cr-00041-003 (6</w:t>
      </w:r>
      <w:r w:rsidRPr="00E53C03">
        <w:rPr>
          <w:vertAlign w:val="superscript"/>
        </w:rPr>
        <w:t>th</w:t>
      </w:r>
      <w:r w:rsidRPr="00E53C03">
        <w:t xml:space="preserve"> Cir. January 26, 2012). </w:t>
      </w:r>
    </w:p>
    <w:p w:rsidR="00E53C03" w:rsidRPr="00E53C03" w:rsidRDefault="00E53C03" w:rsidP="00E53C03">
      <w:pPr>
        <w:ind w:left="720" w:hanging="720"/>
        <w:contextualSpacing/>
      </w:pPr>
      <w:r w:rsidRPr="00E53C03">
        <w:t>Transcript of Sentencing, United States v. Reyna Rodriguez Rios, No. 2:11-cr-00041-006 (6</w:t>
      </w:r>
      <w:r w:rsidRPr="00E53C03">
        <w:rPr>
          <w:vertAlign w:val="superscript"/>
        </w:rPr>
        <w:t>th</w:t>
      </w:r>
      <w:r w:rsidRPr="00E53C03">
        <w:t xml:space="preserve"> Cir. February 9, 2012). </w:t>
      </w:r>
    </w:p>
    <w:p w:rsidR="00E53C03" w:rsidRPr="00E53C03" w:rsidRDefault="00E53C03" w:rsidP="00E53C03">
      <w:pPr>
        <w:ind w:left="720" w:hanging="720"/>
        <w:contextualSpacing/>
      </w:pPr>
      <w:r w:rsidRPr="00E53C03">
        <w:t>U.S.S.G. § 2G1.1(b)</w:t>
      </w:r>
    </w:p>
    <w:p w:rsidR="00E53C03" w:rsidRPr="00E53C03" w:rsidRDefault="00E53C03" w:rsidP="00E53C03">
      <w:pPr>
        <w:ind w:left="720" w:hanging="720"/>
        <w:contextualSpacing/>
      </w:pPr>
      <w:r w:rsidRPr="00E53C03">
        <w:t>U.S.S.G. § 2G1.3(b)(2)(A)</w:t>
      </w:r>
    </w:p>
    <w:p w:rsidR="00E53C03" w:rsidRPr="00E53C03" w:rsidRDefault="00E53C03" w:rsidP="00E53C03">
      <w:pPr>
        <w:ind w:left="720" w:hanging="720"/>
        <w:contextualSpacing/>
      </w:pPr>
      <w:r w:rsidRPr="00E53C03">
        <w:t>U.S.S.G. § 2G1.3(b)(4)(B)</w:t>
      </w:r>
    </w:p>
    <w:p w:rsidR="00E53C03" w:rsidRPr="00E53C03" w:rsidRDefault="00E53C03" w:rsidP="00E53C03">
      <w:pPr>
        <w:ind w:left="720" w:hanging="720"/>
        <w:contextualSpacing/>
      </w:pPr>
      <w:r w:rsidRPr="00E53C03">
        <w:t>U.S.S.G. § 2L1.1(b)(2)(A)</w:t>
      </w:r>
    </w:p>
    <w:p w:rsidR="00E53C03" w:rsidRPr="00E53C03" w:rsidRDefault="00E53C03" w:rsidP="00E53C03">
      <w:pPr>
        <w:ind w:left="720" w:hanging="720"/>
        <w:contextualSpacing/>
      </w:pPr>
      <w:r w:rsidRPr="00E53C03">
        <w:t>U.S.S.G. § 3B1.1(d)</w:t>
      </w:r>
    </w:p>
    <w:p w:rsidR="00E53C03" w:rsidRPr="00E53C03" w:rsidRDefault="00E53C03" w:rsidP="00E53C03">
      <w:pPr>
        <w:ind w:left="720" w:hanging="720"/>
        <w:contextualSpacing/>
      </w:pPr>
      <w:r w:rsidRPr="00E53C03">
        <w:t>United States’ Sentencing Memorandum Doc. No. 216, United States v. Reyna Rodriguez Rios et al., No. 2:11-cr-00041 (6</w:t>
      </w:r>
      <w:r w:rsidRPr="00E53C03">
        <w:rPr>
          <w:vertAlign w:val="superscript"/>
        </w:rPr>
        <w:t>th</w:t>
      </w:r>
      <w:r w:rsidRPr="00E53C03">
        <w:t xml:space="preserve"> Cir. January 24, 2012).</w:t>
      </w:r>
    </w:p>
    <w:p w:rsidR="00E53C03" w:rsidRPr="00E53C03" w:rsidRDefault="00E53C03" w:rsidP="00E53C03">
      <w:pPr>
        <w:ind w:left="720" w:hanging="720"/>
        <w:contextualSpacing/>
      </w:pPr>
      <w:r w:rsidRPr="00E53C03">
        <w:t>United States’ Sentencing Memorandum Doc. No. 228, United States v. Reyna Rodriguez Rios et al., No. 2:11-cr-00041 (6</w:t>
      </w:r>
      <w:r w:rsidRPr="00E53C03">
        <w:rPr>
          <w:vertAlign w:val="superscript"/>
        </w:rPr>
        <w:t>th</w:t>
      </w:r>
      <w:r w:rsidRPr="00E53C03">
        <w:t xml:space="preserve"> Cir. February 6, 2012).</w:t>
      </w:r>
    </w:p>
    <w:p w:rsidR="00E53C03" w:rsidRPr="00E53C03" w:rsidRDefault="00E53C03" w:rsidP="00E53C03">
      <w:pPr>
        <w:ind w:left="720" w:hanging="720"/>
        <w:contextualSpacing/>
      </w:pPr>
      <w:r w:rsidRPr="00E53C03">
        <w:t>United States’ Sentencing Memorandum Doc. No. 233, United States v. Reyna Rodriguez Rios et al., No. 2:11-cr-00041 (6</w:t>
      </w:r>
      <w:r w:rsidRPr="00E53C03">
        <w:rPr>
          <w:vertAlign w:val="superscript"/>
        </w:rPr>
        <w:t>th</w:t>
      </w:r>
      <w:r w:rsidRPr="00E53C03">
        <w:t xml:space="preserve"> Cir. February 16, 2012).</w:t>
      </w:r>
    </w:p>
    <w:p w:rsidR="00E53C03" w:rsidRPr="00E53C03" w:rsidRDefault="00E53C03" w:rsidP="00E53C03">
      <w:pPr>
        <w:ind w:left="720" w:hanging="720"/>
        <w:contextualSpacing/>
      </w:pPr>
      <w:r w:rsidRPr="00E53C03">
        <w:t>United States’ Sentencing Memorandum Doc. No. 252, United States v. Reyna Rodriguez Rios et al., No. 2:11-cr-00041 (6</w:t>
      </w:r>
      <w:r w:rsidRPr="00E53C03">
        <w:rPr>
          <w:vertAlign w:val="superscript"/>
        </w:rPr>
        <w:t>th</w:t>
      </w:r>
      <w:r w:rsidRPr="00E53C03">
        <w:t xml:space="preserve"> Cir. March 22, 2012).</w:t>
      </w:r>
    </w:p>
    <w:p w:rsidR="00E53C03" w:rsidRPr="00E53C03" w:rsidRDefault="00E53C03" w:rsidP="00E53C03">
      <w:pPr>
        <w:ind w:left="720" w:hanging="720"/>
        <w:contextualSpacing/>
      </w:pPr>
      <w:r w:rsidRPr="00E53C03">
        <w:t>United States’ Sentencing Memorandum Doc. No. 254, United States v. Reyna Rodriguez Rios et al., No. 2:11-cr-00041 (6</w:t>
      </w:r>
      <w:r w:rsidRPr="00E53C03">
        <w:rPr>
          <w:vertAlign w:val="superscript"/>
        </w:rPr>
        <w:t>th</w:t>
      </w:r>
      <w:r w:rsidRPr="00E53C03">
        <w:t xml:space="preserve"> Cir. March 22, 2012).</w:t>
      </w:r>
    </w:p>
    <w:p w:rsidR="00E53C03" w:rsidRPr="00E53C03" w:rsidRDefault="00E53C03" w:rsidP="00E53C03">
      <w:pPr>
        <w:ind w:left="720" w:hanging="720"/>
        <w:contextualSpacing/>
      </w:pPr>
      <w:r w:rsidRPr="00E53C03">
        <w:t>United States’ Sentencing Memorandum Doc. No. 256, United States v. Reyna Rodriguez Rios et al., No. 2:11-cr-00041 (6</w:t>
      </w:r>
      <w:r w:rsidRPr="00E53C03">
        <w:rPr>
          <w:vertAlign w:val="superscript"/>
        </w:rPr>
        <w:t>th</w:t>
      </w:r>
      <w:r w:rsidRPr="00E53C03">
        <w:t xml:space="preserve"> Cir. March 22, 2012).</w:t>
      </w:r>
    </w:p>
    <w:p w:rsidR="00E53C03" w:rsidRPr="00E53C03" w:rsidRDefault="00E53C03" w:rsidP="00E53C03">
      <w:pPr>
        <w:ind w:left="720" w:hanging="720"/>
        <w:contextualSpacing/>
      </w:pPr>
      <w:r w:rsidRPr="00E53C03">
        <w:t>United States’ Sentencing Memorandum Doc. No. 285, United States v. Reyna Rodriguez Rios et al., No. 2:11-cr-00041 (6</w:t>
      </w:r>
      <w:r w:rsidRPr="00E53C03">
        <w:rPr>
          <w:vertAlign w:val="superscript"/>
        </w:rPr>
        <w:t>th</w:t>
      </w:r>
      <w:r w:rsidRPr="00E53C03">
        <w:t xml:space="preserve"> Cir. April 30, 2012).</w:t>
      </w:r>
    </w:p>
    <w:p w:rsidR="00E53C03" w:rsidRPr="00E53C03" w:rsidRDefault="00E53C03" w:rsidP="00E53C03">
      <w:pPr>
        <w:ind w:left="720" w:hanging="720"/>
        <w:contextualSpacing/>
      </w:pPr>
      <w:r w:rsidRPr="00E53C03">
        <w:t>United States’ Sentencing Memorandum Doc. No. 301, United States v. Reyna Rodriguez Rios et al., No. 2:11-cr-00041 (6</w:t>
      </w:r>
      <w:r w:rsidRPr="00E53C03">
        <w:rPr>
          <w:vertAlign w:val="superscript"/>
        </w:rPr>
        <w:t>th</w:t>
      </w:r>
      <w:r w:rsidRPr="00E53C03">
        <w:t xml:space="preserve"> Cir. May 31, 2012).</w:t>
      </w:r>
    </w:p>
    <w:p w:rsidR="00E53C03" w:rsidRPr="00E53C03" w:rsidRDefault="00E53C03" w:rsidP="00E53C03">
      <w:pPr>
        <w:ind w:left="720" w:hanging="720"/>
        <w:contextualSpacing/>
      </w:pPr>
      <w:r w:rsidRPr="00E53C03">
        <w:t>United States’ Sentencing Memorandum Doc. No. 302, United States v. Reyna Rodriguez Rios et al., No. 2:11-cr-00041 (6</w:t>
      </w:r>
      <w:r w:rsidRPr="00E53C03">
        <w:rPr>
          <w:vertAlign w:val="superscript"/>
        </w:rPr>
        <w:t>th</w:t>
      </w:r>
      <w:r w:rsidRPr="00E53C03">
        <w:t xml:space="preserve"> Cir. May 31, 2012).</w:t>
      </w:r>
    </w:p>
    <w:p w:rsidR="00E53C03" w:rsidRPr="00E53C03" w:rsidRDefault="00E53C03" w:rsidP="00E53C03">
      <w:pPr>
        <w:ind w:left="720" w:hanging="720"/>
        <w:contextualSpacing/>
      </w:pPr>
      <w:r w:rsidRPr="00E53C03">
        <w:t>White Slave Traffic (Mann) Act Ch. 395 36 Stat. 825 (1910).</w:t>
      </w:r>
    </w:p>
    <w:p w:rsidR="00E53C03" w:rsidRPr="00E53C03" w:rsidRDefault="00E53C03" w:rsidP="00E53C03">
      <w:pPr>
        <w:ind w:left="720" w:hanging="720"/>
        <w:contextualSpacing/>
      </w:pPr>
    </w:p>
    <w:p w:rsidR="00E53C03" w:rsidRPr="00E53C03" w:rsidRDefault="00E53C03" w:rsidP="00E53C03">
      <w:pPr>
        <w:contextualSpacing/>
        <w:rPr>
          <w:b/>
          <w:smallCaps/>
          <w:sz w:val="28"/>
          <w:szCs w:val="28"/>
        </w:rPr>
      </w:pPr>
    </w:p>
    <w:p w:rsidR="00E53C03" w:rsidRPr="00E53C03" w:rsidRDefault="00E53C03" w:rsidP="00E53C03">
      <w:pPr>
        <w:ind w:left="720" w:hanging="720"/>
        <w:contextualSpacing/>
        <w:jc w:val="center"/>
        <w:rPr>
          <w:b/>
          <w:smallCaps/>
          <w:sz w:val="28"/>
          <w:szCs w:val="28"/>
        </w:rPr>
      </w:pPr>
      <w:r w:rsidRPr="00E53C03">
        <w:rPr>
          <w:b/>
          <w:smallCaps/>
          <w:sz w:val="28"/>
          <w:szCs w:val="28"/>
        </w:rPr>
        <w:t>Appendix C</w:t>
      </w:r>
    </w:p>
    <w:p w:rsidR="00E53C03" w:rsidRPr="00E53C03" w:rsidRDefault="00E53C03" w:rsidP="00E53C03">
      <w:pPr>
        <w:ind w:left="720" w:hanging="720"/>
        <w:contextualSpacing/>
        <w:jc w:val="center"/>
        <w:rPr>
          <w:b/>
          <w:smallCaps/>
          <w:sz w:val="28"/>
          <w:szCs w:val="28"/>
        </w:rPr>
      </w:pPr>
      <w:r w:rsidRPr="00E53C03">
        <w:rPr>
          <w:b/>
          <w:smallCaps/>
          <w:sz w:val="28"/>
          <w:szCs w:val="28"/>
        </w:rPr>
        <w:t>Chronology of The Criminal Investigation</w:t>
      </w:r>
    </w:p>
    <w:p w:rsidR="00E53C03" w:rsidRPr="00E53C03" w:rsidRDefault="00E53C03" w:rsidP="00E53C03">
      <w:pPr>
        <w:spacing w:line="240" w:lineRule="auto"/>
        <w:ind w:left="720" w:hanging="720"/>
      </w:pPr>
      <w:r w:rsidRPr="00E53C03">
        <w:t>December 14, 2010- Confidential Source 1 met with the FBI, shared information about local prostitution network with local brothels in Morristown and Johnson City, TN with affiliated brothels throughout North Carolina, South Carolina, West Virginia, New York, Tennessee, and Georgia</w:t>
      </w:r>
    </w:p>
    <w:p w:rsidR="00E53C03" w:rsidRPr="00E53C03" w:rsidRDefault="00E53C03" w:rsidP="00E53C03">
      <w:pPr>
        <w:spacing w:line="240" w:lineRule="auto"/>
        <w:ind w:left="720" w:hanging="720"/>
      </w:pPr>
      <w:r w:rsidRPr="00E53C03">
        <w:t>January 4, 2011- FBI reached out to Confidential Source 3 to gain information on brothel in Morristown, TN</w:t>
      </w:r>
      <w:r w:rsidRPr="00E53C03">
        <w:tab/>
      </w:r>
      <w:r w:rsidRPr="00E53C03">
        <w:tab/>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January 5, 2011- Sonia showed FBI location of Freddy Lopez Torres’ brothel on 8371 Old Springfield Pike Goodlettsville, TN</w:t>
      </w:r>
      <w:r w:rsidRPr="00E53C03">
        <w:tab/>
      </w:r>
      <w:r w:rsidRPr="00E53C03">
        <w:tab/>
      </w:r>
      <w:r w:rsidRPr="00E53C03">
        <w:tab/>
      </w:r>
      <w:r w:rsidRPr="00E53C03">
        <w:tab/>
      </w:r>
      <w:r w:rsidRPr="00E53C03">
        <w:tab/>
        <w:t>(</w:t>
      </w:r>
      <w:r w:rsidRPr="00E53C03">
        <w:rPr>
          <w:i/>
        </w:rPr>
        <w:t>Doc. No. 115-1</w:t>
      </w:r>
      <w:r w:rsidRPr="00E53C03">
        <w:t>)</w:t>
      </w:r>
    </w:p>
    <w:p w:rsidR="00E53C03" w:rsidRPr="00E53C03" w:rsidRDefault="00E53C03" w:rsidP="00E53C03">
      <w:pPr>
        <w:spacing w:line="240" w:lineRule="auto"/>
        <w:ind w:left="720" w:hanging="720"/>
      </w:pPr>
      <w:r w:rsidRPr="00E53C03">
        <w:t>January 13, 2011- Confidential Source 3 met with Rubio Trinidad Narciso at Shell gas station in Morristown, TN to discuss his brothel business by pretending to be in need of prostitutes to service his employees</w:t>
      </w:r>
    </w:p>
    <w:p w:rsidR="00E53C03" w:rsidRPr="00E53C03" w:rsidRDefault="00E53C03" w:rsidP="00E53C03">
      <w:pPr>
        <w:spacing w:line="240" w:lineRule="auto"/>
        <w:ind w:left="720" w:hanging="720"/>
      </w:pPr>
      <w:r w:rsidRPr="00E53C03">
        <w:t>January 13, 2011- Sonia met with FBI to provide details of her trafficking and experiences in prostitution along with information on handlers she has come in contact with (</w:t>
      </w:r>
      <w:r w:rsidRPr="00E53C03">
        <w:rPr>
          <w:i/>
        </w:rPr>
        <w:t>Doc. No. 102-1</w:t>
      </w:r>
      <w:r w:rsidRPr="00E53C03">
        <w:t>)</w:t>
      </w:r>
    </w:p>
    <w:p w:rsidR="00E53C03" w:rsidRPr="00E53C03" w:rsidRDefault="00E53C03" w:rsidP="00E53C03">
      <w:pPr>
        <w:spacing w:line="240" w:lineRule="auto"/>
        <w:ind w:left="720" w:hanging="720"/>
      </w:pPr>
      <w:r w:rsidRPr="00E53C03">
        <w:t>January 18, 2011- FBI conducted surveillance of 8371 Old Springfield Pike Goodlettsville, TN and record license plate number of vehicles at residence</w:t>
      </w:r>
      <w:r w:rsidRPr="00E53C03">
        <w:tab/>
      </w:r>
      <w:r w:rsidRPr="00E53C03">
        <w:tab/>
        <w:t>(</w:t>
      </w:r>
      <w:r w:rsidRPr="00E53C03">
        <w:rPr>
          <w:i/>
        </w:rPr>
        <w:t>Doc. No. 115-1</w:t>
      </w:r>
      <w:r w:rsidRPr="00E53C03">
        <w:t>)</w:t>
      </w:r>
    </w:p>
    <w:p w:rsidR="00E53C03" w:rsidRPr="00E53C03" w:rsidRDefault="00E53C03" w:rsidP="00E53C03">
      <w:pPr>
        <w:spacing w:line="240" w:lineRule="auto"/>
        <w:ind w:left="720" w:hanging="720"/>
      </w:pPr>
      <w:r w:rsidRPr="00E53C03">
        <w:t xml:space="preserve">January 19, 2011- Confidential Source 1 confirmed Rubio Trinidad Narciso as running a brothel in Morristown, TN and provided the FBI with his phone number </w:t>
      </w:r>
    </w:p>
    <w:p w:rsidR="00E53C03" w:rsidRPr="00E53C03" w:rsidRDefault="00E53C03" w:rsidP="00E53C03">
      <w:pPr>
        <w:spacing w:line="240" w:lineRule="auto"/>
        <w:ind w:left="720" w:hanging="720"/>
      </w:pPr>
      <w:r w:rsidRPr="00E53C03">
        <w:t>January 25, 2011- Confidential Source 4 confirmed Rubio Trinidad Narciso’s phone number given by confidential source 1 and provided another phone number used by Narciso to FBI agent</w:t>
      </w:r>
    </w:p>
    <w:p w:rsidR="00E53C03" w:rsidRPr="00E53C03" w:rsidRDefault="00E53C03" w:rsidP="00E53C03">
      <w:pPr>
        <w:spacing w:line="240" w:lineRule="auto"/>
        <w:ind w:left="720" w:hanging="720"/>
      </w:pPr>
      <w:r w:rsidRPr="00E53C03">
        <w:t>January 25, 2011- Pen register/trap and trace order placed on one of Rubio Trinidad Narciso’s cell phones</w:t>
      </w:r>
    </w:p>
    <w:p w:rsidR="00E53C03" w:rsidRPr="00E53C03" w:rsidRDefault="00E53C03" w:rsidP="00E53C03">
      <w:pPr>
        <w:spacing w:line="240" w:lineRule="auto"/>
        <w:ind w:left="720" w:hanging="720"/>
      </w:pPr>
      <w:r w:rsidRPr="00E53C03">
        <w:t>January 26, 2011- Pen register/trap and trace order placed on another cell phone used by Rubio Trinidad Narciso</w:t>
      </w:r>
    </w:p>
    <w:p w:rsidR="00E53C03" w:rsidRPr="00E53C03" w:rsidRDefault="00E53C03" w:rsidP="00E53C03">
      <w:pPr>
        <w:spacing w:line="240" w:lineRule="auto"/>
        <w:ind w:left="720" w:hanging="720"/>
      </w:pPr>
      <w:r w:rsidRPr="00E53C03">
        <w:t>January 31, 2011- Sonia met with FBI provide greater details on the local trafficking ring, relationships between handler and prostitute, and personal information of handlers including their addresses and phone numbers</w:t>
      </w:r>
    </w:p>
    <w:p w:rsidR="00E53C03" w:rsidRPr="00E53C03" w:rsidRDefault="00E53C03" w:rsidP="00E53C03">
      <w:pPr>
        <w:spacing w:line="240" w:lineRule="auto"/>
        <w:ind w:left="720" w:hanging="720"/>
      </w:pPr>
      <w:r w:rsidRPr="00E53C03">
        <w:t xml:space="preserve">January 31, 2011- Selvin Salvador Perdomo interviewed by FBI concerning his involvement in operating a local prostitution business </w:t>
      </w:r>
    </w:p>
    <w:p w:rsidR="00E53C03" w:rsidRPr="00E53C03" w:rsidRDefault="00E53C03" w:rsidP="00E53C03">
      <w:pPr>
        <w:spacing w:line="240" w:lineRule="auto"/>
        <w:ind w:left="720" w:hanging="720"/>
      </w:pPr>
      <w:r w:rsidRPr="00E53C03">
        <w:t>February 1, 2011- Trash pull conducted at 3525 McClister Rd, Morristown, TN (residence of Rubio Trinidad Narciso) which recovered multiple coiled condoms, empty condoms boxes, and condom wrappers</w:t>
      </w:r>
    </w:p>
    <w:p w:rsidR="00E53C03" w:rsidRPr="00E53C03" w:rsidRDefault="00E53C03" w:rsidP="00E53C03">
      <w:pPr>
        <w:spacing w:line="240" w:lineRule="auto"/>
        <w:ind w:left="720" w:hanging="720"/>
      </w:pPr>
      <w:r w:rsidRPr="00E53C03">
        <w:t>February 9, 2011- Sonia met Elda Dorali Moreno Ramirez and woman working for her to gather evidence of her prostitution business, Elda’s license plate number was recorded by law enforcement conducting surveillance of the meeting</w:t>
      </w:r>
    </w:p>
    <w:p w:rsidR="00E53C03" w:rsidRPr="00E53C03" w:rsidRDefault="00E53C03" w:rsidP="00E53C03">
      <w:pPr>
        <w:spacing w:line="240" w:lineRule="auto"/>
        <w:ind w:left="720" w:hanging="720"/>
      </w:pPr>
      <w:r w:rsidRPr="00E53C03">
        <w:t>February 9, 2011- Sonia contacted Rosa Garcia Menendez via telephone to gather information on her involvement with Rubio Trinidad Narciso and their joint prostitution business</w:t>
      </w:r>
    </w:p>
    <w:p w:rsidR="00E53C03" w:rsidRPr="00E53C03" w:rsidRDefault="00E53C03" w:rsidP="00E53C03">
      <w:pPr>
        <w:spacing w:line="240" w:lineRule="auto"/>
        <w:ind w:left="720" w:hanging="720"/>
      </w:pPr>
      <w:r w:rsidRPr="00E53C03">
        <w:t>February 11, 2011- Traffic stop of Rubio Trinidad Narciso, Rosa Garcia Menendez, and female passenger, photographs taken of all passengers for identification by confidential sources</w:t>
      </w:r>
    </w:p>
    <w:p w:rsidR="00E53C03" w:rsidRPr="00E53C03" w:rsidRDefault="00E53C03" w:rsidP="00E53C03">
      <w:pPr>
        <w:spacing w:line="240" w:lineRule="auto"/>
        <w:ind w:left="720" w:hanging="720"/>
      </w:pPr>
      <w:r w:rsidRPr="00E53C03">
        <w:t>February 11, 2011- Pen register/trap and trace order placed on two of Elda Dorali Moreno Ramirez’s cell phones</w:t>
      </w:r>
      <w:r w:rsidRPr="00E53C03">
        <w:tab/>
      </w:r>
      <w:r w:rsidRPr="00E53C03">
        <w:tab/>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 xml:space="preserve">February 11, 2011- TN Dept. of Motor Vehicles check on car located at 3525 McClister Rd Morristown, TN which was registered to Rubio Trinidad Narciso </w:t>
      </w:r>
      <w:r w:rsidRPr="00E53C03">
        <w:tab/>
        <w:t>(</w:t>
      </w:r>
      <w:r w:rsidRPr="00E53C03">
        <w:rPr>
          <w:i/>
        </w:rPr>
        <w:t>Doc. No. 106-1</w:t>
      </w:r>
      <w:r w:rsidRPr="00E53C03">
        <w:t>)</w:t>
      </w:r>
    </w:p>
    <w:p w:rsidR="00E53C03" w:rsidRPr="00E53C03" w:rsidRDefault="00E53C03" w:rsidP="00E53C03">
      <w:pPr>
        <w:spacing w:line="240" w:lineRule="auto"/>
        <w:ind w:left="720" w:hanging="720"/>
      </w:pPr>
      <w:r w:rsidRPr="00E53C03">
        <w:t>February 15, 2011- Trash pull conducted at 3525 McClister Rd, Morristown, TN which recovered over 50 condoms, 7 condom boxes (40 count), numerous condom wrappers, and Wal-Mart receipt for purchase of condoms</w:t>
      </w:r>
    </w:p>
    <w:p w:rsidR="00E53C03" w:rsidRPr="00E53C03" w:rsidRDefault="00E53C03" w:rsidP="00E53C03">
      <w:pPr>
        <w:spacing w:line="240" w:lineRule="auto"/>
        <w:ind w:left="720" w:hanging="720"/>
      </w:pPr>
      <w:r w:rsidRPr="00E53C03">
        <w:t>February 15, 2011- Confidential source 1 met with Rubio Trinidad Narciso in Johnson City, TN to gather evidence on his prostitution business</w:t>
      </w:r>
    </w:p>
    <w:p w:rsidR="00E53C03" w:rsidRPr="00E53C03" w:rsidRDefault="00E53C03" w:rsidP="00E53C03">
      <w:pPr>
        <w:spacing w:line="240" w:lineRule="auto"/>
        <w:ind w:left="720" w:hanging="720"/>
      </w:pPr>
      <w:r w:rsidRPr="00E53C03">
        <w:t>February 16, 2011- Confidential source 5 called Rosa Garcia Menendez to gather evidence on his prostitution business</w:t>
      </w:r>
    </w:p>
    <w:p w:rsidR="00E53C03" w:rsidRPr="00E53C03" w:rsidRDefault="00E53C03" w:rsidP="00E53C03">
      <w:pPr>
        <w:spacing w:line="240" w:lineRule="auto"/>
        <w:ind w:left="720" w:hanging="720"/>
      </w:pPr>
      <w:r w:rsidRPr="00E53C03">
        <w:t>February 16, 2011- Pen register/trap and trace order placed on one of Rosa Garcia Menendez’s cell phones</w:t>
      </w:r>
      <w:r w:rsidRPr="00E53C03">
        <w:tab/>
      </w:r>
      <w:r w:rsidRPr="00E53C03">
        <w:tab/>
      </w:r>
      <w:r w:rsidRPr="00E53C03">
        <w:tab/>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 xml:space="preserve">February 17-18, 2011- Confidential source met with Raymundo Sanchez Torres to gather evidence on his involvement in the network and Narciso’s brothel business (US v. Rubio Trinidad Narciso, </w:t>
      </w:r>
      <w:r w:rsidRPr="00E53C03">
        <w:rPr>
          <w:i/>
        </w:rPr>
        <w:t>Gov. Exhibit No. 2</w:t>
      </w:r>
      <w:r w:rsidRPr="00E53C03">
        <w:t xml:space="preserve">). </w:t>
      </w:r>
    </w:p>
    <w:p w:rsidR="00E53C03" w:rsidRPr="00E53C03" w:rsidRDefault="00E53C03" w:rsidP="00E53C03">
      <w:pPr>
        <w:spacing w:line="240" w:lineRule="auto"/>
        <w:ind w:left="720" w:hanging="720"/>
      </w:pPr>
      <w:r w:rsidRPr="00E53C03">
        <w:t>February 23, 2011- Confidential source 2 met with FBI in Louisville, KY to identify Esthela Silfa Vasquez and Obdulio Comacho Morales as operating brothels there, describes their business operations and locations of brothels</w:t>
      </w:r>
      <w:r w:rsidRPr="00E53C03">
        <w:tab/>
      </w:r>
      <w:r w:rsidRPr="00E53C03">
        <w:tab/>
      </w:r>
      <w:r w:rsidRPr="00E53C03">
        <w:tab/>
      </w:r>
      <w:r w:rsidRPr="00E53C03">
        <w:tab/>
        <w:t>(</w:t>
      </w:r>
      <w:r w:rsidRPr="00E53C03">
        <w:rPr>
          <w:i/>
        </w:rPr>
        <w:t>Doc. No. 122-1</w:t>
      </w:r>
      <w:r w:rsidRPr="00E53C03">
        <w:t>)</w:t>
      </w:r>
    </w:p>
    <w:p w:rsidR="00E53C03" w:rsidRPr="00E53C03" w:rsidRDefault="00E53C03" w:rsidP="00E53C03">
      <w:pPr>
        <w:spacing w:line="240" w:lineRule="auto"/>
        <w:ind w:left="720" w:hanging="720"/>
      </w:pPr>
      <w:r w:rsidRPr="00E53C03">
        <w:t>February 25, 2011- FBI conducted physical surveillance of 8371 Old Springfield Pike Goodlettsville, TN and recorded license plate numbers of vehicles there (</w:t>
      </w:r>
      <w:r w:rsidRPr="00E53C03">
        <w:rPr>
          <w:i/>
        </w:rPr>
        <w:t>Doc. No. 115-1</w:t>
      </w:r>
      <w:r w:rsidRPr="00E53C03">
        <w:t>)</w:t>
      </w:r>
    </w:p>
    <w:p w:rsidR="00E53C03" w:rsidRPr="00E53C03" w:rsidRDefault="00E53C03" w:rsidP="00E53C03">
      <w:pPr>
        <w:spacing w:line="240" w:lineRule="auto"/>
        <w:ind w:left="720" w:hanging="720"/>
      </w:pPr>
      <w:r w:rsidRPr="00E53C03">
        <w:t>March 1, 2011- Trash pull at 3525 McClister Rd Morristown, TN in which a receipt for purchase of condoms, Western Union receipt from Rosa Garcia Menendez to Rubio Trinidad Narciso, and utility receipts in Rubio Trinidad Narciso’s name were located (</w:t>
      </w:r>
      <w:r w:rsidRPr="00E53C03">
        <w:rPr>
          <w:i/>
        </w:rPr>
        <w:t>Doc. No. 104-1</w:t>
      </w:r>
      <w:r w:rsidRPr="00E53C03">
        <w:t>)</w:t>
      </w:r>
    </w:p>
    <w:p w:rsidR="00E53C03" w:rsidRPr="00E53C03" w:rsidRDefault="00E53C03" w:rsidP="00E53C03">
      <w:pPr>
        <w:spacing w:line="240" w:lineRule="auto"/>
        <w:ind w:left="720" w:hanging="720"/>
      </w:pPr>
      <w:r w:rsidRPr="00E53C03">
        <w:t>March 3, 2011- Sonia provided Freddy Lopez Torres’ phone number to the FBI (</w:t>
      </w:r>
      <w:r w:rsidRPr="00E53C03">
        <w:rPr>
          <w:i/>
        </w:rPr>
        <w:t>Doc. No. 115-1</w:t>
      </w:r>
      <w:r w:rsidRPr="00E53C03">
        <w:t>)</w:t>
      </w:r>
    </w:p>
    <w:p w:rsidR="00E53C03" w:rsidRPr="00E53C03" w:rsidRDefault="00E53C03" w:rsidP="00E53C03">
      <w:pPr>
        <w:spacing w:line="240" w:lineRule="auto"/>
        <w:ind w:left="720" w:hanging="720"/>
      </w:pPr>
      <w:r w:rsidRPr="00E53C03">
        <w:t>March 4, 2011- Confidential source 1 called Rubio Trinidad Narciso who was seeking someone to replace him in running a prostitution business in Johnson City, TN</w:t>
      </w:r>
    </w:p>
    <w:p w:rsidR="00E53C03" w:rsidRPr="00E53C03" w:rsidRDefault="00E53C03" w:rsidP="00E53C03">
      <w:pPr>
        <w:spacing w:line="240" w:lineRule="auto"/>
        <w:ind w:left="720" w:hanging="720"/>
      </w:pPr>
      <w:r w:rsidRPr="00E53C03">
        <w:t>March 14, 2011- Sonia called Rosa Garcia Menendez to gather evidence of her involvement in the prostitution business</w:t>
      </w:r>
      <w:r w:rsidRPr="00E53C03">
        <w:tab/>
      </w:r>
      <w:r w:rsidRPr="00E53C03">
        <w:tab/>
      </w:r>
      <w:r w:rsidRPr="00E53C03">
        <w:tab/>
      </w:r>
      <w:r w:rsidRPr="00E53C03">
        <w:tab/>
      </w:r>
      <w:r w:rsidRPr="00E53C03">
        <w:tab/>
      </w:r>
      <w:r w:rsidRPr="00E53C03">
        <w:tab/>
        <w:t>(</w:t>
      </w:r>
      <w:r w:rsidRPr="00E53C03">
        <w:rPr>
          <w:i/>
        </w:rPr>
        <w:t>Doc. No. 104-1</w:t>
      </w:r>
      <w:r w:rsidRPr="00E53C03">
        <w:t>)</w:t>
      </w:r>
    </w:p>
    <w:p w:rsidR="00E53C03" w:rsidRPr="00E53C03" w:rsidRDefault="00E53C03" w:rsidP="00E53C03">
      <w:pPr>
        <w:spacing w:line="240" w:lineRule="auto"/>
        <w:ind w:left="720" w:hanging="720"/>
      </w:pPr>
      <w:r w:rsidRPr="00E53C03">
        <w:t>March 14, 2011- Surveillance of confidential source 2 meeting to Esthela Silfa Vasquez and Obdulio Comacho Morales to gather evidence on their prostitution business (</w:t>
      </w:r>
      <w:r w:rsidRPr="00E53C03">
        <w:rPr>
          <w:i/>
        </w:rPr>
        <w:t>Doc. No. 122-1</w:t>
      </w:r>
      <w:r w:rsidRPr="00E53C03">
        <w:t xml:space="preserve">). </w:t>
      </w:r>
    </w:p>
    <w:p w:rsidR="00E53C03" w:rsidRPr="00E53C03" w:rsidRDefault="00E53C03" w:rsidP="00E53C03">
      <w:pPr>
        <w:spacing w:line="240" w:lineRule="auto"/>
        <w:ind w:left="720" w:hanging="720"/>
      </w:pPr>
      <w:r w:rsidRPr="00E53C03">
        <w:t>March 15, 2011- Trash pull conducted at 3525 McClister Rd Morristown, TN which uncovered Greyhound bus tickets, receipts for the purchase of condoms, torn condom boxes, and prepaid phone cards</w:t>
      </w:r>
      <w:r w:rsidRPr="00E53C03">
        <w:tab/>
      </w:r>
      <w:r w:rsidRPr="00E53C03">
        <w:tab/>
      </w:r>
      <w:r w:rsidRPr="00E53C03">
        <w:tab/>
      </w:r>
      <w:r w:rsidRPr="00E53C03">
        <w:tab/>
      </w:r>
      <w:r w:rsidRPr="00E53C03">
        <w:tab/>
      </w:r>
      <w:r w:rsidRPr="00E53C03">
        <w:tab/>
      </w:r>
      <w:r w:rsidRPr="00E53C03">
        <w:tab/>
        <w:t>(</w:t>
      </w:r>
      <w:r w:rsidRPr="00E53C03">
        <w:rPr>
          <w:i/>
        </w:rPr>
        <w:t>Doc. No. 104-1</w:t>
      </w:r>
      <w:r w:rsidRPr="00E53C03">
        <w:t>)</w:t>
      </w:r>
    </w:p>
    <w:p w:rsidR="00E53C03" w:rsidRPr="00E53C03" w:rsidRDefault="00E53C03" w:rsidP="00E53C03">
      <w:pPr>
        <w:spacing w:line="240" w:lineRule="auto"/>
        <w:ind w:left="720" w:hanging="720"/>
      </w:pPr>
      <w:r w:rsidRPr="00E53C03">
        <w:t>March 15, 2011- Pen register/trap and trace order placed on another cell phone used by Rubio Trinidad Narciso</w:t>
      </w:r>
      <w:r w:rsidRPr="00E53C03">
        <w:tab/>
      </w:r>
      <w:r w:rsidRPr="00E53C03">
        <w:tab/>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March 16, 2011- Kentucky DMV check for photo identification of Esthela Silfa Vasquez and Obdulio Comacho Morales</w:t>
      </w:r>
      <w:r w:rsidRPr="00E53C03">
        <w:tab/>
      </w:r>
      <w:r w:rsidRPr="00E53C03">
        <w:tab/>
      </w:r>
      <w:r w:rsidRPr="00E53C03">
        <w:tab/>
      </w:r>
      <w:r w:rsidRPr="00E53C03">
        <w:tab/>
      </w:r>
      <w:r w:rsidRPr="00E53C03">
        <w:tab/>
      </w:r>
      <w:r w:rsidRPr="00E53C03">
        <w:tab/>
        <w:t>(</w:t>
      </w:r>
      <w:r w:rsidRPr="00E53C03">
        <w:rPr>
          <w:i/>
        </w:rPr>
        <w:t>Doc. No. 122-1</w:t>
      </w:r>
      <w:r w:rsidRPr="00E53C03">
        <w:t>)</w:t>
      </w:r>
    </w:p>
    <w:p w:rsidR="00E53C03" w:rsidRPr="00E53C03" w:rsidRDefault="00E53C03" w:rsidP="00E53C03">
      <w:pPr>
        <w:spacing w:line="240" w:lineRule="auto"/>
        <w:ind w:left="720" w:hanging="720"/>
      </w:pPr>
      <w:r w:rsidRPr="00E53C03">
        <w:t>March 17, 2011- Sonia identified Freddy Lopez Torres in photo lineup</w:t>
      </w:r>
      <w:r w:rsidRPr="00E53C03">
        <w:tab/>
        <w:t>(</w:t>
      </w:r>
      <w:r w:rsidRPr="00E53C03">
        <w:rPr>
          <w:i/>
        </w:rPr>
        <w:t>Doc. No. 115-1</w:t>
      </w:r>
      <w:r w:rsidRPr="00E53C03">
        <w:t>)</w:t>
      </w:r>
    </w:p>
    <w:p w:rsidR="00E53C03" w:rsidRPr="00E53C03" w:rsidRDefault="00E53C03" w:rsidP="00E53C03">
      <w:pPr>
        <w:spacing w:line="240" w:lineRule="auto"/>
        <w:ind w:left="720" w:hanging="720"/>
      </w:pPr>
      <w:r w:rsidRPr="00E53C03">
        <w:t>March 18, 2011- Application for tracking device on car used by Rubio Trinidad Narciso approved- not placed</w:t>
      </w:r>
      <w:r w:rsidRPr="00E53C03">
        <w:tab/>
      </w:r>
      <w:r w:rsidRPr="00E53C03">
        <w:tab/>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March 18, 2011- Sonia contacted Rosa Garcia Menendez via telephone to gathered evidence on her prostitution business, which was expanding to an additional nearby house (</w:t>
      </w:r>
      <w:r w:rsidRPr="00E53C03">
        <w:rPr>
          <w:i/>
        </w:rPr>
        <w:t>Doc. No. 104-1</w:t>
      </w:r>
      <w:r w:rsidRPr="00E53C03">
        <w:t>)</w:t>
      </w:r>
    </w:p>
    <w:p w:rsidR="00E53C03" w:rsidRPr="00E53C03" w:rsidRDefault="00E53C03" w:rsidP="00E53C03">
      <w:pPr>
        <w:spacing w:line="240" w:lineRule="auto"/>
        <w:ind w:left="720" w:hanging="720"/>
      </w:pPr>
      <w:r w:rsidRPr="00E53C03">
        <w:t>March 18, 2011- Tracking device approved for placement on car used by Elda Dorali Moreno Ramirez- placed March 25, 2011</w:t>
      </w:r>
      <w:r w:rsidRPr="00E53C03">
        <w:tab/>
      </w:r>
      <w:r w:rsidRPr="00E53C03">
        <w:tab/>
      </w:r>
      <w:r w:rsidRPr="00E53C03">
        <w:tab/>
      </w:r>
      <w:r w:rsidRPr="00E53C03">
        <w:tab/>
      </w:r>
      <w:r w:rsidRPr="00E53C03">
        <w:tab/>
        <w:t>(</w:t>
      </w:r>
      <w:r w:rsidRPr="00E53C03">
        <w:rPr>
          <w:i/>
        </w:rPr>
        <w:t>Doc. No. 112-1</w:t>
      </w:r>
      <w:r w:rsidRPr="00E53C03">
        <w:t>)</w:t>
      </w:r>
    </w:p>
    <w:p w:rsidR="00E53C03" w:rsidRPr="00E53C03" w:rsidRDefault="00E53C03" w:rsidP="00E53C03">
      <w:pPr>
        <w:spacing w:line="240" w:lineRule="auto"/>
        <w:ind w:left="720" w:hanging="720"/>
      </w:pPr>
      <w:r w:rsidRPr="00E53C03">
        <w:t>March 21, 2011- Local law enforcement conducted a traffic stop on car driven by Elda Dorali Moreno Ramirez</w:t>
      </w:r>
    </w:p>
    <w:p w:rsidR="00E53C03" w:rsidRPr="00E53C03" w:rsidRDefault="00E53C03" w:rsidP="00E53C03">
      <w:pPr>
        <w:spacing w:line="240" w:lineRule="auto"/>
        <w:ind w:left="720" w:hanging="720"/>
      </w:pPr>
      <w:r w:rsidRPr="00E53C03">
        <w:t>March 21, 2011- Trash pull conducted at 3618 Cunningham Rd Knoxville, TN (Elda’s brothel) which recovered a receipt for condoms from Wal-Mart, electronic fund cards, prepaid cell phone cards, and Western Union Receipt</w:t>
      </w:r>
      <w:r w:rsidRPr="00E53C03">
        <w:tab/>
      </w:r>
      <w:r w:rsidRPr="00E53C03">
        <w:tab/>
      </w:r>
      <w:r w:rsidRPr="00E53C03">
        <w:tab/>
        <w:t>(</w:t>
      </w:r>
      <w:r w:rsidRPr="00E53C03">
        <w:rPr>
          <w:i/>
        </w:rPr>
        <w:t>Doc. No. 108-1</w:t>
      </w:r>
      <w:r w:rsidRPr="00E53C03">
        <w:t>)</w:t>
      </w:r>
    </w:p>
    <w:p w:rsidR="00E53C03" w:rsidRPr="00E53C03" w:rsidRDefault="00E53C03" w:rsidP="00E53C03">
      <w:pPr>
        <w:spacing w:line="240" w:lineRule="auto"/>
        <w:ind w:left="720" w:hanging="720"/>
      </w:pPr>
      <w:r w:rsidRPr="00E53C03">
        <w:t>March 22, 2011- Trash pull conducted at 3525 McClister Rd Morristown, TN which recovered a prescription for Rubio Trinidad Narciso, mail for 3618 Cunningham Rd Knoxville, TN, ledger paper, money transfer receipts, condom boxes, condoms, and condom wrappers (</w:t>
      </w:r>
      <w:r w:rsidRPr="00E53C03">
        <w:rPr>
          <w:i/>
        </w:rPr>
        <w:t>Doc. No. 104-1</w:t>
      </w:r>
      <w:r w:rsidRPr="00E53C03">
        <w:t>)</w:t>
      </w:r>
    </w:p>
    <w:p w:rsidR="00E53C03" w:rsidRPr="00E53C03" w:rsidRDefault="00E53C03" w:rsidP="00E53C03">
      <w:pPr>
        <w:spacing w:line="240" w:lineRule="auto"/>
        <w:ind w:left="720" w:hanging="720"/>
      </w:pPr>
      <w:r w:rsidRPr="00E53C03">
        <w:t xml:space="preserve">March 22, 2011- Sonia engaged Elda Dorali Moreno Ramirez in recorded phone conversation to gather evidence on her involvement in prostitution business </w:t>
      </w:r>
      <w:r w:rsidRPr="00E53C03">
        <w:tab/>
        <w:t>(</w:t>
      </w:r>
      <w:r w:rsidRPr="00E53C03">
        <w:rPr>
          <w:i/>
        </w:rPr>
        <w:t>Doc. No. 115-1</w:t>
      </w:r>
      <w:r w:rsidRPr="00E53C03">
        <w:t>)</w:t>
      </w:r>
    </w:p>
    <w:p w:rsidR="00E53C03" w:rsidRPr="00E53C03" w:rsidRDefault="00E53C03" w:rsidP="00E53C03">
      <w:pPr>
        <w:spacing w:line="240" w:lineRule="auto"/>
        <w:ind w:left="720" w:hanging="720"/>
      </w:pPr>
      <w:r w:rsidRPr="00E53C03">
        <w:t>March 28, 2011- Application for tracking device on car used by Rubio Trinidad Narciso approved second time- placed</w:t>
      </w:r>
      <w:r w:rsidRPr="00E53C03">
        <w:tab/>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March 29, 2011- Trash pull conducted at 3525 McClister Rd Morristown, TN which recovered identification documents from Mexico, electronic fund transfer receipts, a $10,000 cash wrapper, paperwork, used condoms, and condom wrappers</w:t>
      </w:r>
    </w:p>
    <w:p w:rsidR="00E53C03" w:rsidRPr="00E53C03" w:rsidRDefault="00E53C03" w:rsidP="00E53C03">
      <w:pPr>
        <w:spacing w:line="240" w:lineRule="auto"/>
        <w:ind w:left="720" w:hanging="720"/>
      </w:pPr>
      <w:r w:rsidRPr="00E53C03">
        <w:t>March 29, 2011- Sonia engaged Rosa Garcia Menendez in phone conversation to gather evidence of her involvement in prostitution</w:t>
      </w:r>
      <w:r w:rsidRPr="00E53C03">
        <w:tab/>
      </w:r>
      <w:r w:rsidRPr="00E53C03">
        <w:tab/>
      </w:r>
      <w:r w:rsidRPr="00E53C03">
        <w:tab/>
      </w:r>
      <w:r w:rsidRPr="00E53C03">
        <w:tab/>
        <w:t>(</w:t>
      </w:r>
      <w:r w:rsidRPr="00E53C03">
        <w:rPr>
          <w:i/>
        </w:rPr>
        <w:t>Doc. No. 104-1</w:t>
      </w:r>
      <w:r w:rsidRPr="00E53C03">
        <w:t>)</w:t>
      </w:r>
    </w:p>
    <w:p w:rsidR="00E53C03" w:rsidRPr="00E53C03" w:rsidRDefault="00E53C03" w:rsidP="00E53C03">
      <w:pPr>
        <w:spacing w:line="240" w:lineRule="auto"/>
        <w:ind w:left="720" w:hanging="720"/>
      </w:pPr>
      <w:r w:rsidRPr="00E53C03">
        <w:t>March 29, 2011- Sonia called Elda Dorali Moreno Ramirez via telephone, Elda gave her the phone number of another handler working in Knoxville, TN</w:t>
      </w:r>
    </w:p>
    <w:p w:rsidR="00E53C03" w:rsidRPr="00E53C03" w:rsidRDefault="00E53C03" w:rsidP="00E53C03">
      <w:pPr>
        <w:spacing w:line="240" w:lineRule="auto"/>
        <w:ind w:left="720" w:hanging="720"/>
      </w:pPr>
      <w:r w:rsidRPr="00E53C03">
        <w:t>March 29, 2011- Sonia called Reyna Rodriguez Rios pretending to be looking for work (</w:t>
      </w:r>
      <w:r w:rsidRPr="00E53C03">
        <w:rPr>
          <w:i/>
        </w:rPr>
        <w:t>Doc. No. 106-1</w:t>
      </w:r>
      <w:r w:rsidRPr="00E53C03">
        <w:t>)</w:t>
      </w:r>
    </w:p>
    <w:p w:rsidR="00E53C03" w:rsidRPr="00E53C03" w:rsidRDefault="00E53C03" w:rsidP="00E53C03">
      <w:pPr>
        <w:spacing w:line="240" w:lineRule="auto"/>
        <w:ind w:left="720" w:hanging="720"/>
      </w:pPr>
      <w:r w:rsidRPr="00E53C03">
        <w:t>March 30, 2011- FBI determined apartment in Lexington, KY leased to Freddy Lopez Torres, location Sonia described as had been used by Freddy’s brother as a brothel (</w:t>
      </w:r>
      <w:r w:rsidRPr="00E53C03">
        <w:rPr>
          <w:i/>
        </w:rPr>
        <w:t>Doc. No. 115-1</w:t>
      </w:r>
      <w:r w:rsidRPr="00E53C03">
        <w:t>)</w:t>
      </w:r>
    </w:p>
    <w:p w:rsidR="00E53C03" w:rsidRPr="00E53C03" w:rsidRDefault="00E53C03" w:rsidP="00E53C03">
      <w:pPr>
        <w:spacing w:line="240" w:lineRule="auto"/>
        <w:ind w:left="720" w:hanging="720"/>
      </w:pPr>
      <w:r w:rsidRPr="00E53C03">
        <w:t xml:space="preserve">March 31, 2011- FBI conducted ‘knock and talk’ at 9910 Merioneth Dr. Louisville, KY (brothel run by Esthela Silfa Vasquez and Obdulio Comacho Morales), Rosa Garcia Menendez came to the door </w:t>
      </w:r>
      <w:r w:rsidRPr="00E53C03">
        <w:tab/>
      </w:r>
      <w:r w:rsidRPr="00E53C03">
        <w:tab/>
      </w:r>
      <w:r w:rsidRPr="00E53C03">
        <w:tab/>
      </w:r>
      <w:r w:rsidRPr="00E53C03">
        <w:tab/>
      </w:r>
      <w:r w:rsidRPr="00E53C03">
        <w:tab/>
      </w:r>
      <w:r w:rsidRPr="00E53C03">
        <w:tab/>
      </w:r>
      <w:r w:rsidRPr="00E53C03">
        <w:tab/>
        <w:t>(</w:t>
      </w:r>
      <w:r w:rsidRPr="00E53C03">
        <w:rPr>
          <w:i/>
        </w:rPr>
        <w:t>Doc. No. 122-1</w:t>
      </w:r>
      <w:r w:rsidRPr="00E53C03">
        <w:t>)</w:t>
      </w:r>
    </w:p>
    <w:p w:rsidR="00E53C03" w:rsidRPr="00E53C03" w:rsidRDefault="00E53C03" w:rsidP="00E53C03">
      <w:pPr>
        <w:spacing w:line="240" w:lineRule="auto"/>
        <w:ind w:left="720" w:hanging="720"/>
      </w:pPr>
      <w:r w:rsidRPr="00E53C03">
        <w:t>Early April 2011- FBI conducted trash pull at 923 Delaware Ave. Lexington, KY (brothel related to network), receipt for condoms with Freddy’s girlfriends name (Luisa) on it was discovered</w:t>
      </w:r>
      <w:r w:rsidRPr="00E53C03">
        <w:tab/>
      </w:r>
      <w:r w:rsidRPr="00E53C03">
        <w:tab/>
      </w:r>
      <w:r w:rsidRPr="00E53C03">
        <w:tab/>
      </w:r>
      <w:r w:rsidRPr="00E53C03">
        <w:tab/>
      </w:r>
      <w:r w:rsidRPr="00E53C03">
        <w:tab/>
      </w:r>
      <w:r w:rsidRPr="00E53C03">
        <w:tab/>
      </w:r>
      <w:r w:rsidRPr="00E53C03">
        <w:tab/>
      </w:r>
      <w:r w:rsidRPr="00E53C03">
        <w:tab/>
        <w:t>(</w:t>
      </w:r>
      <w:r w:rsidRPr="00E53C03">
        <w:rPr>
          <w:i/>
        </w:rPr>
        <w:t>Doc. No. 115-1</w:t>
      </w:r>
      <w:r w:rsidRPr="00E53C03">
        <w:t>)</w:t>
      </w:r>
    </w:p>
    <w:p w:rsidR="00E53C03" w:rsidRPr="00E53C03" w:rsidRDefault="00E53C03" w:rsidP="00E53C03">
      <w:pPr>
        <w:spacing w:line="240" w:lineRule="auto"/>
        <w:ind w:left="720" w:hanging="720"/>
      </w:pPr>
      <w:r w:rsidRPr="00E53C03">
        <w:t>April 1, 2011- Sonia called Rosa Garcia Menendez to gather additional evidence about her prostitution business with Rubio Trinidad Narciso</w:t>
      </w:r>
      <w:r w:rsidRPr="00E53C03">
        <w:tab/>
      </w:r>
      <w:r w:rsidRPr="00E53C03">
        <w:tab/>
      </w:r>
      <w:r w:rsidRPr="00E53C03">
        <w:tab/>
        <w:t>(</w:t>
      </w:r>
      <w:r w:rsidRPr="00E53C03">
        <w:rPr>
          <w:i/>
        </w:rPr>
        <w:t>Doc. No. 104-1</w:t>
      </w:r>
      <w:r w:rsidRPr="00E53C03">
        <w:t>)</w:t>
      </w:r>
    </w:p>
    <w:p w:rsidR="00E53C03" w:rsidRPr="00E53C03" w:rsidRDefault="00E53C03" w:rsidP="00E53C03">
      <w:pPr>
        <w:spacing w:line="240" w:lineRule="auto"/>
        <w:ind w:left="720" w:hanging="720"/>
      </w:pPr>
      <w:r w:rsidRPr="00E53C03">
        <w:t>April 1, 2011- Surveillance of Rubio Trinidad Narciso’s activities</w:t>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April 1, 2011- Sonia called Reyna Rodriguez Rios and spoke to her about her prostitution business</w:t>
      </w:r>
      <w:r w:rsidRPr="00E53C03">
        <w:tab/>
      </w:r>
      <w:r w:rsidRPr="00E53C03">
        <w:tab/>
      </w:r>
      <w:r w:rsidRPr="00E53C03">
        <w:tab/>
      </w:r>
      <w:r w:rsidRPr="00E53C03">
        <w:tab/>
      </w:r>
      <w:r w:rsidRPr="00E53C03">
        <w:tab/>
      </w:r>
      <w:r w:rsidRPr="00E53C03">
        <w:tab/>
      </w:r>
      <w:r w:rsidRPr="00E53C03">
        <w:tab/>
      </w:r>
      <w:r w:rsidRPr="00E53C03">
        <w:tab/>
        <w:t>(</w:t>
      </w:r>
      <w:r w:rsidRPr="00E53C03">
        <w:rPr>
          <w:i/>
        </w:rPr>
        <w:t>Doc. No. 110-1</w:t>
      </w:r>
      <w:r w:rsidRPr="00E53C03">
        <w:t>)</w:t>
      </w:r>
    </w:p>
    <w:p w:rsidR="00E53C03" w:rsidRPr="00E53C03" w:rsidRDefault="00E53C03" w:rsidP="00E53C03">
      <w:pPr>
        <w:spacing w:line="240" w:lineRule="auto"/>
        <w:ind w:left="720" w:hanging="720"/>
      </w:pPr>
      <w:r w:rsidRPr="00E53C03">
        <w:t>April 3, 2011- Sonia contacted Elda Dorali Moreno Ramirez via telephone and they spoke about her recent interstate transportation of women for her prostitution business (</w:t>
      </w:r>
      <w:r w:rsidRPr="00E53C03">
        <w:rPr>
          <w:i/>
        </w:rPr>
        <w:t>Doc. No. 108-1</w:t>
      </w:r>
      <w:r w:rsidRPr="00E53C03">
        <w:t>)</w:t>
      </w:r>
    </w:p>
    <w:p w:rsidR="00E53C03" w:rsidRPr="00E53C03" w:rsidRDefault="00E53C03" w:rsidP="00E53C03">
      <w:pPr>
        <w:spacing w:line="240" w:lineRule="auto"/>
        <w:ind w:left="720" w:hanging="720"/>
      </w:pPr>
      <w:r w:rsidRPr="00E53C03">
        <w:t>April 5, 2011- Pen register/trap and trace order placed another cell phone used by Rosa Garcia Menendez</w:t>
      </w:r>
    </w:p>
    <w:p w:rsidR="00E53C03" w:rsidRPr="00E53C03" w:rsidRDefault="00E53C03" w:rsidP="00E53C03">
      <w:pPr>
        <w:spacing w:line="240" w:lineRule="auto"/>
        <w:ind w:left="720" w:hanging="720"/>
      </w:pPr>
      <w:r w:rsidRPr="00E53C03">
        <w:t>April 5, 2011- Pen register/trap and trace order placed on cell phone used by Reyna Rodriguez Rios</w:t>
      </w:r>
      <w:r w:rsidRPr="00E53C03">
        <w:tab/>
      </w:r>
      <w:r w:rsidRPr="00E53C03">
        <w:tab/>
      </w:r>
      <w:r w:rsidRPr="00E53C03">
        <w:tab/>
      </w:r>
      <w:r w:rsidRPr="00E53C03">
        <w:tab/>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April 5, 2011- Trash pull conducted at 3525 McClister Rd and 3062 Springvale Rd Morristown, TN (both used as brothels by Rosa Garcia Menendez and Rubio Trinidad Narciso) which recovered numerous used condoms and condom wrappers</w:t>
      </w:r>
      <w:r w:rsidRPr="00E53C03">
        <w:tab/>
      </w:r>
      <w:r w:rsidRPr="00E53C03">
        <w:tab/>
        <w:t>(</w:t>
      </w:r>
      <w:r w:rsidRPr="00E53C03">
        <w:rPr>
          <w:i/>
        </w:rPr>
        <w:t>Doc. No 104-1</w:t>
      </w:r>
      <w:r w:rsidRPr="00E53C03">
        <w:t>)</w:t>
      </w:r>
    </w:p>
    <w:p w:rsidR="00E53C03" w:rsidRPr="00E53C03" w:rsidRDefault="00E53C03" w:rsidP="00E53C03">
      <w:pPr>
        <w:spacing w:line="240" w:lineRule="auto"/>
        <w:ind w:left="720" w:hanging="720"/>
      </w:pPr>
      <w:r w:rsidRPr="00E53C03">
        <w:t>April 7, 2011- Application for tracking device on second car used by Rubio Trinidad Narciso approved- placed April 12, 2011</w:t>
      </w:r>
      <w:r w:rsidRPr="00E53C03">
        <w:tab/>
      </w:r>
      <w:r w:rsidRPr="00E53C03">
        <w:tab/>
      </w:r>
      <w:r w:rsidRPr="00E53C03">
        <w:tab/>
      </w:r>
      <w:r w:rsidRPr="00E53C03">
        <w:tab/>
      </w:r>
      <w:r w:rsidRPr="00E53C03">
        <w:tab/>
        <w:t>(</w:t>
      </w:r>
      <w:r w:rsidRPr="00E53C03">
        <w:rPr>
          <w:i/>
        </w:rPr>
        <w:t>Doc. No. 102-1</w:t>
      </w:r>
      <w:r w:rsidRPr="00E53C03">
        <w:t>)</w:t>
      </w:r>
    </w:p>
    <w:p w:rsidR="00E53C03" w:rsidRPr="00E53C03" w:rsidRDefault="00E53C03" w:rsidP="00E53C03">
      <w:pPr>
        <w:spacing w:line="240" w:lineRule="auto"/>
        <w:ind w:left="720" w:hanging="720"/>
      </w:pPr>
      <w:r w:rsidRPr="00E53C03">
        <w:t>April 10, 2011- Local law enforcement conducted traffic stop of Rubio Trinidad Narciso with female passenger, picked up by another female because did not have insurance or license (</w:t>
      </w:r>
      <w:r w:rsidRPr="00E53C03">
        <w:rPr>
          <w:i/>
        </w:rPr>
        <w:t>Doc. No. 104-1</w:t>
      </w:r>
      <w:r w:rsidRPr="00E53C03">
        <w:t>)</w:t>
      </w:r>
    </w:p>
    <w:p w:rsidR="00E53C03" w:rsidRPr="00E53C03" w:rsidRDefault="00E53C03" w:rsidP="00E53C03">
      <w:pPr>
        <w:spacing w:line="240" w:lineRule="auto"/>
        <w:ind w:left="720" w:hanging="720"/>
      </w:pPr>
      <w:r w:rsidRPr="00E53C03">
        <w:t>April 13, 2011- FBI conducted surveillance of activities of Esthela Silfa Vasquez and Obdulio Comacho Morales</w:t>
      </w:r>
      <w:r w:rsidRPr="00E53C03">
        <w:tab/>
      </w:r>
      <w:r w:rsidRPr="00E53C03">
        <w:tab/>
      </w:r>
      <w:r w:rsidRPr="00E53C03">
        <w:tab/>
      </w:r>
      <w:r w:rsidRPr="00E53C03">
        <w:tab/>
      </w:r>
      <w:r w:rsidRPr="00E53C03">
        <w:tab/>
      </w:r>
      <w:r w:rsidRPr="00E53C03">
        <w:tab/>
      </w:r>
      <w:r w:rsidRPr="00E53C03">
        <w:tab/>
        <w:t>(</w:t>
      </w:r>
      <w:r w:rsidRPr="00E53C03">
        <w:rPr>
          <w:i/>
        </w:rPr>
        <w:t>Doc. No. 122-1</w:t>
      </w:r>
      <w:r w:rsidRPr="00E53C03">
        <w:t>)</w:t>
      </w:r>
    </w:p>
    <w:p w:rsidR="00E53C03" w:rsidRPr="00E53C03" w:rsidRDefault="00E53C03" w:rsidP="00E53C03">
      <w:pPr>
        <w:spacing w:line="240" w:lineRule="auto"/>
        <w:ind w:left="720" w:hanging="720"/>
      </w:pPr>
      <w:r w:rsidRPr="00E53C03">
        <w:t>April 15, 2011- Surveillance of audio-recorded meeting between Sonia, Rosa Garcia Menendez, and Freddy Lopez Torres while Rosa was working for Freddy Lopez Torres at 8371 Old Springfield Pike Goodlettsville, TN to gather evidence of their involvement in the prostitution business</w:t>
      </w:r>
      <w:r w:rsidRPr="00E53C03">
        <w:tab/>
      </w:r>
      <w:r w:rsidRPr="00E53C03">
        <w:tab/>
      </w:r>
      <w:r w:rsidRPr="00E53C03">
        <w:tab/>
      </w:r>
      <w:r w:rsidRPr="00E53C03">
        <w:tab/>
      </w:r>
      <w:r w:rsidRPr="00E53C03">
        <w:tab/>
      </w:r>
      <w:r w:rsidRPr="00E53C03">
        <w:tab/>
      </w:r>
      <w:r w:rsidRPr="00E53C03">
        <w:tab/>
        <w:t>(</w:t>
      </w:r>
      <w:r w:rsidRPr="00E53C03">
        <w:rPr>
          <w:i/>
        </w:rPr>
        <w:t>Doc. No. 115-1</w:t>
      </w:r>
      <w:r w:rsidRPr="00E53C03">
        <w:t>)</w:t>
      </w:r>
    </w:p>
    <w:p w:rsidR="00E53C03" w:rsidRPr="00E53C03" w:rsidRDefault="00E53C03" w:rsidP="00E53C03">
      <w:pPr>
        <w:spacing w:line="240" w:lineRule="auto"/>
        <w:ind w:left="720" w:hanging="720"/>
      </w:pPr>
      <w:r w:rsidRPr="00E53C03">
        <w:t xml:space="preserve">April 19, 2011- Trash pull at both 3525 McClister Rd and 3062 Springvale Rd Morristown, TN which recovered twenty soiled condoms, twenty-one condom wrappers, ledger, and empty condom boxes </w:t>
      </w:r>
      <w:r w:rsidRPr="00E53C03">
        <w:tab/>
      </w:r>
      <w:r w:rsidRPr="00E53C03">
        <w:tab/>
      </w:r>
      <w:r w:rsidRPr="00E53C03">
        <w:tab/>
      </w:r>
      <w:r w:rsidRPr="00E53C03">
        <w:tab/>
      </w:r>
      <w:r w:rsidRPr="00E53C03">
        <w:tab/>
      </w:r>
      <w:r w:rsidRPr="00E53C03">
        <w:tab/>
      </w:r>
      <w:r w:rsidRPr="00E53C03">
        <w:tab/>
        <w:t>(</w:t>
      </w:r>
      <w:r w:rsidRPr="00E53C03">
        <w:rPr>
          <w:i/>
        </w:rPr>
        <w:t>Doc. No. 104-1</w:t>
      </w:r>
      <w:r w:rsidRPr="00E53C03">
        <w:t>)</w:t>
      </w:r>
    </w:p>
    <w:p w:rsidR="00E53C03" w:rsidRPr="00E53C03" w:rsidRDefault="00E53C03" w:rsidP="00E53C03">
      <w:pPr>
        <w:spacing w:line="240" w:lineRule="auto"/>
        <w:ind w:left="720" w:hanging="720"/>
      </w:pPr>
      <w:r w:rsidRPr="00E53C03">
        <w:t>April 25, 2011- Surveillance and audio recording of Sonia travelling with Rubio Trinidad Narciso and Rosa Garcia Menendez to Knoxville, TN to drop off Rosa to with Reyna Rodriguez Rios</w:t>
      </w:r>
      <w:r w:rsidRPr="00E53C03">
        <w:tab/>
      </w:r>
      <w:r w:rsidRPr="00E53C03">
        <w:tab/>
        <w:t xml:space="preserve">(US v. Rubio Trinidad Narciso, </w:t>
      </w:r>
      <w:r w:rsidRPr="00E53C03">
        <w:rPr>
          <w:i/>
        </w:rPr>
        <w:t>Gov. Exhibit No. 3</w:t>
      </w:r>
      <w:r w:rsidRPr="00E53C03">
        <w:t>)</w:t>
      </w:r>
    </w:p>
    <w:p w:rsidR="00E53C03" w:rsidRPr="00E53C03" w:rsidRDefault="00E53C03" w:rsidP="00E53C03">
      <w:pPr>
        <w:spacing w:line="240" w:lineRule="auto"/>
        <w:ind w:left="720" w:hanging="720"/>
      </w:pPr>
      <w:r w:rsidRPr="00E53C03">
        <w:t xml:space="preserve">Aril 25, 2011- Surveillance of Reyna Rodriguez Rios after leaving meeting with Rubio Trinidad Narciso, Rosa Garcia Menendez, and Sonia </w:t>
      </w:r>
      <w:r w:rsidRPr="00E53C03">
        <w:tab/>
      </w:r>
      <w:r w:rsidRPr="00E53C03">
        <w:tab/>
      </w:r>
      <w:r w:rsidRPr="00E53C03">
        <w:tab/>
      </w:r>
      <w:r w:rsidRPr="00E53C03">
        <w:tab/>
        <w:t>(</w:t>
      </w:r>
      <w:r w:rsidRPr="00E53C03">
        <w:rPr>
          <w:i/>
        </w:rPr>
        <w:t>Doc. No. 110-1</w:t>
      </w:r>
      <w:r w:rsidRPr="00E53C03">
        <w:t>)</w:t>
      </w:r>
    </w:p>
    <w:p w:rsidR="00E53C03" w:rsidRPr="00E53C03" w:rsidRDefault="00E53C03" w:rsidP="00E53C03">
      <w:pPr>
        <w:spacing w:line="240" w:lineRule="auto"/>
        <w:ind w:left="720" w:hanging="720"/>
      </w:pPr>
      <w:r w:rsidRPr="00E53C03">
        <w:t>April 25, 2011- Check of FBI database for Freddy Lopez Torres’ phone records, determined this number had been in contact with a phone used by Rosa Garcia Menendez forty-four times March 10-April 23, 2011</w:t>
      </w:r>
      <w:r w:rsidRPr="00E53C03">
        <w:tab/>
      </w:r>
      <w:r w:rsidRPr="00E53C03">
        <w:tab/>
      </w:r>
      <w:r w:rsidRPr="00E53C03">
        <w:tab/>
      </w:r>
      <w:r w:rsidRPr="00E53C03">
        <w:tab/>
      </w:r>
      <w:r w:rsidRPr="00E53C03">
        <w:tab/>
      </w:r>
      <w:r w:rsidRPr="00E53C03">
        <w:tab/>
        <w:t>(</w:t>
      </w:r>
      <w:r w:rsidRPr="00E53C03">
        <w:rPr>
          <w:i/>
        </w:rPr>
        <w:t>Doc. No. 115-1</w:t>
      </w:r>
      <w:r w:rsidRPr="00E53C03">
        <w:t>)</w:t>
      </w:r>
    </w:p>
    <w:p w:rsidR="00E53C03" w:rsidRPr="00E53C03" w:rsidRDefault="00E53C03" w:rsidP="00E53C03">
      <w:pPr>
        <w:spacing w:line="240" w:lineRule="auto"/>
        <w:ind w:left="720" w:hanging="720"/>
      </w:pPr>
      <w:r w:rsidRPr="00E53C03">
        <w:t>April 26, 2011- FBI checked Kentucky Dept. of Motor Vehicles for registration of vehicle seen at Elda Dorali Moreno Ramirez’s brothel at 3618 Cunningham Rd Knoxville, TN, vehicle registered to Eusebio Flores Martinez</w:t>
      </w:r>
    </w:p>
    <w:p w:rsidR="00E53C03" w:rsidRPr="00E53C03" w:rsidRDefault="00E53C03" w:rsidP="00E53C03">
      <w:pPr>
        <w:spacing w:line="240" w:lineRule="auto"/>
        <w:ind w:left="720" w:hanging="720"/>
      </w:pPr>
      <w:r w:rsidRPr="00E53C03">
        <w:t>April 26, 2011- Sonia called Elda Dorali Moreno Ramirez and discussed her prostitution business</w:t>
      </w:r>
    </w:p>
    <w:p w:rsidR="00E53C03" w:rsidRPr="00E53C03" w:rsidRDefault="00E53C03" w:rsidP="00E53C03">
      <w:pPr>
        <w:spacing w:line="240" w:lineRule="auto"/>
        <w:ind w:left="720" w:hanging="720"/>
      </w:pPr>
      <w:r w:rsidRPr="00E53C03">
        <w:t>April 27, 2011- Sonia called Elda Dorali Moreno Ramirez and discussed the involvement of Eusebio Flores Martinez in her prostitution business</w:t>
      </w:r>
      <w:r w:rsidRPr="00E53C03">
        <w:tab/>
      </w:r>
      <w:r w:rsidRPr="00E53C03">
        <w:tab/>
      </w:r>
      <w:r w:rsidRPr="00E53C03">
        <w:tab/>
        <w:t>(</w:t>
      </w:r>
      <w:r w:rsidRPr="00E53C03">
        <w:rPr>
          <w:i/>
        </w:rPr>
        <w:t>Doc. No. 108-1</w:t>
      </w:r>
      <w:r w:rsidRPr="00E53C03">
        <w:t>)</w:t>
      </w:r>
    </w:p>
    <w:p w:rsidR="00E53C03" w:rsidRPr="00E53C03" w:rsidRDefault="00E53C03" w:rsidP="00E53C03">
      <w:pPr>
        <w:spacing w:line="240" w:lineRule="auto"/>
        <w:ind w:left="720" w:hanging="720"/>
      </w:pPr>
      <w:r w:rsidRPr="00E53C03">
        <w:t>April 27, 2011- Surveillance conducted on Reyna Rodriguez Rios</w:t>
      </w:r>
      <w:r w:rsidRPr="00E53C03">
        <w:tab/>
      </w:r>
      <w:r w:rsidRPr="00E53C03">
        <w:tab/>
        <w:t>(</w:t>
      </w:r>
      <w:r w:rsidRPr="00E53C03">
        <w:rPr>
          <w:i/>
        </w:rPr>
        <w:t>Doc. No. 110-1</w:t>
      </w:r>
      <w:r w:rsidRPr="00E53C03">
        <w:t>)</w:t>
      </w:r>
    </w:p>
    <w:p w:rsidR="00E53C03" w:rsidRPr="00E53C03" w:rsidRDefault="00E53C03" w:rsidP="00E53C03">
      <w:pPr>
        <w:spacing w:line="240" w:lineRule="auto"/>
        <w:ind w:left="720" w:hanging="720"/>
      </w:pPr>
      <w:r w:rsidRPr="00E53C03">
        <w:t>April 28, 2011- FBI interviewed management at Old Hickory Estates in Madison, TN and determined Freddy Lopez Torres leased 500 Cheyenne Blvd Lot 158 Madison, TN</w:t>
      </w:r>
    </w:p>
    <w:p w:rsidR="00E53C03" w:rsidRPr="00E53C03" w:rsidRDefault="00E53C03" w:rsidP="00E53C03">
      <w:pPr>
        <w:spacing w:line="240" w:lineRule="auto"/>
        <w:ind w:left="720" w:hanging="720"/>
      </w:pPr>
      <w:r w:rsidRPr="00E53C03">
        <w:t>April 28, 2011- FBI conducted surveillance at 8371 Old Springfield Pike Goodlettsville, TN</w:t>
      </w:r>
    </w:p>
    <w:p w:rsidR="00E53C03" w:rsidRPr="00E53C03" w:rsidRDefault="00E53C03" w:rsidP="00E53C03">
      <w:pPr>
        <w:spacing w:line="240" w:lineRule="auto"/>
        <w:ind w:left="720" w:hanging="720"/>
      </w:pPr>
      <w:r w:rsidRPr="00E53C03">
        <w:t>April 29, 2011- FBI conducted surveillance at 500 Cheyenne Blvd Lot 158 Madison, TN and witnessed Freddy Lopez Torres leave residence with female</w:t>
      </w:r>
    </w:p>
    <w:p w:rsidR="00E53C03" w:rsidRPr="00E53C03" w:rsidRDefault="00E53C03" w:rsidP="00E53C03">
      <w:pPr>
        <w:spacing w:line="240" w:lineRule="auto"/>
        <w:ind w:left="720" w:hanging="720"/>
      </w:pPr>
      <w:r w:rsidRPr="00E53C03">
        <w:t xml:space="preserve">May 2, 2011- FBI contacted Metro Nashville Police Dept. concerning a complaint from March 2, 2010 that Latino prostitution business was being operated out of 500 Cheyenne Blvd Lot 158 Madison, TN and transported women in car registered to Freddy Lopez Torres </w:t>
      </w:r>
    </w:p>
    <w:p w:rsidR="00E53C03" w:rsidRPr="00E53C03" w:rsidRDefault="00E53C03" w:rsidP="00E53C03">
      <w:pPr>
        <w:spacing w:line="240" w:lineRule="auto"/>
        <w:ind w:left="720" w:hanging="720"/>
      </w:pPr>
      <w:r w:rsidRPr="00E53C03">
        <w:t>May 4, 2011- Search warrant executed at 500 Cheyenne Blvd. Lot 158 Madison, TN- brothel run by Freddy Lopez Torres (</w:t>
      </w:r>
      <w:r w:rsidRPr="00E53C03">
        <w:rPr>
          <w:i/>
        </w:rPr>
        <w:t>Doc. No. 115-1</w:t>
      </w:r>
      <w:r w:rsidRPr="00E53C03">
        <w:t>)</w:t>
      </w:r>
    </w:p>
    <w:p w:rsidR="00E53C03" w:rsidRPr="00E53C03" w:rsidRDefault="00E53C03" w:rsidP="00E53C03">
      <w:pPr>
        <w:spacing w:line="240" w:lineRule="auto"/>
        <w:ind w:left="720" w:hanging="720"/>
      </w:pPr>
      <w:r w:rsidRPr="00E53C03">
        <w:t>May 4, 2011- Search warrant executed at 8371 Old Springfield Pike Goodlettsville, TN- brothel run by Freddy Lopez Torres (</w:t>
      </w:r>
      <w:r w:rsidRPr="00E53C03">
        <w:rPr>
          <w:i/>
        </w:rPr>
        <w:t>Doc. No. 116-1</w:t>
      </w:r>
      <w:r w:rsidRPr="00E53C03">
        <w:t>)</w:t>
      </w:r>
    </w:p>
    <w:p w:rsidR="00E53C03" w:rsidRPr="00E53C03" w:rsidRDefault="00E53C03" w:rsidP="00E53C03">
      <w:pPr>
        <w:spacing w:line="240" w:lineRule="auto"/>
        <w:ind w:left="720" w:hanging="720"/>
      </w:pPr>
      <w:r w:rsidRPr="00E53C03">
        <w:t>May 4, 2011- Search warrant executed at 5514 Riata Dr. Louisville, KY- brothel run by Obdulio Comacho Morales and Esthela Silfa Vasquez     (</w:t>
      </w:r>
      <w:r w:rsidRPr="00E53C03">
        <w:rPr>
          <w:i/>
        </w:rPr>
        <w:t>Doc. No. 122-1</w:t>
      </w:r>
      <w:r w:rsidRPr="00E53C03">
        <w:t>)</w:t>
      </w:r>
    </w:p>
    <w:p w:rsidR="00E53C03" w:rsidRPr="00E53C03" w:rsidRDefault="00E53C03" w:rsidP="00E53C03">
      <w:pPr>
        <w:spacing w:line="240" w:lineRule="auto"/>
        <w:ind w:left="720" w:hanging="720"/>
      </w:pPr>
      <w:r w:rsidRPr="00E53C03">
        <w:t>May 4, 2011- Search warrant executed at 9910 Merioneth Dr. Louisville, KY- brothel run by Obdulio Comacho Morales and Esthela Silfa Vasquez (</w:t>
      </w:r>
      <w:r w:rsidRPr="00E53C03">
        <w:rPr>
          <w:i/>
        </w:rPr>
        <w:t>Doc. No. 121-1</w:t>
      </w:r>
      <w:r w:rsidRPr="00E53C03">
        <w:t>)</w:t>
      </w:r>
    </w:p>
    <w:p w:rsidR="00E53C03" w:rsidRPr="00E53C03" w:rsidRDefault="00E53C03" w:rsidP="00E53C03">
      <w:pPr>
        <w:spacing w:line="240" w:lineRule="auto"/>
        <w:ind w:left="720" w:hanging="720"/>
      </w:pPr>
      <w:r w:rsidRPr="00E53C03">
        <w:t>May 4, 2011- Search warrant executed at 3525 McClister Rd Morristown, TN- brothel run by Rubio Trinidad Narciso and Rosa Garcia Menendez (</w:t>
      </w:r>
      <w:r w:rsidRPr="00E53C03">
        <w:rPr>
          <w:i/>
        </w:rPr>
        <w:t>Doc. No. 104-1</w:t>
      </w:r>
      <w:r w:rsidRPr="00E53C03">
        <w:t>)</w:t>
      </w:r>
    </w:p>
    <w:p w:rsidR="00E53C03" w:rsidRPr="00E53C03" w:rsidRDefault="00E53C03" w:rsidP="00E53C03">
      <w:pPr>
        <w:spacing w:line="240" w:lineRule="auto"/>
        <w:ind w:left="720" w:hanging="720"/>
      </w:pPr>
      <w:r w:rsidRPr="00E53C03">
        <w:t>May 4, 2011- Search warrant executed at 3062 Springvale Rd Morristown, TN- brothel run by Rubio Trinidad Narciso and Rosa Garcia Menendez (</w:t>
      </w:r>
      <w:r w:rsidRPr="00E53C03">
        <w:rPr>
          <w:i/>
        </w:rPr>
        <w:t>Doc. No. 106-1</w:t>
      </w:r>
      <w:r w:rsidRPr="00E53C03">
        <w:t>)</w:t>
      </w:r>
    </w:p>
    <w:p w:rsidR="00E53C03" w:rsidRPr="00E53C03" w:rsidRDefault="00E53C03" w:rsidP="00E53C03">
      <w:pPr>
        <w:spacing w:line="240" w:lineRule="auto"/>
        <w:ind w:left="720" w:hanging="720"/>
      </w:pPr>
      <w:r w:rsidRPr="00E53C03">
        <w:t>May 4, 2011- Search warrant executed at 3618 Cunningham Rd Knoxville, TN- brothel run by Elda Dorali Moreno Ramirez (</w:t>
      </w:r>
      <w:r w:rsidRPr="00E53C03">
        <w:rPr>
          <w:i/>
        </w:rPr>
        <w:t>Doc. No. 108-1</w:t>
      </w:r>
      <w:r w:rsidRPr="00E53C03">
        <w:t>)</w:t>
      </w:r>
    </w:p>
    <w:p w:rsidR="00E53C03" w:rsidRPr="00E53C03" w:rsidRDefault="00E53C03" w:rsidP="00E53C03">
      <w:pPr>
        <w:spacing w:line="240" w:lineRule="auto"/>
        <w:ind w:left="720" w:hanging="720"/>
      </w:pPr>
      <w:r w:rsidRPr="00E53C03">
        <w:t>May 4, 2011- Search warrant executed at 10019 Bob Gray Rd, Lot 34, West Knox Park, Knoxville, TN- brothel run by Reyna Rodriguez Rios (</w:t>
      </w:r>
      <w:r w:rsidRPr="00E53C03">
        <w:rPr>
          <w:i/>
        </w:rPr>
        <w:t>Doc. No. 110-1</w:t>
      </w:r>
      <w:r w:rsidRPr="00E53C03">
        <w:t>)</w:t>
      </w:r>
    </w:p>
    <w:p w:rsidR="00E53C03" w:rsidRPr="00E53C03" w:rsidRDefault="00E53C03" w:rsidP="00E53C03">
      <w:pPr>
        <w:ind w:left="720" w:hanging="720"/>
        <w:contextualSpacing/>
        <w:rPr>
          <w:b/>
          <w:smallCaps/>
          <w:sz w:val="28"/>
          <w:szCs w:val="28"/>
        </w:rPr>
      </w:pPr>
    </w:p>
    <w:p w:rsidR="00E53C03" w:rsidRPr="00E53C03" w:rsidRDefault="00E53C03" w:rsidP="00E53C03">
      <w:pPr>
        <w:ind w:left="720" w:hanging="720"/>
        <w:contextualSpacing/>
        <w:jc w:val="center"/>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rPr>
          <w:b/>
          <w:smallCaps/>
          <w:sz w:val="28"/>
          <w:szCs w:val="28"/>
        </w:rPr>
      </w:pPr>
    </w:p>
    <w:p w:rsidR="00E53C03" w:rsidRPr="00E53C03" w:rsidRDefault="00E53C03" w:rsidP="00E53C03">
      <w:pPr>
        <w:contextualSpacing/>
        <w:jc w:val="center"/>
        <w:rPr>
          <w:b/>
          <w:smallCaps/>
          <w:sz w:val="28"/>
          <w:szCs w:val="28"/>
        </w:rPr>
      </w:pPr>
      <w:r w:rsidRPr="00E53C03">
        <w:rPr>
          <w:b/>
          <w:smallCaps/>
          <w:sz w:val="28"/>
          <w:szCs w:val="28"/>
        </w:rPr>
        <w:t>Appendix D</w:t>
      </w:r>
    </w:p>
    <w:p w:rsidR="00E53C03" w:rsidRPr="00E53C03" w:rsidRDefault="00E53C03" w:rsidP="00E53C03">
      <w:pPr>
        <w:contextualSpacing/>
        <w:jc w:val="center"/>
        <w:rPr>
          <w:b/>
          <w:smallCaps/>
          <w:sz w:val="28"/>
          <w:szCs w:val="28"/>
        </w:rPr>
      </w:pPr>
      <w:r w:rsidRPr="00E53C03">
        <w:rPr>
          <w:b/>
          <w:smallCaps/>
          <w:sz w:val="28"/>
          <w:szCs w:val="28"/>
        </w:rPr>
        <w:t>Concept Map of Relationships Between Those Involved in Trafficking Network</w:t>
      </w:r>
    </w:p>
    <w:p w:rsidR="00E53C03" w:rsidRPr="00E53C03" w:rsidRDefault="00E53C03" w:rsidP="00E53C03">
      <w:pPr>
        <w:contextualSpacing/>
        <w:jc w:val="center"/>
        <w:rPr>
          <w:b/>
          <w:smallCaps/>
          <w:sz w:val="28"/>
          <w:szCs w:val="28"/>
        </w:rPr>
      </w:pPr>
      <w:r w:rsidRPr="00E53C03">
        <w:rPr>
          <w:noProof/>
        </w:rPr>
        <w:drawing>
          <wp:inline distT="0" distB="0" distL="0" distR="0" wp14:anchorId="6D1873E8" wp14:editId="5E2373CE">
            <wp:extent cx="6757439" cy="5696386"/>
            <wp:effectExtent l="0" t="2857" r="2857" b="2858"/>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9"/>
                    <a:stretch>
                      <a:fillRect/>
                    </a:stretch>
                  </pic:blipFill>
                  <pic:spPr>
                    <a:xfrm rot="16200000">
                      <a:off x="0" y="0"/>
                      <a:ext cx="6761899" cy="5700145"/>
                    </a:xfrm>
                    <a:prstGeom prst="rect">
                      <a:avLst/>
                    </a:prstGeom>
                  </pic:spPr>
                </pic:pic>
              </a:graphicData>
            </a:graphic>
          </wp:inline>
        </w:drawing>
      </w:r>
    </w:p>
    <w:p w:rsidR="00E53C03" w:rsidRPr="00E53C03" w:rsidRDefault="00E53C03" w:rsidP="00E53C03">
      <w:pPr>
        <w:ind w:left="720" w:hanging="720"/>
        <w:contextualSpacing/>
        <w:jc w:val="center"/>
        <w:rPr>
          <w:b/>
          <w:smallCaps/>
          <w:sz w:val="28"/>
          <w:szCs w:val="28"/>
        </w:rPr>
      </w:pPr>
      <w:r w:rsidRPr="00E53C03">
        <w:rPr>
          <w:b/>
          <w:smallCaps/>
          <w:sz w:val="28"/>
          <w:szCs w:val="28"/>
        </w:rPr>
        <w:t>Appendix E</w:t>
      </w:r>
    </w:p>
    <w:p w:rsidR="00E53C03" w:rsidRPr="00E53C03" w:rsidRDefault="00E53C03" w:rsidP="00E53C03">
      <w:pPr>
        <w:ind w:left="720" w:hanging="720"/>
        <w:contextualSpacing/>
        <w:jc w:val="center"/>
        <w:rPr>
          <w:b/>
          <w:smallCaps/>
          <w:sz w:val="28"/>
          <w:szCs w:val="28"/>
        </w:rPr>
      </w:pPr>
      <w:r w:rsidRPr="00E53C03">
        <w:rPr>
          <w:b/>
          <w:smallCaps/>
          <w:sz w:val="28"/>
          <w:szCs w:val="28"/>
        </w:rPr>
        <w:t>Map of Brothels Within Network and Associated with Network</w:t>
      </w:r>
    </w:p>
    <w:p w:rsidR="00E53C03" w:rsidRPr="00E53C03" w:rsidRDefault="00E53C03" w:rsidP="00E53C03">
      <w:pPr>
        <w:ind w:left="720" w:hanging="720"/>
        <w:contextualSpacing/>
      </w:pPr>
      <w:r w:rsidRPr="00E53C03">
        <w:rPr>
          <w:b/>
          <w:smallCaps/>
          <w:noProof/>
          <w:sz w:val="28"/>
          <w:szCs w:val="28"/>
        </w:rPr>
        <w:drawing>
          <wp:inline distT="0" distB="0" distL="0" distR="0" wp14:anchorId="111E8EAA" wp14:editId="5C53C7A7">
            <wp:extent cx="5943600" cy="33451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g map.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345180"/>
                    </a:xfrm>
                    <a:prstGeom prst="rect">
                      <a:avLst/>
                    </a:prstGeom>
                  </pic:spPr>
                </pic:pic>
              </a:graphicData>
            </a:graphic>
          </wp:inline>
        </w:drawing>
      </w: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r w:rsidRPr="00E53C03">
        <w:rPr>
          <w:b/>
          <w:smallCaps/>
          <w:sz w:val="28"/>
          <w:szCs w:val="28"/>
        </w:rPr>
        <w:t xml:space="preserve">Appendix F </w:t>
      </w:r>
    </w:p>
    <w:p w:rsidR="00E53C03" w:rsidRPr="00E53C03" w:rsidRDefault="00E53C03" w:rsidP="00E53C03">
      <w:pPr>
        <w:jc w:val="center"/>
        <w:rPr>
          <w:b/>
          <w:smallCaps/>
          <w:sz w:val="28"/>
          <w:szCs w:val="28"/>
        </w:rPr>
      </w:pPr>
      <w:r w:rsidRPr="00E53C03">
        <w:rPr>
          <w:b/>
          <w:smallCaps/>
          <w:sz w:val="28"/>
          <w:szCs w:val="28"/>
        </w:rPr>
        <w:t>Sample Brothel Delivery Area*</w:t>
      </w:r>
    </w:p>
    <w:p w:rsidR="00E53C03" w:rsidRPr="00E53C03" w:rsidRDefault="00E53C03" w:rsidP="00E53C03">
      <w:pPr>
        <w:jc w:val="center"/>
        <w:rPr>
          <w:b/>
          <w:smallCaps/>
          <w:sz w:val="28"/>
          <w:szCs w:val="28"/>
        </w:rPr>
      </w:pPr>
      <w:r w:rsidRPr="00E53C03">
        <w:rPr>
          <w:b/>
          <w:smallCaps/>
          <w:noProof/>
          <w:sz w:val="28"/>
          <w:szCs w:val="28"/>
        </w:rPr>
        <w:drawing>
          <wp:inline distT="0" distB="0" distL="0" distR="0" wp14:anchorId="151F3ED7" wp14:editId="6ABA8A88">
            <wp:extent cx="5943600" cy="3467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domo.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467100"/>
                    </a:xfrm>
                    <a:prstGeom prst="rect">
                      <a:avLst/>
                    </a:prstGeom>
                  </pic:spPr>
                </pic:pic>
              </a:graphicData>
            </a:graphic>
          </wp:inline>
        </w:drawing>
      </w:r>
    </w:p>
    <w:p w:rsidR="00E53C03" w:rsidRPr="00E53C03" w:rsidRDefault="00E53C03" w:rsidP="00E53C03">
      <w:pPr>
        <w:ind w:left="720"/>
        <w:contextualSpacing/>
        <w:rPr>
          <w:sz w:val="20"/>
          <w:szCs w:val="20"/>
        </w:rPr>
      </w:pPr>
      <w:r w:rsidRPr="00E53C03">
        <w:rPr>
          <w:smallCaps/>
          <w:sz w:val="20"/>
          <w:szCs w:val="20"/>
        </w:rPr>
        <w:t>*</w:t>
      </w:r>
      <w:r w:rsidRPr="00E53C03">
        <w:rPr>
          <w:sz w:val="20"/>
          <w:szCs w:val="20"/>
        </w:rPr>
        <w:t>Actual delivery locations of Selvin Salvador Perdomo’s prostitution business (associated with trafficking network in the case under study) as witnessed by law enforcement (</w:t>
      </w:r>
      <w:r w:rsidRPr="00E53C03">
        <w:rPr>
          <w:i/>
          <w:sz w:val="20"/>
          <w:szCs w:val="20"/>
        </w:rPr>
        <w:t>Doc. 1</w:t>
      </w:r>
      <w:r w:rsidRPr="00E53C03">
        <w:rPr>
          <w:sz w:val="20"/>
          <w:szCs w:val="20"/>
        </w:rPr>
        <w:t xml:space="preserve">, Case 3:10-cr-00097). </w:t>
      </w: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p>
    <w:p w:rsidR="00E53C03" w:rsidRPr="00E53C03" w:rsidRDefault="00E53C03" w:rsidP="00E53C03">
      <w:pPr>
        <w:jc w:val="center"/>
        <w:rPr>
          <w:b/>
          <w:smallCaps/>
          <w:sz w:val="28"/>
          <w:szCs w:val="28"/>
        </w:rPr>
      </w:pPr>
      <w:r w:rsidRPr="00E53C03">
        <w:rPr>
          <w:b/>
          <w:smallCaps/>
          <w:sz w:val="28"/>
          <w:szCs w:val="28"/>
        </w:rPr>
        <w:t>Vita</w:t>
      </w:r>
    </w:p>
    <w:p w:rsidR="00E53C03" w:rsidRPr="00E53C03" w:rsidRDefault="00E53C03" w:rsidP="00E53C03">
      <w:pPr>
        <w:jc w:val="center"/>
        <w:rPr>
          <w:b/>
          <w:smallCaps/>
          <w:sz w:val="28"/>
          <w:szCs w:val="28"/>
        </w:rPr>
      </w:pPr>
    </w:p>
    <w:p w:rsidR="002274CE" w:rsidRDefault="000F59AC"/>
    <w:sectPr w:rsidR="002274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9AC" w:rsidRDefault="000F59AC" w:rsidP="00E53C03">
      <w:pPr>
        <w:spacing w:after="0" w:line="240" w:lineRule="auto"/>
      </w:pPr>
      <w:r>
        <w:separator/>
      </w:r>
    </w:p>
  </w:endnote>
  <w:endnote w:type="continuationSeparator" w:id="0">
    <w:p w:rsidR="000F59AC" w:rsidRDefault="000F59AC" w:rsidP="00E53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3C03" w:rsidRDefault="00E53C03" w:rsidP="00D1520F">
    <w:pPr>
      <w:pStyle w:val="Footer"/>
    </w:pPr>
  </w:p>
  <w:p w:rsidR="00E53C03" w:rsidRDefault="00E53C0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065518"/>
      <w:docPartObj>
        <w:docPartGallery w:val="Page Numbers (Bottom of Page)"/>
        <w:docPartUnique/>
      </w:docPartObj>
    </w:sdtPr>
    <w:sdtEndPr>
      <w:rPr>
        <w:noProof/>
      </w:rPr>
    </w:sdtEndPr>
    <w:sdtContent>
      <w:p w:rsidR="00E53C03" w:rsidRDefault="00E53C03">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rsidR="00E53C03" w:rsidRDefault="00E53C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9AC" w:rsidRDefault="000F59AC" w:rsidP="00E53C03">
      <w:pPr>
        <w:spacing w:after="0" w:line="240" w:lineRule="auto"/>
      </w:pPr>
      <w:r>
        <w:separator/>
      </w:r>
    </w:p>
  </w:footnote>
  <w:footnote w:type="continuationSeparator" w:id="0">
    <w:p w:rsidR="000F59AC" w:rsidRDefault="000F59AC" w:rsidP="00E53C03">
      <w:pPr>
        <w:spacing w:after="0" w:line="240" w:lineRule="auto"/>
      </w:pPr>
      <w:r>
        <w:continuationSeparator/>
      </w:r>
    </w:p>
  </w:footnote>
  <w:footnote w:id="1">
    <w:p w:rsidR="00E53C03" w:rsidRDefault="00E53C03" w:rsidP="00E53C03">
      <w:pPr>
        <w:pStyle w:val="FootnoteText"/>
      </w:pPr>
      <w:r>
        <w:rPr>
          <w:rStyle w:val="FootnoteReference"/>
        </w:rPr>
        <w:footnoteRef/>
      </w:r>
      <w:r>
        <w:t xml:space="preserve"> </w:t>
      </w:r>
      <w:r w:rsidRPr="007A2EF7">
        <w:rPr>
          <w:rFonts w:ascii="Times New Roman" w:hAnsi="Times New Roman" w:cs="Times New Roman"/>
        </w:rPr>
        <w:t>Name has been changed to protect identity</w:t>
      </w:r>
      <w:r>
        <w:rPr>
          <w:rFonts w:ascii="Times New Roman" w:hAnsi="Times New Roman" w:cs="Times New Roman"/>
        </w:rPr>
        <w:t xml:space="preserve">, the names of all victims in this case have been changed to also protect their identities. </w:t>
      </w:r>
    </w:p>
  </w:footnote>
  <w:footnote w:id="2">
    <w:p w:rsidR="00E53C03" w:rsidRPr="006D1044" w:rsidRDefault="00E53C03" w:rsidP="00E53C03">
      <w:pPr>
        <w:pStyle w:val="FootnoteText"/>
        <w:rPr>
          <w:rFonts w:ascii="Times New Roman" w:hAnsi="Times New Roman" w:cs="Times New Roman"/>
        </w:rPr>
      </w:pPr>
      <w:r w:rsidRPr="006D1044">
        <w:rPr>
          <w:rStyle w:val="FootnoteReference"/>
          <w:rFonts w:ascii="Times New Roman" w:hAnsi="Times New Roman" w:cs="Times New Roman"/>
        </w:rPr>
        <w:footnoteRef/>
      </w:r>
      <w:r w:rsidRPr="006D1044">
        <w:rPr>
          <w:rFonts w:ascii="Times New Roman" w:hAnsi="Times New Roman" w:cs="Times New Roman"/>
        </w:rPr>
        <w:t xml:space="preserve"> Another law enforcement affidavit included additional details regarding Sonia’s initial trafficking. In this statement, there two men who met Sonia and the woman in Birmingham. These men assisted the woman in confiscating Sonia’s identification, cash, and cell phone and threatening Sonia (Doc. No. 104-1)</w:t>
      </w:r>
      <w:r>
        <w:rPr>
          <w:rFonts w:ascii="Times New Roman" w:hAnsi="Times New Roman" w:cs="Times New Roman"/>
        </w:rPr>
        <w:t>, thus two versions of Sonia’s story were recorded in official documents</w:t>
      </w:r>
      <w:r w:rsidRPr="006D1044">
        <w:rPr>
          <w:rFonts w:ascii="Times New Roman" w:hAnsi="Times New Roman" w:cs="Times New Roman"/>
        </w:rPr>
        <w:t>.</w:t>
      </w:r>
      <w:r>
        <w:rPr>
          <w:rFonts w:ascii="Times New Roman" w:hAnsi="Times New Roman" w:cs="Times New Roman"/>
        </w:rPr>
        <w:t xml:space="preserve"> The silencing of Sonia and the victims in this case, through their stories being presented through the writings of others and their physical absence in the prosecution will be discussed later in further detail in Chapter 5.  </w:t>
      </w:r>
      <w:r w:rsidRPr="006D1044">
        <w:rPr>
          <w:rFonts w:ascii="Times New Roman" w:hAnsi="Times New Roman" w:cs="Times New Roman"/>
        </w:rPr>
        <w:t xml:space="preserve">   </w:t>
      </w:r>
    </w:p>
  </w:footnote>
  <w:footnote w:id="3">
    <w:p w:rsidR="00E53C03" w:rsidRDefault="00E53C03" w:rsidP="00E53C03">
      <w:pPr>
        <w:pStyle w:val="FootnoteText"/>
      </w:pPr>
      <w:r>
        <w:rPr>
          <w:rStyle w:val="FootnoteReference"/>
        </w:rPr>
        <w:footnoteRef/>
      </w:r>
      <w:r>
        <w:t xml:space="preserve"> </w:t>
      </w:r>
      <w:r w:rsidRPr="00BA38C7">
        <w:rPr>
          <w:rFonts w:ascii="Times New Roman" w:hAnsi="Times New Roman" w:cs="Times New Roman"/>
        </w:rPr>
        <w:t>This is the term used throughout the investigation and prosecution to refer to those who ‘handle’ prostitutes (more commonly known as pimps).</w:t>
      </w:r>
      <w:r>
        <w:t xml:space="preserve"> </w:t>
      </w:r>
    </w:p>
  </w:footnote>
  <w:footnote w:id="4">
    <w:p w:rsidR="00E53C03" w:rsidRPr="006C4D86" w:rsidRDefault="00E53C03" w:rsidP="00E53C03">
      <w:pPr>
        <w:pStyle w:val="FootnoteText"/>
        <w:rPr>
          <w:rFonts w:ascii="Times New Roman" w:hAnsi="Times New Roman" w:cs="Times New Roman"/>
        </w:rPr>
      </w:pPr>
      <w:r w:rsidRPr="006C4D86">
        <w:rPr>
          <w:rStyle w:val="FootnoteReference"/>
          <w:rFonts w:ascii="Times New Roman" w:hAnsi="Times New Roman" w:cs="Times New Roman"/>
        </w:rPr>
        <w:footnoteRef/>
      </w:r>
      <w:r w:rsidRPr="006C4D86">
        <w:rPr>
          <w:rFonts w:ascii="Times New Roman" w:hAnsi="Times New Roman" w:cs="Times New Roman"/>
        </w:rPr>
        <w:t xml:space="preserve"> Many of these handlers were known solely by nicknames, but for the sake of clarity, they will be referred throughout this project by their legal names. </w:t>
      </w:r>
    </w:p>
    <w:p w:rsidR="00E53C03" w:rsidRDefault="00E53C03" w:rsidP="00E53C03">
      <w:pPr>
        <w:pStyle w:val="FootnoteText"/>
      </w:pPr>
      <w:r w:rsidRPr="006C4D86">
        <w:rPr>
          <w:rFonts w:ascii="Times New Roman" w:hAnsi="Times New Roman" w:cs="Times New Roman"/>
        </w:rPr>
        <w:t xml:space="preserve">Rosa Garcia Menendez went by the name Carmensita </w:t>
      </w:r>
      <w:r>
        <w:rPr>
          <w:rFonts w:ascii="Times New Roman" w:hAnsi="Times New Roman" w:cs="Times New Roman"/>
        </w:rPr>
        <w:t>or</w:t>
      </w:r>
      <w:r w:rsidRPr="006C4D86">
        <w:rPr>
          <w:rFonts w:ascii="Times New Roman" w:hAnsi="Times New Roman" w:cs="Times New Roman"/>
        </w:rPr>
        <w:t xml:space="preserve"> ‘La Flacca’ which means ‘the skinny one’; </w:t>
      </w:r>
      <w:r>
        <w:rPr>
          <w:rFonts w:ascii="Times New Roman" w:hAnsi="Times New Roman" w:cs="Times New Roman"/>
        </w:rPr>
        <w:t xml:space="preserve">Rubio Trinidad Narciso was </w:t>
      </w:r>
      <w:r w:rsidRPr="006C4D86">
        <w:rPr>
          <w:rFonts w:ascii="Times New Roman" w:hAnsi="Times New Roman" w:cs="Times New Roman"/>
        </w:rPr>
        <w:t>known as Jose Rubio; Elda Dorali Moreno Ramirez was known as Edith; Reyna Rodriguez Rios was known was Areli</w:t>
      </w:r>
      <w:r>
        <w:rPr>
          <w:rFonts w:ascii="Times New Roman" w:hAnsi="Times New Roman" w:cs="Times New Roman"/>
        </w:rPr>
        <w:t>/Aracelli</w:t>
      </w:r>
      <w:r w:rsidRPr="006C4D86">
        <w:rPr>
          <w:rFonts w:ascii="Times New Roman" w:hAnsi="Times New Roman" w:cs="Times New Roman"/>
        </w:rPr>
        <w:t>; Freddy Lopez Torres went by the name Julian; Obdulio Comacho Morales was known as Yuyo; and Esthela Silfa Vasquez went by Juli (</w:t>
      </w:r>
      <w:r w:rsidRPr="00751113">
        <w:rPr>
          <w:rFonts w:ascii="Times New Roman" w:hAnsi="Times New Roman" w:cs="Times New Roman"/>
          <w:i/>
        </w:rPr>
        <w:t>Doc. No. 121-1; Doc. No. 115-1</w:t>
      </w:r>
      <w:r w:rsidRPr="006C4D86">
        <w:rPr>
          <w:rFonts w:ascii="Times New Roman" w:hAnsi="Times New Roman" w:cs="Times New Roman"/>
        </w:rPr>
        <w:t xml:space="preserve">). </w:t>
      </w:r>
    </w:p>
  </w:footnote>
  <w:footnote w:id="5">
    <w:p w:rsidR="00E53C03" w:rsidRDefault="00E53C03" w:rsidP="00E53C03">
      <w:pPr>
        <w:pStyle w:val="FootnoteText"/>
      </w:pPr>
      <w:r>
        <w:rPr>
          <w:rStyle w:val="FootnoteReference"/>
        </w:rPr>
        <w:footnoteRef/>
      </w:r>
      <w:r>
        <w:t xml:space="preserve"> </w:t>
      </w:r>
      <w:r w:rsidRPr="00751113">
        <w:rPr>
          <w:rFonts w:ascii="Times New Roman" w:hAnsi="Times New Roman" w:cs="Times New Roman"/>
        </w:rPr>
        <w:t>Two sets of romantic partners were involved in this prostitution network, each couple operated brothel(s) jointly</w:t>
      </w:r>
      <w:r>
        <w:t xml:space="preserve"> </w:t>
      </w:r>
    </w:p>
  </w:footnote>
  <w:footnote w:id="6">
    <w:p w:rsidR="00E53C03" w:rsidRDefault="00E53C03" w:rsidP="00E53C03">
      <w:pPr>
        <w:pStyle w:val="FootnoteText"/>
      </w:pPr>
      <w:r>
        <w:rPr>
          <w:rStyle w:val="FootnoteReference"/>
        </w:rPr>
        <w:footnoteRef/>
      </w:r>
      <w:r>
        <w:t xml:space="preserve"> </w:t>
      </w:r>
      <w:r w:rsidRPr="00E617BD">
        <w:rPr>
          <w:rFonts w:ascii="Times New Roman" w:hAnsi="Times New Roman" w:cs="Times New Roman"/>
        </w:rPr>
        <w:t xml:space="preserve">In this type of </w:t>
      </w:r>
      <w:r>
        <w:rPr>
          <w:rFonts w:ascii="Times New Roman" w:hAnsi="Times New Roman" w:cs="Times New Roman"/>
        </w:rPr>
        <w:t xml:space="preserve">prostitution </w:t>
      </w:r>
      <w:r w:rsidRPr="00E617BD">
        <w:rPr>
          <w:rFonts w:ascii="Times New Roman" w:hAnsi="Times New Roman" w:cs="Times New Roman"/>
        </w:rPr>
        <w:t>business, the services are rendered at the residence of the customer or at a place of their choosing</w:t>
      </w:r>
      <w:r>
        <w:rPr>
          <w:rFonts w:ascii="Times New Roman" w:hAnsi="Times New Roman" w:cs="Times New Roman"/>
        </w:rPr>
        <w:t>.</w:t>
      </w:r>
    </w:p>
  </w:footnote>
  <w:footnote w:id="7">
    <w:p w:rsidR="00E53C03" w:rsidRDefault="00E53C03" w:rsidP="00E53C03">
      <w:pPr>
        <w:pStyle w:val="FootnoteText"/>
      </w:pPr>
      <w:r>
        <w:rPr>
          <w:rStyle w:val="FootnoteReference"/>
        </w:rPr>
        <w:footnoteRef/>
      </w:r>
      <w:r>
        <w:t xml:space="preserve"> </w:t>
      </w:r>
      <w:r>
        <w:rPr>
          <w:rFonts w:ascii="Times New Roman" w:hAnsi="Times New Roman" w:cs="Times New Roman"/>
        </w:rPr>
        <w:t>In</w:t>
      </w:r>
      <w:r w:rsidRPr="006B0DC4">
        <w:rPr>
          <w:rFonts w:ascii="Times New Roman" w:hAnsi="Times New Roman" w:cs="Times New Roman"/>
        </w:rPr>
        <w:t xml:space="preserve"> this law enforcement technique, officers collect trash that has been put out on the curb for pickup as it is legal for search without a warrant</w:t>
      </w:r>
    </w:p>
  </w:footnote>
  <w:footnote w:id="8">
    <w:p w:rsidR="00E53C03" w:rsidRDefault="00E53C03" w:rsidP="00E53C03">
      <w:pPr>
        <w:pStyle w:val="FootnoteText"/>
      </w:pPr>
      <w:r>
        <w:rPr>
          <w:rStyle w:val="FootnoteReference"/>
        </w:rPr>
        <w:footnoteRef/>
      </w:r>
      <w:r>
        <w:t xml:space="preserve"> </w:t>
      </w:r>
      <w:r w:rsidRPr="0022450D">
        <w:rPr>
          <w:rFonts w:ascii="Times New Roman" w:hAnsi="Times New Roman" w:cs="Times New Roman"/>
        </w:rPr>
        <w:t>Used to record both the phone numbers of incoming and outgoing phone calls</w:t>
      </w:r>
      <w:r>
        <w:rPr>
          <w:rFonts w:ascii="Times New Roman" w:hAnsi="Times New Roman" w:cs="Times New Roman"/>
        </w:rPr>
        <w:t>.</w:t>
      </w:r>
    </w:p>
  </w:footnote>
  <w:footnote w:id="9">
    <w:p w:rsidR="00E53C03" w:rsidRDefault="00E53C03" w:rsidP="00E53C03">
      <w:pPr>
        <w:pStyle w:val="FootnoteText"/>
      </w:pPr>
      <w:r>
        <w:rPr>
          <w:rStyle w:val="FootnoteReference"/>
        </w:rPr>
        <w:footnoteRef/>
      </w:r>
      <w:r>
        <w:t xml:space="preserve"> </w:t>
      </w:r>
      <w:r w:rsidRPr="006B0DC4">
        <w:rPr>
          <w:rFonts w:ascii="Times New Roman" w:hAnsi="Times New Roman" w:cs="Times New Roman"/>
        </w:rPr>
        <w:t>For a detailed chronology of the criminal investigation, see Appendix C</w:t>
      </w:r>
    </w:p>
  </w:footnote>
  <w:footnote w:id="10">
    <w:p w:rsidR="00E53C03" w:rsidRPr="002556BD" w:rsidRDefault="00E53C03" w:rsidP="00E53C03">
      <w:pPr>
        <w:pStyle w:val="FootnoteText"/>
        <w:rPr>
          <w:rFonts w:ascii="Times New Roman" w:hAnsi="Times New Roman" w:cs="Times New Roman"/>
        </w:rPr>
      </w:pPr>
      <w:r w:rsidRPr="002556BD">
        <w:rPr>
          <w:rStyle w:val="FootnoteReference"/>
          <w:rFonts w:ascii="Times New Roman" w:hAnsi="Times New Roman" w:cs="Times New Roman"/>
        </w:rPr>
        <w:footnoteRef/>
      </w:r>
      <w:r w:rsidRPr="002556BD">
        <w:rPr>
          <w:rFonts w:ascii="Times New Roman" w:hAnsi="Times New Roman" w:cs="Times New Roman"/>
        </w:rPr>
        <w:t xml:space="preserve"> Again for further detail, see Appendix C</w:t>
      </w:r>
    </w:p>
  </w:footnote>
  <w:footnote w:id="11">
    <w:p w:rsidR="00E53C03" w:rsidRDefault="00E53C03" w:rsidP="00E53C03">
      <w:pPr>
        <w:pStyle w:val="FootnoteText"/>
        <w:rPr>
          <w:rFonts w:ascii="Times New Roman" w:hAnsi="Times New Roman" w:cs="Times New Roman"/>
        </w:rPr>
      </w:pPr>
      <w:r w:rsidRPr="00D56E61">
        <w:rPr>
          <w:rStyle w:val="FootnoteReference"/>
          <w:rFonts w:ascii="Times New Roman" w:hAnsi="Times New Roman" w:cs="Times New Roman"/>
        </w:rPr>
        <w:footnoteRef/>
      </w:r>
      <w:r w:rsidRPr="00D56E61">
        <w:rPr>
          <w:rFonts w:ascii="Times New Roman" w:hAnsi="Times New Roman" w:cs="Times New Roman"/>
        </w:rPr>
        <w:t xml:space="preserve"> 18 U.S.C. § 2421</w:t>
      </w:r>
      <w:r w:rsidRPr="001319B4">
        <w:rPr>
          <w:rFonts w:ascii="Times New Roman" w:hAnsi="Times New Roman" w:cs="Times New Roman"/>
        </w:rPr>
        <w:t xml:space="preserve"> </w:t>
      </w:r>
      <w:r w:rsidRPr="00D56E61">
        <w:rPr>
          <w:rFonts w:ascii="Times New Roman" w:hAnsi="Times New Roman" w:cs="Times New Roman"/>
        </w:rPr>
        <w:t>prohibits transporting (or attempting to) individual for purposes of prostitution or criminal sex act</w:t>
      </w:r>
    </w:p>
    <w:p w:rsidR="00E53C03" w:rsidRDefault="00E53C03" w:rsidP="00E53C03">
      <w:pPr>
        <w:pStyle w:val="FootnoteText"/>
        <w:rPr>
          <w:rFonts w:ascii="Times New Roman" w:hAnsi="Times New Roman" w:cs="Times New Roman"/>
        </w:rPr>
      </w:pPr>
      <w:r w:rsidRPr="00D56E61">
        <w:rPr>
          <w:rFonts w:ascii="Times New Roman" w:hAnsi="Times New Roman" w:cs="Times New Roman"/>
        </w:rPr>
        <w:t>2422(a)</w:t>
      </w:r>
      <w:r>
        <w:rPr>
          <w:rFonts w:ascii="Times New Roman" w:hAnsi="Times New Roman" w:cs="Times New Roman"/>
        </w:rPr>
        <w:t xml:space="preserve"> prohibits</w:t>
      </w:r>
      <w:r w:rsidRPr="001319B4">
        <w:rPr>
          <w:rFonts w:ascii="Times New Roman" w:hAnsi="Times New Roman" w:cs="Times New Roman"/>
        </w:rPr>
        <w:t xml:space="preserve"> </w:t>
      </w:r>
      <w:r w:rsidRPr="00D56E61">
        <w:rPr>
          <w:rFonts w:ascii="Times New Roman" w:hAnsi="Times New Roman" w:cs="Times New Roman"/>
        </w:rPr>
        <w:t>persuading, inducing, enticing, or coercing individual to travel in interstate commerce for purposes of prostitution or criminal sex act,</w:t>
      </w:r>
    </w:p>
    <w:p w:rsidR="00E53C03" w:rsidRPr="00D56E61" w:rsidRDefault="00E53C03" w:rsidP="00E53C03">
      <w:pPr>
        <w:pStyle w:val="FootnoteText"/>
        <w:rPr>
          <w:rFonts w:ascii="Times New Roman" w:hAnsi="Times New Roman" w:cs="Times New Roman"/>
        </w:rPr>
      </w:pPr>
      <w:r w:rsidRPr="00D56E61">
        <w:rPr>
          <w:rFonts w:ascii="Times New Roman" w:hAnsi="Times New Roman" w:cs="Times New Roman"/>
        </w:rPr>
        <w:t xml:space="preserve">2424 </w:t>
      </w:r>
      <w:r>
        <w:rPr>
          <w:rFonts w:ascii="Times New Roman" w:hAnsi="Times New Roman" w:cs="Times New Roman"/>
        </w:rPr>
        <w:t>criminalizes</w:t>
      </w:r>
      <w:r w:rsidRPr="00D56E61">
        <w:rPr>
          <w:rFonts w:ascii="Times New Roman" w:hAnsi="Times New Roman" w:cs="Times New Roman"/>
        </w:rPr>
        <w:t xml:space="preserve"> not filing a statement with Commissioner of Immigration and Naturalization with information about aliens working in brothel  </w:t>
      </w:r>
    </w:p>
    <w:p w:rsidR="00E53C03" w:rsidRPr="00D56E61" w:rsidRDefault="00E53C03" w:rsidP="00E53C03">
      <w:pPr>
        <w:pStyle w:val="FootnoteText"/>
        <w:rPr>
          <w:rFonts w:ascii="Times New Roman" w:hAnsi="Times New Roman" w:cs="Times New Roman"/>
        </w:rPr>
      </w:pPr>
      <w:r w:rsidRPr="00D56E61">
        <w:rPr>
          <w:rFonts w:ascii="Times New Roman" w:hAnsi="Times New Roman" w:cs="Times New Roman"/>
        </w:rPr>
        <w:t>18 U.S.C. § 371 prohibits conspiring to commit offense against or defraud the US government and commit an act        to further the conspiracy</w:t>
      </w:r>
    </w:p>
    <w:p w:rsidR="00E53C03" w:rsidRDefault="00E53C03" w:rsidP="00E53C03">
      <w:pPr>
        <w:pStyle w:val="FootnoteText"/>
      </w:pPr>
      <w:r w:rsidRPr="00D56E61">
        <w:rPr>
          <w:rFonts w:ascii="Times New Roman" w:hAnsi="Times New Roman" w:cs="Times New Roman"/>
        </w:rPr>
        <w:t>8 U.S.C. § 1324(a)(1)(A)(ii-iii) prohibits transporting, attempting to transport, or moving aliens and concealing, harboring, or shielding from detection (to attempts to) any alien</w:t>
      </w:r>
    </w:p>
  </w:footnote>
  <w:footnote w:id="12">
    <w:p w:rsidR="00E53C03" w:rsidRDefault="00E53C03" w:rsidP="00E53C03">
      <w:pPr>
        <w:pStyle w:val="FootnoteText"/>
      </w:pPr>
      <w:r>
        <w:rPr>
          <w:rStyle w:val="FootnoteReference"/>
        </w:rPr>
        <w:footnoteRef/>
      </w:r>
      <w:r>
        <w:t xml:space="preserve"> </w:t>
      </w:r>
      <w:r w:rsidRPr="00B5708F">
        <w:rPr>
          <w:rFonts w:ascii="Times New Roman" w:hAnsi="Times New Roman" w:cs="Times New Roman"/>
        </w:rPr>
        <w:t>As Nelson (2002) highlight</w:t>
      </w:r>
      <w:r>
        <w:rPr>
          <w:rFonts w:ascii="Times New Roman" w:hAnsi="Times New Roman" w:cs="Times New Roman"/>
        </w:rPr>
        <w:t>s</w:t>
      </w:r>
      <w:r w:rsidRPr="00B5708F">
        <w:rPr>
          <w:rFonts w:ascii="Times New Roman" w:hAnsi="Times New Roman" w:cs="Times New Roman"/>
        </w:rPr>
        <w:t>, the congressional “power to regulate interstate and foreign commerce” is the basis for the federal regulations regarding interstate prostitution and sex trafficking (p. 571).</w:t>
      </w:r>
    </w:p>
  </w:footnote>
  <w:footnote w:id="13">
    <w:p w:rsidR="00E53C03" w:rsidRPr="009241C0" w:rsidRDefault="00E53C03" w:rsidP="00E53C03">
      <w:pPr>
        <w:pStyle w:val="FootnoteText"/>
        <w:rPr>
          <w:rFonts w:ascii="Times New Roman" w:hAnsi="Times New Roman" w:cs="Times New Roman"/>
        </w:rPr>
      </w:pPr>
      <w:r w:rsidRPr="009241C0">
        <w:rPr>
          <w:rStyle w:val="FootnoteReference"/>
          <w:rFonts w:ascii="Times New Roman" w:hAnsi="Times New Roman" w:cs="Times New Roman"/>
        </w:rPr>
        <w:footnoteRef/>
      </w:r>
      <w:r w:rsidRPr="009241C0">
        <w:rPr>
          <w:rFonts w:ascii="Times New Roman" w:hAnsi="Times New Roman" w:cs="Times New Roman"/>
        </w:rPr>
        <w:t xml:space="preserve"> This issue will be discussed in further detail in Chapter 4 of this dissertation. </w:t>
      </w:r>
    </w:p>
  </w:footnote>
  <w:footnote w:id="14">
    <w:p w:rsidR="00E53C03" w:rsidRPr="00865277" w:rsidRDefault="00E53C03" w:rsidP="00E53C03">
      <w:pPr>
        <w:pStyle w:val="FootnoteText"/>
        <w:rPr>
          <w:rFonts w:ascii="Times New Roman" w:hAnsi="Times New Roman" w:cs="Times New Roman"/>
        </w:rPr>
      </w:pPr>
      <w:r w:rsidRPr="00865277">
        <w:rPr>
          <w:rStyle w:val="FootnoteReference"/>
          <w:rFonts w:ascii="Times New Roman" w:hAnsi="Times New Roman" w:cs="Times New Roman"/>
        </w:rPr>
        <w:footnoteRef/>
      </w:r>
      <w:r w:rsidRPr="00865277">
        <w:rPr>
          <w:rFonts w:ascii="Times New Roman" w:hAnsi="Times New Roman" w:cs="Times New Roman"/>
        </w:rPr>
        <w:t xml:space="preserve"> Under</w:t>
      </w:r>
      <w:r>
        <w:rPr>
          <w:rFonts w:ascii="Times New Roman" w:hAnsi="Times New Roman" w:cs="Times New Roman"/>
        </w:rPr>
        <w:t xml:space="preserve"> USSG</w:t>
      </w:r>
      <w:r w:rsidRPr="00865277">
        <w:rPr>
          <w:rFonts w:ascii="Times New Roman" w:hAnsi="Times New Roman" w:cs="Times New Roman"/>
        </w:rPr>
        <w:t xml:space="preserve"> §2G1.1(b) </w:t>
      </w:r>
    </w:p>
  </w:footnote>
  <w:footnote w:id="15">
    <w:p w:rsidR="00E53C03" w:rsidRDefault="00E53C03" w:rsidP="00E53C03">
      <w:pPr>
        <w:pStyle w:val="FootnoteText"/>
      </w:pPr>
      <w:r>
        <w:rPr>
          <w:rStyle w:val="FootnoteReference"/>
        </w:rPr>
        <w:footnoteRef/>
      </w:r>
      <w:r>
        <w:t xml:space="preserve"> </w:t>
      </w:r>
      <w:r>
        <w:rPr>
          <w:rFonts w:ascii="Times New Roman" w:hAnsi="Times New Roman" w:cs="Times New Roman"/>
        </w:rPr>
        <w:t>The definition of coercion varies in different pieces of f</w:t>
      </w:r>
      <w:r w:rsidRPr="00865277">
        <w:rPr>
          <w:rFonts w:ascii="Times New Roman" w:hAnsi="Times New Roman" w:cs="Times New Roman"/>
        </w:rPr>
        <w:t>ederal legislation and the Sentencing Guidelines</w:t>
      </w:r>
      <w:r>
        <w:rPr>
          <w:rFonts w:ascii="Times New Roman" w:hAnsi="Times New Roman" w:cs="Times New Roman"/>
        </w:rPr>
        <w:t xml:space="preserve">. </w:t>
      </w:r>
      <w:r w:rsidRPr="00865277">
        <w:rPr>
          <w:rFonts w:ascii="Times New Roman" w:hAnsi="Times New Roman" w:cs="Times New Roman"/>
        </w:rPr>
        <w:t xml:space="preserve">The TVPA contains a very strict definition of coercion related to physical actions, while this section of the Sentencing Guidelines has a much more inclusive definition of coercion. </w:t>
      </w:r>
      <w:r>
        <w:rPr>
          <w:rFonts w:ascii="Times New Roman" w:hAnsi="Times New Roman" w:cs="Times New Roman"/>
        </w:rPr>
        <w:t xml:space="preserve">This further highlights the malleability of the construction of these concepts, even under the law. Despite not meeting the threshold for the use of coercion and force under the TVPA, a use of coercion was used against the defendants in court under another statute. </w:t>
      </w:r>
    </w:p>
  </w:footnote>
  <w:footnote w:id="16">
    <w:p w:rsidR="00E53C03" w:rsidRPr="00EF25E1" w:rsidRDefault="00E53C03" w:rsidP="00E53C03">
      <w:pPr>
        <w:pStyle w:val="FootnoteText"/>
        <w:rPr>
          <w:rFonts w:ascii="Times New Roman" w:hAnsi="Times New Roman" w:cs="Times New Roman"/>
        </w:rPr>
      </w:pPr>
      <w:r w:rsidRPr="00EF25E1">
        <w:rPr>
          <w:rStyle w:val="FootnoteReference"/>
          <w:rFonts w:ascii="Times New Roman" w:hAnsi="Times New Roman" w:cs="Times New Roman"/>
        </w:rPr>
        <w:footnoteRef/>
      </w:r>
      <w:r w:rsidRPr="00EF25E1">
        <w:rPr>
          <w:rFonts w:ascii="Times New Roman" w:hAnsi="Times New Roman" w:cs="Times New Roman"/>
        </w:rPr>
        <w:t xml:space="preserve"> Under U.S.S.G. § 2L1.1(b)(8)(B)</w:t>
      </w:r>
    </w:p>
  </w:footnote>
  <w:footnote w:id="17">
    <w:p w:rsidR="00E53C03" w:rsidRPr="00867488" w:rsidRDefault="00E53C03" w:rsidP="00E53C03">
      <w:pPr>
        <w:pStyle w:val="FootnoteText"/>
        <w:rPr>
          <w:rFonts w:ascii="Times New Roman" w:hAnsi="Times New Roman" w:cs="Times New Roman"/>
        </w:rPr>
      </w:pPr>
      <w:r w:rsidRPr="00867488">
        <w:rPr>
          <w:rStyle w:val="FootnoteReference"/>
          <w:rFonts w:ascii="Times New Roman" w:hAnsi="Times New Roman" w:cs="Times New Roman"/>
        </w:rPr>
        <w:footnoteRef/>
      </w:r>
      <w:r w:rsidRPr="00867488">
        <w:rPr>
          <w:rFonts w:ascii="Times New Roman" w:hAnsi="Times New Roman" w:cs="Times New Roman"/>
        </w:rPr>
        <w:t xml:space="preserve"> Under U.S.S.G. § 3B1.1(b)</w:t>
      </w:r>
    </w:p>
  </w:footnote>
  <w:footnote w:id="18">
    <w:p w:rsidR="00E53C03" w:rsidRPr="00B8058E" w:rsidRDefault="00E53C03" w:rsidP="00E53C03">
      <w:pPr>
        <w:pStyle w:val="FootnoteText"/>
        <w:rPr>
          <w:rFonts w:ascii="Times New Roman" w:hAnsi="Times New Roman" w:cs="Times New Roman"/>
        </w:rPr>
      </w:pPr>
      <w:r w:rsidRPr="00B8058E">
        <w:rPr>
          <w:rStyle w:val="FootnoteReference"/>
          <w:rFonts w:ascii="Times New Roman" w:hAnsi="Times New Roman" w:cs="Times New Roman"/>
        </w:rPr>
        <w:footnoteRef/>
      </w:r>
      <w:r w:rsidRPr="00B8058E">
        <w:rPr>
          <w:rFonts w:ascii="Times New Roman" w:hAnsi="Times New Roman" w:cs="Times New Roman"/>
        </w:rPr>
        <w:t xml:space="preserve"> Under U.S.S.G. § 2G1.1(d)</w:t>
      </w:r>
    </w:p>
  </w:footnote>
  <w:footnote w:id="19">
    <w:p w:rsidR="00E53C03" w:rsidRPr="00EF25E1" w:rsidRDefault="00E53C03" w:rsidP="00E53C03">
      <w:pPr>
        <w:pStyle w:val="FootnoteText"/>
        <w:rPr>
          <w:rFonts w:ascii="Times New Roman" w:hAnsi="Times New Roman" w:cs="Times New Roman"/>
        </w:rPr>
      </w:pPr>
      <w:r w:rsidRPr="00EF25E1">
        <w:rPr>
          <w:rStyle w:val="FootnoteReference"/>
          <w:rFonts w:ascii="Times New Roman" w:hAnsi="Times New Roman" w:cs="Times New Roman"/>
        </w:rPr>
        <w:footnoteRef/>
      </w:r>
      <w:r w:rsidRPr="00EF25E1">
        <w:rPr>
          <w:rFonts w:ascii="Times New Roman" w:hAnsi="Times New Roman" w:cs="Times New Roman"/>
        </w:rPr>
        <w:t xml:space="preserve"> Under U.S.S.G. § 2L1.1(b)(2)(A)</w:t>
      </w:r>
    </w:p>
  </w:footnote>
  <w:footnote w:id="20">
    <w:p w:rsidR="00E53C03" w:rsidRPr="00A315D0" w:rsidRDefault="00E53C03" w:rsidP="00E53C03">
      <w:pPr>
        <w:pStyle w:val="FootnoteText"/>
        <w:rPr>
          <w:rFonts w:ascii="Times New Roman" w:hAnsi="Times New Roman" w:cs="Times New Roman"/>
        </w:rPr>
      </w:pPr>
      <w:r w:rsidRPr="00A315D0">
        <w:rPr>
          <w:rStyle w:val="FootnoteReference"/>
          <w:rFonts w:ascii="Times New Roman" w:hAnsi="Times New Roman" w:cs="Times New Roman"/>
        </w:rPr>
        <w:footnoteRef/>
      </w:r>
      <w:r w:rsidRPr="00A315D0">
        <w:rPr>
          <w:rFonts w:ascii="Times New Roman" w:hAnsi="Times New Roman" w:cs="Times New Roman"/>
        </w:rPr>
        <w:t xml:space="preserve"> Under U.S.S.G. § 2G1.3(b)(2)(A)</w:t>
      </w:r>
    </w:p>
  </w:footnote>
  <w:footnote w:id="21">
    <w:p w:rsidR="00E53C03" w:rsidRPr="00A315D0" w:rsidRDefault="00E53C03" w:rsidP="00E53C03">
      <w:pPr>
        <w:pStyle w:val="FootnoteText"/>
        <w:rPr>
          <w:rFonts w:ascii="Times New Roman" w:hAnsi="Times New Roman" w:cs="Times New Roman"/>
        </w:rPr>
      </w:pPr>
      <w:r w:rsidRPr="00A315D0">
        <w:rPr>
          <w:rStyle w:val="FootnoteReference"/>
          <w:rFonts w:ascii="Times New Roman" w:hAnsi="Times New Roman" w:cs="Times New Roman"/>
        </w:rPr>
        <w:footnoteRef/>
      </w:r>
      <w:r w:rsidRPr="00A315D0">
        <w:rPr>
          <w:rFonts w:ascii="Times New Roman" w:hAnsi="Times New Roman" w:cs="Times New Roman"/>
        </w:rPr>
        <w:t xml:space="preserve"> Under U.S.S.G. § 2G1.3(b)(4)(B)</w:t>
      </w:r>
    </w:p>
  </w:footnote>
  <w:footnote w:id="22">
    <w:p w:rsidR="00E53C03" w:rsidRDefault="00E53C03" w:rsidP="00E53C03">
      <w:pPr>
        <w:pStyle w:val="FootnoteText"/>
      </w:pPr>
      <w:r>
        <w:rPr>
          <w:rStyle w:val="FootnoteReference"/>
        </w:rPr>
        <w:footnoteRef/>
      </w:r>
      <w:r>
        <w:t xml:space="preserve"> </w:t>
      </w:r>
      <w:r w:rsidRPr="00044CC1">
        <w:rPr>
          <w:rFonts w:ascii="Times New Roman" w:hAnsi="Times New Roman" w:cs="Times New Roman"/>
        </w:rPr>
        <w:t>Under 18 USC § 3553(a)(2)</w:t>
      </w:r>
    </w:p>
  </w:footnote>
  <w:footnote w:id="23">
    <w:p w:rsidR="00E53C03" w:rsidRPr="002A043B" w:rsidRDefault="00E53C03" w:rsidP="00E53C03">
      <w:pPr>
        <w:pStyle w:val="FootnoteText"/>
        <w:rPr>
          <w:rFonts w:ascii="Times New Roman" w:hAnsi="Times New Roman" w:cs="Times New Roman"/>
        </w:rPr>
      </w:pPr>
      <w:r w:rsidRPr="002A043B">
        <w:rPr>
          <w:rStyle w:val="FootnoteReference"/>
          <w:rFonts w:ascii="Times New Roman" w:hAnsi="Times New Roman" w:cs="Times New Roman"/>
        </w:rPr>
        <w:footnoteRef/>
      </w:r>
      <w:r w:rsidRPr="002A043B">
        <w:rPr>
          <w:rFonts w:ascii="Times New Roman" w:hAnsi="Times New Roman" w:cs="Times New Roman"/>
        </w:rPr>
        <w:t xml:space="preserve"> Taken from Federal Bureau of Prisons website’s Inmate Locator on June 14, 2014.</w:t>
      </w:r>
    </w:p>
  </w:footnote>
  <w:footnote w:id="24">
    <w:p w:rsidR="00E53C03" w:rsidRPr="00604780" w:rsidRDefault="00E53C03" w:rsidP="00E53C03">
      <w:pPr>
        <w:pStyle w:val="FootnoteText"/>
        <w:rPr>
          <w:rFonts w:ascii="Times New Roman" w:hAnsi="Times New Roman" w:cs="Times New Roman"/>
        </w:rPr>
      </w:pPr>
      <w:r w:rsidRPr="00604780">
        <w:rPr>
          <w:rStyle w:val="FootnoteReference"/>
          <w:rFonts w:ascii="Times New Roman" w:hAnsi="Times New Roman" w:cs="Times New Roman"/>
        </w:rPr>
        <w:footnoteRef/>
      </w:r>
      <w:r w:rsidRPr="00604780">
        <w:rPr>
          <w:rFonts w:ascii="Times New Roman" w:hAnsi="Times New Roman" w:cs="Times New Roman"/>
        </w:rPr>
        <w:t xml:space="preserve"> Public Chapter No. 1023</w:t>
      </w:r>
    </w:p>
  </w:footnote>
  <w:footnote w:id="25">
    <w:p w:rsidR="00E53C03" w:rsidRPr="00F73872" w:rsidRDefault="00E53C03" w:rsidP="00E53C03">
      <w:pPr>
        <w:pStyle w:val="FootnoteText"/>
        <w:rPr>
          <w:rFonts w:ascii="Times New Roman" w:hAnsi="Times New Roman" w:cs="Times New Roman"/>
        </w:rPr>
      </w:pPr>
      <w:r w:rsidRPr="00F73872">
        <w:rPr>
          <w:rStyle w:val="FootnoteReference"/>
          <w:rFonts w:ascii="Times New Roman" w:hAnsi="Times New Roman" w:cs="Times New Roman"/>
        </w:rPr>
        <w:footnoteRef/>
      </w:r>
      <w:r w:rsidRPr="00F73872">
        <w:rPr>
          <w:rFonts w:ascii="Times New Roman" w:hAnsi="Times New Roman" w:cs="Times New Roman"/>
        </w:rPr>
        <w:t xml:space="preserve"> Public Chapter No 1023, §1(a)</w:t>
      </w:r>
    </w:p>
  </w:footnote>
  <w:footnote w:id="26">
    <w:p w:rsidR="00E53C03" w:rsidRPr="00B74F94" w:rsidRDefault="00E53C03" w:rsidP="00E53C03">
      <w:pPr>
        <w:spacing w:line="240" w:lineRule="auto"/>
        <w:rPr>
          <w:sz w:val="20"/>
          <w:szCs w:val="20"/>
        </w:rPr>
      </w:pPr>
      <w:r w:rsidRPr="00B74F94">
        <w:rPr>
          <w:rStyle w:val="FootnoteReference"/>
          <w:sz w:val="20"/>
          <w:szCs w:val="20"/>
        </w:rPr>
        <w:footnoteRef/>
      </w:r>
      <w:r w:rsidRPr="00B74F94">
        <w:rPr>
          <w:sz w:val="20"/>
          <w:szCs w:val="20"/>
        </w:rPr>
        <w:t xml:space="preserve"> I was not granted permission to attend the later portions of the training session deemed “law enforcement sensitive” and not open to individuals outside the criminal justice, social service, or legal systems.</w:t>
      </w:r>
    </w:p>
    <w:p w:rsidR="00E53C03" w:rsidRDefault="00E53C03" w:rsidP="00E53C03">
      <w:pPr>
        <w:pStyle w:val="FootnoteText"/>
      </w:pPr>
    </w:p>
  </w:footnote>
  <w:footnote w:id="27">
    <w:p w:rsidR="00E53C03" w:rsidRPr="001D4765" w:rsidRDefault="00E53C03" w:rsidP="00E53C03">
      <w:pPr>
        <w:pStyle w:val="FootnoteText"/>
        <w:rPr>
          <w:rFonts w:ascii="Times New Roman" w:hAnsi="Times New Roman" w:cs="Times New Roman"/>
        </w:rPr>
      </w:pPr>
      <w:r w:rsidRPr="001D4765">
        <w:rPr>
          <w:rStyle w:val="FootnoteReference"/>
          <w:rFonts w:ascii="Times New Roman" w:hAnsi="Times New Roman" w:cs="Times New Roman"/>
        </w:rPr>
        <w:footnoteRef/>
      </w:r>
      <w:r w:rsidRPr="001D4765">
        <w:rPr>
          <w:rFonts w:ascii="Times New Roman" w:hAnsi="Times New Roman" w:cs="Times New Roman"/>
        </w:rPr>
        <w:t xml:space="preserve"> Pseudonyms will be used throughout this dissertation </w:t>
      </w:r>
      <w:r>
        <w:rPr>
          <w:rFonts w:ascii="Times New Roman" w:hAnsi="Times New Roman" w:cs="Times New Roman"/>
        </w:rPr>
        <w:t xml:space="preserve">document </w:t>
      </w:r>
      <w:r w:rsidRPr="001D4765">
        <w:rPr>
          <w:rFonts w:ascii="Times New Roman" w:hAnsi="Times New Roman" w:cs="Times New Roman"/>
        </w:rPr>
        <w:t xml:space="preserve">as I felt uncomfortable using true identities of those I interviewed due to the sensitive nature of the case. </w:t>
      </w:r>
    </w:p>
  </w:footnote>
  <w:footnote w:id="28">
    <w:p w:rsidR="00E53C03" w:rsidRPr="005A49AE" w:rsidRDefault="00E53C03" w:rsidP="00E53C03">
      <w:pPr>
        <w:pStyle w:val="FootnoteText"/>
        <w:rPr>
          <w:rFonts w:ascii="Times New Roman" w:hAnsi="Times New Roman" w:cs="Times New Roman"/>
        </w:rPr>
      </w:pPr>
      <w:r w:rsidRPr="005A49AE">
        <w:rPr>
          <w:rStyle w:val="FootnoteReference"/>
          <w:rFonts w:ascii="Times New Roman" w:hAnsi="Times New Roman" w:cs="Times New Roman"/>
        </w:rPr>
        <w:footnoteRef/>
      </w:r>
      <w:r w:rsidRPr="005A49AE">
        <w:rPr>
          <w:rFonts w:ascii="Times New Roman" w:hAnsi="Times New Roman" w:cs="Times New Roman"/>
        </w:rPr>
        <w:t xml:space="preserve"> They are referred to in these terms as one group seeks to abolish all practices of prostitution</w:t>
      </w:r>
      <w:r>
        <w:rPr>
          <w:rFonts w:ascii="Times New Roman" w:hAnsi="Times New Roman" w:cs="Times New Roman"/>
        </w:rPr>
        <w:t xml:space="preserve"> due to the inherent exploitation they believe is involved in the practice</w:t>
      </w:r>
      <w:r w:rsidRPr="005A49AE">
        <w:rPr>
          <w:rFonts w:ascii="Times New Roman" w:hAnsi="Times New Roman" w:cs="Times New Roman"/>
        </w:rPr>
        <w:t xml:space="preserve">, while the other seeks to protect the right for individuals to choose prostitution as a form of labor. </w:t>
      </w:r>
    </w:p>
  </w:footnote>
  <w:footnote w:id="29">
    <w:p w:rsidR="00E53C03" w:rsidRPr="00663A0F" w:rsidRDefault="00E53C03" w:rsidP="00E53C03">
      <w:pPr>
        <w:pStyle w:val="FootnoteText"/>
        <w:rPr>
          <w:rFonts w:ascii="Times New Roman" w:hAnsi="Times New Roman" w:cs="Times New Roman"/>
        </w:rPr>
      </w:pPr>
      <w:r w:rsidRPr="00663A0F">
        <w:rPr>
          <w:rStyle w:val="FootnoteReference"/>
          <w:rFonts w:ascii="Times New Roman" w:hAnsi="Times New Roman" w:cs="Times New Roman"/>
        </w:rPr>
        <w:footnoteRef/>
      </w:r>
      <w:r w:rsidRPr="00663A0F">
        <w:rPr>
          <w:rFonts w:ascii="Times New Roman" w:hAnsi="Times New Roman" w:cs="Times New Roman"/>
        </w:rPr>
        <w:t xml:space="preserve"> Statutes at Large, Vol. 36 Chapter 385</w:t>
      </w:r>
      <w:r>
        <w:rPr>
          <w:rFonts w:ascii="Times New Roman" w:hAnsi="Times New Roman" w:cs="Times New Roman"/>
        </w:rPr>
        <w:t>,</w:t>
      </w:r>
      <w:r w:rsidRPr="00663A0F">
        <w:rPr>
          <w:rFonts w:ascii="Times New Roman" w:hAnsi="Times New Roman" w:cs="Times New Roman"/>
        </w:rPr>
        <w:t xml:space="preserve"> 825</w:t>
      </w:r>
    </w:p>
  </w:footnote>
  <w:footnote w:id="30">
    <w:p w:rsidR="00E53C03" w:rsidRPr="009621E2" w:rsidRDefault="00E53C03" w:rsidP="00E53C03">
      <w:pPr>
        <w:pStyle w:val="FootnoteText"/>
        <w:rPr>
          <w:rFonts w:ascii="Times New Roman" w:hAnsi="Times New Roman" w:cs="Times New Roman"/>
        </w:rPr>
      </w:pPr>
      <w:r w:rsidRPr="009621E2">
        <w:rPr>
          <w:rStyle w:val="FootnoteReference"/>
          <w:rFonts w:ascii="Times New Roman" w:hAnsi="Times New Roman" w:cs="Times New Roman"/>
        </w:rPr>
        <w:footnoteRef/>
      </w:r>
      <w:r w:rsidRPr="009621E2">
        <w:rPr>
          <w:rFonts w:ascii="Times New Roman" w:hAnsi="Times New Roman" w:cs="Times New Roman"/>
        </w:rPr>
        <w:t xml:space="preserve"> This small number of advocates interviewed in this project is reflective of the lack of services available to victims of sex trafficking, particularly in smaller new destination areas.</w:t>
      </w:r>
    </w:p>
  </w:footnote>
  <w:footnote w:id="31">
    <w:p w:rsidR="00E53C03" w:rsidRPr="00A33441" w:rsidRDefault="00E53C03" w:rsidP="00E53C03">
      <w:pPr>
        <w:pStyle w:val="FootnoteText"/>
        <w:rPr>
          <w:rFonts w:ascii="Times New Roman" w:hAnsi="Times New Roman" w:cs="Times New Roman"/>
        </w:rPr>
      </w:pPr>
      <w:r w:rsidRPr="00A33441">
        <w:rPr>
          <w:rStyle w:val="FootnoteReference"/>
          <w:rFonts w:ascii="Times New Roman" w:hAnsi="Times New Roman" w:cs="Times New Roman"/>
        </w:rPr>
        <w:footnoteRef/>
      </w:r>
      <w:r w:rsidRPr="00A33441">
        <w:rPr>
          <w:rFonts w:ascii="Times New Roman" w:hAnsi="Times New Roman" w:cs="Times New Roman"/>
        </w:rPr>
        <w:t xml:space="preserve"> This discourse and associated legal definitions also similarly influence the conceptualizations of offender and victims which will be analyzed in Chapter 5 and legal actors, which will be analyzed in Chapter 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A0427"/>
    <w:multiLevelType w:val="hybridMultilevel"/>
    <w:tmpl w:val="5324FFCE"/>
    <w:lvl w:ilvl="0" w:tplc="6ECAC92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AE4302F"/>
    <w:multiLevelType w:val="hybridMultilevel"/>
    <w:tmpl w:val="B63E0CA4"/>
    <w:lvl w:ilvl="0" w:tplc="A18857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634743"/>
    <w:multiLevelType w:val="hybridMultilevel"/>
    <w:tmpl w:val="4F64FE28"/>
    <w:lvl w:ilvl="0" w:tplc="FFB0B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D352861"/>
    <w:multiLevelType w:val="hybridMultilevel"/>
    <w:tmpl w:val="7C462320"/>
    <w:lvl w:ilvl="0" w:tplc="158E599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FE5B8C"/>
    <w:multiLevelType w:val="hybridMultilevel"/>
    <w:tmpl w:val="BBA6832C"/>
    <w:lvl w:ilvl="0" w:tplc="983CC3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C03"/>
    <w:rsid w:val="000F59AC"/>
    <w:rsid w:val="0033133B"/>
    <w:rsid w:val="00416534"/>
    <w:rsid w:val="0093197B"/>
    <w:rsid w:val="00D70754"/>
    <w:rsid w:val="00E05A1E"/>
    <w:rsid w:val="00E53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60CB34-3ECA-41AA-9841-C41FB7842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C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C03"/>
  </w:style>
  <w:style w:type="paragraph" w:styleId="Footer">
    <w:name w:val="footer"/>
    <w:basedOn w:val="Normal"/>
    <w:link w:val="FooterChar"/>
    <w:uiPriority w:val="99"/>
    <w:unhideWhenUsed/>
    <w:rsid w:val="00E53C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C03"/>
  </w:style>
  <w:style w:type="paragraph" w:styleId="FootnoteText">
    <w:name w:val="footnote text"/>
    <w:basedOn w:val="Normal"/>
    <w:link w:val="FootnoteTextChar"/>
    <w:uiPriority w:val="99"/>
    <w:semiHidden/>
    <w:unhideWhenUsed/>
    <w:rsid w:val="00E53C03"/>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E53C03"/>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E53C03"/>
    <w:rPr>
      <w:vertAlign w:val="superscript"/>
    </w:rPr>
  </w:style>
  <w:style w:type="character" w:styleId="Hyperlink">
    <w:name w:val="Hyperlink"/>
    <w:basedOn w:val="DefaultParagraphFont"/>
    <w:uiPriority w:val="99"/>
    <w:unhideWhenUsed/>
    <w:rsid w:val="00E53C03"/>
    <w:rPr>
      <w:color w:val="0563C1" w:themeColor="hyperlink"/>
      <w:u w:val="single"/>
    </w:rPr>
  </w:style>
  <w:style w:type="paragraph" w:styleId="ListParagraph">
    <w:name w:val="List Paragraph"/>
    <w:basedOn w:val="Normal"/>
    <w:uiPriority w:val="34"/>
    <w:qFormat/>
    <w:rsid w:val="00E53C03"/>
    <w:pPr>
      <w:ind w:left="720"/>
      <w:contextualSpacing/>
    </w:pPr>
  </w:style>
  <w:style w:type="paragraph" w:styleId="CommentText">
    <w:name w:val="annotation text"/>
    <w:basedOn w:val="Normal"/>
    <w:link w:val="CommentTextChar"/>
    <w:uiPriority w:val="99"/>
    <w:semiHidden/>
    <w:unhideWhenUsed/>
    <w:rsid w:val="00E53C03"/>
    <w:pPr>
      <w:spacing w:line="240" w:lineRule="auto"/>
    </w:pPr>
    <w:rPr>
      <w:sz w:val="20"/>
      <w:szCs w:val="20"/>
    </w:rPr>
  </w:style>
  <w:style w:type="character" w:customStyle="1" w:styleId="CommentTextChar">
    <w:name w:val="Comment Text Char"/>
    <w:basedOn w:val="DefaultParagraphFont"/>
    <w:link w:val="CommentText"/>
    <w:uiPriority w:val="99"/>
    <w:semiHidden/>
    <w:rsid w:val="00E53C03"/>
    <w:rPr>
      <w:sz w:val="20"/>
      <w:szCs w:val="20"/>
    </w:rPr>
  </w:style>
  <w:style w:type="table" w:styleId="TableGrid">
    <w:name w:val="Table Grid"/>
    <w:basedOn w:val="TableNormal"/>
    <w:uiPriority w:val="39"/>
    <w:rsid w:val="00E53C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53C03"/>
    <w:rPr>
      <w:sz w:val="18"/>
      <w:szCs w:val="18"/>
    </w:rPr>
  </w:style>
  <w:style w:type="paragraph" w:styleId="BalloonText">
    <w:name w:val="Balloon Text"/>
    <w:basedOn w:val="Normal"/>
    <w:link w:val="BalloonTextChar"/>
    <w:uiPriority w:val="99"/>
    <w:semiHidden/>
    <w:unhideWhenUsed/>
    <w:rsid w:val="00E53C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03"/>
    <w:rPr>
      <w:rFonts w:ascii="Segoe UI" w:hAnsi="Segoe UI" w:cs="Segoe UI"/>
      <w:sz w:val="18"/>
      <w:szCs w:val="18"/>
    </w:rPr>
  </w:style>
  <w:style w:type="paragraph" w:styleId="Revision">
    <w:name w:val="Revision"/>
    <w:hidden/>
    <w:uiPriority w:val="99"/>
    <w:semiHidden/>
    <w:rsid w:val="00E53C03"/>
    <w:pPr>
      <w:spacing w:after="0" w:line="240" w:lineRule="auto"/>
    </w:pPr>
  </w:style>
  <w:style w:type="paragraph" w:styleId="NormalWeb">
    <w:name w:val="Normal (Web)"/>
    <w:basedOn w:val="Normal"/>
    <w:rsid w:val="00E53C03"/>
    <w:pPr>
      <w:spacing w:before="100" w:beforeAutospacing="1" w:after="100" w:afterAutospacing="1" w:line="240" w:lineRule="auto"/>
    </w:pPr>
    <w:rPr>
      <w:rFonts w:eastAsia="Times New Roman"/>
    </w:rPr>
  </w:style>
  <w:style w:type="character" w:styleId="Strong">
    <w:name w:val="Strong"/>
    <w:basedOn w:val="DefaultParagraphFont"/>
    <w:qFormat/>
    <w:rsid w:val="00E53C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43888</Words>
  <Characters>250163</Characters>
  <Application>Microsoft Office Word</Application>
  <DocSecurity>0</DocSecurity>
  <Lines>2084</Lines>
  <Paragraphs>586</Paragraphs>
  <ScaleCrop>false</ScaleCrop>
  <Company/>
  <LinksUpToDate>false</LinksUpToDate>
  <CharactersWithSpaces>293465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2014-06-19T01:20:00Z</dcterms:created>
  <dcterms:modified xsi:type="dcterms:W3CDTF">2014-06-19T01:21:00Z</dcterms:modified>
</cp:coreProperties>
</file>