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B8C" w:rsidRDefault="008D73B2" w:rsidP="00E44433">
      <w:pPr>
        <w:pStyle w:val="Title"/>
        <w:spacing w:line="240" w:lineRule="auto"/>
        <w:jc w:val="center"/>
      </w:pPr>
      <w:r>
        <w:t>Surface Modification of Pillar Array Systems for Chromatography and Fluorescence Enhancement</w:t>
      </w:r>
    </w:p>
    <w:p w:rsidR="008D73B2" w:rsidRDefault="008D73B2" w:rsidP="00E44433">
      <w:pPr>
        <w:pStyle w:val="TimesNewRoman"/>
        <w:ind w:firstLine="0"/>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E44433">
      <w:pPr>
        <w:pStyle w:val="Subtitle"/>
        <w:spacing w:line="240" w:lineRule="auto"/>
        <w:jc w:val="center"/>
      </w:pPr>
      <w:r>
        <w:t xml:space="preserve">A Dissertation Presented for </w:t>
      </w:r>
    </w:p>
    <w:p w:rsidR="008D73B2" w:rsidRDefault="008D73B2" w:rsidP="00E44433">
      <w:pPr>
        <w:pStyle w:val="Subtitle"/>
        <w:spacing w:line="240" w:lineRule="auto"/>
        <w:jc w:val="center"/>
      </w:pPr>
      <w:r>
        <w:t>the Doctor of Philosophy</w:t>
      </w:r>
    </w:p>
    <w:p w:rsidR="008D73B2" w:rsidRDefault="008D73B2" w:rsidP="00E44433">
      <w:pPr>
        <w:pStyle w:val="Subtitle"/>
        <w:spacing w:line="240" w:lineRule="auto"/>
        <w:jc w:val="center"/>
      </w:pPr>
      <w:r>
        <w:t>Degree</w:t>
      </w:r>
    </w:p>
    <w:p w:rsidR="008D73B2" w:rsidRDefault="008D73B2" w:rsidP="00E44433">
      <w:pPr>
        <w:pStyle w:val="Subtitle"/>
        <w:spacing w:line="240" w:lineRule="auto"/>
        <w:jc w:val="center"/>
      </w:pPr>
      <w:r>
        <w:t>The University of Tennessee, Knoxville</w:t>
      </w:r>
    </w:p>
    <w:p w:rsidR="008D73B2" w:rsidRDefault="008D73B2" w:rsidP="008D73B2">
      <w:pPr>
        <w:pStyle w:val="Subtitle"/>
        <w:jc w:val="center"/>
      </w:pPr>
    </w:p>
    <w:p w:rsidR="008D73B2" w:rsidRDefault="008D73B2" w:rsidP="008D73B2">
      <w:pPr>
        <w:pStyle w:val="Subtitle"/>
        <w:jc w:val="center"/>
      </w:pPr>
    </w:p>
    <w:p w:rsidR="008D73B2" w:rsidRDefault="008D73B2" w:rsidP="008D73B2">
      <w:pPr>
        <w:pStyle w:val="Subtitle"/>
        <w:jc w:val="center"/>
      </w:pPr>
    </w:p>
    <w:p w:rsidR="008D73B2" w:rsidRDefault="008D73B2" w:rsidP="00E44433">
      <w:pPr>
        <w:pStyle w:val="Subtitle"/>
        <w:ind w:firstLine="0"/>
      </w:pPr>
    </w:p>
    <w:p w:rsidR="008D73B2" w:rsidRDefault="008D73B2" w:rsidP="008D73B2">
      <w:pPr>
        <w:pStyle w:val="Subtitle"/>
        <w:jc w:val="center"/>
      </w:pPr>
    </w:p>
    <w:p w:rsidR="008D73B2" w:rsidRDefault="008D73B2" w:rsidP="008D73B2">
      <w:pPr>
        <w:pStyle w:val="Subtitle"/>
        <w:jc w:val="center"/>
      </w:pPr>
    </w:p>
    <w:p w:rsidR="008D73B2" w:rsidRDefault="008D73B2" w:rsidP="008D73B2">
      <w:pPr>
        <w:pStyle w:val="Subtitle"/>
        <w:jc w:val="center"/>
      </w:pPr>
    </w:p>
    <w:p w:rsidR="008D73B2" w:rsidRDefault="008D73B2" w:rsidP="00662088">
      <w:pPr>
        <w:pStyle w:val="Subtitle"/>
        <w:spacing w:line="240" w:lineRule="auto"/>
        <w:jc w:val="center"/>
      </w:pPr>
      <w:r>
        <w:t>Danielle Lincoln</w:t>
      </w:r>
    </w:p>
    <w:p w:rsidR="008D73B2" w:rsidRDefault="008D73B2" w:rsidP="00662088">
      <w:pPr>
        <w:pStyle w:val="Subtitle"/>
        <w:spacing w:line="240" w:lineRule="auto"/>
        <w:jc w:val="center"/>
      </w:pPr>
      <w:r>
        <w:t>May 2017</w:t>
      </w:r>
    </w:p>
    <w:p w:rsidR="008D73B2" w:rsidRDefault="008D73B2">
      <w:pPr>
        <w:rPr>
          <w:rFonts w:ascii="Times New Roman" w:eastAsiaTheme="minorEastAsia" w:hAnsi="Times New Roman"/>
          <w:spacing w:val="15"/>
          <w:sz w:val="28"/>
        </w:rPr>
      </w:pPr>
      <w:r>
        <w:br w:type="page"/>
      </w:r>
      <w:bookmarkStart w:id="0" w:name="_GoBack"/>
      <w:bookmarkEnd w:id="0"/>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8D73B2">
      <w:pPr>
        <w:pStyle w:val="TimesNewRoman"/>
      </w:pPr>
    </w:p>
    <w:p w:rsidR="008D73B2" w:rsidRDefault="008D73B2" w:rsidP="00E44433">
      <w:pPr>
        <w:pStyle w:val="TimesNewRoman"/>
        <w:ind w:firstLine="0"/>
      </w:pPr>
    </w:p>
    <w:p w:rsidR="008D73B2" w:rsidRDefault="008D73B2" w:rsidP="008D73B2">
      <w:pPr>
        <w:pStyle w:val="TimesNewRoman"/>
      </w:pPr>
    </w:p>
    <w:p w:rsidR="008D73B2" w:rsidRDefault="008D73B2" w:rsidP="008D73B2">
      <w:pPr>
        <w:pStyle w:val="TimesNewRoman"/>
        <w:jc w:val="center"/>
      </w:pPr>
      <w:r>
        <w:t xml:space="preserve">Copyright © </w:t>
      </w:r>
      <w:r w:rsidR="00B12193">
        <w:t>2017 by Danielle Lincoln</w:t>
      </w:r>
    </w:p>
    <w:p w:rsidR="00B12193" w:rsidRDefault="00B12193" w:rsidP="008D73B2">
      <w:pPr>
        <w:pStyle w:val="TimesNewRoman"/>
        <w:jc w:val="center"/>
      </w:pPr>
      <w:r>
        <w:t>All rights reserved.</w:t>
      </w:r>
    </w:p>
    <w:p w:rsidR="00B12193" w:rsidRDefault="00B12193">
      <w:pPr>
        <w:rPr>
          <w:rFonts w:ascii="Times New Roman" w:hAnsi="Times New Roman"/>
          <w:sz w:val="24"/>
        </w:rPr>
      </w:pPr>
      <w:r>
        <w:br w:type="page"/>
      </w:r>
    </w:p>
    <w:p w:rsidR="00B12193" w:rsidRDefault="00B12193" w:rsidP="00B12193">
      <w:pPr>
        <w:pStyle w:val="Heading4"/>
        <w:jc w:val="center"/>
      </w:pPr>
      <w:r>
        <w:lastRenderedPageBreak/>
        <w:t>For Mimi</w:t>
      </w:r>
    </w:p>
    <w:p w:rsidR="00B12193" w:rsidRDefault="00B12193">
      <w:pPr>
        <w:rPr>
          <w:rFonts w:ascii="Times New Roman" w:eastAsiaTheme="majorEastAsia" w:hAnsi="Times New Roman" w:cstheme="majorBidi"/>
          <w:i/>
          <w:iCs/>
          <w:sz w:val="24"/>
        </w:rPr>
      </w:pPr>
      <w:r>
        <w:br w:type="page"/>
      </w:r>
    </w:p>
    <w:p w:rsidR="00B12193" w:rsidRDefault="00B12193" w:rsidP="00B12193">
      <w:pPr>
        <w:pStyle w:val="Heading1"/>
        <w:jc w:val="center"/>
      </w:pPr>
      <w:bookmarkStart w:id="1" w:name="_Toc473712856"/>
      <w:r>
        <w:lastRenderedPageBreak/>
        <w:t>Acknowledgements</w:t>
      </w:r>
      <w:bookmarkEnd w:id="1"/>
    </w:p>
    <w:p w:rsidR="00B12193" w:rsidRDefault="00B12193" w:rsidP="008B31D1">
      <w:pPr>
        <w:pStyle w:val="TimesNewRoman"/>
      </w:pPr>
      <w:r>
        <w:t xml:space="preserve">Lorem ipsum dolor sit amet, consectetur adipiscing elit. Etiam id ullamcorper sapien. Duis pellentesque vel dui id condimentum. In ultrices, enim ullamcorper fringilla bibendum, leo lectus sodales massa, eget ultrices ex nisl in nisl. In quis egestas mauris. Proin dictum ex ac magna pretium, sit amet interdum sem accumsan. Aliquam mattis feugiat nisi non egestas. Quisque eget ultricies sem. Vivamus vitae placerat libero, et molestie dui. Fusce in consequat elit, eu posuere erat. Praesent ac elit eu lacus mattis convallis ac non turpis. Maecenas ut ante tellus. Nam augue ex, consectetur eget libero vel, tempor porta arcu. Fusce rhoncus, nibh eu porttitor posuere, leo neque accumsan libero, sit amet volutpat urna enim vitae eros. Nulla facilisi. Fusce semper </w:t>
      </w:r>
      <w:r w:rsidR="008B31D1">
        <w:t>magna suscipit pharetra mattis.</w:t>
      </w:r>
    </w:p>
    <w:p w:rsidR="00B12193" w:rsidRDefault="00B12193" w:rsidP="008B31D1">
      <w:pPr>
        <w:pStyle w:val="TimesNewRoman"/>
      </w:pPr>
      <w:r>
        <w:t>Cras non ligula neque. Nulla a dolor non leo fringilla fringilla. Aenean in sodales orci. Praesent tristique pulvinar mi vitae vehicula. Morbi iaculis tempus purus, vel ullamcorper tellus fermentum sed. Nunc ut finibus libero, ut volutpat erat. Curabitur nec pharetra leo, eu molestie diam. Aliquam commodo sagittis felis in hendrerit. Nulla sodales eros orci, ut facilisis elit tristique sed. Ut dignissim ante vel mattis hendrerit. Vivamus iaculis congue leo sit amet lobortis. Proin eget lo</w:t>
      </w:r>
      <w:r w:rsidR="008B31D1">
        <w:t>rem ac nulla fringilla pretium.</w:t>
      </w:r>
    </w:p>
    <w:p w:rsidR="00B12193" w:rsidRDefault="00B12193" w:rsidP="00B12193">
      <w:pPr>
        <w:pStyle w:val="TimesNewRoman"/>
      </w:pPr>
      <w:r>
        <w:t>Nam dictum sapien nec ante varius maximus. Quisque tempus tellus quam, non commodo lacus aliquet at. Mauris diam urna, condimentum quis leo quis, vulputate ornare diam. Aliquam vel ex sollicitudin eros dictum bibendum. Sed odio mi, molestie id velit ut, accumsan gravida ligula. Integer at sapien auctor, porta ligula non, tempor libero.</w:t>
      </w:r>
    </w:p>
    <w:p w:rsidR="00B12193" w:rsidRDefault="00B12193">
      <w:pPr>
        <w:rPr>
          <w:rFonts w:ascii="Times New Roman" w:hAnsi="Times New Roman"/>
          <w:sz w:val="24"/>
        </w:rPr>
      </w:pPr>
      <w:r>
        <w:br w:type="page"/>
      </w:r>
    </w:p>
    <w:p w:rsidR="00B12193" w:rsidRDefault="00B12193" w:rsidP="00B12193">
      <w:pPr>
        <w:pStyle w:val="Heading1"/>
        <w:jc w:val="center"/>
      </w:pPr>
      <w:bookmarkStart w:id="2" w:name="_Toc473712857"/>
      <w:r>
        <w:lastRenderedPageBreak/>
        <w:t>Abstract</w:t>
      </w:r>
      <w:bookmarkEnd w:id="2"/>
    </w:p>
    <w:p w:rsidR="00B12193" w:rsidRDefault="00B12193" w:rsidP="008B31D1">
      <w:pPr>
        <w:pStyle w:val="TimesNewRoman"/>
      </w:pPr>
      <w:r>
        <w:t>Lorem ipsum dolor sit amet, consectetur adipiscing elit. Proin sapien mauris, malesuada in sodales et, scelerisque et risus. Vivamus sit amet dui dignissim, tincidunt arcu et, sagittis mi. Mauris at sem eget ex posuere semper. Donec orci quam, congue sit amet eleifend id, vulputate sit amet elit. Vestibulum laoreet lectus eu sapien dapibus rhoncus. Nam ullamcorper diam in purus ullamcorper, sit amet consectetur dui egestas. Nunc congue dapibus sem, eu rhoncus lacus faucibus non. Sed porttitor velit id velit blandit elementum. Pellentesque faucibus tellus semper tellus molestie, a convallis eros egestas. Mauris et nisi nec ante posuere cursus vel sit amet eros. Suspendisse in ante lacinia, dictum eros vitae, maximus elit. Cras leo orci, porta bibendum enim ac, posuere consequat magna. Etiam feugiat rutrum augue, et dignissim felis rhoncus ac. Sed ullamcorper lorem est, a euismod justo vestibulum ut. Nul</w:t>
      </w:r>
      <w:r w:rsidR="008B31D1">
        <w:t>la mollis sed nunc a hendrerit.</w:t>
      </w:r>
    </w:p>
    <w:p w:rsidR="00B12193" w:rsidRDefault="00B12193" w:rsidP="008B31D1">
      <w:pPr>
        <w:pStyle w:val="TimesNewRoman"/>
      </w:pPr>
      <w:r>
        <w:t>Donec vehicula urna eget diam venenatis, in fringilla lectus vestibulum. Morbi at sem aliquet lacus bibendum iaculis. Duis vel sapien accumsan, semper urna in, porta quam. Sed finibus vulputate maximus. Aenean ante eros, pretium at fermentum non, viverra eget nisi. Etiam tempor risus nec cursus ullamcorper. Aliquam augue erat, feugiat in porttitor feugiat, laoreet pretium mauris. Phasellus semper neque elit, id maximus felis convallis quis. Mauris sit amet convallis lacus. Donec consequat tristique nulla, eget sollicitudin erat lacinia sed. Vivamus lobortis diam tellus. Mauris vehi</w:t>
      </w:r>
      <w:r w:rsidR="008B31D1">
        <w:t>cula magna in congue ultricies.</w:t>
      </w:r>
    </w:p>
    <w:p w:rsidR="00B12193" w:rsidRDefault="00B12193" w:rsidP="008B31D1">
      <w:pPr>
        <w:pStyle w:val="TimesNewRoman"/>
      </w:pPr>
      <w:r>
        <w:t>Sed eleifend tortor sed urna hendrerit congue. Aenean rutrum imperdiet ante eget aliquet. Sed at ante et purus viverra ornare id non erat. Nunc porta quam sed diam accumsan, eget tristique ligula vulputate. Suspendisse a malesuada libero. Aenean dapibus pulvinar suscipit. Nunc sit amet enim sed nisl eleifend imperdiet. Nulla pharetra sodales mollis. Phasellus pellentesque mi ac lacinia auctor.</w:t>
      </w:r>
    </w:p>
    <w:p w:rsidR="00B12193" w:rsidRDefault="00B12193" w:rsidP="00B12193">
      <w:pPr>
        <w:pStyle w:val="Heading1"/>
        <w:jc w:val="center"/>
      </w:pPr>
      <w:bookmarkStart w:id="3" w:name="_Toc473712858"/>
      <w:r>
        <w:lastRenderedPageBreak/>
        <w:t>Table of Contents</w:t>
      </w:r>
      <w:bookmarkEnd w:id="3"/>
    </w:p>
    <w:p w:rsidR="005D4FAD" w:rsidRDefault="005D4FAD" w:rsidP="005D4FAD">
      <w:pPr>
        <w:pStyle w:val="TimesNewRoman"/>
        <w:spacing w:line="240" w:lineRule="auto"/>
      </w:pPr>
      <w:r>
        <w:t>Chapter 1</w:t>
      </w:r>
      <w:r>
        <w:tab/>
        <w:t>Introduction to planar chromatography………………………………</w:t>
      </w:r>
      <w:r w:rsidR="002C4F06">
        <w:t>...</w:t>
      </w:r>
      <w:r>
        <w:t>…1</w:t>
      </w:r>
    </w:p>
    <w:p w:rsidR="005D4FAD" w:rsidRDefault="005D4FAD" w:rsidP="005D4FAD">
      <w:pPr>
        <w:pStyle w:val="TimesNewRoman"/>
        <w:numPr>
          <w:ilvl w:val="1"/>
          <w:numId w:val="3"/>
        </w:numPr>
        <w:spacing w:line="240" w:lineRule="auto"/>
      </w:pPr>
      <w:r>
        <w:t>Thin layer chromatography: History and basic principle……………</w:t>
      </w:r>
      <w:r w:rsidR="002C4F06">
        <w:t>...</w:t>
      </w:r>
      <w:r>
        <w:t>….2</w:t>
      </w:r>
    </w:p>
    <w:p w:rsidR="005D4FAD" w:rsidRDefault="005D4FAD" w:rsidP="005D4FAD">
      <w:pPr>
        <w:pStyle w:val="TimesNewRoman"/>
        <w:numPr>
          <w:ilvl w:val="1"/>
          <w:numId w:val="3"/>
        </w:numPr>
        <w:spacing w:line="240" w:lineRule="auto"/>
      </w:pPr>
      <w:r>
        <w:t xml:space="preserve">Discussion of stationary phase and reverse phase planar </w:t>
      </w:r>
    </w:p>
    <w:p w:rsidR="005D4FAD" w:rsidRDefault="005D4FAD" w:rsidP="005D4FAD">
      <w:pPr>
        <w:pStyle w:val="TimesNewRoman"/>
        <w:spacing w:line="240" w:lineRule="auto"/>
        <w:ind w:left="2160" w:firstLine="0"/>
      </w:pPr>
      <w:r>
        <w:t>chromatography…………………………………………………………</w:t>
      </w:r>
      <w:r w:rsidR="002C4F06">
        <w:t>...</w:t>
      </w:r>
      <w:r>
        <w:t>4</w:t>
      </w:r>
    </w:p>
    <w:p w:rsidR="005D4FAD" w:rsidRDefault="005D4FAD" w:rsidP="005D4FAD">
      <w:pPr>
        <w:pStyle w:val="TimesNewRoman"/>
        <w:numPr>
          <w:ilvl w:val="1"/>
          <w:numId w:val="3"/>
        </w:numPr>
        <w:spacing w:line="240" w:lineRule="auto"/>
      </w:pPr>
      <w:r>
        <w:t>Discussion of mobile phase and mobile phase flow…………………</w:t>
      </w:r>
      <w:r w:rsidR="002C4F06">
        <w:t>...</w:t>
      </w:r>
      <w:r>
        <w:t>….4</w:t>
      </w:r>
    </w:p>
    <w:p w:rsidR="005D4FAD" w:rsidRDefault="005D4FAD" w:rsidP="005D4FAD">
      <w:pPr>
        <w:pStyle w:val="TimesNewRoman"/>
        <w:numPr>
          <w:ilvl w:val="1"/>
          <w:numId w:val="3"/>
        </w:numPr>
        <w:spacing w:line="240" w:lineRule="auto"/>
      </w:pPr>
      <w:r>
        <w:t>Sample application………………………………………………….…</w:t>
      </w:r>
      <w:r w:rsidR="002C4F06">
        <w:t>….</w:t>
      </w:r>
      <w:r>
        <w:t>.8</w:t>
      </w:r>
    </w:p>
    <w:p w:rsidR="005D4FAD" w:rsidRDefault="005D4FAD" w:rsidP="005D4FAD">
      <w:pPr>
        <w:pStyle w:val="TimesNewRoman"/>
        <w:numPr>
          <w:ilvl w:val="1"/>
          <w:numId w:val="3"/>
        </w:numPr>
        <w:spacing w:line="240" w:lineRule="auto"/>
      </w:pPr>
      <w:r>
        <w:t>Development method and detection……………………………………</w:t>
      </w:r>
      <w:r w:rsidR="002C4F06">
        <w:t>….</w:t>
      </w:r>
      <w:r>
        <w:t>9</w:t>
      </w:r>
    </w:p>
    <w:p w:rsidR="005D4FAD" w:rsidRDefault="005D4FAD" w:rsidP="005D4FAD">
      <w:pPr>
        <w:pStyle w:val="TimesNewRoman"/>
        <w:numPr>
          <w:ilvl w:val="1"/>
          <w:numId w:val="3"/>
        </w:numPr>
        <w:spacing w:line="240" w:lineRule="auto"/>
      </w:pPr>
      <w:r>
        <w:t>Efficiency, the Van Deemter equation, and factors that affect band</w:t>
      </w:r>
    </w:p>
    <w:p w:rsidR="005D4FAD" w:rsidRDefault="005D4FAD" w:rsidP="005D4FAD">
      <w:pPr>
        <w:pStyle w:val="TimesNewRoman"/>
        <w:spacing w:line="240" w:lineRule="auto"/>
        <w:ind w:left="2160" w:firstLine="0"/>
      </w:pPr>
      <w:r>
        <w:t>broadening</w:t>
      </w:r>
    </w:p>
    <w:p w:rsidR="005D4FAD" w:rsidRDefault="00B112EA" w:rsidP="00B112EA">
      <w:pPr>
        <w:pStyle w:val="TimesNewRoman"/>
        <w:numPr>
          <w:ilvl w:val="1"/>
          <w:numId w:val="3"/>
        </w:numPr>
        <w:spacing w:line="240" w:lineRule="auto"/>
      </w:pPr>
      <w:r>
        <w:t>Experimentally determined evaluation metrics</w:t>
      </w:r>
    </w:p>
    <w:p w:rsidR="00B112EA" w:rsidRDefault="00B112EA" w:rsidP="00B112EA">
      <w:pPr>
        <w:pStyle w:val="TimesNewRoman"/>
        <w:numPr>
          <w:ilvl w:val="1"/>
          <w:numId w:val="3"/>
        </w:numPr>
        <w:spacing w:line="240" w:lineRule="auto"/>
      </w:pPr>
      <w:r>
        <w:t>Conclusions about thin layer chromatography</w:t>
      </w:r>
    </w:p>
    <w:p w:rsidR="00B112EA" w:rsidRDefault="00B112EA" w:rsidP="00B112EA">
      <w:pPr>
        <w:pStyle w:val="TimesNewRoman"/>
        <w:spacing w:line="240" w:lineRule="auto"/>
      </w:pPr>
      <w:r>
        <w:t>Chapter 2</w:t>
      </w:r>
      <w:r>
        <w:tab/>
        <w:t>Introduction to nanopillars</w:t>
      </w:r>
    </w:p>
    <w:p w:rsidR="00B112EA" w:rsidRDefault="00B112EA" w:rsidP="00B112EA">
      <w:pPr>
        <w:pStyle w:val="TimesNewRoman"/>
        <w:spacing w:line="240" w:lineRule="auto"/>
      </w:pPr>
      <w:r>
        <w:tab/>
        <w:t>2.1</w:t>
      </w:r>
      <w:r>
        <w:tab/>
        <w:t>History and basic principle</w:t>
      </w:r>
    </w:p>
    <w:p w:rsidR="00B112EA" w:rsidRDefault="00B112EA" w:rsidP="00B112EA">
      <w:pPr>
        <w:pStyle w:val="TimesNewRoman"/>
        <w:spacing w:line="240" w:lineRule="auto"/>
      </w:pPr>
      <w:r>
        <w:tab/>
        <w:t>2.2</w:t>
      </w:r>
      <w:r>
        <w:tab/>
        <w:t>Efficiency, or Why we use pillar arrays for thin layer</w:t>
      </w:r>
    </w:p>
    <w:p w:rsidR="00B112EA" w:rsidRDefault="00B112EA" w:rsidP="00B112EA">
      <w:pPr>
        <w:pStyle w:val="TimesNewRoman"/>
        <w:spacing w:line="240" w:lineRule="auto"/>
        <w:ind w:left="1440"/>
      </w:pPr>
      <w:r>
        <w:t>chromatography</w:t>
      </w:r>
    </w:p>
    <w:p w:rsidR="00B112EA" w:rsidRDefault="00B112EA" w:rsidP="00B112EA">
      <w:pPr>
        <w:pStyle w:val="TimesNewRoman"/>
        <w:spacing w:line="240" w:lineRule="auto"/>
      </w:pPr>
      <w:r>
        <w:tab/>
        <w:t>2.3</w:t>
      </w:r>
      <w:r>
        <w:tab/>
        <w:t>Design of deterministic pillars by photolithography</w:t>
      </w:r>
    </w:p>
    <w:p w:rsidR="00B112EA" w:rsidRDefault="00B112EA" w:rsidP="00B112EA">
      <w:pPr>
        <w:pStyle w:val="TimesNewRoman"/>
        <w:spacing w:line="240" w:lineRule="auto"/>
      </w:pPr>
      <w:r>
        <w:tab/>
        <w:t>2.4</w:t>
      </w:r>
      <w:r>
        <w:tab/>
        <w:t>Design of deterministic pillars by electron beam</w:t>
      </w:r>
    </w:p>
    <w:p w:rsidR="00B112EA" w:rsidRDefault="00B112EA" w:rsidP="00B112EA">
      <w:pPr>
        <w:pStyle w:val="TimesNewRoman"/>
        <w:spacing w:line="240" w:lineRule="auto"/>
      </w:pPr>
      <w:r>
        <w:tab/>
      </w:r>
      <w:r>
        <w:tab/>
        <w:t>lithography</w:t>
      </w:r>
    </w:p>
    <w:p w:rsidR="00B112EA" w:rsidRDefault="00B112EA" w:rsidP="00B112EA">
      <w:pPr>
        <w:pStyle w:val="TimesNewRoman"/>
        <w:spacing w:line="240" w:lineRule="auto"/>
      </w:pPr>
      <w:r>
        <w:tab/>
        <w:t>2.5</w:t>
      </w:r>
      <w:r>
        <w:tab/>
        <w:t>Design of stochastic pillars</w:t>
      </w:r>
    </w:p>
    <w:p w:rsidR="00B112EA" w:rsidRDefault="00B112EA" w:rsidP="00B112EA">
      <w:pPr>
        <w:pStyle w:val="TimesNewRoman"/>
        <w:spacing w:line="240" w:lineRule="auto"/>
      </w:pPr>
      <w:r>
        <w:tab/>
        <w:t>2.6</w:t>
      </w:r>
      <w:r>
        <w:tab/>
        <w:t>Reactive ion etching</w:t>
      </w:r>
    </w:p>
    <w:p w:rsidR="00B112EA" w:rsidRDefault="00B112EA" w:rsidP="00B112EA">
      <w:pPr>
        <w:pStyle w:val="TimesNewRoman"/>
        <w:spacing w:line="240" w:lineRule="auto"/>
      </w:pPr>
      <w:r>
        <w:tab/>
        <w:t>2.7</w:t>
      </w:r>
      <w:r>
        <w:tab/>
        <w:t>Surface modification</w:t>
      </w:r>
    </w:p>
    <w:p w:rsidR="00B112EA" w:rsidRDefault="00B112EA" w:rsidP="00B112EA">
      <w:pPr>
        <w:pStyle w:val="TimesNewRoman"/>
        <w:spacing w:line="240" w:lineRule="auto"/>
      </w:pPr>
      <w:r>
        <w:tab/>
        <w:t>2.8</w:t>
      </w:r>
      <w:r>
        <w:tab/>
        <w:t>Conclusions about pillar arrays</w:t>
      </w:r>
    </w:p>
    <w:p w:rsidR="00B112EA" w:rsidRDefault="00B112EA" w:rsidP="00B112EA">
      <w:pPr>
        <w:pStyle w:val="TimesNewRoman"/>
        <w:spacing w:line="240" w:lineRule="auto"/>
      </w:pPr>
      <w:r>
        <w:t>Chapter 3</w:t>
      </w:r>
      <w:r>
        <w:tab/>
        <w:t>Capillary driven transport and dispersion in hierarchically porous</w:t>
      </w:r>
    </w:p>
    <w:p w:rsidR="00B112EA" w:rsidRDefault="00B112EA" w:rsidP="00B112EA">
      <w:pPr>
        <w:pStyle w:val="TimesNewRoman"/>
        <w:spacing w:line="240" w:lineRule="auto"/>
      </w:pPr>
      <w:r>
        <w:tab/>
      </w:r>
      <w:r>
        <w:tab/>
        <w:t>phases formed by conformal deposition of petal like carbon</w:t>
      </w:r>
    </w:p>
    <w:p w:rsidR="00B112EA" w:rsidRDefault="00B112EA" w:rsidP="00B112EA">
      <w:pPr>
        <w:pStyle w:val="TimesNewRoman"/>
        <w:spacing w:line="240" w:lineRule="auto"/>
      </w:pPr>
      <w:r>
        <w:tab/>
      </w:r>
      <w:r>
        <w:tab/>
        <w:t>on silicon pillar arrays</w:t>
      </w:r>
    </w:p>
    <w:p w:rsidR="00B112EA" w:rsidRDefault="00B112EA" w:rsidP="00B112EA">
      <w:pPr>
        <w:pStyle w:val="TimesNewRoman"/>
        <w:spacing w:line="240" w:lineRule="auto"/>
      </w:pPr>
      <w:r>
        <w:tab/>
        <w:t>3.1</w:t>
      </w:r>
      <w:r>
        <w:tab/>
        <w:t>Abstract</w:t>
      </w:r>
    </w:p>
    <w:p w:rsidR="00B112EA" w:rsidRDefault="00B112EA" w:rsidP="00B112EA">
      <w:pPr>
        <w:pStyle w:val="TimesNewRoman"/>
        <w:spacing w:line="240" w:lineRule="auto"/>
      </w:pPr>
      <w:r>
        <w:tab/>
        <w:t>3.2</w:t>
      </w:r>
      <w:r>
        <w:tab/>
        <w:t>Introduction to carbonaceous stationary phases</w:t>
      </w:r>
    </w:p>
    <w:p w:rsidR="00B112EA" w:rsidRDefault="00B112EA" w:rsidP="00B112EA">
      <w:pPr>
        <w:pStyle w:val="TimesNewRoman"/>
        <w:spacing w:line="240" w:lineRule="auto"/>
      </w:pPr>
      <w:r>
        <w:tab/>
        <w:t>3.3</w:t>
      </w:r>
      <w:r>
        <w:tab/>
        <w:t>Fabrication and deposition of petal like carbon</w:t>
      </w:r>
    </w:p>
    <w:p w:rsidR="00B112EA" w:rsidRDefault="00B112EA" w:rsidP="00B112EA">
      <w:pPr>
        <w:pStyle w:val="TimesNewRoman"/>
        <w:spacing w:line="240" w:lineRule="auto"/>
      </w:pPr>
      <w:r>
        <w:tab/>
        <w:t>3.4</w:t>
      </w:r>
      <w:r>
        <w:tab/>
        <w:t>Solvent transport studies</w:t>
      </w:r>
    </w:p>
    <w:p w:rsidR="00B112EA" w:rsidRDefault="00B112EA" w:rsidP="00B112EA">
      <w:pPr>
        <w:pStyle w:val="TimesNewRoman"/>
        <w:spacing w:line="240" w:lineRule="auto"/>
      </w:pPr>
      <w:r>
        <w:tab/>
        <w:t>3.5</w:t>
      </w:r>
      <w:r>
        <w:tab/>
        <w:t>Possible form change with increasing thickness and preliminary</w:t>
      </w:r>
    </w:p>
    <w:p w:rsidR="00B112EA" w:rsidRDefault="00B112EA" w:rsidP="00B112EA">
      <w:pPr>
        <w:pStyle w:val="TimesNewRoman"/>
        <w:spacing w:line="240" w:lineRule="auto"/>
      </w:pPr>
      <w:r>
        <w:tab/>
      </w:r>
      <w:r>
        <w:tab/>
        <w:t>surface area calculations</w:t>
      </w:r>
    </w:p>
    <w:p w:rsidR="00B112EA" w:rsidRDefault="00B112EA" w:rsidP="00B112EA">
      <w:pPr>
        <w:pStyle w:val="TimesNewRoman"/>
        <w:spacing w:line="240" w:lineRule="auto"/>
      </w:pPr>
      <w:r>
        <w:tab/>
        <w:t>3.6</w:t>
      </w:r>
      <w:r>
        <w:tab/>
        <w:t>Preliminary solute transport using a two-phase system</w:t>
      </w:r>
    </w:p>
    <w:p w:rsidR="00B112EA" w:rsidRDefault="00B112EA" w:rsidP="00B112EA">
      <w:pPr>
        <w:pStyle w:val="TimesNewRoman"/>
        <w:spacing w:line="240" w:lineRule="auto"/>
      </w:pPr>
      <w:r>
        <w:tab/>
        <w:t>3.7</w:t>
      </w:r>
      <w:r>
        <w:tab/>
        <w:t>Conclusions about petal like carbon</w:t>
      </w:r>
    </w:p>
    <w:p w:rsidR="00B112EA" w:rsidRDefault="00B112EA" w:rsidP="00B112EA">
      <w:pPr>
        <w:pStyle w:val="TimesNewRoman"/>
        <w:spacing w:line="240" w:lineRule="auto"/>
      </w:pPr>
      <w:r>
        <w:t>Chapter 4</w:t>
      </w:r>
      <w:r>
        <w:tab/>
        <w:t>Retention in porous layer pillar array planar separation</w:t>
      </w:r>
    </w:p>
    <w:p w:rsidR="00B112EA" w:rsidRDefault="00B112EA" w:rsidP="00B112EA">
      <w:pPr>
        <w:pStyle w:val="TimesNewRoman"/>
        <w:spacing w:line="240" w:lineRule="auto"/>
      </w:pPr>
      <w:r>
        <w:tab/>
      </w:r>
      <w:r>
        <w:tab/>
        <w:t>platforms</w:t>
      </w:r>
    </w:p>
    <w:p w:rsidR="00B112EA" w:rsidRDefault="00B112EA" w:rsidP="00B112EA">
      <w:pPr>
        <w:pStyle w:val="TimesNewRoman"/>
        <w:spacing w:line="240" w:lineRule="auto"/>
      </w:pPr>
      <w:r>
        <w:tab/>
        <w:t>4.1</w:t>
      </w:r>
      <w:r>
        <w:tab/>
        <w:t>Abstract</w:t>
      </w:r>
    </w:p>
    <w:p w:rsidR="00B112EA" w:rsidRDefault="00EC652A" w:rsidP="00B112EA">
      <w:pPr>
        <w:pStyle w:val="TimesNewRoman"/>
        <w:spacing w:line="240" w:lineRule="auto"/>
      </w:pPr>
      <w:r>
        <w:tab/>
        <w:t>4.2</w:t>
      </w:r>
      <w:r>
        <w:tab/>
        <w:t>Introduction</w:t>
      </w:r>
    </w:p>
    <w:p w:rsidR="00B112EA" w:rsidRDefault="00B112EA" w:rsidP="00B112EA">
      <w:pPr>
        <w:pStyle w:val="TimesNewRoman"/>
        <w:spacing w:line="240" w:lineRule="auto"/>
      </w:pPr>
      <w:r>
        <w:tab/>
        <w:t>4.3</w:t>
      </w:r>
      <w:r>
        <w:tab/>
      </w:r>
      <w:r w:rsidR="00EC652A">
        <w:t>Experimental</w:t>
      </w:r>
    </w:p>
    <w:p w:rsidR="00B112EA" w:rsidRDefault="00B112EA" w:rsidP="00B112EA">
      <w:pPr>
        <w:pStyle w:val="TimesNewRoman"/>
        <w:spacing w:line="240" w:lineRule="auto"/>
      </w:pPr>
      <w:r>
        <w:tab/>
        <w:t>4.4</w:t>
      </w:r>
      <w:r>
        <w:tab/>
      </w:r>
      <w:r w:rsidR="00EC652A">
        <w:t>Results and Discussion</w:t>
      </w:r>
    </w:p>
    <w:p w:rsidR="00B112EA" w:rsidRDefault="00B112EA" w:rsidP="00B112EA">
      <w:pPr>
        <w:pStyle w:val="TimesNewRoman"/>
        <w:spacing w:line="240" w:lineRule="auto"/>
      </w:pPr>
      <w:r>
        <w:tab/>
        <w:t>4.5</w:t>
      </w:r>
      <w:r>
        <w:tab/>
      </w:r>
      <w:r w:rsidR="00EC652A">
        <w:t>Conclusion</w:t>
      </w:r>
    </w:p>
    <w:p w:rsidR="00B112EA" w:rsidRDefault="00B112EA" w:rsidP="00B112EA">
      <w:pPr>
        <w:pStyle w:val="TimesNewRoman"/>
        <w:spacing w:line="240" w:lineRule="auto"/>
      </w:pPr>
      <w:r>
        <w:t>Chapter 5</w:t>
      </w:r>
      <w:r>
        <w:tab/>
        <w:t>Surface enhanced fluorescence detection of uranium</w:t>
      </w:r>
    </w:p>
    <w:p w:rsidR="00B112EA" w:rsidRDefault="00B112EA" w:rsidP="00B112EA">
      <w:pPr>
        <w:pStyle w:val="TimesNewRoman"/>
        <w:spacing w:line="240" w:lineRule="auto"/>
      </w:pPr>
      <w:r>
        <w:tab/>
        <w:t>5.1</w:t>
      </w:r>
      <w:r>
        <w:tab/>
        <w:t>Abstract</w:t>
      </w:r>
    </w:p>
    <w:p w:rsidR="00B112EA" w:rsidRDefault="00B112EA" w:rsidP="00B112EA">
      <w:pPr>
        <w:pStyle w:val="TimesNewRoman"/>
        <w:spacing w:line="240" w:lineRule="auto"/>
      </w:pPr>
      <w:r>
        <w:tab/>
        <w:t>5.2</w:t>
      </w:r>
      <w:r>
        <w:tab/>
        <w:t>Introduction to surface enhanced fluorescence</w:t>
      </w:r>
    </w:p>
    <w:p w:rsidR="002C4F06" w:rsidRDefault="002C4F06" w:rsidP="00B112EA">
      <w:pPr>
        <w:pStyle w:val="TimesNewRoman"/>
        <w:spacing w:line="240" w:lineRule="auto"/>
      </w:pPr>
      <w:r>
        <w:lastRenderedPageBreak/>
        <w:tab/>
        <w:t>5.3</w:t>
      </w:r>
      <w:r>
        <w:tab/>
        <w:t>Determination of ideal pillar widths and why we use Uraplex</w:t>
      </w:r>
      <w:r>
        <w:rPr>
          <w:vertAlign w:val="superscript"/>
        </w:rPr>
        <w:t>TM</w:t>
      </w:r>
    </w:p>
    <w:p w:rsidR="002C4F06" w:rsidRDefault="002C4F06" w:rsidP="00B112EA">
      <w:pPr>
        <w:pStyle w:val="TimesNewRoman"/>
        <w:spacing w:line="240" w:lineRule="auto"/>
      </w:pPr>
      <w:r>
        <w:tab/>
        <w:t>5.4</w:t>
      </w:r>
      <w:r>
        <w:tab/>
        <w:t>Fabrication of dewet pillars and deposition of porous silicon oxide</w:t>
      </w:r>
    </w:p>
    <w:p w:rsidR="002C4F06" w:rsidRDefault="002C4F06" w:rsidP="00B112EA">
      <w:pPr>
        <w:pStyle w:val="TimesNewRoman"/>
        <w:spacing w:line="240" w:lineRule="auto"/>
      </w:pPr>
      <w:r>
        <w:tab/>
        <w:t>5.5</w:t>
      </w:r>
      <w:r>
        <w:tab/>
        <w:t>Functionalization of the surface</w:t>
      </w:r>
    </w:p>
    <w:p w:rsidR="002C4F06" w:rsidRDefault="002C4F06" w:rsidP="00B112EA">
      <w:pPr>
        <w:pStyle w:val="TimesNewRoman"/>
        <w:spacing w:line="240" w:lineRule="auto"/>
      </w:pPr>
      <w:r>
        <w:tab/>
        <w:t>5.6</w:t>
      </w:r>
      <w:r>
        <w:tab/>
        <w:t>Detection of uranium samples</w:t>
      </w:r>
    </w:p>
    <w:p w:rsidR="002C4F06" w:rsidRDefault="002C4F06" w:rsidP="00B112EA">
      <w:pPr>
        <w:pStyle w:val="TimesNewRoman"/>
        <w:spacing w:line="240" w:lineRule="auto"/>
      </w:pPr>
      <w:r>
        <w:tab/>
        <w:t>5.7</w:t>
      </w:r>
      <w:r>
        <w:tab/>
        <w:t>Conclusions about CMPO and uranium detection</w:t>
      </w:r>
    </w:p>
    <w:p w:rsidR="002C4F06" w:rsidRDefault="002C4F06" w:rsidP="00B112EA">
      <w:pPr>
        <w:pStyle w:val="TimesNewRoman"/>
        <w:spacing w:line="240" w:lineRule="auto"/>
      </w:pPr>
      <w:r>
        <w:t>Chapter 6</w:t>
      </w:r>
      <w:r>
        <w:tab/>
        <w:t>Surface enhanced fluorescence detection of DNA</w:t>
      </w:r>
    </w:p>
    <w:p w:rsidR="002C4F06" w:rsidRDefault="002C4F06" w:rsidP="00B112EA">
      <w:pPr>
        <w:pStyle w:val="TimesNewRoman"/>
        <w:spacing w:line="240" w:lineRule="auto"/>
      </w:pPr>
      <w:r>
        <w:tab/>
        <w:t>6.1</w:t>
      </w:r>
      <w:r>
        <w:tab/>
        <w:t>Abstract</w:t>
      </w:r>
    </w:p>
    <w:p w:rsidR="002C4F06" w:rsidRDefault="002C4F06" w:rsidP="00B112EA">
      <w:pPr>
        <w:pStyle w:val="TimesNewRoman"/>
        <w:spacing w:line="240" w:lineRule="auto"/>
      </w:pPr>
      <w:r>
        <w:tab/>
        <w:t>6.2</w:t>
      </w:r>
      <w:r>
        <w:tab/>
        <w:t>Introduction to DNA, intercalating dyes, and biotin-avidin affinity</w:t>
      </w:r>
    </w:p>
    <w:p w:rsidR="002C4F06" w:rsidRDefault="002C4F06" w:rsidP="00B112EA">
      <w:pPr>
        <w:pStyle w:val="TimesNewRoman"/>
        <w:spacing w:line="240" w:lineRule="auto"/>
      </w:pPr>
      <w:r>
        <w:tab/>
        <w:t>6.3</w:t>
      </w:r>
      <w:r>
        <w:tab/>
        <w:t>Fabrication of EBL arrays</w:t>
      </w:r>
    </w:p>
    <w:p w:rsidR="002C4F06" w:rsidRDefault="002C4F06" w:rsidP="00B112EA">
      <w:pPr>
        <w:pStyle w:val="TimesNewRoman"/>
        <w:spacing w:line="240" w:lineRule="auto"/>
      </w:pPr>
      <w:r>
        <w:tab/>
        <w:t>6.4</w:t>
      </w:r>
      <w:r>
        <w:tab/>
        <w:t>Functionalization of the surface</w:t>
      </w:r>
    </w:p>
    <w:p w:rsidR="002C4F06" w:rsidRDefault="002C4F06" w:rsidP="00B112EA">
      <w:pPr>
        <w:pStyle w:val="TimesNewRoman"/>
        <w:spacing w:line="240" w:lineRule="auto"/>
      </w:pPr>
      <w:r>
        <w:tab/>
        <w:t>6.5</w:t>
      </w:r>
      <w:r>
        <w:tab/>
        <w:t>Creation of DNA-dye solutions and application of analyte</w:t>
      </w:r>
    </w:p>
    <w:p w:rsidR="002C4F06" w:rsidRDefault="002C4F06" w:rsidP="00B112EA">
      <w:pPr>
        <w:pStyle w:val="TimesNewRoman"/>
        <w:spacing w:line="240" w:lineRule="auto"/>
      </w:pPr>
      <w:r>
        <w:tab/>
        <w:t>6.6</w:t>
      </w:r>
      <w:r>
        <w:tab/>
        <w:t>Determination of fluorescence intensity</w:t>
      </w:r>
    </w:p>
    <w:p w:rsidR="002C4F06" w:rsidRDefault="002C4F06" w:rsidP="00B112EA">
      <w:pPr>
        <w:pStyle w:val="TimesNewRoman"/>
        <w:spacing w:line="240" w:lineRule="auto"/>
      </w:pPr>
      <w:r>
        <w:tab/>
        <w:t>6.7</w:t>
      </w:r>
      <w:r>
        <w:tab/>
        <w:t>Conclusions about using pillar arrays for DNA detection</w:t>
      </w:r>
    </w:p>
    <w:p w:rsidR="002C4F06" w:rsidRDefault="002C4F06" w:rsidP="00B112EA">
      <w:pPr>
        <w:pStyle w:val="TimesNewRoman"/>
        <w:spacing w:line="240" w:lineRule="auto"/>
      </w:pPr>
      <w:r>
        <w:t>References</w:t>
      </w:r>
    </w:p>
    <w:p w:rsidR="002C4F06" w:rsidRDefault="002C4F06" w:rsidP="00B112EA">
      <w:pPr>
        <w:pStyle w:val="TimesNewRoman"/>
        <w:spacing w:line="240" w:lineRule="auto"/>
      </w:pPr>
      <w:r>
        <w:t>Appendices (if applicable)</w:t>
      </w:r>
    </w:p>
    <w:p w:rsidR="002C4F06" w:rsidRPr="002C4F06" w:rsidRDefault="002C4F06" w:rsidP="00B112EA">
      <w:pPr>
        <w:pStyle w:val="TimesNewRoman"/>
        <w:spacing w:line="240" w:lineRule="auto"/>
      </w:pPr>
      <w:r>
        <w:t>Vita</w:t>
      </w:r>
    </w:p>
    <w:p w:rsidR="005B5B30" w:rsidRDefault="005B5B30" w:rsidP="005B5B30">
      <w:pPr>
        <w:pStyle w:val="TimesNewRoman"/>
        <w:jc w:val="center"/>
      </w:pPr>
    </w:p>
    <w:p w:rsidR="005B5B30" w:rsidRDefault="005B5B30">
      <w:pPr>
        <w:rPr>
          <w:rFonts w:ascii="Times New Roman" w:hAnsi="Times New Roman"/>
          <w:sz w:val="24"/>
        </w:rPr>
      </w:pPr>
      <w:r>
        <w:br w:type="page"/>
      </w:r>
    </w:p>
    <w:p w:rsidR="005B5B30" w:rsidRDefault="005B5B30" w:rsidP="005B5B30">
      <w:pPr>
        <w:pStyle w:val="Heading1"/>
        <w:jc w:val="center"/>
      </w:pPr>
      <w:r>
        <w:lastRenderedPageBreak/>
        <w:t>List of Tables</w:t>
      </w:r>
    </w:p>
    <w:p w:rsidR="002C4F06" w:rsidRDefault="002C4F06" w:rsidP="002C4F06">
      <w:pPr>
        <w:pStyle w:val="TimesNewRoman"/>
        <w:spacing w:line="240" w:lineRule="auto"/>
        <w:ind w:left="2160" w:hanging="1440"/>
        <w:rPr>
          <w:rFonts w:eastAsiaTheme="minorEastAsia"/>
        </w:rPr>
      </w:pPr>
      <w:r>
        <w:rPr>
          <w:b/>
        </w:rPr>
        <w:t>Table 1.3.1</w:t>
      </w:r>
      <w:r>
        <w:rPr>
          <w:b/>
        </w:rPr>
        <w:tab/>
      </w:r>
      <w:r>
        <w:rPr>
          <w:rFonts w:eastAsiaTheme="minorEastAsia"/>
        </w:rPr>
        <w:t xml:space="preserve">Polarity Indices of Common Pure Solvents as Derived from </w:t>
      </w:r>
    </w:p>
    <w:p w:rsidR="005B5B30" w:rsidRPr="002C4F06" w:rsidRDefault="002C4F06" w:rsidP="002C4F06">
      <w:pPr>
        <w:pStyle w:val="TimesNewRoman"/>
        <w:spacing w:line="240" w:lineRule="auto"/>
        <w:ind w:left="2160" w:firstLine="0"/>
        <w:rPr>
          <w:b/>
        </w:rPr>
      </w:pPr>
      <w:r>
        <w:rPr>
          <w:rFonts w:eastAsiaTheme="minorEastAsia"/>
        </w:rPr>
        <w:t>Rohrschneider Data………………</w:t>
      </w:r>
      <w:proofErr w:type="gramStart"/>
      <w:r>
        <w:rPr>
          <w:rFonts w:eastAsiaTheme="minorEastAsia"/>
        </w:rPr>
        <w:t>…..</w:t>
      </w:r>
      <w:proofErr w:type="gramEnd"/>
      <w:r>
        <w:rPr>
          <w:rFonts w:eastAsiaTheme="minorEastAsia"/>
        </w:rPr>
        <w:t>……………………………………7</w:t>
      </w:r>
    </w:p>
    <w:p w:rsidR="005B5B30" w:rsidRDefault="005B5B30">
      <w:pPr>
        <w:rPr>
          <w:rFonts w:ascii="Times New Roman" w:eastAsiaTheme="majorEastAsia" w:hAnsi="Times New Roman" w:cstheme="majorBidi"/>
          <w:b/>
          <w:sz w:val="32"/>
          <w:szCs w:val="32"/>
        </w:rPr>
      </w:pPr>
      <w:r>
        <w:br w:type="page"/>
      </w:r>
    </w:p>
    <w:p w:rsidR="005B5B30" w:rsidRDefault="005B5B30" w:rsidP="005B5B30">
      <w:pPr>
        <w:pStyle w:val="Heading1"/>
        <w:jc w:val="center"/>
      </w:pPr>
      <w:r>
        <w:lastRenderedPageBreak/>
        <w:t>List of Figures</w:t>
      </w:r>
    </w:p>
    <w:p w:rsidR="00B21178" w:rsidRDefault="002C4F06" w:rsidP="002C4F06">
      <w:pPr>
        <w:pStyle w:val="TimesNewRoman"/>
        <w:spacing w:line="240" w:lineRule="auto"/>
      </w:pPr>
      <w:r w:rsidRPr="00B21178">
        <w:rPr>
          <w:b/>
        </w:rPr>
        <w:t>Figure</w:t>
      </w:r>
      <w:r w:rsidR="00B21178" w:rsidRPr="00B21178">
        <w:rPr>
          <w:b/>
        </w:rPr>
        <w:t xml:space="preserve"> 1.4.1</w:t>
      </w:r>
      <w:r w:rsidR="00B21178">
        <w:tab/>
        <w:t xml:space="preserve">Spot morphology over time, as the droplet changes from Cassie to </w:t>
      </w:r>
    </w:p>
    <w:p w:rsidR="005B5B30" w:rsidRDefault="00B21178" w:rsidP="00B21178">
      <w:pPr>
        <w:pStyle w:val="TimesNewRoman"/>
        <w:spacing w:line="240" w:lineRule="auto"/>
        <w:ind w:left="1440"/>
      </w:pPr>
      <w:r>
        <w:t>Wenzel state……………………………………………………………10</w:t>
      </w:r>
    </w:p>
    <w:p w:rsidR="00B21178" w:rsidRDefault="00B21178" w:rsidP="00B21178">
      <w:pPr>
        <w:pStyle w:val="TimesNewRoman"/>
        <w:spacing w:line="240" w:lineRule="auto"/>
      </w:pPr>
      <w:r w:rsidRPr="00B21178">
        <w:rPr>
          <w:b/>
        </w:rPr>
        <w:t>Figure 1.5.1</w:t>
      </w:r>
      <w:r>
        <w:tab/>
        <w:t xml:space="preserve">Schematic of the two development chambers constructed for this </w:t>
      </w:r>
    </w:p>
    <w:p w:rsidR="00B21178" w:rsidRDefault="00B21178" w:rsidP="00B21178">
      <w:pPr>
        <w:pStyle w:val="TimesNewRoman"/>
        <w:spacing w:line="240" w:lineRule="auto"/>
        <w:ind w:left="1440"/>
      </w:pPr>
      <w:r>
        <w:t>work…………………………………………………………………….12</w:t>
      </w:r>
    </w:p>
    <w:p w:rsidR="005B5B30" w:rsidRDefault="005B5B30">
      <w:pPr>
        <w:rPr>
          <w:rFonts w:ascii="Times New Roman" w:eastAsiaTheme="majorEastAsia" w:hAnsi="Times New Roman" w:cstheme="majorBidi"/>
          <w:b/>
          <w:sz w:val="32"/>
          <w:szCs w:val="32"/>
        </w:rPr>
      </w:pPr>
      <w:r>
        <w:br w:type="page"/>
      </w:r>
    </w:p>
    <w:p w:rsidR="005B5B30" w:rsidRDefault="005B5B30" w:rsidP="00824EA1">
      <w:pPr>
        <w:pStyle w:val="Heading1"/>
        <w:jc w:val="center"/>
      </w:pPr>
      <w:r>
        <w:lastRenderedPageBreak/>
        <w:t>List of Abbreviations</w:t>
      </w:r>
    </w:p>
    <w:p w:rsidR="00824EA1" w:rsidRDefault="00824EA1" w:rsidP="005D4FAD">
      <w:pPr>
        <w:pStyle w:val="TimesNewRoman"/>
        <w:spacing w:line="240" w:lineRule="auto"/>
      </w:pPr>
      <w:r>
        <w:t>TLC</w:t>
      </w:r>
      <w:r>
        <w:tab/>
      </w:r>
      <w:r>
        <w:tab/>
        <w:t>Thin layer chromatography</w:t>
      </w:r>
    </w:p>
    <w:p w:rsidR="00824EA1" w:rsidRDefault="004C0206" w:rsidP="005D4FAD">
      <w:pPr>
        <w:pStyle w:val="TimesNewRoman"/>
        <w:spacing w:line="240" w:lineRule="auto"/>
      </w:pPr>
      <w:r>
        <w:t>HPTLC</w:t>
      </w:r>
      <w:r>
        <w:tab/>
        <w:t>High-performance thin layer chromatography</w:t>
      </w:r>
    </w:p>
    <w:p w:rsidR="00AE6EAE" w:rsidRDefault="00AE6EAE" w:rsidP="005D4FAD">
      <w:pPr>
        <w:pStyle w:val="TimesNewRoman"/>
        <w:spacing w:line="240" w:lineRule="auto"/>
      </w:pPr>
      <w:r>
        <w:t>UTLC</w:t>
      </w:r>
      <w:r>
        <w:tab/>
      </w:r>
      <w:r>
        <w:tab/>
        <w:t>Ultra-thin layer chromatography</w:t>
      </w:r>
    </w:p>
    <w:p w:rsidR="00750761" w:rsidRDefault="00750761" w:rsidP="005D4FAD">
      <w:pPr>
        <w:pStyle w:val="TimesNewRoman"/>
        <w:spacing w:line="240" w:lineRule="auto"/>
      </w:pPr>
      <w:r>
        <w:t>NP</w:t>
      </w:r>
      <w:r>
        <w:tab/>
      </w:r>
      <w:r>
        <w:tab/>
        <w:t>Normal phase</w:t>
      </w:r>
    </w:p>
    <w:p w:rsidR="00750761" w:rsidRDefault="00750761" w:rsidP="005D4FAD">
      <w:pPr>
        <w:pStyle w:val="TimesNewRoman"/>
        <w:spacing w:line="240" w:lineRule="auto"/>
      </w:pPr>
      <w:r>
        <w:t>RP</w:t>
      </w:r>
      <w:r>
        <w:tab/>
      </w:r>
      <w:r>
        <w:tab/>
        <w:t>Reverse phase</w:t>
      </w:r>
    </w:p>
    <w:p w:rsidR="009D33CF" w:rsidRDefault="009D33CF" w:rsidP="005D4FAD">
      <w:pPr>
        <w:pStyle w:val="TimesNewRoman"/>
        <w:spacing w:line="240" w:lineRule="auto"/>
      </w:pPr>
      <w:r>
        <w:t>R</w:t>
      </w:r>
      <w:r>
        <w:rPr>
          <w:vertAlign w:val="subscript"/>
        </w:rPr>
        <w:t>f</w:t>
      </w:r>
      <w:r>
        <w:tab/>
      </w:r>
      <w:r>
        <w:tab/>
        <w:t>Retardation factor</w:t>
      </w:r>
    </w:p>
    <w:p w:rsidR="00804ADC" w:rsidRDefault="00804ADC" w:rsidP="005D4FAD">
      <w:pPr>
        <w:pStyle w:val="TimesNewRoman"/>
        <w:spacing w:line="240" w:lineRule="auto"/>
      </w:pPr>
      <w:r>
        <w:rPr>
          <w:rFonts w:cs="Times New Roman"/>
        </w:rPr>
        <w:t>ε</w:t>
      </w:r>
      <w:r>
        <w:rPr>
          <w:vertAlign w:val="superscript"/>
        </w:rPr>
        <w:t>0</w:t>
      </w:r>
      <w:r>
        <w:tab/>
      </w:r>
      <w:r>
        <w:tab/>
        <w:t>Solvent strength parameter</w:t>
      </w:r>
    </w:p>
    <w:p w:rsidR="00D9279B" w:rsidRDefault="00D9279B" w:rsidP="005D4FAD">
      <w:pPr>
        <w:pStyle w:val="TimesNewRoman"/>
        <w:spacing w:line="240" w:lineRule="auto"/>
      </w:pPr>
      <w:r>
        <w:t>P’</w:t>
      </w:r>
      <w:r>
        <w:tab/>
      </w:r>
      <w:r>
        <w:tab/>
        <w:t>Polarity index</w:t>
      </w:r>
    </w:p>
    <w:p w:rsidR="00BD7878" w:rsidRDefault="00BD7878" w:rsidP="005D4FAD">
      <w:pPr>
        <w:pStyle w:val="TimesNewRoman"/>
        <w:spacing w:line="240" w:lineRule="auto"/>
      </w:pPr>
      <w:r>
        <w:t>F</w:t>
      </w:r>
      <w:r>
        <w:tab/>
      </w:r>
      <w:r>
        <w:tab/>
        <w:t>Volume fraction of solvent</w:t>
      </w:r>
    </w:p>
    <w:p w:rsidR="00BD7878" w:rsidRDefault="00BD7878" w:rsidP="005D4FAD">
      <w:pPr>
        <w:pStyle w:val="TimesNewRoman"/>
        <w:spacing w:line="240" w:lineRule="auto"/>
      </w:pPr>
      <w:r>
        <w:t>s</w:t>
      </w:r>
      <w:r>
        <w:rPr>
          <w:vertAlign w:val="subscript"/>
        </w:rPr>
        <w:t>f</w:t>
      </w:r>
      <w:r>
        <w:rPr>
          <w:vertAlign w:val="subscript"/>
        </w:rPr>
        <w:tab/>
      </w:r>
      <w:r>
        <w:rPr>
          <w:vertAlign w:val="subscript"/>
        </w:rPr>
        <w:tab/>
      </w:r>
      <w:r>
        <w:t>Distance traveled by the solvent front</w:t>
      </w:r>
    </w:p>
    <w:p w:rsidR="00BD7878" w:rsidRDefault="00BD7878" w:rsidP="005D4FAD">
      <w:pPr>
        <w:pStyle w:val="TimesNewRoman"/>
        <w:spacing w:line="240" w:lineRule="auto"/>
      </w:pPr>
      <w:r>
        <w:t>k</w:t>
      </w:r>
      <w:r>
        <w:tab/>
      </w:r>
      <w:r>
        <w:tab/>
        <w:t>Proportionality constant</w:t>
      </w:r>
    </w:p>
    <w:p w:rsidR="00BD7878" w:rsidRDefault="00BD7878" w:rsidP="005D4FAD">
      <w:pPr>
        <w:pStyle w:val="TimesNewRoman"/>
        <w:spacing w:line="240" w:lineRule="auto"/>
      </w:pPr>
      <w:r>
        <w:t>t</w:t>
      </w:r>
      <w:r>
        <w:tab/>
      </w:r>
      <w:r>
        <w:tab/>
        <w:t>Time</w:t>
      </w:r>
    </w:p>
    <w:p w:rsidR="00BD7878" w:rsidRDefault="00BD7878" w:rsidP="005D4FAD">
      <w:pPr>
        <w:pStyle w:val="TimesNewRoman"/>
        <w:spacing w:line="240" w:lineRule="auto"/>
      </w:pPr>
      <w:r>
        <w:t>K</w:t>
      </w:r>
      <w:r>
        <w:rPr>
          <w:vertAlign w:val="subscript"/>
        </w:rPr>
        <w:t>0</w:t>
      </w:r>
      <w:r>
        <w:tab/>
      </w:r>
      <w:r>
        <w:tab/>
        <w:t>Permeability constant</w:t>
      </w:r>
    </w:p>
    <w:p w:rsidR="00BD7878" w:rsidRDefault="00BD7878" w:rsidP="005D4FAD">
      <w:pPr>
        <w:pStyle w:val="TimesNewRoman"/>
        <w:spacing w:line="240" w:lineRule="auto"/>
      </w:pPr>
      <w:r>
        <w:t>d</w:t>
      </w:r>
      <w:r>
        <w:rPr>
          <w:vertAlign w:val="subscript"/>
        </w:rPr>
        <w:t>p</w:t>
      </w:r>
      <w:r>
        <w:rPr>
          <w:vertAlign w:val="subscript"/>
        </w:rPr>
        <w:tab/>
      </w:r>
      <w:r>
        <w:rPr>
          <w:vertAlign w:val="subscript"/>
        </w:rPr>
        <w:tab/>
      </w:r>
      <w:r>
        <w:t>Particle diameter</w:t>
      </w:r>
    </w:p>
    <w:p w:rsidR="00BD7878" w:rsidRDefault="00BD7878" w:rsidP="005D4FAD">
      <w:pPr>
        <w:pStyle w:val="TimesNewRoman"/>
        <w:spacing w:line="240" w:lineRule="auto"/>
      </w:pPr>
      <w:r>
        <w:rPr>
          <w:rFonts w:cs="Times New Roman"/>
        </w:rPr>
        <w:t>γ</w:t>
      </w:r>
      <w:r>
        <w:tab/>
      </w:r>
      <w:r>
        <w:tab/>
        <w:t>Surface tension of the mobile phase</w:t>
      </w:r>
    </w:p>
    <w:p w:rsidR="00BD7878" w:rsidRDefault="00BD7878" w:rsidP="005D4FAD">
      <w:pPr>
        <w:pStyle w:val="TimesNewRoman"/>
        <w:spacing w:line="240" w:lineRule="auto"/>
      </w:pPr>
      <w:r>
        <w:rPr>
          <w:rFonts w:cs="Times New Roman"/>
        </w:rPr>
        <w:t>η</w:t>
      </w:r>
      <w:r>
        <w:tab/>
      </w:r>
      <w:r>
        <w:tab/>
        <w:t>Viscosity of the mobile phase</w:t>
      </w:r>
    </w:p>
    <w:p w:rsidR="00BD7878" w:rsidRDefault="00BD7878" w:rsidP="005D4FAD">
      <w:pPr>
        <w:pStyle w:val="TimesNewRoman"/>
        <w:spacing w:line="240" w:lineRule="auto"/>
      </w:pPr>
      <w:r>
        <w:rPr>
          <w:rFonts w:cs="Times New Roman"/>
        </w:rPr>
        <w:t>θ</w:t>
      </w:r>
      <w:r>
        <w:tab/>
      </w:r>
      <w:r>
        <w:tab/>
        <w:t>Contact angle of the mobile phase on the stationary phase</w:t>
      </w:r>
    </w:p>
    <w:p w:rsidR="00BD7878" w:rsidRPr="00BD7878" w:rsidRDefault="00BD7878" w:rsidP="005D4FAD">
      <w:pPr>
        <w:pStyle w:val="TimesNewRoman"/>
        <w:spacing w:line="240" w:lineRule="auto"/>
      </w:pPr>
      <w:r>
        <w:rPr>
          <w:rFonts w:cs="Times New Roman"/>
        </w:rPr>
        <w:t>μ</w:t>
      </w:r>
      <w:r>
        <w:rPr>
          <w:vertAlign w:val="subscript"/>
        </w:rPr>
        <w:t>f</w:t>
      </w:r>
      <w:r>
        <w:rPr>
          <w:vertAlign w:val="subscript"/>
        </w:rPr>
        <w:softHyphen/>
      </w:r>
      <w:r>
        <w:rPr>
          <w:vertAlign w:val="subscript"/>
        </w:rPr>
        <w:tab/>
      </w:r>
      <w:r>
        <w:rPr>
          <w:vertAlign w:val="subscript"/>
        </w:rPr>
        <w:tab/>
      </w:r>
      <w:r>
        <w:t>Velocity of the solvent front</w:t>
      </w:r>
    </w:p>
    <w:p w:rsidR="000A74A1" w:rsidRPr="00824EA1" w:rsidRDefault="005B5B30" w:rsidP="00824EA1">
      <w:pPr>
        <w:pStyle w:val="TimesNewRoman"/>
        <w:rPr>
          <w:rFonts w:eastAsiaTheme="majorEastAsia" w:cstheme="majorBidi"/>
          <w:sz w:val="32"/>
          <w:szCs w:val="32"/>
        </w:rPr>
        <w:sectPr w:rsidR="000A74A1" w:rsidRPr="00824EA1" w:rsidSect="00B12193">
          <w:footerReference w:type="default" r:id="rId8"/>
          <w:footerReference w:type="first" r:id="rId9"/>
          <w:pgSz w:w="12240" w:h="15840"/>
          <w:pgMar w:top="1440" w:right="1440" w:bottom="1440" w:left="1440" w:header="720" w:footer="720" w:gutter="0"/>
          <w:pgNumType w:fmt="lowerRoman" w:start="1"/>
          <w:cols w:space="720"/>
          <w:titlePg/>
          <w:docGrid w:linePitch="360"/>
        </w:sectPr>
      </w:pPr>
      <w:r>
        <w:br w:type="page"/>
      </w:r>
    </w:p>
    <w:p w:rsidR="005B5B30" w:rsidRDefault="005B5B30" w:rsidP="005B5B30">
      <w:pPr>
        <w:pStyle w:val="Title"/>
      </w:pPr>
      <w:r>
        <w:lastRenderedPageBreak/>
        <w:t>Chapter 1</w:t>
      </w:r>
    </w:p>
    <w:p w:rsidR="005B5B30" w:rsidRDefault="005B5B30" w:rsidP="005B5B30">
      <w:pPr>
        <w:pStyle w:val="Title"/>
      </w:pPr>
    </w:p>
    <w:p w:rsidR="005B5B30" w:rsidRDefault="005B5B30" w:rsidP="007631D5">
      <w:pPr>
        <w:pStyle w:val="Title"/>
        <w:ind w:firstLine="0"/>
      </w:pPr>
    </w:p>
    <w:p w:rsidR="005B5B30" w:rsidRDefault="005B5B30" w:rsidP="005B5B30">
      <w:pPr>
        <w:pStyle w:val="Title"/>
      </w:pPr>
    </w:p>
    <w:p w:rsidR="005B5B30" w:rsidRDefault="005B5B30" w:rsidP="005B5B30">
      <w:pPr>
        <w:pStyle w:val="Title"/>
      </w:pPr>
    </w:p>
    <w:p w:rsidR="000A74A1" w:rsidRDefault="005B5B30" w:rsidP="005B5B30">
      <w:pPr>
        <w:pStyle w:val="Title"/>
      </w:pPr>
      <w:r>
        <w:t>Introduction to Planar Chromatography</w:t>
      </w:r>
      <w:r w:rsidR="000A74A1">
        <w:br w:type="page"/>
      </w:r>
    </w:p>
    <w:p w:rsidR="005B5B30" w:rsidRDefault="000A74A1" w:rsidP="000A74A1">
      <w:pPr>
        <w:pStyle w:val="Heading2"/>
        <w:numPr>
          <w:ilvl w:val="1"/>
          <w:numId w:val="2"/>
        </w:numPr>
      </w:pPr>
      <w:r>
        <w:lastRenderedPageBreak/>
        <w:t>– Thin Layer Chromatography: History and Basic Principles</w:t>
      </w:r>
    </w:p>
    <w:p w:rsidR="000A74A1" w:rsidRDefault="00824EA1" w:rsidP="00F30937">
      <w:pPr>
        <w:pStyle w:val="TimesNewRoman"/>
        <w:ind w:firstLine="390"/>
      </w:pPr>
      <w:r>
        <w:t>Thin layer chromatography (TLC) is a form of planar chromatography in which a thin layer of stationary phase is applied to a solid support, across which the mobile phase moves by capillary action.  It is one of the most popular and widely used separations techniques due to ease of use, broad applicability, and relative low cost and high speed compared to other techniques.  It may be used to confirm the purity of a sample, determine components in a mixture, or even quantitatively determine the amount of an analyte present.</w:t>
      </w:r>
    </w:p>
    <w:p w:rsidR="00A120B7" w:rsidRDefault="00A120B7" w:rsidP="00F30937">
      <w:pPr>
        <w:pStyle w:val="TimesNewRoman"/>
        <w:ind w:firstLine="390"/>
      </w:pPr>
      <w:r>
        <w:t xml:space="preserve">TLC was first described in 1938 by Nikolai Izmailov and Maria Shraiber, although they referred to it as the “drop-chromatographic method.”  </w:t>
      </w:r>
      <w:r w:rsidR="00776F7F">
        <w:t xml:space="preserve">However, it wasn’t until the work of </w:t>
      </w:r>
      <w:r w:rsidR="00F93C8F">
        <w:t xml:space="preserve">Miller, </w:t>
      </w:r>
      <w:r w:rsidR="00776F7F">
        <w:t>Kirchner</w:t>
      </w:r>
      <w:r w:rsidR="00F93C8F">
        <w:t>,</w:t>
      </w:r>
      <w:r w:rsidR="00776F7F">
        <w:t xml:space="preserve"> and </w:t>
      </w:r>
      <w:r w:rsidR="00F93C8F">
        <w:t>Keller in 1951 that the method began to attract attention.</w:t>
      </w:r>
      <w:r w:rsidR="00F93C8F">
        <w:fldChar w:fldCharType="begin" w:fldLock="1"/>
      </w:r>
      <w:r w:rsidR="00B246E2">
        <w:instrText>ADDIN CSL_CITATION { "citationItems" : [ { "id" : "ITEM-1", "itemData" : { "author" : [ { "dropping-particle" : "", "family" : "Kirchner", "given" : "J.G.", "non-dropping-particle" : "", "parse-names" : false, "suffix" : "" }, { "dropping-particle" : "", "family" : "Miller", "given" : "J.M.", "non-dropping-particle" : "", "parse-names" : false, "suffix" : "" }, { "dropping-particle" : "", "family" : "Keller", "given" : "G.J.", "non-dropping-particle" : "", "parse-names" : false, "suffix" : "" } ], "container-title" : "Analytical Chemistry", "id" : "ITEM-1", "issue" : "3", "issued" : { "date-parts" : [ [ "1951" ] ] }, "page" : "420-425", "title" : "Separation and identification of some terpenes by a new chromatographic technique", "type" : "article-journal", "volume" : "23" }, "uris" : [ "http://www.mendeley.com/documents/?uuid=27ab361e-282d-4176-a3ab-4355a27f7384" ] }, { "id" : "ITEM-2", "itemData" : { "author" : [ { "dropping-particle" : "", "family" : "Miller", "given" : "J.M.", "non-dropping-particle" : "", "parse-names" : false, "suffix" : "" }, { "dropping-particle" : "", "family" : "Kirchner", "given" : "J.G.", "non-dropping-particle" : "", "parse-names" : false, "suffix" : "" } ], "container-title" : "Analytical Chemistry", "id" : "ITEM-2", "issued" : { "date-parts" : [ [ "1954" ] ] }, "page" : "2002", "title" : "Apparatus for the preparation of chromatostrips", "type" : "article-journal", "volume" : "26" }, "uris" : [ "http://www.mendeley.com/documents/?uuid=e0fe3d73-38c0-4c61-bacd-011eb463b54e" ] }, { "id" : "ITEM-3", "itemData" : { "author" : [ { "dropping-particle" : "", "family" : "Miller", "given" : "J.M.", "non-dropping-particle" : "", "parse-names" : false, "suffix" : "" }, { "dropping-particle" : "", "family" : "Kirchner", "given" : "J.G.", "non-dropping-particle" : "", "parse-names" : false, "suffix" : "" } ], "container-title" : "Analytical Chemistry", "id" : "ITEM-3", "issue" : "9", "issued" : { "date-parts" : [ [ "1952" ] ] }, "page" : "1480-1482", "title" : "Some improvements in chromatographic techniques for terpenes", "type" : "article-journal", "volume" : "24" }, "uris" : [ "http://www.mendeley.com/documents/?uuid=9c359177-b8d5-41cf-a23e-12f1c956cebf" ] } ], "mendeley" : { "formattedCitation" : "&lt;sup&gt;1\u20133&lt;/sup&gt;", "plainTextFormattedCitation" : "1\u20133", "previouslyFormattedCitation" : "&lt;sup&gt;1\u20133&lt;/sup&gt;" }, "properties" : { "noteIndex" : 0 }, "schema" : "https://github.com/citation-style-language/schema/raw/master/csl-citation.json" }</w:instrText>
      </w:r>
      <w:r w:rsidR="00F93C8F">
        <w:fldChar w:fldCharType="separate"/>
      </w:r>
      <w:r w:rsidR="00F93C8F" w:rsidRPr="00F93C8F">
        <w:rPr>
          <w:noProof/>
          <w:vertAlign w:val="superscript"/>
        </w:rPr>
        <w:t>1–3</w:t>
      </w:r>
      <w:r w:rsidR="00F93C8F">
        <w:fldChar w:fldCharType="end"/>
      </w:r>
      <w:r w:rsidR="00F93C8F">
        <w:t xml:space="preserve">  </w:t>
      </w:r>
      <w:r w:rsidR="00B246E2">
        <w:t>Then in 1958, Stahl finally described an efficient method for reproducibly preparing the plates and gave the method its current name, resulting in a significant increase in its popularity.</w:t>
      </w:r>
      <w:r w:rsidR="00B246E2">
        <w:fldChar w:fldCharType="begin" w:fldLock="1"/>
      </w:r>
      <w:r w:rsidR="00F30937">
        <w:instrText>ADDIN CSL_CITATION { "citationItems" : [ { "id" : "ITEM-1", "itemData" : { "author" : [ { "dropping-particle" : "", "family" : "Stahl", "given" : "E.", "non-dropping-particle" : "", "parse-names" : false, "suffix" : "" } ], "container-title" : "Chemiker-Zeitung", "id" : "ITEM-1", "issued" : { "date-parts" : [ [ "1958" ] ] }, "page" : "323", "title" : "Thin-layer chromatography. II. Standardization, detection, documentation, and application.", "type" : "article-journal", "volume" : "82" }, "uris" : [ "http://www.mendeley.com/documents/?uuid=94dbfb9c-dfe4-49e2-9d50-60f64434b872" ] } ], "mendeley" : { "formattedCitation" : "&lt;sup&gt;4&lt;/sup&gt;", "plainTextFormattedCitation" : "4", "previouslyFormattedCitation" : "&lt;sup&gt;4&lt;/sup&gt;" }, "properties" : { "noteIndex" : 0 }, "schema" : "https://github.com/citation-style-language/schema/raw/master/csl-citation.json" }</w:instrText>
      </w:r>
      <w:r w:rsidR="00B246E2">
        <w:fldChar w:fldCharType="separate"/>
      </w:r>
      <w:r w:rsidR="00B246E2" w:rsidRPr="00B246E2">
        <w:rPr>
          <w:noProof/>
          <w:vertAlign w:val="superscript"/>
        </w:rPr>
        <w:t>4</w:t>
      </w:r>
      <w:r w:rsidR="00B246E2">
        <w:fldChar w:fldCharType="end"/>
      </w:r>
    </w:p>
    <w:p w:rsidR="00FA3C19" w:rsidRDefault="00B246E2" w:rsidP="00F30937">
      <w:pPr>
        <w:pStyle w:val="TimesNewRoman"/>
        <w:ind w:firstLine="390"/>
      </w:pPr>
      <w:r>
        <w:t xml:space="preserve">In the TLC seen today, </w:t>
      </w:r>
      <w:r w:rsidR="00FA3C19">
        <w:t xml:space="preserve">thin layers of a sorbent material (such as silica gel, cellulose, or alumina) are applied as a coating to a solid support such as a glass slide.  The sample to be separated is applied to the base of the plate, generally by spotting, and the plate is then sealed into a saturated development chamber containing a well of a small amount of the mobile phase of choice.  The base of the plate is allowed to come into contact with the mobile phase, which begins to wick up the plate by capillary action in a process known as development.  Different compounds within the sample have different affinities for the stationary phase and are separated by adsorbing onto it. An analyte with a higher affinity for the stationary phase will spend more time adsorbed to it, and thus be more retained.  </w:t>
      </w:r>
    </w:p>
    <w:p w:rsidR="00F30937" w:rsidRDefault="00FA3C19" w:rsidP="00F30937">
      <w:pPr>
        <w:pStyle w:val="TimesNewRoman"/>
        <w:ind w:firstLine="390"/>
      </w:pPr>
      <w:r>
        <w:lastRenderedPageBreak/>
        <w:t>After the mobile phase has traveled a designated distance, the plate is removed from the development chamber and allowed to dry.  Once dried, the individual spots may be identified by viewing under a UV light, by fluorescence, or by spraying with a reagent</w:t>
      </w:r>
      <w:r w:rsidR="00F30937">
        <w:t>.</w:t>
      </w:r>
      <w:r w:rsidR="00F30937">
        <w:fldChar w:fldCharType="begin" w:fldLock="1"/>
      </w:r>
      <w:r w:rsidR="007032B6">
        <w:instrText>ADDIN CSL_CITATION { "citationItems" : [ { "id" : "ITEM-1", "itemData" : { "author" : [ { "dropping-particle" : "", "family" : "Touchstone", "given" : "J.C.", "non-dropping-particle" : "", "parse-names" : false, "suffix" : "" } ], "edition" : "3rd", "id" : "ITEM-1", "issued" : { "date-parts" : [ [ "1992" ] ] }, "publisher" : "John Wiley &amp; Sons, INC", "publisher-place" : "New York", "title" : "Practice of Thin-Layer Chromatography", "type" : "book" }, "uris" : [ "http://www.mendeley.com/documents/?uuid=ff098689-5fbd-4c32-bb83-96104be997fb" ] } ], "mendeley" : { "formattedCitation" : "&lt;sup&gt;5&lt;/sup&gt;", "plainTextFormattedCitation" : "5", "previouslyFormattedCitation" : "&lt;sup&gt;5&lt;/sup&gt;" }, "properties" : { "noteIndex" : 0 }, "schema" : "https://github.com/citation-style-language/schema/raw/master/csl-citation.json" }</w:instrText>
      </w:r>
      <w:r w:rsidR="00F30937">
        <w:fldChar w:fldCharType="separate"/>
      </w:r>
      <w:r w:rsidR="00F30937" w:rsidRPr="00F30937">
        <w:rPr>
          <w:noProof/>
          <w:vertAlign w:val="superscript"/>
        </w:rPr>
        <w:t>5</w:t>
      </w:r>
      <w:r w:rsidR="00F30937">
        <w:fldChar w:fldCharType="end"/>
      </w:r>
    </w:p>
    <w:p w:rsidR="00B246E2" w:rsidRDefault="00F30937" w:rsidP="00F30937">
      <w:pPr>
        <w:pStyle w:val="TimesNewRoman"/>
        <w:ind w:firstLine="390"/>
      </w:pPr>
      <w:r>
        <w:t>Generally, it may be said that chromatographic efficiency and speed increase</w:t>
      </w:r>
      <w:r w:rsidR="004C0206">
        <w:t xml:space="preserve"> with decreasing particle size.  As such, de</w:t>
      </w:r>
      <w:r w:rsidR="00ED401D">
        <w:t xml:space="preserve">velopments in TLC technology have largely focused on </w:t>
      </w:r>
      <w:r w:rsidR="004C0206">
        <w:t xml:space="preserve">methods to reduce particle size.  High-performance thin layer chromatography (HPTLC) </w:t>
      </w:r>
      <w:r w:rsidR="007032B6">
        <w:t xml:space="preserve">is characterized by particle sizes of 5-6 microns and an overall layer thickness of 100-250 microns.  This may be compared to traditional TLC, which </w:t>
      </w:r>
      <w:r w:rsidR="005B7B70">
        <w:t>has particles sizes of 10-12 microns and an overall layer thickness of 250-1000 microns.</w:t>
      </w:r>
      <w:r w:rsidR="005B7B70">
        <w:fldChar w:fldCharType="begin" w:fldLock="1"/>
      </w:r>
      <w:r w:rsidR="00AE6EAE">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"mendeley" : { "formattedCitation" : "&lt;sup&gt;6&lt;/sup&gt;", "plainTextFormattedCitation" : "6", "previouslyFormattedCitation" : "&lt;sup&gt;6&lt;/sup&gt;" }, "properties" : { "noteIndex" : 0 }, "schema" : "https://github.com/citation-style-language/schema/raw/master/csl-citation.json" }</w:instrText>
      </w:r>
      <w:r w:rsidR="005B7B70">
        <w:fldChar w:fldCharType="separate"/>
      </w:r>
      <w:r w:rsidR="005B7B70" w:rsidRPr="005B7B70">
        <w:rPr>
          <w:noProof/>
          <w:vertAlign w:val="superscript"/>
        </w:rPr>
        <w:t>6</w:t>
      </w:r>
      <w:r w:rsidR="005B7B70">
        <w:fldChar w:fldCharType="end"/>
      </w:r>
      <w:r w:rsidR="005B7B70">
        <w:t xml:space="preserve">  HPTLC also exhibits shorter development distances and faster development times than traditional TLC, and is frequently combined with methods for spot automation or software controlled sample analysis, allowing for more quantitative analysis.</w:t>
      </w:r>
    </w:p>
    <w:p w:rsidR="007631D5" w:rsidRDefault="00AE6EAE" w:rsidP="00750761">
      <w:pPr>
        <w:pStyle w:val="TimesNewRoman"/>
        <w:ind w:firstLine="390"/>
        <w:rPr>
          <w:rFonts w:cs="Times New Roman"/>
        </w:rPr>
      </w:pPr>
      <w:r>
        <w:t>Other, more specialized methods involving micro machining have been used for the development of ultra-thin layer chromatography (UTLC)</w:t>
      </w:r>
      <w:r w:rsidR="00D93076">
        <w:t xml:space="preserve"> since 2001</w:t>
      </w:r>
      <w:r>
        <w:t xml:space="preserve">.  </w:t>
      </w:r>
      <w:r w:rsidR="00356997">
        <w:t xml:space="preserve">The first UTLC plates were made by coating a glass substrate with a monolithic silica layer 10 </w:t>
      </w:r>
      <w:r w:rsidR="00356997">
        <w:rPr>
          <w:rFonts w:cs="Times New Roman"/>
        </w:rPr>
        <w:t>μ</w:t>
      </w:r>
      <w:r w:rsidR="00356997">
        <w:t xml:space="preserve">m thick containing macropores of 1-2 </w:t>
      </w:r>
      <w:r w:rsidR="00356997">
        <w:rPr>
          <w:rFonts w:cs="Times New Roman"/>
        </w:rPr>
        <w:t>μm to minimize flow resistance and mesopores of 3-4 nm to optimize retention.</w:t>
      </w:r>
      <w:r w:rsidR="007631D5">
        <w:rPr>
          <w:rFonts w:cs="Times New Roman"/>
        </w:rPr>
        <w:fldChar w:fldCharType="begin" w:fldLock="1"/>
      </w:r>
      <w:r w:rsidR="007631D5">
        <w:rPr>
          <w:rFonts w:cs="Times New Roman"/>
        </w:rPr>
        <w:instrText>ADDIN CSL_CITATION { "citationItems" : [ { "id" : "ITEM-1", "itemData" : { "DOI" : "10.1016/j.chroma.2010.10.072", "ISBN" : "0021-9673", "ISSN" : "00219673", "PMID" : "21056422", "abstract" : "The kinetic performance of stabilized particle layers, particle membranes, and thin films for thin-layer chromatography is reviewed with a focus on how layer characteristics and experimental conditions affect the observed plate height. Forced flow and pressurized planar electrochromatography are identified as the best candidates to overcome the limited performance achieved by capillary flow for stabilized particle layers. For conventional and high performance plates band broadening is dominated by molecular diffusion at low mobile phase velocities typical of capillary flow systems and by mass transfer with a significant contribution from flow anisotropy at higher flow rates typical of forced flow systems. There are few possible changes to the structure of stabilized particle layers that would significantly improve their performance for capillary flow systems while for forced flow a number of avenues for further study are identified. New media for ultra thin-layer chromatography shows encouraging possibilities for miniaturized high performance systems but the realization of their true performance requires improvements in instrumentation for sample application and detection. ?? 2010 Elsevier B.V.", "author" : [ { "dropping-particle" : "", "family" : "Poole", "given" : "Salwa K.", "non-dropping-particle" : "", "parse-names" : false, "suffix" : "" }, { "dropping-particle" : "", "family" : "Poole", "given" : "Colin F.", "non-dropping-particle" : "", "parse-names" : false, "suffix" : "" } ], "container-title" : "Journal of Chromatography A", "id" : "ITEM-1", "issue" : "19", "issued" : { "date-parts" : [ [ "2011" ] ] }, "page" : "2648-2660", "publisher" : "Elsevier B.V.", "title" : "High performance stationary phases for planar chromatography", "type" : "article-journal", "volume" : "1218" }, "uris" : [ "http://www.mendeley.com/documents/?uuid=faba6e36-8d78-4e3e-8031-e4f5d48a3b0e" ] }, { "id" : "ITEM-2", "itemData" : { "DOI" : "10.2174/1876531900901010040", "ISSN" : "18765319", "abstract" : "In this work the approach for producing thin-layer chromatographic plates with monolithic layer of silica was proposed. The conditions of silica monolith synthesis were optimized by investigation of effects of different catalysts on the properties of obtained materials and addition of drying control chemical additive. The carrier for silica monolithic film was chosen and the method of surface modification was proposed. The properties of obtained monoliths were studied by FTIR and scanning electron microscopy (SEM). Produced thin-layer plates with monolithic layer of silica were successfully used for separation of test mixture of dyes.", "author" : [ { "dropping-particle" : "", "family" : "Frolova", "given" : "A M", "non-dropping-particle" : "", "parse-names" : false, "suffix" : "" }, { "dropping-particle" : "", "family" : "Chukhlieb", "given" : "M A", "non-dropping-particle" : "", "parse-names" : false, "suffix" : "" }, { "dropping-particle" : "V", "family" : "Drobot", "given" : "A", "non-dropping-particle" : "", "parse-names" : false, "suffix" : "" }, { "dropping-particle" : "", "family" : "Kryshtal", "given" : "A P", "non-dropping-particle" : "", "parse-names" : false, "suffix" : "" }, { "dropping-particle" : "", "family" : "Loginova", "given" : "L P", "non-dropping-particle" : "", "parse-names" : false, "suffix" : "" }, { "dropping-particle" : "", "family" : "Boichenko", "given" : "A P", "non-dropping-particle" : "", "parse-names" : false, "suffix" : "" } ], "container-title" : "Open Surf. Sci. J.", "id" : "ITEM-2", "issued" : { "date-parts" : [ [ "2009" ] ] }, "page" : "40-45", "title" : "Producing of Monolithic Layers of Silica for Thin-Layer Chromatography by Sol-Gel Synthesis", "type" : "article-journal", "volume" : "1" }, "uris" : [ "http://www.mendeley.com/documents/?uuid=4c8593d7-d9d8-4109-9a24-77e341c9854b" ] } ], "mendeley" : { "formattedCitation" : "&lt;sup&gt;7,8&lt;/sup&gt;", "plainTextFormattedCitation" : "7,8", "previouslyFormattedCitation" : "&lt;sup&gt;7,8&lt;/sup&gt;" }, "properties" : { "noteIndex" : 0 }, "schema" : "https://github.com/citation-style-language/schema/raw/master/csl-citation.json" }</w:instrText>
      </w:r>
      <w:r w:rsidR="007631D5">
        <w:rPr>
          <w:rFonts w:cs="Times New Roman"/>
        </w:rPr>
        <w:fldChar w:fldCharType="separate"/>
      </w:r>
      <w:r w:rsidR="007631D5" w:rsidRPr="007631D5">
        <w:rPr>
          <w:rFonts w:cs="Times New Roman"/>
          <w:noProof/>
          <w:vertAlign w:val="superscript"/>
        </w:rPr>
        <w:t>7,8</w:t>
      </w:r>
      <w:r w:rsidR="007631D5">
        <w:rPr>
          <w:rFonts w:cs="Times New Roman"/>
        </w:rPr>
        <w:fldChar w:fldCharType="end"/>
      </w:r>
      <w:r w:rsidR="00356997">
        <w:rPr>
          <w:rFonts w:cs="Times New Roman"/>
        </w:rPr>
        <w:t xml:space="preserve">  Subsequent progress has been made in the area by </w:t>
      </w:r>
      <w:r w:rsidR="007631D5">
        <w:rPr>
          <w:rFonts w:cs="Times New Roman"/>
        </w:rPr>
        <w:t>Brett and Olesik</w:t>
      </w:r>
      <w:r w:rsidR="00356997">
        <w:rPr>
          <w:rFonts w:cs="Times New Roman"/>
        </w:rPr>
        <w:t>.</w:t>
      </w:r>
      <w:r w:rsidR="007631D5">
        <w:rPr>
          <w:rFonts w:cs="Times New Roman"/>
        </w:rPr>
        <w:fldChar w:fldCharType="begin" w:fldLock="1"/>
      </w:r>
      <w:r w:rsidR="00826027">
        <w:rPr>
          <w:rFonts w:cs="Times New Roman"/>
        </w:rPr>
        <w:instrText>ADDIN CSL_CITATION { "citationItems" : [ { "id" : "ITEM-1", "itemData" : { "DOI" : "10.1016/j.chroma.2007.12.089", "ISSN" : "00219673", "PMID" : "18255081", "abstract" : "Ultrathin layer chromatography (UTLC) is a relatively new variant of thin layer chromatography, with a 10?? m thick monolithic silica sorbent layer that gives faster separations with lower limits of detection and reduced analyte and solvent volumes. We have produced UTLC plates with controllable nanostructure and thickness, and show that the layer separation characteristics depends on the film nanostructure. We also show that layers made with in-plane anisotropic nanostructures will exhibit a decoupling effect, where the analyte spots do not develop in the same direction as the solvent front movement. The added layer morphology and material selection adds a degree of freedom to UTLC, and may have applications in multi-dimensional TLC. ?? 2008 Elsevier B.V. All rights reserved.", "author" : [ { "dropping-particle" : "", "family" : "Bezuidenhout", "given" : "Louis W.", "non-dropping-particle" : "", "parse-names" : false, "suffix" : "" }, { "dropping-particle" : "", "family" : "Brett", "given" : "Michael J.", "non-dropping-particle" : "", "parse-names" : false, "suffix" : "" } ], "container-title" : "Journal of Chromatography A", "id" : "ITEM-1", "issue" : "1-2", "issued" : { "date-parts" : [ [ "2008" ] ] }, "page" : "179-185", "title" : "Ultrathin layer chromatography on nanostructured thin films", "type" : "article-journal", "volume" : "1183" }, "uris" : [ "http://www.mendeley.com/documents/?uuid=142b9c97-0109-4616-9182-195bf5633957" ] }, { "id" : "ITEM-2", "itemData" : { "DOI" : "10.1021/ac101004b", "ISBN" : "1780492286", "ISSN" : "00032700", "PMID" : "20507179", "abstract" : "The strong dependence of separation behavior on ul- trathin-layer chromatography (UTLC) stationary phase microstructure motivates continued UTLC plate design optimization efforts. We fabricated 4.6-5.3 \u00b5m thick normal phase silica UTLC stationary phases with several types of in-plane macropore anisotropies using the glanc- ing angle deposition (GLAD) approach to engineering nanostructured thin films. The separation behaviors of two new media, isotropic vertical posts and anisotropic bl- adelike films, were compared to that of anisotropic chevron media. Channel-like structures within the aniso- tropic media introduced preferential mobile phase flow directions that could be exploited to give separation tracks diagonal to the development direction. Extraction of chromatograms from these angled tracks required the development of a new analytical approach that involved a commercial flatbed film scanner and custom numerical image analysis software. GLAD stationary phase perfor- mance was quantified using the Dimethyl Yellow dye separated from a lipophilic dye mixture over migration distances less than \u223c10 mm. The limits of detection were 10 ( 4 ng for the vertical posts and 11 ( 3 ng for the bladelike media. We obtained theoretical plate heights that varied with film microstructure between 12 and 28 \u00b5m. Unoptimized separation performance was compa- rable to that of other planar chromatography media. Macropore anisotropies engineered by GLAD may expand the capabilities of future UTLC stationary phases.", "author" : [ { "dropping-particle" : "", "family" : "Jim", "given" : "S. R.", "non-dropping-particle" : "", "parse-names" : false, "suffix" : "" }, { "dropping-particle" : "", "family" : "Taschuk", "given" : "M. T.", "non-dropping-particle" : "", "parse-names" : false, "suffix" : "" }, { "dropping-particle" : "", "family" : "Morlock", "given" : "G. E.", "non-dropping-particle" : "", "parse-names" : false, "suffix" : "" }, { "dropping-particle" : "", "family" : "Bezuidenhout", "given" : "L. W.", "non-dropping-particle" : "", "parse-names" : false, "suffix" : "" }, { "dropping-particle" : "", "family" : "Schwack", "given" : "W.", "non-dropping-particle" : "", "parse-names" : false, "suffix" : "" }, { "dropping-particle" : "", "family" : "Brett", "given" : "M. J.", "non-dropping-particle" : "", "parse-names" : false, "suffix" : "" } ], "container-title" : "Analytical Chemistry", "id" : "ITEM-2", "issue" : "12", "issued" : { "date-parts" : [ [ "2010" ] ] }, "page" : "5349-5356", "title" : "Engineered anisotropic microstructures for ultrathin-layer chromatography", "type" : "article-journal", "volume" : "82" }, "uris" : [ "http://www.mendeley.com/documents/?uuid=dad2202d-e995-4ebb-9fc1-a872dae2f25c" ] }, { "id" : "ITEM-3", "itemData" : { "DOI" : "10.1021/ac902945t", "ISSN" : "0003-2700", "author" : [ { "dropping-particle" : "", "family" : "Morlock", "given" : "Gertrud E.", "non-dropping-particle" : "", "parse-names" : false, "suffix" : "" }, { "dropping-particle" : "", "family" : "Oellig", "given" : "Claudia", "non-dropping-particle" : "", "parse-names" : false, "suffix" : "" }, { "dropping-particle" : "", "family" : "Bezuidenhout", "given" : "Louis W.", "non-dropping-particle" : "", "parse-names" : false, "suffix" : "" }, { "dropping-particle" : "", "family" : "Brett", "given" : "Michael J.", "non-dropping-particle" : "", "parse-names" : false, "suffix" : "" }, { "dropping-particle" : "", "family" : "Schwack", "given" : "Wolfgang", "non-dropping-particle" : "", "parse-names" : false, "suffix" : "" } ], "container-title" : "Analytical Chemistry", "id" : "ITEM-3", "issue" : "7", "issued" : { "date-parts" : [ [ "2010" ] ] }, "page" : "2940-2946", "title" : "Miniaturized Planar Chromatography Using Office Peripherals", "type" : "article-journal", "volume" : "82" }, "uris" : [ "http://www.mendeley.com/documents/?uuid=63fc85ba-1b25-484e-838d-bd4378650106" ] }, { "id" : "ITEM-4", "itemData" : { "DOI" : "10.1021/ac9004293", "ISSN" : "00032700", "PMID" : "19385624", "abstract" : "A technique for creating devices for ultrathin layer chromatography (UTLC) using an electrospinning method is described. The devices use a nanofibrous stationary phase with fiber diameters that are 400 nm. Separations of mixtures of laser dyes and mixtures of steroidal compounds were performed to illustrate the capabilities of these new UTLC media. The complete analyses were found to require very little development time and require less solvent than typical TLC methods. The efficiency of the separations was substantially improved compared to that determined using commercial phases. The retention properties and efficiency of the technique are discussed as are the effects of mat thickness and mobile phase composition on the chromatographic properties of the devices.", "author" : [ { "dropping-particle" : "", "family" : "Clark", "given" : "Jonathan E.", "non-dropping-particle" : "", "parse-names" : false, "suffix" : "" }, { "dropping-particle" : "V.", "family" : "Olesik", "given" : "Susan", "non-dropping-particle" : "", "parse-names" : false, "suffix" : "" } ], "container-title" : "Analytical Chemistry", "id" : "ITEM-4", "issue" : "10", "issued" : { "date-parts" : [ [ "2009" ] ] }, "page" : "4121-4129", "title" : "Technique for ultrathin layer chromatography using an electrospun, nanofibrous stationary phase", "type" : "article-journal", "volume" : "81" }, "uris" : [ "http://www.mendeley.com/documents/?uuid=55ecc380-2e13-4d3e-bc90-daf088f3349a" ] } ], "mendeley" : { "formattedCitation" : "&lt;sup&gt;9\u201312&lt;/sup&gt;", "plainTextFormattedCitation" : "9\u201312", "previouslyFormattedCitation" : "&lt;sup&gt;9\u201312&lt;/sup&gt;" }, "properties" : { "noteIndex" : 0 }, "schema" : "https://github.com/citation-style-language/schema/raw/master/csl-citation.json" }</w:instrText>
      </w:r>
      <w:r w:rsidR="007631D5">
        <w:rPr>
          <w:rFonts w:cs="Times New Roman"/>
        </w:rPr>
        <w:fldChar w:fldCharType="separate"/>
      </w:r>
      <w:r w:rsidR="007631D5" w:rsidRPr="007631D5">
        <w:rPr>
          <w:rFonts w:cs="Times New Roman"/>
          <w:noProof/>
          <w:vertAlign w:val="superscript"/>
        </w:rPr>
        <w:t>9–12</w:t>
      </w:r>
      <w:r w:rsidR="007631D5">
        <w:rPr>
          <w:rFonts w:cs="Times New Roman"/>
        </w:rPr>
        <w:fldChar w:fldCharType="end"/>
      </w:r>
      <w:r w:rsidR="00B35C18">
        <w:rPr>
          <w:rFonts w:cs="Times New Roman"/>
        </w:rPr>
        <w:t xml:space="preserve">  </w:t>
      </w:r>
      <w:r w:rsidR="005B5CA5" w:rsidRPr="005B5CA5">
        <w:rPr>
          <w:rFonts w:cs="Times New Roman"/>
        </w:rPr>
        <w:t>Bezuidenhout</w:t>
      </w:r>
      <w:r w:rsidR="005B5CA5">
        <w:rPr>
          <w:rFonts w:cs="Times New Roman"/>
        </w:rPr>
        <w:t xml:space="preserve"> and Brett </w:t>
      </w:r>
      <w:r w:rsidR="00B35C18">
        <w:rPr>
          <w:rFonts w:cs="Times New Roman"/>
        </w:rPr>
        <w:t>have worked with glancing-angle deposition to create silicon nano</w:t>
      </w:r>
      <w:r w:rsidR="005B5CA5">
        <w:rPr>
          <w:rFonts w:cs="Times New Roman"/>
        </w:rPr>
        <w:t>column</w:t>
      </w:r>
      <w:r w:rsidR="00B35C18">
        <w:rPr>
          <w:rFonts w:cs="Times New Roman"/>
        </w:rPr>
        <w:t>s 1-7 μm thick and 500 nm in diameter</w:t>
      </w:r>
      <w:r w:rsidR="005B5CA5">
        <w:rPr>
          <w:rFonts w:cs="Times New Roman"/>
        </w:rPr>
        <w:t xml:space="preserve"> engineered into shapes such as helices, spirals, vertical posts, and zig zags.</w:t>
      </w:r>
      <w:r w:rsidR="005B5CA5">
        <w:rPr>
          <w:rFonts w:cs="Times New Roman"/>
        </w:rPr>
        <w:fldChar w:fldCharType="begin" w:fldLock="1"/>
      </w:r>
      <w:r w:rsidR="007631D5">
        <w:rPr>
          <w:rFonts w:cs="Times New Roman"/>
        </w:rPr>
        <w:instrText>ADDIN CSL_CITATION { "citationItems" : [ { "id" : "ITEM-1", "itemData" : { "DOI" : "10.1016/j.chroma.2007.12.089", "ISSN" : "00219673", "PMID" : "18255081", "abstract" : "Ultrathin layer chromatography (UTLC) is a relatively new variant of thin layer chromatography, with a 10?? m thick monolithic silica sorbent layer that gives faster separations with lower limits of detection and reduced analyte and solvent volumes. We have produced UTLC plates with controllable nanostructure and thickness, and show that the layer separation characteristics depends on the film nanostructure. We also show that layers made with in-plane anisotropic nanostructures will exhibit a decoupling effect, where the analyte spots do not develop in the same direction as the solvent front movement. The added layer morphology and material selection adds a degree of freedom to UTLC, and may have applications in multi-dimensional TLC. ?? 2008 Elsevier B.V. All rights reserved.", "author" : [ { "dropping-particle" : "", "family" : "Bezuidenhout", "given" : "Louis W.", "non-dropping-particle" : "", "parse-names" : false, "suffix" : "" }, { "dropping-particle" : "", "family" : "Brett", "given" : "Michael J.", "non-dropping-particle" : "", "parse-names" : false, "suffix" : "" } ], "container-title" : "Journal of Chromatography A", "id" : "ITEM-1", "issue" : "1-2", "issued" : { "date-parts" : [ [ "2008" ] ] }, "page" : "179-185", "title" : "Ultrathin layer chromatography on nanostructured thin films", "type" : "article-journal", "volume" : "1183" }, "uris" : [ "http://www.mendeley.com/documents/?uuid=142b9c97-0109-4616-9182-195bf5633957" ] } ], "mendeley" : { "formattedCitation" : "&lt;sup&gt;9&lt;/sup&gt;", "plainTextFormattedCitation" : "9", "previouslyFormattedCitation" : "&lt;sup&gt;9&lt;/sup&gt;" }, "properties" : { "noteIndex" : 0 }, "schema" : "https://github.com/citation-style-language/schema/raw/master/csl-citation.json" }</w:instrText>
      </w:r>
      <w:r w:rsidR="005B5CA5">
        <w:rPr>
          <w:rFonts w:cs="Times New Roman"/>
        </w:rPr>
        <w:fldChar w:fldCharType="separate"/>
      </w:r>
      <w:r w:rsidR="007631D5" w:rsidRPr="007631D5">
        <w:rPr>
          <w:rFonts w:cs="Times New Roman"/>
          <w:noProof/>
          <w:vertAlign w:val="superscript"/>
        </w:rPr>
        <w:t>9</w:t>
      </w:r>
      <w:r w:rsidR="005B5CA5">
        <w:rPr>
          <w:rFonts w:cs="Times New Roman"/>
        </w:rPr>
        <w:fldChar w:fldCharType="end"/>
      </w:r>
      <w:r w:rsidR="005B5CA5">
        <w:rPr>
          <w:rFonts w:cs="Times New Roman"/>
        </w:rPr>
        <w:t xml:space="preserve">  To address the complexity of this method, Clark and Olesik developed a technique to quickly and cheaply create UTLC plates using an electrospinning method, resulting in a stationary phase composed of nanofibers with tunable diameters and mat thicknesses.</w:t>
      </w:r>
      <w:r w:rsidR="005B5CA5">
        <w:rPr>
          <w:rFonts w:cs="Times New Roman"/>
        </w:rPr>
        <w:fldChar w:fldCharType="begin" w:fldLock="1"/>
      </w:r>
      <w:r w:rsidR="00826027">
        <w:rPr>
          <w:rFonts w:cs="Times New Roman"/>
        </w:rPr>
        <w:instrText>ADDIN CSL_CITATION { "citationItems" : [ { "id" : "ITEM-1", "itemData" : { "DOI" : "10.1021/ac9004293", "ISSN" : "00032700", "PMID" : "19385624", "abstract" : "A technique for creating devices for ultrathin layer chromatography (UTLC) using an electrospinning method is described. The devices use a nanofibrous stationary phase with fiber diameters that are 400 nm. Separations of mixtures of laser dyes and mixtures of steroidal compounds were performed to illustrate the capabilities of these new UTLC media. The complete analyses were found to require very little development time and require less solvent than typical TLC methods. The efficiency of the separations was substantially improved compared to that determined using commercial phases. The retention properties and efficiency of the technique are discussed as are the effects of mat thickness and mobile phase composition on the chromatographic properties of the devices.", "author" : [ { "dropping-particle" : "", "family" : "Clark", "given" : "Jonathan E.", "non-dropping-particle" : "", "parse-names" : false, "suffix" : "" }, { "dropping-particle" : "V.", "family" : "Olesik", "given" : "Susan", "non-dropping-particle" : "", "parse-names" : false, "suffix" : "" } ], "container-title" : "Analytical Chemistry", "id" : "ITEM-1", "issue" : "10", "issued" : { "date-parts" : [ [ "2009" ] ] }, "page" : "4121-4129", "title" : "Technique for ultrathin layer chromatography using an electrospun, nanofibrous stationary phase", "type" : "article-journal", "volume" : "81" }, "uris" : [ "http://www.mendeley.com/documents/?uuid=55ecc380-2e13-4d3e-bc90-daf088f3349a" ] } ], "mendeley" : { "formattedCitation" : "&lt;sup&gt;12&lt;/sup&gt;", "plainTextFormattedCitation" : "12", "previouslyFormattedCitation" : "&lt;sup&gt;12&lt;/sup&gt;" }, "properties" : { "noteIndex" : 0 }, "schema" : "https://github.com/citation-style-language/schema/raw/master/csl-citation.json" }</w:instrText>
      </w:r>
      <w:r w:rsidR="005B5CA5">
        <w:rPr>
          <w:rFonts w:cs="Times New Roman"/>
        </w:rPr>
        <w:fldChar w:fldCharType="separate"/>
      </w:r>
      <w:r w:rsidR="007631D5" w:rsidRPr="007631D5">
        <w:rPr>
          <w:rFonts w:cs="Times New Roman"/>
          <w:noProof/>
          <w:vertAlign w:val="superscript"/>
        </w:rPr>
        <w:t>12</w:t>
      </w:r>
      <w:r w:rsidR="005B5CA5">
        <w:rPr>
          <w:rFonts w:cs="Times New Roman"/>
        </w:rPr>
        <w:fldChar w:fldCharType="end"/>
      </w:r>
      <w:r w:rsidR="005B5CA5">
        <w:rPr>
          <w:rFonts w:cs="Times New Roman"/>
        </w:rPr>
        <w:t xml:space="preserve">  </w:t>
      </w:r>
      <w:r w:rsidR="007631D5">
        <w:rPr>
          <w:rFonts w:cs="Times New Roman"/>
        </w:rPr>
        <w:t>The work presented in this dissertation uses lithography to create micro- and nanopillar arrays for use in UTLC.</w:t>
      </w:r>
    </w:p>
    <w:p w:rsidR="007631D5" w:rsidRDefault="007631D5" w:rsidP="007631D5">
      <w:pPr>
        <w:pStyle w:val="Heading2"/>
        <w:numPr>
          <w:ilvl w:val="1"/>
          <w:numId w:val="2"/>
        </w:numPr>
      </w:pPr>
      <w:r>
        <w:lastRenderedPageBreak/>
        <w:t>– Discussion of Stationary Phase and Reverse Phase Planar Chromatography</w:t>
      </w:r>
    </w:p>
    <w:p w:rsidR="007631D5" w:rsidRDefault="007631D5" w:rsidP="007631D5">
      <w:pPr>
        <w:pStyle w:val="TimesNewRoman"/>
        <w:ind w:firstLine="390"/>
      </w:pPr>
      <w:r w:rsidRPr="007631D5">
        <w:t>Stationary phases in chromatography may be classified as either normal phase (NP) or reverse phase (RP).</w:t>
      </w:r>
      <w:r w:rsidR="00750761">
        <w:t xml:space="preserve">  Normal phase systems are characterized as having a hydrophilic stationary phase and using one or more relatively hydrophobic or nonpolar solvents in the mobile phase.  By contrast, reverse phase systems have hydrophobic stationary phases and use one or more relatively hydrophilic or polar solvents in the mobile phase.  Normal phase systems were used for much of the original work in liquid and planar chromatography, and many traditional TLC plates used today still function as normal phase systems.  However, reverse phase chromatography has grown in popularity due to </w:t>
      </w:r>
      <w:r w:rsidR="00EE120F">
        <w:t xml:space="preserve">the ability of the system to separate highly polar compounds and also </w:t>
      </w:r>
      <w:r w:rsidR="0052597C">
        <w:t>allows for the</w:t>
      </w:r>
      <w:r w:rsidR="00EE120F">
        <w:t xml:space="preserve"> use </w:t>
      </w:r>
      <w:r w:rsidR="0052597C">
        <w:t xml:space="preserve">of </w:t>
      </w:r>
      <w:r w:rsidR="00EE120F">
        <w:t>water as one of the mobile phase components.</w:t>
      </w:r>
    </w:p>
    <w:p w:rsidR="00826027" w:rsidRDefault="005E5CE3" w:rsidP="00CF688C">
      <w:pPr>
        <w:pStyle w:val="TimesNewRoman"/>
        <w:ind w:firstLine="390"/>
      </w:pPr>
      <w:r>
        <w:t xml:space="preserve">The most common stationary phase in TLC is silica gel, </w:t>
      </w:r>
      <w:r w:rsidR="00826027">
        <w:t xml:space="preserve">a polar sorbent </w:t>
      </w:r>
      <w:r>
        <w:t>which is prepared by combining the silica spheres with a binder, making it into a slurry, and spreading it onto the solid support.  Common binders include calcium sulfate, starch, or polymers, and they are used to produce a stable layer that will not readily flake off during use</w:t>
      </w:r>
      <w:r w:rsidR="00826027">
        <w:t>.  However, binders may also be undesirable when they interfere with development or visualization, as some binders are soluble in aqueous solvents, some are not stable at very high temperatures, and some are not suitable for use with chemical-reaction-based visualization methods.</w:t>
      </w:r>
      <w:r w:rsidR="00826027">
        <w:fldChar w:fldCharType="begin" w:fldLock="1"/>
      </w:r>
      <w:r w:rsidR="00826027">
        <w:instrText>ADDIN CSL_CITATION { "citationItems" : [ { "id" : "ITEM-1", "itemData" : { "author" : [ { "dropping-particle" : "", "family" : "Touchstone", "given" : "J.C.", "non-dropping-particle" : "", "parse-names" : false, "suffix" : "" } ], "edition" : "3rd", "id" : "ITEM-1", "issued" : { "date-parts" : [ [ "1992" ] ] }, "publisher" : "John Wiley &amp; Sons, INC", "publisher-place" : "New York", "title" : "Practice of Thin-Layer Chromatography", "type" : "book" }, "uris" : [ "http://www.mendeley.com/documents/?uuid=ff098689-5fbd-4c32-bb83-96104be997fb" ] } ], "mendeley" : { "formattedCitation" : "&lt;sup&gt;5&lt;/sup&gt;", "plainTextFormattedCitation" : "5", "previouslyFormattedCitation" : "&lt;sup&gt;5&lt;/sup&gt;" }, "properties" : { "noteIndex" : 0 }, "schema" : "https://github.com/citation-style-language/schema/raw/master/csl-citation.json" }</w:instrText>
      </w:r>
      <w:r w:rsidR="00826027">
        <w:fldChar w:fldCharType="separate"/>
      </w:r>
      <w:r w:rsidR="00826027" w:rsidRPr="00826027">
        <w:rPr>
          <w:noProof/>
          <w:vertAlign w:val="superscript"/>
        </w:rPr>
        <w:t>5</w:t>
      </w:r>
      <w:r w:rsidR="00826027">
        <w:fldChar w:fldCharType="end"/>
      </w:r>
      <w:r w:rsidR="00CF688C">
        <w:t xml:space="preserve">  </w:t>
      </w:r>
      <w:r w:rsidR="00826027">
        <w:t>Other common NP stationary phase materials include cellulose, alumina, polyamide, kieselguhr, and magnesium oxide.</w:t>
      </w:r>
      <w:r w:rsidR="00826027">
        <w:fldChar w:fldCharType="begin" w:fldLock="1"/>
      </w:r>
      <w:r w:rsidR="009D33CF">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"mendeley" : { "formattedCitation" : "&lt;sup&gt;6&lt;/sup&gt;", "plainTextFormattedCitation" : "6", "previouslyFormattedCitation" : "&lt;sup&gt;6&lt;/sup&gt;" }, "properties" : { "noteIndex" : 0 }, "schema" : "https://github.com/citation-style-language/schema/raw/master/csl-citation.json" }</w:instrText>
      </w:r>
      <w:r w:rsidR="00826027">
        <w:fldChar w:fldCharType="separate"/>
      </w:r>
      <w:r w:rsidR="00826027" w:rsidRPr="00826027">
        <w:rPr>
          <w:noProof/>
          <w:vertAlign w:val="superscript"/>
        </w:rPr>
        <w:t>6</w:t>
      </w:r>
      <w:r w:rsidR="00826027">
        <w:fldChar w:fldCharType="end"/>
      </w:r>
      <w:r w:rsidR="00826027">
        <w:t xml:space="preserve">  Silica gel, however, has the advantage of being able to be easily modified through silane chemistry to create a nonpolar phase for use in a RP system.  </w:t>
      </w:r>
    </w:p>
    <w:p w:rsidR="00CF688C" w:rsidRDefault="00CF688C" w:rsidP="00CF688C">
      <w:pPr>
        <w:pStyle w:val="Heading2"/>
        <w:ind w:firstLine="0"/>
      </w:pPr>
      <w:r>
        <w:t>1.3 – Discussion of Mobile Phase and Mobile Phase Flow</w:t>
      </w:r>
    </w:p>
    <w:p w:rsidR="00C07701" w:rsidRDefault="00CF688C" w:rsidP="00183FDC">
      <w:pPr>
        <w:pStyle w:val="TimesNewRoman"/>
      </w:pPr>
      <w:r>
        <w:t xml:space="preserve">Solvent systems are chosen </w:t>
      </w:r>
      <w:r w:rsidR="009D33CF">
        <w:t xml:space="preserve">such that they adequately wet the mobile phase, dissolve the analytes, are selective to the analytes used in the separation, and, when used, produce retardation </w:t>
      </w:r>
      <w:r w:rsidR="009D33CF">
        <w:lastRenderedPageBreak/>
        <w:t>factor (R</w:t>
      </w:r>
      <w:r w:rsidR="009D33CF">
        <w:rPr>
          <w:vertAlign w:val="subscript"/>
        </w:rPr>
        <w:t>f</w:t>
      </w:r>
      <w:r w:rsidR="00183FDC">
        <w:t>, discussed later in 1.</w:t>
      </w:r>
      <w:r w:rsidR="00C07701">
        <w:t>6</w:t>
      </w:r>
      <w:r w:rsidR="009D33CF">
        <w:t>) values</w:t>
      </w:r>
      <w:r w:rsidR="00183FDC">
        <w:t xml:space="preserve"> that are between 0.3 and 0.7</w:t>
      </w:r>
      <w:r w:rsidR="009D33CF">
        <w:t>.</w:t>
      </w:r>
      <w:r w:rsidR="009D33CF">
        <w:fldChar w:fldCharType="begin" w:fldLock="1"/>
      </w:r>
      <w:r w:rsidR="00804ADC">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"id" : "ITEM-2", "itemData" : { "author" : [ { "dropping-particle" : "", "family" : "Touchstone", "given" : "J.C.", "non-dropping-particle" : "", "parse-names" : false, "suffix" : "" } ], "edition" : "3rd", "id" : "ITEM-2", "issued" : { "date-parts" : [ [ "1992" ] ] }, "publisher" : "John Wiley &amp; Sons, INC", "publisher-place" : "New York", "title" : "Practice of Thin-Layer Chromatography", "type" : "book" }, "uris" : [ "http://www.mendeley.com/documents/?uuid=ff098689-5fbd-4c32-bb83-96104be997fb" ] } ], "mendeley" : { "formattedCitation" : "&lt;sup&gt;5,6&lt;/sup&gt;", "plainTextFormattedCitation" : "5,6", "previouslyFormattedCitation" : "&lt;sup&gt;5,6&lt;/sup&gt;" }, "properties" : { "noteIndex" : 0 }, "schema" : "https://github.com/citation-style-language/schema/raw/master/csl-citation.json" }</w:instrText>
      </w:r>
      <w:r w:rsidR="009D33CF">
        <w:fldChar w:fldCharType="separate"/>
      </w:r>
      <w:r w:rsidR="00C07701" w:rsidRPr="00C07701">
        <w:rPr>
          <w:noProof/>
          <w:vertAlign w:val="superscript"/>
        </w:rPr>
        <w:t>5,6</w:t>
      </w:r>
      <w:r w:rsidR="009D33CF">
        <w:fldChar w:fldCharType="end"/>
      </w:r>
      <w:r w:rsidR="009D33CF">
        <w:t xml:space="preserve"> Furthermore, when more than one solvent is used, as often happens, they should be as different as possible while remaining miscible.  In NP systems, this usually takes the form of </w:t>
      </w:r>
      <w:r w:rsidR="00183FDC">
        <w:t>a nonpolar organic hydrocarbon modified with a polar organic solvent such as an alcohol or ester.</w:t>
      </w:r>
      <w:r w:rsidR="00183FDC">
        <w:fldChar w:fldCharType="begin" w:fldLock="1"/>
      </w:r>
      <w:r w:rsidR="00183FDC">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"mendeley" : { "formattedCitation" : "&lt;sup&gt;6&lt;/sup&gt;", "plainTextFormattedCitation" : "6", "previouslyFormattedCitation" : "&lt;sup&gt;6&lt;/sup&gt;" }, "properties" : { "noteIndex" : 0 }, "schema" : "https://github.com/citation-style-language/schema/raw/master/csl-citation.json" }</w:instrText>
      </w:r>
      <w:r w:rsidR="00183FDC">
        <w:fldChar w:fldCharType="separate"/>
      </w:r>
      <w:r w:rsidR="00183FDC" w:rsidRPr="00183FDC">
        <w:rPr>
          <w:noProof/>
          <w:vertAlign w:val="superscript"/>
        </w:rPr>
        <w:t>6</w:t>
      </w:r>
      <w:r w:rsidR="00183FDC">
        <w:fldChar w:fldCharType="end"/>
      </w:r>
      <w:r w:rsidR="00183FDC">
        <w:t xml:space="preserve">  In RP systems, the solvent base is most frequently water, modified with a polar organic compound such as methanol, acetonitrile, or tetrahydrofuran.</w:t>
      </w:r>
      <w:r w:rsidR="00183FDC">
        <w:fldChar w:fldCharType="begin" w:fldLock="1"/>
      </w:r>
      <w:r w:rsidR="00C07701">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"mendeley" : { "formattedCitation" : "&lt;sup&gt;6&lt;/sup&gt;", "plainTextFormattedCitation" : "6", "previouslyFormattedCitation" : "&lt;sup&gt;6&lt;/sup&gt;" }, "properties" : { "noteIndex" : 0 }, "schema" : "https://github.com/citation-style-language/schema/raw/master/csl-citation.json" }</w:instrText>
      </w:r>
      <w:r w:rsidR="00183FDC">
        <w:fldChar w:fldCharType="separate"/>
      </w:r>
      <w:r w:rsidR="00183FDC" w:rsidRPr="00183FDC">
        <w:rPr>
          <w:noProof/>
          <w:vertAlign w:val="superscript"/>
        </w:rPr>
        <w:t>6</w:t>
      </w:r>
      <w:r w:rsidR="00183FDC">
        <w:fldChar w:fldCharType="end"/>
      </w:r>
      <w:r w:rsidR="00183FDC">
        <w:t xml:space="preserve">  </w:t>
      </w:r>
      <w:r w:rsidR="009D33CF">
        <w:t xml:space="preserve">  </w:t>
      </w:r>
      <w:r w:rsidR="00183FDC">
        <w:t xml:space="preserve">Care must be taken in the case of RP systems, as mobile phases containing more than 25% water may have difficulty wetting the stationary phase, resulting in the inability of the solvent to move up the plate.  </w:t>
      </w:r>
      <w:r w:rsidR="00C07701">
        <w:t>Other factors such as viscosity, vapor pressure, toxicity, and stability should also be considered during system selection.</w:t>
      </w:r>
    </w:p>
    <w:p w:rsidR="00183FDC" w:rsidRDefault="00C07701" w:rsidP="00183FDC">
      <w:pPr>
        <w:pStyle w:val="TimesNewRoman"/>
        <w:rPr>
          <w:rFonts w:cs="Times New Roman"/>
        </w:rPr>
      </w:pPr>
      <w:r>
        <w:t xml:space="preserve">Solvent systems are generally chosen via a combination of literature review and trial-and-error.  This method is frequently tedious, however, and so there has been some work to create models to assist in selection.  </w:t>
      </w:r>
      <w:r w:rsidR="00280E34">
        <w:t>The eluotropic series for solvent selecti</w:t>
      </w:r>
      <w:r w:rsidR="00804ADC">
        <w:t>on wa</w:t>
      </w:r>
      <w:r w:rsidR="009F2222">
        <w:t>s first developed by Trappe and organizes</w:t>
      </w:r>
      <w:r w:rsidR="00804ADC">
        <w:t xml:space="preserve"> pure solvents by their solvent strength parameter (</w:t>
      </w:r>
      <w:r w:rsidR="00804ADC">
        <w:rPr>
          <w:rFonts w:cs="Times New Roman"/>
        </w:rPr>
        <w:t>ε</w:t>
      </w:r>
      <w:r w:rsidR="00804ADC">
        <w:rPr>
          <w:vertAlign w:val="superscript"/>
        </w:rPr>
        <w:t>0</w:t>
      </w:r>
      <w:r w:rsidR="00804ADC">
        <w:t>) for a particular adsorbent.</w:t>
      </w:r>
      <w:r w:rsidR="00804ADC">
        <w:fldChar w:fldCharType="begin" w:fldLock="1"/>
      </w:r>
      <w:r w:rsidR="00D9279B">
        <w:instrText>ADDIN CSL_CITATION { "citationItems" : [ { "id" : "ITEM-1", "itemData" : { "ISBN" : "978-1-4200-8459-7", "author" : [ { "dropping-particle" : "", "family" : "Gocan", "given" : "Simion", "non-dropping-particle" : "", "parse-names" : false, "suffix" : "" } ], "container-title" : "Encyclopedia of Chromatography, Volume 1", "edition" : "Third Edit", "editor" : [ { "dropping-particle" : "", "family" : "Cazes", "given" : "Jack", "non-dropping-particle" : "", "parse-names" : false, "suffix" : "" } ], "id" : "ITEM-1", "issued" : { "date-parts" : [ [ "2010" ] ] }, "page" : "730-735", "publisher" : "Taylor anf Francis Group, LLC", "publisher-place" : "Boca Raton, FL", "title" : "Eluotropic Series of Solvents for TLC", "type" : "chapter" }, "uris" : [ "http://www.mendeley.com/documents/?uuid=e7c96f34-fe75-4a1c-8d36-29d5052ef42f" ] } ], "mendeley" : { "formattedCitation" : "&lt;sup&gt;13&lt;/sup&gt;", "plainTextFormattedCitation" : "13", "previouslyFormattedCitation" : "&lt;sup&gt;13&lt;/sup&gt;" }, "properties" : { "noteIndex" : 0 }, "schema" : "https://github.com/citation-style-language/schema/raw/master/csl-citation.json" }</w:instrText>
      </w:r>
      <w:r w:rsidR="00804ADC">
        <w:fldChar w:fldCharType="separate"/>
      </w:r>
      <w:r w:rsidR="00804ADC" w:rsidRPr="00804ADC">
        <w:rPr>
          <w:noProof/>
          <w:vertAlign w:val="superscript"/>
        </w:rPr>
        <w:t>13</w:t>
      </w:r>
      <w:r w:rsidR="00804ADC">
        <w:fldChar w:fldCharType="end"/>
      </w:r>
      <w:r w:rsidR="00804ADC">
        <w:t xml:space="preserve">  </w:t>
      </w:r>
      <w:r w:rsidR="009F2222">
        <w:t xml:space="preserve">The magnitude of </w:t>
      </w:r>
      <w:r w:rsidR="009F2222">
        <w:rPr>
          <w:rFonts w:cs="Times New Roman"/>
        </w:rPr>
        <w:t>ε</w:t>
      </w:r>
      <w:r w:rsidR="009F2222">
        <w:rPr>
          <w:rFonts w:cs="Times New Roman"/>
          <w:vertAlign w:val="superscript"/>
        </w:rPr>
        <w:t xml:space="preserve">0 </w:t>
      </w:r>
      <w:r w:rsidR="009F2222">
        <w:rPr>
          <w:rFonts w:cs="Times New Roman"/>
        </w:rPr>
        <w:t>is the adsorption energy of the solvent per unit of standard sorbent.  The greater the strength of the mobile phase, the greater the interaction with the sorbent, and the greater the mobility of the solute (i.e. the solute will be less retained).  Once a solvent system with the proper strength to obtain the desired mobility of solute has been discovered, selectivity of the system may be tuned by selecting solvents with the same strengths, but different solute-solvent interactions.</w:t>
      </w:r>
      <w:r w:rsidR="00D9279B">
        <w:rPr>
          <w:rFonts w:cs="Times New Roman"/>
        </w:rPr>
        <w:t xml:space="preserve">  Snyder applied this idea to the concept of the polarity index (P’), which provided a more systematic approach wherein the volumes of different solvents necessary to reach the desired R</w:t>
      </w:r>
      <w:r w:rsidR="00D9279B">
        <w:rPr>
          <w:rFonts w:cs="Times New Roman"/>
          <w:vertAlign w:val="subscript"/>
        </w:rPr>
        <w:t>f</w:t>
      </w:r>
      <w:r w:rsidR="00D9279B">
        <w:rPr>
          <w:rFonts w:cs="Times New Roman"/>
        </w:rPr>
        <w:t xml:space="preserve"> may be determined.</w:t>
      </w:r>
      <w:r w:rsidR="00D9279B">
        <w:rPr>
          <w:rFonts w:cs="Times New Roman"/>
        </w:rPr>
        <w:fldChar w:fldCharType="begin" w:fldLock="1"/>
      </w:r>
      <w:r w:rsidR="00FE77BA">
        <w:rPr>
          <w:rFonts w:cs="Times New Roman"/>
        </w:rPr>
        <w:instrText>ADDIN CSL_CITATION { "citationItems" : [ { "id" : "ITEM-1", "itemData" : { "author" : [ { "dropping-particle" : "", "family" : "Snyder", "given" : "L.R.", "non-dropping-particle" : "", "parse-names" : false, "suffix" : "" } ], "container-title" : "Journal of Chromatography", "id" : "ITEM-1", "issued" : { "date-parts" : [ [ "1974" ] ] }, "page" : "223-230", "title" : "Classification of the solvent properties of common liquids", "type" : "article-journal", "volume" : "92" }, "uris" : [ "http://www.mendeley.com/documents/?uuid=f4ec0f0e-7ff7-4da4-91bf-4ad860094dcf" ] } ], "mendeley" : { "formattedCitation" : "&lt;sup&gt;14&lt;/sup&gt;", "plainTextFormattedCitation" : "14", "previouslyFormattedCitation" : "&lt;sup&gt;14&lt;/sup&gt;" }, "properties" : { "noteIndex" : 0 }, "schema" : "https://github.com/citation-style-language/schema/raw/master/csl-citation.json" }</w:instrText>
      </w:r>
      <w:r w:rsidR="00D9279B">
        <w:rPr>
          <w:rFonts w:cs="Times New Roman"/>
        </w:rPr>
        <w:fldChar w:fldCharType="separate"/>
      </w:r>
      <w:r w:rsidR="00D9279B" w:rsidRPr="00D9279B">
        <w:rPr>
          <w:rFonts w:cs="Times New Roman"/>
          <w:noProof/>
          <w:vertAlign w:val="superscript"/>
        </w:rPr>
        <w:t>14</w:t>
      </w:r>
      <w:r w:rsidR="00D9279B">
        <w:rPr>
          <w:rFonts w:cs="Times New Roman"/>
        </w:rPr>
        <w:fldChar w:fldCharType="end"/>
      </w:r>
      <w:r w:rsidR="00D9279B">
        <w:rPr>
          <w:rFonts w:cs="Times New Roman"/>
        </w:rPr>
        <w:t xml:space="preserve">  </w:t>
      </w:r>
      <w:r w:rsidR="00FE7633">
        <w:rPr>
          <w:rFonts w:cs="Times New Roman"/>
        </w:rPr>
        <w:t xml:space="preserve">Total P’ may be calculated using the following equation: </w:t>
      </w:r>
    </w:p>
    <w:p w:rsidR="00D9279B" w:rsidRPr="00FE7633" w:rsidRDefault="00D9279B" w:rsidP="00183FDC">
      <w:pPr>
        <w:pStyle w:val="TimesNewRoman"/>
        <w:rPr>
          <w:rFonts w:eastAsiaTheme="minorEastAsia" w:cs="Times New Roman"/>
        </w:rPr>
      </w:pPr>
      <m:oMathPara>
        <m:oMath>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m:t>
          </m:r>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F</m:t>
                  </m:r>
                </m:e>
                <m:sub>
                  <m:r>
                    <w:rPr>
                      <w:rFonts w:ascii="Cambria Math" w:hAnsi="Cambria Math"/>
                    </w:rPr>
                    <m:t>i</m:t>
                  </m:r>
                </m:sub>
              </m:sSub>
              <m:sSub>
                <m:sSubPr>
                  <m:ctrlPr>
                    <w:rPr>
                      <w:rFonts w:ascii="Cambria Math" w:hAnsi="Cambria Math"/>
                      <w:i/>
                    </w:rPr>
                  </m:ctrlPr>
                </m:sSubPr>
                <m:e>
                  <m:sSup>
                    <m:sSupPr>
                      <m:ctrlPr>
                        <w:rPr>
                          <w:rFonts w:ascii="Cambria Math" w:hAnsi="Cambria Math"/>
                          <w:i/>
                        </w:rPr>
                      </m:ctrlPr>
                    </m:sSupPr>
                    <m:e>
                      <m:r>
                        <w:rPr>
                          <w:rFonts w:ascii="Cambria Math" w:hAnsi="Cambria Math"/>
                        </w:rPr>
                        <m:t>P</m:t>
                      </m:r>
                    </m:e>
                    <m:sup>
                      <m:r>
                        <w:rPr>
                          <w:rFonts w:ascii="Cambria Math" w:hAnsi="Cambria Math"/>
                        </w:rPr>
                        <m:t>'</m:t>
                      </m:r>
                    </m:sup>
                  </m:sSup>
                </m:e>
                <m:sub>
                  <m:r>
                    <w:rPr>
                      <w:rFonts w:ascii="Cambria Math" w:hAnsi="Cambria Math"/>
                    </w:rPr>
                    <m:t>i</m:t>
                  </m:r>
                </m:sub>
              </m:sSub>
            </m:e>
          </m:nary>
          <m:r>
            <w:rPr>
              <w:rFonts w:ascii="Cambria Math" w:eastAsiaTheme="minorEastAsia" w:hAnsi="Cambria Math" w:cs="Times New Roman"/>
            </w:rPr>
            <m:t xml:space="preserve">        [1.3.1]</m:t>
          </m:r>
        </m:oMath>
      </m:oMathPara>
    </w:p>
    <w:p w:rsidR="00FE7633" w:rsidRDefault="00FE7633" w:rsidP="00FE7633">
      <w:pPr>
        <w:pStyle w:val="TimesNewRoman"/>
        <w:ind w:firstLine="0"/>
        <w:rPr>
          <w:rFonts w:eastAsiaTheme="minorEastAsia" w:cs="Times New Roman"/>
        </w:rPr>
      </w:pPr>
      <w:r>
        <w:rPr>
          <w:rFonts w:eastAsiaTheme="minorEastAsia" w:cs="Times New Roman"/>
        </w:rPr>
        <w:lastRenderedPageBreak/>
        <w:t xml:space="preserve">wherein </w:t>
      </w:r>
      <w:r>
        <w:rPr>
          <w:rFonts w:cs="Times New Roman"/>
        </w:rPr>
        <w:t>F</w:t>
      </w:r>
      <w:r>
        <w:rPr>
          <w:rFonts w:cs="Times New Roman"/>
          <w:vertAlign w:val="subscript"/>
        </w:rPr>
        <w:t>i</w:t>
      </w:r>
      <w:r>
        <w:rPr>
          <w:rFonts w:cs="Times New Roman"/>
        </w:rPr>
        <w:t xml:space="preserve"> represents the volume fraction of the ith pure solvent</w:t>
      </w:r>
      <w:r w:rsidR="003A6322">
        <w:rPr>
          <w:rFonts w:cs="Times New Roman"/>
        </w:rPr>
        <w:t xml:space="preserve"> in the mixture</w:t>
      </w:r>
      <w:r>
        <w:rPr>
          <w:rFonts w:cs="Times New Roman"/>
        </w:rPr>
        <w:t xml:space="preserve"> with a polarity index P’</w:t>
      </w:r>
      <w:r>
        <w:rPr>
          <w:rFonts w:cs="Times New Roman"/>
          <w:vertAlign w:val="subscript"/>
        </w:rPr>
        <w:t>i</w:t>
      </w:r>
      <w:r>
        <w:rPr>
          <w:rFonts w:cs="Times New Roman"/>
        </w:rPr>
        <w:t>.  Table 1.3.1</w:t>
      </w:r>
      <w:r>
        <w:rPr>
          <w:rFonts w:eastAsiaTheme="minorEastAsia" w:cs="Times New Roman"/>
        </w:rPr>
        <w:t xml:space="preserve"> lists the polarity indices of some common pure solvents as given by Snyder.</w:t>
      </w:r>
    </w:p>
    <w:p w:rsidR="003A6322" w:rsidRDefault="003A6322" w:rsidP="00FE7633">
      <w:pPr>
        <w:pStyle w:val="TimesNewRoman"/>
        <w:ind w:firstLine="0"/>
        <w:rPr>
          <w:rFonts w:eastAsiaTheme="minorEastAsia" w:cs="Times New Roman"/>
        </w:rPr>
      </w:pPr>
      <w:r>
        <w:rPr>
          <w:rFonts w:eastAsiaTheme="minorEastAsia" w:cs="Times New Roman"/>
        </w:rPr>
        <w:tab/>
      </w:r>
      <w:r w:rsidR="00FE77BA">
        <w:rPr>
          <w:rFonts w:eastAsiaTheme="minorEastAsia" w:cs="Times New Roman"/>
        </w:rPr>
        <w:t>The leading model of TLC considers the sorbent bed to be comprised of interconnected capillaries of varying diameter.</w:t>
      </w:r>
      <w:r w:rsidR="00FE77BA">
        <w:rPr>
          <w:rFonts w:eastAsiaTheme="minorEastAsia" w:cs="Times New Roman"/>
        </w:rPr>
        <w:fldChar w:fldCharType="begin" w:fldLock="1"/>
      </w:r>
      <w:r w:rsidR="003674B3">
        <w:rPr>
          <w:rFonts w:eastAsiaTheme="minorEastAsia" w:cs="Times New Roman"/>
        </w:rPr>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"mendeley" : { "formattedCitation" : "&lt;sup&gt;6&lt;/sup&gt;", "plainTextFormattedCitation" : "6", "previouslyFormattedCitation" : "&lt;sup&gt;6&lt;/sup&gt;" }, "properties" : { "noteIndex" : 0 }, "schema" : "https://github.com/citation-style-language/schema/raw/master/csl-citation.json" }</w:instrText>
      </w:r>
      <w:r w:rsidR="00FE77BA">
        <w:rPr>
          <w:rFonts w:eastAsiaTheme="minorEastAsia" w:cs="Times New Roman"/>
        </w:rPr>
        <w:fldChar w:fldCharType="separate"/>
      </w:r>
      <w:r w:rsidR="00FE77BA" w:rsidRPr="00FE77BA">
        <w:rPr>
          <w:rFonts w:eastAsiaTheme="minorEastAsia" w:cs="Times New Roman"/>
          <w:noProof/>
          <w:vertAlign w:val="superscript"/>
        </w:rPr>
        <w:t>6</w:t>
      </w:r>
      <w:r w:rsidR="00FE77BA">
        <w:rPr>
          <w:rFonts w:eastAsiaTheme="minorEastAsia" w:cs="Times New Roman"/>
        </w:rPr>
        <w:fldChar w:fldCharType="end"/>
      </w:r>
      <w:r w:rsidR="00FE77BA">
        <w:rPr>
          <w:rFonts w:eastAsiaTheme="minorEastAsia" w:cs="Times New Roman"/>
        </w:rPr>
        <w:t xml:space="preserve">  Before development begins, this bed is dry, and as the mobile phase is applied to one end, it is drawn across the bed by capillary action.  As a result, the solvent front velocity is greater than that of the bulk mobile phase.  This effect may be minimized by increasing the homogeneity of the bed, but even the most homogeneous sorbent layer would still exhibit </w:t>
      </w:r>
      <w:r w:rsidR="001378DD">
        <w:rPr>
          <w:rFonts w:eastAsiaTheme="minorEastAsia" w:cs="Times New Roman"/>
        </w:rPr>
        <w:t>a gradient of solvent volume, decreasing from the reservoir to the solvent front.  The distance that the solvent moves (s</w:t>
      </w:r>
      <w:r w:rsidR="001378DD">
        <w:rPr>
          <w:rFonts w:eastAsiaTheme="minorEastAsia" w:cs="Times New Roman"/>
          <w:vertAlign w:val="subscript"/>
        </w:rPr>
        <w:t>f</w:t>
      </w:r>
      <w:r w:rsidR="001378DD">
        <w:rPr>
          <w:rFonts w:eastAsiaTheme="minorEastAsia" w:cs="Times New Roman"/>
        </w:rPr>
        <w:t>) over time t may be calculated using the equation</w:t>
      </w:r>
    </w:p>
    <w:p w:rsidR="001378DD" w:rsidRPr="001378DD" w:rsidRDefault="001378DD" w:rsidP="00FE7633">
      <w:pPr>
        <w:pStyle w:val="TimesNewRoman"/>
        <w:ind w:firstLine="0"/>
        <w:rPr>
          <w:rFonts w:eastAsiaTheme="minorEastAsia"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f</m:t>
              </m:r>
            </m:sub>
          </m:sSub>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r>
                <w:rPr>
                  <w:rFonts w:ascii="Cambria Math" w:eastAsiaTheme="minorEastAsia" w:hAnsi="Cambria Math" w:cs="Times New Roman"/>
                </w:rPr>
                <m:t>kt</m:t>
              </m:r>
            </m:e>
          </m:rad>
          <m:r>
            <w:rPr>
              <w:rFonts w:ascii="Cambria Math" w:eastAsiaTheme="minorEastAsia" w:hAnsi="Cambria Math" w:cs="Times New Roman"/>
            </w:rPr>
            <m:t xml:space="preserve">        [1.3.2]</m:t>
          </m:r>
        </m:oMath>
      </m:oMathPara>
    </w:p>
    <w:p w:rsidR="001378DD" w:rsidRDefault="001378DD" w:rsidP="00FE7633">
      <w:pPr>
        <w:pStyle w:val="TimesNewRoman"/>
        <w:ind w:firstLine="0"/>
        <w:rPr>
          <w:rFonts w:eastAsiaTheme="minorEastAsia" w:cs="Times New Roman"/>
        </w:rPr>
      </w:pPr>
      <w:r>
        <w:rPr>
          <w:rFonts w:eastAsiaTheme="minorEastAsia" w:cs="Times New Roman"/>
        </w:rPr>
        <w:t>wherein k is the proportionality constant and is described as</w:t>
      </w:r>
    </w:p>
    <w:p w:rsidR="007706D8" w:rsidRPr="007706D8" w:rsidRDefault="001378DD" w:rsidP="00FE7633">
      <w:pPr>
        <w:pStyle w:val="TimesNewRoman"/>
        <w:ind w:firstLine="0"/>
        <w:rPr>
          <w:rFonts w:eastAsiaTheme="minorEastAsia" w:cs="Times New Roman"/>
        </w:rPr>
      </w:pPr>
      <m:oMathPara>
        <m:oMath>
          <m:r>
            <w:rPr>
              <w:rFonts w:ascii="Cambria Math" w:eastAsiaTheme="minorEastAsia" w:hAnsi="Cambria Math" w:cs="Times New Roman"/>
            </w:rPr>
            <m:t>k=</m:t>
          </m:r>
          <m:f>
            <m:fPr>
              <m:ctrlPr>
                <w:rPr>
                  <w:rFonts w:ascii="Cambria Math" w:eastAsiaTheme="minorEastAsia" w:hAnsi="Cambria Math" w:cs="Times New Roman"/>
                  <w:i/>
                </w:rPr>
              </m:ctrlPr>
            </m:fPr>
            <m:num>
              <m:r>
                <w:rPr>
                  <w:rFonts w:ascii="Cambria Math" w:eastAsiaTheme="minorEastAsia" w:hAnsi="Cambria Math" w:cs="Times New Roman"/>
                </w:rPr>
                <m:t>2</m:t>
              </m:r>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0</m:t>
                  </m:r>
                </m:sub>
              </m:sSub>
              <m:sSub>
                <m:sSubPr>
                  <m:ctrlPr>
                    <w:rPr>
                      <w:rFonts w:ascii="Cambria Math" w:eastAsiaTheme="minorEastAsia" w:hAnsi="Cambria Math" w:cs="Times New Roman"/>
                      <w:i/>
                    </w:rPr>
                  </m:ctrlPr>
                </m:sSubPr>
                <m:e>
                  <m:r>
                    <w:rPr>
                      <w:rFonts w:ascii="Cambria Math" w:eastAsiaTheme="minorEastAsia" w:hAnsi="Cambria Math" w:cs="Times New Roman"/>
                    </w:rPr>
                    <m:t>d</m:t>
                  </m:r>
                </m:e>
                <m:sub>
                  <m:r>
                    <w:rPr>
                      <w:rFonts w:ascii="Cambria Math" w:eastAsiaTheme="minorEastAsia" w:hAnsi="Cambria Math" w:cs="Times New Roman"/>
                    </w:rPr>
                    <m:t>p</m:t>
                  </m:r>
                </m:sub>
              </m:sSub>
              <m:r>
                <w:rPr>
                  <w:rFonts w:ascii="Cambria Math" w:eastAsiaTheme="minorEastAsia" w:hAnsi="Cambria Math" w:cs="Times New Roman"/>
                </w:rPr>
                <m:t>γ</m:t>
              </m:r>
            </m:num>
            <m:den>
              <m:r>
                <w:rPr>
                  <w:rFonts w:ascii="Cambria Math" w:eastAsiaTheme="minorEastAsia" w:hAnsi="Cambria Math" w:cs="Times New Roman"/>
                </w:rPr>
                <m:t>η</m:t>
              </m:r>
              <m:func>
                <m:funcPr>
                  <m:ctrlPr>
                    <w:rPr>
                      <w:rFonts w:ascii="Cambria Math" w:eastAsiaTheme="minorEastAsia" w:hAnsi="Cambria Math" w:cs="Times New Roman"/>
                      <w:i/>
                    </w:rPr>
                  </m:ctrlPr>
                </m:funcPr>
                <m:fName>
                  <m:r>
                    <m:rPr>
                      <m:sty m:val="p"/>
                    </m:rPr>
                    <w:rPr>
                      <w:rFonts w:ascii="Cambria Math" w:hAnsi="Cambria Math" w:cs="Times New Roman"/>
                    </w:rPr>
                    <m:t>cos</m:t>
                  </m:r>
                </m:fName>
                <m:e>
                  <m:r>
                    <w:rPr>
                      <w:rFonts w:ascii="Cambria Math" w:eastAsiaTheme="minorEastAsia" w:hAnsi="Cambria Math" w:cs="Times New Roman"/>
                    </w:rPr>
                    <m:t>θ</m:t>
                  </m:r>
                </m:e>
              </m:func>
            </m:den>
          </m:f>
          <m:r>
            <w:rPr>
              <w:rFonts w:ascii="Cambria Math" w:eastAsiaTheme="minorEastAsia" w:hAnsi="Cambria Math" w:cs="Times New Roman"/>
            </w:rPr>
            <m:t xml:space="preserve"> .</m:t>
          </m:r>
          <m:r>
            <w:rPr>
              <w:rFonts w:ascii="Cambria Math" w:eastAsiaTheme="minorEastAsia" w:hAnsi="Cambria Math" w:cs="Times New Roman"/>
            </w:rPr>
            <m:t xml:space="preserve">        [1.3.3]</m:t>
          </m:r>
        </m:oMath>
      </m:oMathPara>
    </w:p>
    <w:p w:rsidR="001378DD" w:rsidRDefault="001378DD" w:rsidP="00FE7633">
      <w:pPr>
        <w:pStyle w:val="TimesNewRoman"/>
        <w:ind w:firstLine="0"/>
        <w:rPr>
          <w:rFonts w:eastAsiaTheme="minorEastAsia" w:cs="Times New Roman"/>
        </w:rPr>
      </w:pPr>
      <w:r>
        <w:rPr>
          <w:rFonts w:eastAsiaTheme="minorEastAsia" w:cs="Times New Roman"/>
        </w:rPr>
        <w:t>In this equation, K</w:t>
      </w:r>
      <w:r w:rsidR="007706D8">
        <w:rPr>
          <w:rFonts w:eastAsiaTheme="minorEastAsia" w:cs="Times New Roman"/>
          <w:vertAlign w:val="subscript"/>
        </w:rPr>
        <w:t>0</w:t>
      </w:r>
      <w:r>
        <w:rPr>
          <w:rFonts w:eastAsiaTheme="minorEastAsia" w:cs="Times New Roman"/>
        </w:rPr>
        <w:t xml:space="preserve"> is the permeability constant, d</w:t>
      </w:r>
      <w:r>
        <w:rPr>
          <w:rFonts w:eastAsiaTheme="minorEastAsia" w:cs="Times New Roman"/>
          <w:vertAlign w:val="subscript"/>
        </w:rPr>
        <w:t>p</w:t>
      </w:r>
      <w:r>
        <w:rPr>
          <w:rFonts w:eastAsiaTheme="minorEastAsia" w:cs="Times New Roman"/>
        </w:rPr>
        <w:t xml:space="preserve"> is the particle diameter, γ is the surface tension of the mobile phase, η is the viscosity of the mobile phase, and θ is the contact angle of the mobile phase on the statio</w:t>
      </w:r>
      <w:r w:rsidR="007706D8">
        <w:rPr>
          <w:rFonts w:eastAsiaTheme="minorEastAsia" w:cs="Times New Roman"/>
        </w:rPr>
        <w:t>nary phase (a value that is almost always</w:t>
      </w:r>
      <w:r>
        <w:rPr>
          <w:rFonts w:eastAsiaTheme="minorEastAsia" w:cs="Times New Roman"/>
        </w:rPr>
        <w:t xml:space="preserve"> 0 in TLC, so the cos θ</w:t>
      </w:r>
      <w:r w:rsidR="007706D8">
        <w:rPr>
          <w:rFonts w:eastAsiaTheme="minorEastAsia" w:cs="Times New Roman"/>
        </w:rPr>
        <w:t xml:space="preserve"> value is considered to be unity).  An equation for the velocity of the solvent front (μ</w:t>
      </w:r>
      <w:r w:rsidR="007706D8">
        <w:rPr>
          <w:rFonts w:eastAsiaTheme="minorEastAsia" w:cs="Times New Roman"/>
          <w:vertAlign w:val="subscript"/>
        </w:rPr>
        <w:t>f</w:t>
      </w:r>
      <w:r w:rsidR="007706D8">
        <w:rPr>
          <w:rFonts w:eastAsiaTheme="minorEastAsia" w:cs="Times New Roman"/>
        </w:rPr>
        <w:t>) can also be written using these terms, as shown in equation 1.3.4.</w:t>
      </w:r>
    </w:p>
    <w:p w:rsidR="007706D8" w:rsidRPr="007706D8" w:rsidRDefault="007706D8" w:rsidP="00FE7633">
      <w:pPr>
        <w:pStyle w:val="TimesNewRoman"/>
        <w:ind w:firstLine="0"/>
        <w:rPr>
          <w:rFonts w:eastAsiaTheme="minorEastAsia"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μ</m:t>
              </m:r>
            </m:e>
            <m:sub>
              <m:r>
                <w:rPr>
                  <w:rFonts w:ascii="Cambria Math" w:eastAsiaTheme="minorEastAsia" w:hAnsi="Cambria Math" w:cs="Times New Roman"/>
                </w:rPr>
                <m:t>f</m:t>
              </m:r>
            </m:sub>
          </m:sSub>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k</m:t>
              </m:r>
            </m:num>
            <m:den>
              <m:r>
                <w:rPr>
                  <w:rFonts w:ascii="Cambria Math" w:eastAsiaTheme="minorEastAsia" w:hAnsi="Cambria Math" w:cs="Times New Roman"/>
                </w:rPr>
                <m:t>2</m:t>
              </m:r>
              <m:sSub>
                <m:sSubPr>
                  <m:ctrlPr>
                    <w:rPr>
                      <w:rFonts w:ascii="Cambria Math" w:eastAsiaTheme="minorEastAsia" w:hAnsi="Cambria Math" w:cs="Times New Roman"/>
                      <w:i/>
                    </w:rPr>
                  </m:ctrlPr>
                </m:sSubPr>
                <m:e>
                  <m:r>
                    <w:rPr>
                      <w:rFonts w:ascii="Cambria Math" w:eastAsiaTheme="minorEastAsia" w:hAnsi="Cambria Math" w:cs="Times New Roman"/>
                    </w:rPr>
                    <m:t>s</m:t>
                  </m:r>
                </m:e>
                <m:sub>
                  <m:r>
                    <w:rPr>
                      <w:rFonts w:ascii="Cambria Math" w:eastAsiaTheme="minorEastAsia" w:hAnsi="Cambria Math" w:cs="Times New Roman"/>
                    </w:rPr>
                    <m:t>f</m:t>
                  </m:r>
                </m:sub>
              </m:sSub>
            </m:den>
          </m:f>
          <m:r>
            <w:rPr>
              <w:rFonts w:ascii="Cambria Math" w:eastAsiaTheme="minorEastAsia" w:hAnsi="Cambria Math" w:cs="Times New Roman"/>
            </w:rPr>
            <m:t xml:space="preserve">        [1.3.4]</m:t>
          </m:r>
        </m:oMath>
      </m:oMathPara>
    </w:p>
    <w:p w:rsidR="00E44433" w:rsidRDefault="007706D8" w:rsidP="00FE7633">
      <w:pPr>
        <w:pStyle w:val="TimesNewRoman"/>
        <w:ind w:firstLine="0"/>
        <w:rPr>
          <w:rFonts w:eastAsiaTheme="minorEastAsia" w:cs="Times New Roman"/>
        </w:rPr>
      </w:pPr>
      <w:r>
        <w:rPr>
          <w:rFonts w:eastAsiaTheme="minorEastAsia" w:cs="Times New Roman"/>
        </w:rPr>
        <w:tab/>
        <w:t xml:space="preserve">Here, it can be seen that the mobile phase velocity is directly proportional to particle diameter and surface tension of the mobile phase and inversely related to the viscosity of the </w:t>
      </w:r>
    </w:p>
    <w:p w:rsidR="00E44433" w:rsidRDefault="00E44433" w:rsidP="00E44433">
      <w:pPr>
        <w:pStyle w:val="Heading3"/>
        <w:ind w:left="1440" w:hanging="1440"/>
        <w:rPr>
          <w:rFonts w:eastAsiaTheme="minorEastAsia"/>
        </w:rPr>
      </w:pPr>
      <w:r>
        <w:rPr>
          <w:rFonts w:eastAsiaTheme="minorEastAsia"/>
        </w:rPr>
        <w:lastRenderedPageBreak/>
        <w:t>Table 1.3.1</w:t>
      </w:r>
      <w:r>
        <w:rPr>
          <w:rFonts w:eastAsiaTheme="minorEastAsia"/>
        </w:rPr>
        <w:tab/>
        <w:t>Polarity Indices of Common Pure Solvents as Derived from Rohrschneider Data</w:t>
      </w:r>
      <w:r w:rsidR="003674B3">
        <w:rPr>
          <w:rFonts w:eastAsiaTheme="minorEastAsia"/>
        </w:rPr>
        <w:fldChar w:fldCharType="begin" w:fldLock="1"/>
      </w:r>
      <w:r w:rsidR="00855D31">
        <w:rPr>
          <w:rFonts w:eastAsiaTheme="minorEastAsia"/>
        </w:rPr>
        <w:instrText>ADDIN CSL_CITATION { "citationItems" : [ { "id" : "ITEM-1", "itemData" : { "author" : [ { "dropping-particle" : "", "family" : "Miller", "given" : "James M.", "non-dropping-particle" : "", "parse-names" : false, "suffix" : "" } ], "edition" : "2nd", "id" : "ITEM-1", "issued" : { "date-parts" : [ [ "2005" ] ] }, "publisher" : "John Wiley &amp; Sons, INC", "publisher-place" : "Hoboken, NJ", "title" : "Chromatography: Concepts and Contrasts", "type" : "book" }, "uris" : [ "http://www.mendeley.com/documents/?uuid=b0e2258d-6164-49d8-8cd0-8333729aac66" ] }, { "id" : "ITEM-2", "itemData" : { "author" : [ { "dropping-particle" : "", "family" : "Snyder", "given" : "L.R.", "non-dropping-particle" : "", "parse-names" : false, "suffix" : "" } ], "container-title" : "Journal of Chromatography", "id" : "ITEM-2", "issued" : { "date-parts" : [ [ "1974" ] ] }, "page" : "223-230", "title" : "Classification of the solvent properties of common liquids", "type" : "article-journal", "volume" : "92" }, "uris" : [ "http://www.mendeley.com/documents/?uuid=f4ec0f0e-7ff7-4da4-91bf-4ad860094dcf" ] } ], "mendeley" : { "formattedCitation" : "&lt;sup&gt;6,14&lt;/sup&gt;", "plainTextFormattedCitation" : "6,14", "previouslyFormattedCitation" : "&lt;sup&gt;6,14&lt;/sup&gt;" }, "properties" : { "noteIndex" : 0 }, "schema" : "https://github.com/citation-style-language/schema/raw/master/csl-citation.json" }</w:instrText>
      </w:r>
      <w:r w:rsidR="003674B3">
        <w:rPr>
          <w:rFonts w:eastAsiaTheme="minorEastAsia"/>
        </w:rPr>
        <w:fldChar w:fldCharType="separate"/>
      </w:r>
      <w:r w:rsidR="003674B3" w:rsidRPr="003674B3">
        <w:rPr>
          <w:rFonts w:eastAsiaTheme="minorEastAsia"/>
          <w:b w:val="0"/>
          <w:noProof/>
          <w:vertAlign w:val="superscript"/>
        </w:rPr>
        <w:t>6,14</w:t>
      </w:r>
      <w:r w:rsidR="003674B3">
        <w:rPr>
          <w:rFonts w:eastAsiaTheme="minorEastAsia"/>
        </w:rPr>
        <w:fldChar w:fldCharType="end"/>
      </w:r>
    </w:p>
    <w:tbl>
      <w:tblPr>
        <w:tblStyle w:val="TableGrid"/>
        <w:tblW w:w="0" w:type="auto"/>
        <w:jc w:val="center"/>
        <w:tblLook w:val="04A0" w:firstRow="1" w:lastRow="0" w:firstColumn="1" w:lastColumn="0" w:noHBand="0" w:noVBand="1"/>
      </w:tblPr>
      <w:tblGrid>
        <w:gridCol w:w="2965"/>
        <w:gridCol w:w="1709"/>
        <w:gridCol w:w="2881"/>
        <w:gridCol w:w="1795"/>
      </w:tblGrid>
      <w:tr w:rsidR="00E44433" w:rsidTr="003674B3">
        <w:trPr>
          <w:jc w:val="center"/>
        </w:trPr>
        <w:tc>
          <w:tcPr>
            <w:tcW w:w="2965" w:type="dxa"/>
            <w:vAlign w:val="center"/>
          </w:tcPr>
          <w:p w:rsidR="00E44433" w:rsidRPr="003674B3" w:rsidRDefault="00E44433" w:rsidP="0012070C">
            <w:pPr>
              <w:pStyle w:val="TimesNewRoman"/>
              <w:spacing w:line="240" w:lineRule="auto"/>
              <w:ind w:firstLine="0"/>
              <w:jc w:val="center"/>
              <w:rPr>
                <w:b/>
              </w:rPr>
            </w:pPr>
            <w:r w:rsidRPr="003674B3">
              <w:rPr>
                <w:b/>
              </w:rPr>
              <w:t>Solvent</w:t>
            </w:r>
          </w:p>
        </w:tc>
        <w:tc>
          <w:tcPr>
            <w:tcW w:w="1709" w:type="dxa"/>
            <w:vAlign w:val="center"/>
          </w:tcPr>
          <w:p w:rsidR="00E44433" w:rsidRPr="003674B3" w:rsidRDefault="00E44433" w:rsidP="0012070C">
            <w:pPr>
              <w:pStyle w:val="TimesNewRoman"/>
              <w:spacing w:line="240" w:lineRule="auto"/>
              <w:ind w:firstLine="0"/>
              <w:jc w:val="center"/>
              <w:rPr>
                <w:b/>
              </w:rPr>
            </w:pPr>
            <w:r w:rsidRPr="003674B3">
              <w:rPr>
                <w:b/>
              </w:rPr>
              <w:t>P’</w:t>
            </w:r>
          </w:p>
        </w:tc>
        <w:tc>
          <w:tcPr>
            <w:tcW w:w="2881" w:type="dxa"/>
            <w:vAlign w:val="center"/>
          </w:tcPr>
          <w:p w:rsidR="00E44433" w:rsidRPr="003674B3" w:rsidRDefault="00E44433" w:rsidP="0012070C">
            <w:pPr>
              <w:pStyle w:val="TimesNewRoman"/>
              <w:spacing w:line="240" w:lineRule="auto"/>
              <w:ind w:firstLine="0"/>
              <w:jc w:val="center"/>
              <w:rPr>
                <w:b/>
              </w:rPr>
            </w:pPr>
            <w:r w:rsidRPr="003674B3">
              <w:rPr>
                <w:b/>
              </w:rPr>
              <w:t>Solvent</w:t>
            </w:r>
          </w:p>
        </w:tc>
        <w:tc>
          <w:tcPr>
            <w:tcW w:w="1795" w:type="dxa"/>
            <w:vAlign w:val="center"/>
          </w:tcPr>
          <w:p w:rsidR="00E44433" w:rsidRPr="003674B3" w:rsidRDefault="00E44433" w:rsidP="0012070C">
            <w:pPr>
              <w:pStyle w:val="TimesNewRoman"/>
              <w:spacing w:line="240" w:lineRule="auto"/>
              <w:ind w:firstLine="0"/>
              <w:jc w:val="center"/>
              <w:rPr>
                <w:b/>
              </w:rPr>
            </w:pPr>
            <w:r w:rsidRPr="003674B3">
              <w:rPr>
                <w:b/>
              </w:rPr>
              <w:t>P’</w:t>
            </w:r>
          </w:p>
        </w:tc>
      </w:tr>
      <w:tr w:rsidR="00E44433" w:rsidTr="003674B3">
        <w:trPr>
          <w:jc w:val="center"/>
        </w:trPr>
        <w:tc>
          <w:tcPr>
            <w:tcW w:w="2965" w:type="dxa"/>
            <w:vAlign w:val="center"/>
          </w:tcPr>
          <w:p w:rsidR="00E44433" w:rsidRDefault="00E44433" w:rsidP="0012070C">
            <w:pPr>
              <w:pStyle w:val="TimesNewRoman"/>
              <w:spacing w:line="240" w:lineRule="auto"/>
              <w:ind w:firstLine="0"/>
              <w:jc w:val="center"/>
            </w:pPr>
            <w:r>
              <w:t>N-Hexane</w:t>
            </w:r>
          </w:p>
        </w:tc>
        <w:tc>
          <w:tcPr>
            <w:tcW w:w="1709" w:type="dxa"/>
            <w:vAlign w:val="center"/>
          </w:tcPr>
          <w:p w:rsidR="00E44433" w:rsidRDefault="00E44433" w:rsidP="0012070C">
            <w:pPr>
              <w:pStyle w:val="TimesNewRoman"/>
              <w:spacing w:line="240" w:lineRule="auto"/>
              <w:ind w:firstLine="0"/>
              <w:jc w:val="center"/>
            </w:pPr>
            <w:r>
              <w:t>0.00</w:t>
            </w:r>
          </w:p>
        </w:tc>
        <w:tc>
          <w:tcPr>
            <w:tcW w:w="2881" w:type="dxa"/>
            <w:vAlign w:val="center"/>
          </w:tcPr>
          <w:p w:rsidR="00E44433" w:rsidRDefault="0012070C" w:rsidP="0012070C">
            <w:pPr>
              <w:pStyle w:val="TimesNewRoman"/>
              <w:spacing w:line="240" w:lineRule="auto"/>
              <w:ind w:firstLine="0"/>
              <w:jc w:val="center"/>
            </w:pPr>
            <w:r>
              <w:t>Ethanol</w:t>
            </w:r>
          </w:p>
        </w:tc>
        <w:tc>
          <w:tcPr>
            <w:tcW w:w="1795" w:type="dxa"/>
            <w:vAlign w:val="center"/>
          </w:tcPr>
          <w:p w:rsidR="00E44433" w:rsidRDefault="0012070C" w:rsidP="0012070C">
            <w:pPr>
              <w:pStyle w:val="TimesNewRoman"/>
              <w:spacing w:line="240" w:lineRule="auto"/>
              <w:ind w:firstLine="0"/>
              <w:jc w:val="center"/>
            </w:pPr>
            <w:r>
              <w:t>5.2</w:t>
            </w:r>
          </w:p>
        </w:tc>
      </w:tr>
      <w:tr w:rsidR="00E44433" w:rsidTr="003674B3">
        <w:trPr>
          <w:jc w:val="center"/>
        </w:trPr>
        <w:tc>
          <w:tcPr>
            <w:tcW w:w="2965" w:type="dxa"/>
            <w:vAlign w:val="center"/>
          </w:tcPr>
          <w:p w:rsidR="00E44433" w:rsidRDefault="00E44433" w:rsidP="0012070C">
            <w:pPr>
              <w:pStyle w:val="TimesNewRoman"/>
              <w:spacing w:line="240" w:lineRule="auto"/>
              <w:ind w:firstLine="0"/>
              <w:jc w:val="center"/>
            </w:pPr>
            <w:r>
              <w:t>Carbon disulfide</w:t>
            </w:r>
          </w:p>
        </w:tc>
        <w:tc>
          <w:tcPr>
            <w:tcW w:w="1709" w:type="dxa"/>
            <w:vAlign w:val="center"/>
          </w:tcPr>
          <w:p w:rsidR="00E44433" w:rsidRDefault="00E44433" w:rsidP="0012070C">
            <w:pPr>
              <w:pStyle w:val="TimesNewRoman"/>
              <w:spacing w:line="240" w:lineRule="auto"/>
              <w:ind w:firstLine="0"/>
              <w:jc w:val="center"/>
            </w:pPr>
            <w:r>
              <w:t>1.00</w:t>
            </w:r>
          </w:p>
        </w:tc>
        <w:tc>
          <w:tcPr>
            <w:tcW w:w="2881" w:type="dxa"/>
            <w:vAlign w:val="center"/>
          </w:tcPr>
          <w:p w:rsidR="00E44433" w:rsidRDefault="0012070C" w:rsidP="0012070C">
            <w:pPr>
              <w:pStyle w:val="TimesNewRoman"/>
              <w:spacing w:line="240" w:lineRule="auto"/>
              <w:ind w:firstLine="0"/>
              <w:jc w:val="center"/>
            </w:pPr>
            <w:r>
              <w:t>Pyridine</w:t>
            </w:r>
          </w:p>
        </w:tc>
        <w:tc>
          <w:tcPr>
            <w:tcW w:w="1795" w:type="dxa"/>
            <w:vAlign w:val="center"/>
          </w:tcPr>
          <w:p w:rsidR="00E44433" w:rsidRDefault="0012070C" w:rsidP="0012070C">
            <w:pPr>
              <w:pStyle w:val="TimesNewRoman"/>
              <w:spacing w:line="240" w:lineRule="auto"/>
              <w:ind w:firstLine="0"/>
              <w:jc w:val="center"/>
            </w:pPr>
            <w:r>
              <w:t>5.3</w:t>
            </w:r>
          </w:p>
        </w:tc>
      </w:tr>
      <w:tr w:rsidR="00E44433" w:rsidTr="003674B3">
        <w:trPr>
          <w:jc w:val="center"/>
        </w:trPr>
        <w:tc>
          <w:tcPr>
            <w:tcW w:w="2965" w:type="dxa"/>
            <w:vAlign w:val="center"/>
          </w:tcPr>
          <w:p w:rsidR="00E44433" w:rsidRDefault="00E44433" w:rsidP="0012070C">
            <w:pPr>
              <w:pStyle w:val="TimesNewRoman"/>
              <w:spacing w:line="240" w:lineRule="auto"/>
              <w:ind w:firstLine="0"/>
              <w:jc w:val="center"/>
            </w:pPr>
            <w:r>
              <w:t>Triethylamine</w:t>
            </w:r>
          </w:p>
        </w:tc>
        <w:tc>
          <w:tcPr>
            <w:tcW w:w="1709" w:type="dxa"/>
            <w:vAlign w:val="center"/>
          </w:tcPr>
          <w:p w:rsidR="00E44433" w:rsidRDefault="00E44433" w:rsidP="0012070C">
            <w:pPr>
              <w:pStyle w:val="TimesNewRoman"/>
              <w:spacing w:line="240" w:lineRule="auto"/>
              <w:ind w:firstLine="0"/>
              <w:jc w:val="center"/>
            </w:pPr>
            <w:r>
              <w:t>1.8</w:t>
            </w:r>
          </w:p>
        </w:tc>
        <w:tc>
          <w:tcPr>
            <w:tcW w:w="2881" w:type="dxa"/>
            <w:vAlign w:val="center"/>
          </w:tcPr>
          <w:p w:rsidR="00E44433" w:rsidRDefault="0012070C" w:rsidP="0012070C">
            <w:pPr>
              <w:pStyle w:val="TimesNewRoman"/>
              <w:spacing w:line="240" w:lineRule="auto"/>
              <w:ind w:firstLine="0"/>
              <w:jc w:val="center"/>
            </w:pPr>
            <w:r>
              <w:t>Acetone</w:t>
            </w:r>
          </w:p>
        </w:tc>
        <w:tc>
          <w:tcPr>
            <w:tcW w:w="1795" w:type="dxa"/>
            <w:vAlign w:val="center"/>
          </w:tcPr>
          <w:p w:rsidR="00E44433" w:rsidRDefault="0012070C" w:rsidP="0012070C">
            <w:pPr>
              <w:pStyle w:val="TimesNewRoman"/>
              <w:spacing w:line="240" w:lineRule="auto"/>
              <w:ind w:firstLine="0"/>
              <w:jc w:val="center"/>
            </w:pPr>
            <w:r>
              <w:t>5.4</w:t>
            </w:r>
          </w:p>
        </w:tc>
      </w:tr>
      <w:tr w:rsidR="00E44433" w:rsidTr="003674B3">
        <w:trPr>
          <w:jc w:val="center"/>
        </w:trPr>
        <w:tc>
          <w:tcPr>
            <w:tcW w:w="2965" w:type="dxa"/>
            <w:vAlign w:val="center"/>
          </w:tcPr>
          <w:p w:rsidR="00E44433" w:rsidRDefault="00E44433" w:rsidP="0012070C">
            <w:pPr>
              <w:pStyle w:val="TimesNewRoman"/>
              <w:spacing w:line="240" w:lineRule="auto"/>
              <w:ind w:firstLine="0"/>
              <w:jc w:val="center"/>
            </w:pPr>
            <w:r>
              <w:t>Toluene</w:t>
            </w:r>
          </w:p>
        </w:tc>
        <w:tc>
          <w:tcPr>
            <w:tcW w:w="1709" w:type="dxa"/>
            <w:vAlign w:val="center"/>
          </w:tcPr>
          <w:p w:rsidR="00E44433" w:rsidRDefault="00E44433" w:rsidP="0012070C">
            <w:pPr>
              <w:pStyle w:val="TimesNewRoman"/>
              <w:spacing w:line="240" w:lineRule="auto"/>
              <w:ind w:firstLine="0"/>
              <w:jc w:val="center"/>
            </w:pPr>
            <w:r>
              <w:t>2.3</w:t>
            </w:r>
          </w:p>
        </w:tc>
        <w:tc>
          <w:tcPr>
            <w:tcW w:w="2881" w:type="dxa"/>
            <w:vAlign w:val="center"/>
          </w:tcPr>
          <w:p w:rsidR="00E44433" w:rsidRDefault="003674B3" w:rsidP="0012070C">
            <w:pPr>
              <w:pStyle w:val="TimesNewRoman"/>
              <w:spacing w:line="240" w:lineRule="auto"/>
              <w:ind w:firstLine="0"/>
              <w:jc w:val="center"/>
            </w:pPr>
            <w:r>
              <w:t>Ethylene glycol</w:t>
            </w:r>
          </w:p>
        </w:tc>
        <w:tc>
          <w:tcPr>
            <w:tcW w:w="1795" w:type="dxa"/>
            <w:vAlign w:val="center"/>
          </w:tcPr>
          <w:p w:rsidR="00E44433" w:rsidRDefault="003674B3" w:rsidP="0012070C">
            <w:pPr>
              <w:pStyle w:val="TimesNewRoman"/>
              <w:spacing w:line="240" w:lineRule="auto"/>
              <w:ind w:firstLine="0"/>
              <w:jc w:val="center"/>
            </w:pPr>
            <w:r>
              <w:t>5.4</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Diphenyl ether</w:t>
            </w:r>
          </w:p>
        </w:tc>
        <w:tc>
          <w:tcPr>
            <w:tcW w:w="1709" w:type="dxa"/>
            <w:vAlign w:val="center"/>
          </w:tcPr>
          <w:p w:rsidR="003674B3" w:rsidRDefault="003674B3" w:rsidP="003674B3">
            <w:pPr>
              <w:pStyle w:val="TimesNewRoman"/>
              <w:spacing w:line="240" w:lineRule="auto"/>
              <w:ind w:firstLine="0"/>
              <w:jc w:val="center"/>
            </w:pPr>
            <w:r>
              <w:t>2.8</w:t>
            </w:r>
          </w:p>
        </w:tc>
        <w:tc>
          <w:tcPr>
            <w:tcW w:w="2881" w:type="dxa"/>
            <w:vAlign w:val="center"/>
          </w:tcPr>
          <w:p w:rsidR="003674B3" w:rsidRDefault="003674B3" w:rsidP="003674B3">
            <w:pPr>
              <w:pStyle w:val="TimesNewRoman"/>
              <w:spacing w:line="240" w:lineRule="auto"/>
              <w:ind w:firstLine="0"/>
              <w:jc w:val="center"/>
            </w:pPr>
            <w:r>
              <w:t>Benzyl alcohol</w:t>
            </w:r>
          </w:p>
        </w:tc>
        <w:tc>
          <w:tcPr>
            <w:tcW w:w="1795" w:type="dxa"/>
            <w:vAlign w:val="center"/>
          </w:tcPr>
          <w:p w:rsidR="003674B3" w:rsidRDefault="003674B3" w:rsidP="003674B3">
            <w:pPr>
              <w:pStyle w:val="TimesNewRoman"/>
              <w:spacing w:line="240" w:lineRule="auto"/>
              <w:ind w:firstLine="0"/>
              <w:jc w:val="center"/>
            </w:pPr>
            <w:r>
              <w:t>5.5</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Benzene</w:t>
            </w:r>
          </w:p>
        </w:tc>
        <w:tc>
          <w:tcPr>
            <w:tcW w:w="1709" w:type="dxa"/>
            <w:vAlign w:val="center"/>
          </w:tcPr>
          <w:p w:rsidR="003674B3" w:rsidRDefault="003674B3" w:rsidP="003674B3">
            <w:pPr>
              <w:pStyle w:val="TimesNewRoman"/>
              <w:spacing w:line="240" w:lineRule="auto"/>
              <w:ind w:firstLine="0"/>
              <w:jc w:val="center"/>
            </w:pPr>
            <w:r>
              <w:t>3.0</w:t>
            </w:r>
          </w:p>
        </w:tc>
        <w:tc>
          <w:tcPr>
            <w:tcW w:w="2881" w:type="dxa"/>
            <w:vAlign w:val="center"/>
          </w:tcPr>
          <w:p w:rsidR="003674B3" w:rsidRDefault="003674B3" w:rsidP="003674B3">
            <w:pPr>
              <w:pStyle w:val="TimesNewRoman"/>
              <w:spacing w:line="240" w:lineRule="auto"/>
              <w:ind w:firstLine="0"/>
              <w:jc w:val="center"/>
            </w:pPr>
            <w:r>
              <w:t>Methylformamide</w:t>
            </w:r>
          </w:p>
        </w:tc>
        <w:tc>
          <w:tcPr>
            <w:tcW w:w="1795" w:type="dxa"/>
            <w:vAlign w:val="center"/>
          </w:tcPr>
          <w:p w:rsidR="003674B3" w:rsidRDefault="003674B3" w:rsidP="003674B3">
            <w:pPr>
              <w:pStyle w:val="TimesNewRoman"/>
              <w:spacing w:line="240" w:lineRule="auto"/>
              <w:ind w:firstLine="0"/>
              <w:jc w:val="center"/>
            </w:pPr>
            <w:r>
              <w:t>6.2</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Methylene chloride</w:t>
            </w:r>
          </w:p>
        </w:tc>
        <w:tc>
          <w:tcPr>
            <w:tcW w:w="1709" w:type="dxa"/>
            <w:vAlign w:val="center"/>
          </w:tcPr>
          <w:p w:rsidR="003674B3" w:rsidRDefault="003674B3" w:rsidP="003674B3">
            <w:pPr>
              <w:pStyle w:val="TimesNewRoman"/>
              <w:spacing w:line="240" w:lineRule="auto"/>
              <w:ind w:firstLine="0"/>
              <w:jc w:val="center"/>
            </w:pPr>
            <w:r>
              <w:t>3.4</w:t>
            </w:r>
          </w:p>
        </w:tc>
        <w:tc>
          <w:tcPr>
            <w:tcW w:w="2881" w:type="dxa"/>
            <w:vAlign w:val="center"/>
          </w:tcPr>
          <w:p w:rsidR="003674B3" w:rsidRDefault="003674B3" w:rsidP="003674B3">
            <w:pPr>
              <w:pStyle w:val="TimesNewRoman"/>
              <w:spacing w:line="240" w:lineRule="auto"/>
              <w:ind w:firstLine="0"/>
              <w:jc w:val="center"/>
            </w:pPr>
            <w:r>
              <w:t>Acetic acid</w:t>
            </w:r>
          </w:p>
        </w:tc>
        <w:tc>
          <w:tcPr>
            <w:tcW w:w="1795" w:type="dxa"/>
            <w:vAlign w:val="center"/>
          </w:tcPr>
          <w:p w:rsidR="003674B3" w:rsidRDefault="003674B3" w:rsidP="003674B3">
            <w:pPr>
              <w:pStyle w:val="TimesNewRoman"/>
              <w:spacing w:line="240" w:lineRule="auto"/>
              <w:ind w:firstLine="0"/>
              <w:jc w:val="center"/>
            </w:pPr>
            <w:r>
              <w:t>6.2</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t-Butanol</w:t>
            </w:r>
          </w:p>
        </w:tc>
        <w:tc>
          <w:tcPr>
            <w:tcW w:w="1709" w:type="dxa"/>
            <w:vAlign w:val="center"/>
          </w:tcPr>
          <w:p w:rsidR="003674B3" w:rsidRDefault="003674B3" w:rsidP="003674B3">
            <w:pPr>
              <w:pStyle w:val="TimesNewRoman"/>
              <w:spacing w:line="240" w:lineRule="auto"/>
              <w:ind w:firstLine="0"/>
              <w:jc w:val="center"/>
            </w:pPr>
            <w:r>
              <w:t>3.9</w:t>
            </w:r>
          </w:p>
        </w:tc>
        <w:tc>
          <w:tcPr>
            <w:tcW w:w="2881" w:type="dxa"/>
            <w:vAlign w:val="center"/>
          </w:tcPr>
          <w:p w:rsidR="003674B3" w:rsidRDefault="003674B3" w:rsidP="003674B3">
            <w:pPr>
              <w:pStyle w:val="TimesNewRoman"/>
              <w:spacing w:line="240" w:lineRule="auto"/>
              <w:ind w:firstLine="0"/>
              <w:jc w:val="center"/>
            </w:pPr>
            <w:r>
              <w:t>Acetonitrile</w:t>
            </w:r>
          </w:p>
        </w:tc>
        <w:tc>
          <w:tcPr>
            <w:tcW w:w="1795" w:type="dxa"/>
            <w:vAlign w:val="center"/>
          </w:tcPr>
          <w:p w:rsidR="003674B3" w:rsidRDefault="003674B3" w:rsidP="003674B3">
            <w:pPr>
              <w:pStyle w:val="TimesNewRoman"/>
              <w:spacing w:line="240" w:lineRule="auto"/>
              <w:ind w:firstLine="0"/>
              <w:jc w:val="center"/>
            </w:pPr>
            <w:r>
              <w:t>6.2</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Tetrahydrofuran</w:t>
            </w:r>
          </w:p>
        </w:tc>
        <w:tc>
          <w:tcPr>
            <w:tcW w:w="1709" w:type="dxa"/>
            <w:vAlign w:val="center"/>
          </w:tcPr>
          <w:p w:rsidR="003674B3" w:rsidRDefault="003674B3" w:rsidP="003674B3">
            <w:pPr>
              <w:pStyle w:val="TimesNewRoman"/>
              <w:spacing w:line="240" w:lineRule="auto"/>
              <w:ind w:firstLine="0"/>
              <w:jc w:val="center"/>
            </w:pPr>
            <w:r>
              <w:t>4.2</w:t>
            </w:r>
          </w:p>
        </w:tc>
        <w:tc>
          <w:tcPr>
            <w:tcW w:w="2881" w:type="dxa"/>
            <w:vAlign w:val="center"/>
          </w:tcPr>
          <w:p w:rsidR="003674B3" w:rsidRDefault="003674B3" w:rsidP="003674B3">
            <w:pPr>
              <w:pStyle w:val="TimesNewRoman"/>
              <w:spacing w:line="240" w:lineRule="auto"/>
              <w:ind w:firstLine="0"/>
              <w:jc w:val="center"/>
            </w:pPr>
            <w:r>
              <w:t>N-Methyl-2-pyrrolidone</w:t>
            </w:r>
          </w:p>
        </w:tc>
        <w:tc>
          <w:tcPr>
            <w:tcW w:w="1795" w:type="dxa"/>
            <w:vAlign w:val="center"/>
          </w:tcPr>
          <w:p w:rsidR="003674B3" w:rsidRDefault="003674B3" w:rsidP="003674B3">
            <w:pPr>
              <w:pStyle w:val="TimesNewRoman"/>
              <w:spacing w:line="240" w:lineRule="auto"/>
              <w:ind w:firstLine="0"/>
              <w:jc w:val="center"/>
            </w:pPr>
            <w:r>
              <w:t>6.5</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Ethyl acetate</w:t>
            </w:r>
          </w:p>
        </w:tc>
        <w:tc>
          <w:tcPr>
            <w:tcW w:w="1709" w:type="dxa"/>
            <w:vAlign w:val="center"/>
          </w:tcPr>
          <w:p w:rsidR="003674B3" w:rsidRDefault="003674B3" w:rsidP="003674B3">
            <w:pPr>
              <w:pStyle w:val="TimesNewRoman"/>
              <w:spacing w:line="240" w:lineRule="auto"/>
              <w:ind w:firstLine="0"/>
              <w:jc w:val="center"/>
            </w:pPr>
            <w:r>
              <w:t>4.3</w:t>
            </w:r>
          </w:p>
        </w:tc>
        <w:tc>
          <w:tcPr>
            <w:tcW w:w="2881" w:type="dxa"/>
            <w:vAlign w:val="center"/>
          </w:tcPr>
          <w:p w:rsidR="003674B3" w:rsidRDefault="003674B3" w:rsidP="003674B3">
            <w:pPr>
              <w:pStyle w:val="TimesNewRoman"/>
              <w:spacing w:line="240" w:lineRule="auto"/>
              <w:ind w:firstLine="0"/>
              <w:jc w:val="center"/>
            </w:pPr>
            <w:r>
              <w:t>Methanol</w:t>
            </w:r>
          </w:p>
        </w:tc>
        <w:tc>
          <w:tcPr>
            <w:tcW w:w="1795" w:type="dxa"/>
            <w:vAlign w:val="center"/>
          </w:tcPr>
          <w:p w:rsidR="003674B3" w:rsidRDefault="003674B3" w:rsidP="003674B3">
            <w:pPr>
              <w:pStyle w:val="TimesNewRoman"/>
              <w:spacing w:line="240" w:lineRule="auto"/>
              <w:ind w:firstLine="0"/>
              <w:jc w:val="center"/>
            </w:pPr>
            <w:r>
              <w:t>6.6</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Isopropanol</w:t>
            </w:r>
          </w:p>
        </w:tc>
        <w:tc>
          <w:tcPr>
            <w:tcW w:w="1709" w:type="dxa"/>
            <w:vAlign w:val="center"/>
          </w:tcPr>
          <w:p w:rsidR="003674B3" w:rsidRDefault="003674B3" w:rsidP="003674B3">
            <w:pPr>
              <w:pStyle w:val="TimesNewRoman"/>
              <w:spacing w:line="240" w:lineRule="auto"/>
              <w:ind w:firstLine="0"/>
              <w:jc w:val="center"/>
            </w:pPr>
            <w:r>
              <w:t>4.3</w:t>
            </w:r>
          </w:p>
        </w:tc>
        <w:tc>
          <w:tcPr>
            <w:tcW w:w="2881" w:type="dxa"/>
            <w:vAlign w:val="center"/>
          </w:tcPr>
          <w:p w:rsidR="003674B3" w:rsidRDefault="003674B3" w:rsidP="003674B3">
            <w:pPr>
              <w:pStyle w:val="TimesNewRoman"/>
              <w:spacing w:line="240" w:lineRule="auto"/>
              <w:ind w:firstLine="0"/>
              <w:jc w:val="center"/>
            </w:pPr>
            <w:r>
              <w:t>Formamide</w:t>
            </w:r>
          </w:p>
        </w:tc>
        <w:tc>
          <w:tcPr>
            <w:tcW w:w="1795" w:type="dxa"/>
            <w:vAlign w:val="center"/>
          </w:tcPr>
          <w:p w:rsidR="003674B3" w:rsidRDefault="003674B3" w:rsidP="003674B3">
            <w:pPr>
              <w:pStyle w:val="TimesNewRoman"/>
              <w:spacing w:line="240" w:lineRule="auto"/>
              <w:ind w:firstLine="0"/>
              <w:jc w:val="center"/>
            </w:pPr>
            <w:r>
              <w:t>7.3</w:t>
            </w:r>
          </w:p>
        </w:tc>
      </w:tr>
      <w:tr w:rsidR="003674B3" w:rsidTr="003674B3">
        <w:trPr>
          <w:jc w:val="center"/>
        </w:trPr>
        <w:tc>
          <w:tcPr>
            <w:tcW w:w="2965" w:type="dxa"/>
            <w:vAlign w:val="center"/>
          </w:tcPr>
          <w:p w:rsidR="003674B3" w:rsidRDefault="003674B3" w:rsidP="003674B3">
            <w:pPr>
              <w:pStyle w:val="TimesNewRoman"/>
              <w:spacing w:line="240" w:lineRule="auto"/>
              <w:ind w:firstLine="0"/>
              <w:jc w:val="center"/>
            </w:pPr>
            <w:r>
              <w:t>Chloroform</w:t>
            </w:r>
          </w:p>
        </w:tc>
        <w:tc>
          <w:tcPr>
            <w:tcW w:w="1709" w:type="dxa"/>
            <w:vAlign w:val="center"/>
          </w:tcPr>
          <w:p w:rsidR="003674B3" w:rsidRDefault="003674B3" w:rsidP="003674B3">
            <w:pPr>
              <w:pStyle w:val="TimesNewRoman"/>
              <w:spacing w:line="240" w:lineRule="auto"/>
              <w:ind w:firstLine="0"/>
              <w:jc w:val="center"/>
            </w:pPr>
            <w:r>
              <w:t>4.4</w:t>
            </w:r>
          </w:p>
        </w:tc>
        <w:tc>
          <w:tcPr>
            <w:tcW w:w="2881" w:type="dxa"/>
            <w:vAlign w:val="center"/>
          </w:tcPr>
          <w:p w:rsidR="003674B3" w:rsidRDefault="003674B3" w:rsidP="003674B3">
            <w:pPr>
              <w:pStyle w:val="TimesNewRoman"/>
              <w:spacing w:line="240" w:lineRule="auto"/>
              <w:ind w:firstLine="0"/>
              <w:jc w:val="center"/>
            </w:pPr>
            <w:r>
              <w:t>Water</w:t>
            </w:r>
          </w:p>
        </w:tc>
        <w:tc>
          <w:tcPr>
            <w:tcW w:w="1795" w:type="dxa"/>
            <w:vAlign w:val="center"/>
          </w:tcPr>
          <w:p w:rsidR="003674B3" w:rsidRDefault="003674B3" w:rsidP="003674B3">
            <w:pPr>
              <w:pStyle w:val="TimesNewRoman"/>
              <w:spacing w:line="240" w:lineRule="auto"/>
              <w:ind w:firstLine="0"/>
              <w:jc w:val="center"/>
            </w:pPr>
            <w:r>
              <w:t>9.0</w:t>
            </w:r>
          </w:p>
        </w:tc>
      </w:tr>
    </w:tbl>
    <w:p w:rsidR="00E44433" w:rsidRDefault="00E44433">
      <w:pPr>
        <w:rPr>
          <w:rFonts w:ascii="Times New Roman" w:eastAsiaTheme="minorEastAsia" w:hAnsi="Times New Roman" w:cs="Times New Roman"/>
          <w:sz w:val="24"/>
        </w:rPr>
      </w:pPr>
      <w:r>
        <w:rPr>
          <w:rFonts w:eastAsiaTheme="minorEastAsia" w:cs="Times New Roman"/>
        </w:rPr>
        <w:br w:type="page"/>
      </w:r>
    </w:p>
    <w:p w:rsidR="007706D8" w:rsidRDefault="007706D8" w:rsidP="00FE7633">
      <w:pPr>
        <w:pStyle w:val="TimesNewRoman"/>
        <w:ind w:firstLine="0"/>
        <w:rPr>
          <w:rFonts w:eastAsiaTheme="minorEastAsia" w:cs="Times New Roman"/>
        </w:rPr>
      </w:pPr>
      <w:r>
        <w:rPr>
          <w:rFonts w:eastAsiaTheme="minorEastAsia" w:cs="Times New Roman"/>
        </w:rPr>
        <w:lastRenderedPageBreak/>
        <w:t>mobile phase.  It also is apparent that the mobile phase velocity is not constant, and in fact decreases as development proceeds and the solvent front distance is increased.</w:t>
      </w:r>
    </w:p>
    <w:p w:rsidR="007706D8" w:rsidRDefault="007706D8" w:rsidP="00FE7633">
      <w:pPr>
        <w:pStyle w:val="TimesNewRoman"/>
        <w:ind w:firstLine="0"/>
        <w:rPr>
          <w:rFonts w:eastAsiaTheme="minorEastAsia" w:cs="Times New Roman"/>
        </w:rPr>
      </w:pPr>
      <w:r>
        <w:rPr>
          <w:rFonts w:eastAsiaTheme="minorEastAsia" w:cs="Times New Roman"/>
        </w:rPr>
        <w:tab/>
        <w:t xml:space="preserve">Additionally, other undesirable effects must be taken into consideration when discussing </w:t>
      </w:r>
      <w:r w:rsidR="00BD7878">
        <w:rPr>
          <w:rFonts w:eastAsiaTheme="minorEastAsia" w:cs="Times New Roman"/>
        </w:rPr>
        <w:t>mobile phase flow in TLC.  Notably</w:t>
      </w:r>
      <w:r>
        <w:rPr>
          <w:rFonts w:eastAsiaTheme="minorEastAsia" w:cs="Times New Roman"/>
        </w:rPr>
        <w:t xml:space="preserve">, some evaporation occurs at the solvent front, and when the mobile phase is composed of a mixture of liquids, </w:t>
      </w:r>
      <w:r w:rsidR="00BD7878">
        <w:rPr>
          <w:rFonts w:eastAsiaTheme="minorEastAsia" w:cs="Times New Roman"/>
        </w:rPr>
        <w:t>the most volatile solvent will preferentially evaporate, creating a gradient of solvent composition across the bed.  This is exacerbated by the preferential adsorption of the most polar solvent in the mixture onto the stationary phase.</w:t>
      </w:r>
    </w:p>
    <w:p w:rsidR="00BD7878" w:rsidRDefault="00BD7878" w:rsidP="00BD7878">
      <w:pPr>
        <w:pStyle w:val="Heading2"/>
        <w:ind w:firstLine="0"/>
        <w:rPr>
          <w:rFonts w:eastAsiaTheme="minorEastAsia"/>
        </w:rPr>
      </w:pPr>
      <w:r>
        <w:rPr>
          <w:rFonts w:eastAsiaTheme="minorEastAsia"/>
        </w:rPr>
        <w:t>1.4 –Sample Application</w:t>
      </w:r>
    </w:p>
    <w:p w:rsidR="00BD7878" w:rsidRPr="00BD7878" w:rsidRDefault="00D12A72" w:rsidP="00BD7878">
      <w:pPr>
        <w:pStyle w:val="TimesNewRoman"/>
      </w:pPr>
      <w:r>
        <w:t>To achieve good chromatographic resolution and sensitive detection, the shape, size, and reproducibility of applied sample spots is of great importance.</w:t>
      </w:r>
      <w:r w:rsidR="00855D31">
        <w:t xml:space="preserve">  Spots that are too concentrated or nonuniform will give poor separation, as the mobile phase solvent will flow through the point of least resistance and travel around the spot instead of through it evenly, creating separated spots that are unsymmetrical after development.</w:t>
      </w:r>
      <w:r w:rsidR="00855D31">
        <w:fldChar w:fldCharType="begin" w:fldLock="1"/>
      </w:r>
      <w:r w:rsidR="00EF7512">
        <w:instrText>ADDIN CSL_CITATION { "citationItems" : [ { "id" : "ITEM-1", "itemData" : { "author" : [ { "dropping-particle" : "", "family" : "Touchstone", "given" : "J.C.", "non-dropping-particle" : "", "parse-names" : false, "suffix" : "" } ], "edition" : "3rd", "id" : "ITEM-1", "issued" : { "date-parts" : [ [ "1992" ] ] }, "publisher" : "John Wiley &amp; Sons, INC", "publisher-place" : "New York", "title" : "Practice of Thin-Layer Chromatography", "type" : "book" }, "uris" : [ "http://www.mendeley.com/documents/?uuid=ff098689-5fbd-4c32-bb83-96104be997fb" ] } ], "mendeley" : { "formattedCitation" : "&lt;sup&gt;5&lt;/sup&gt;", "plainTextFormattedCitation" : "5", "previouslyFormattedCitation" : "&lt;sup&gt;5&lt;/sup&gt;" }, "properties" : { "noteIndex" : 0 }, "schema" : "https://github.com/citation-style-language/schema/raw/master/csl-citation.json" }</w:instrText>
      </w:r>
      <w:r w:rsidR="00855D31">
        <w:fldChar w:fldCharType="separate"/>
      </w:r>
      <w:r w:rsidR="00855D31" w:rsidRPr="00855D31">
        <w:rPr>
          <w:noProof/>
          <w:vertAlign w:val="superscript"/>
        </w:rPr>
        <w:t>5</w:t>
      </w:r>
      <w:r w:rsidR="00855D31">
        <w:fldChar w:fldCharType="end"/>
      </w:r>
      <w:r w:rsidR="00855D31">
        <w:t xml:space="preserve">  Moreover, spots tend to diffuse and spread somewhat as they migrate further up the plate, and so the initial spot diameter should be as small as possible.  Overloaded or too-large spots can result in significant tailing, the ends of which will overlap other spots on the plate and ruin the resolution.</w:t>
      </w:r>
      <w:r w:rsidR="00855D31">
        <w:fldChar w:fldCharType="begin" w:fldLock="1"/>
      </w:r>
      <w:r w:rsidR="00855D31">
        <w:instrText>ADDIN CSL_CITATION { "citationItems" : [ { "id" : "ITEM-1", "itemData" : { "author" : [ { "dropping-particle" : "", "family" : "Touchstone", "given" : "J.C.", "non-dropping-particle" : "", "parse-names" : false, "suffix" : "" } ], "edition" : "3rd", "id" : "ITEM-1", "issued" : { "date-parts" : [ [ "1992" ] ] }, "publisher" : "John Wiley &amp; Sons, INC", "publisher-place" : "New York", "title" : "Practice of Thin-Layer Chromatography", "type" : "book" }, "uris" : [ "http://www.mendeley.com/documents/?uuid=ff098689-5fbd-4c32-bb83-96104be997fb" ] } ], "mendeley" : { "formattedCitation" : "&lt;sup&gt;5&lt;/sup&gt;", "plainTextFormattedCitation" : "5", "previouslyFormattedCitation" : "&lt;sup&gt;5&lt;/sup&gt;" }, "properties" : { "noteIndex" : 0 }, "schema" : "https://github.com/citation-style-language/schema/raw/master/csl-citation.json" }</w:instrText>
      </w:r>
      <w:r w:rsidR="00855D31">
        <w:fldChar w:fldCharType="separate"/>
      </w:r>
      <w:r w:rsidR="00855D31" w:rsidRPr="00855D31">
        <w:rPr>
          <w:noProof/>
          <w:vertAlign w:val="superscript"/>
        </w:rPr>
        <w:t>5</w:t>
      </w:r>
      <w:r w:rsidR="00855D31">
        <w:fldChar w:fldCharType="end"/>
      </w:r>
    </w:p>
    <w:p w:rsidR="00A445AF" w:rsidRDefault="009636E5" w:rsidP="00183FDC">
      <w:pPr>
        <w:pStyle w:val="TimesNewRoman"/>
        <w:rPr>
          <w:rFonts w:eastAsiaTheme="minorEastAsia" w:cs="Times New Roman"/>
        </w:rPr>
      </w:pPr>
      <w:r>
        <w:rPr>
          <w:rFonts w:eastAsiaTheme="minorEastAsia" w:cs="Times New Roman"/>
        </w:rPr>
        <w:t xml:space="preserve">A variety of techniques and apparatuses have been used for sample application.  Overall, these methods may be divided into manual and automatic methods.  Manual methods generally consist of applying the sample by hand using a capillary or micropipette.  Unfortunately, these methods suffer in reproducibility, as </w:t>
      </w:r>
      <w:r w:rsidR="009126B3">
        <w:rPr>
          <w:rFonts w:eastAsiaTheme="minorEastAsia" w:cs="Times New Roman"/>
        </w:rPr>
        <w:t>errors such as the creep back effect, the deposition of additional unwanted sample when spotting by contact (also known as capillation), and simple operator experience can significantly affect the amount of sample spotted.</w:t>
      </w:r>
      <w:r w:rsidR="00EF7512">
        <w:rPr>
          <w:rFonts w:eastAsiaTheme="minorEastAsia" w:cs="Times New Roman"/>
        </w:rPr>
        <w:fldChar w:fldCharType="begin" w:fldLock="1"/>
      </w:r>
      <w:r w:rsidR="00F64B1F">
        <w:rPr>
          <w:rFonts w:eastAsiaTheme="minorEastAsia" w:cs="Times New Roman"/>
        </w:rPr>
        <w:instrText>ADDIN CSL_CITATION { "citationItems" : [ { "id" : "ITEM-1", "itemData" : { "author" : [ { "dropping-particle" : "", "family" : "Fairbairn", "given" : "J. W.", "non-dropping-particle" : "", "parse-names" : false, "suffix" : "" }, { "dropping-particle" : "", "family" : "Relph", "given" : "S. J.", "non-dropping-particle" : "", "parse-names" : false, "suffix" : "" } ], "container-title" : "Journal of Chromatography", "id" : "ITEM-1", "issued" : { "date-parts" : [ [ "1968" ] ] }, "page" : "494-499", "title" : "Sources of error in quantitative paper and thin layer chromatography I. Production of the initial spots", "type" : "article-journal", "volume" : "33" }, "uris" : [ "http://www.mendeley.com/documents/?uuid=c9a31752-1ce8-415e-b3d7-4cbb7fee2f2b" ] } ], "mendeley" : { "formattedCitation" : "&lt;sup&gt;15&lt;/sup&gt;", "plainTextFormattedCitation" : "15", "previouslyFormattedCitation" : "&lt;sup&gt;15&lt;/sup&gt;" }, "properties" : { "noteIndex" : 0 }, "schema" : "https://github.com/citation-style-language/schema/raw/master/csl-citation.json" }</w:instrText>
      </w:r>
      <w:r w:rsidR="00EF7512">
        <w:rPr>
          <w:rFonts w:eastAsiaTheme="minorEastAsia" w:cs="Times New Roman"/>
        </w:rPr>
        <w:fldChar w:fldCharType="separate"/>
      </w:r>
      <w:r w:rsidR="00EF7512" w:rsidRPr="00EF7512">
        <w:rPr>
          <w:rFonts w:eastAsiaTheme="minorEastAsia" w:cs="Times New Roman"/>
          <w:noProof/>
          <w:vertAlign w:val="superscript"/>
        </w:rPr>
        <w:t>15</w:t>
      </w:r>
      <w:r w:rsidR="00EF7512">
        <w:rPr>
          <w:rFonts w:eastAsiaTheme="minorEastAsia" w:cs="Times New Roman"/>
        </w:rPr>
        <w:fldChar w:fldCharType="end"/>
      </w:r>
      <w:r w:rsidR="00F64B1F">
        <w:rPr>
          <w:rFonts w:eastAsiaTheme="minorEastAsia" w:cs="Times New Roman"/>
        </w:rPr>
        <w:t xml:space="preserve">  Automatic methods include apparatuses which hold many disposable capillaries at once, sample streak applicators, </w:t>
      </w:r>
      <w:r w:rsidR="00F64B1F">
        <w:rPr>
          <w:rFonts w:eastAsiaTheme="minorEastAsia" w:cs="Times New Roman"/>
        </w:rPr>
        <w:lastRenderedPageBreak/>
        <w:t>and syringe pumps.  These methods do not necessarily guarantee small sample spots, only that the application will be reproducible.  However, significant advancements have been made in the creation of automatic applicators for HPTLC.  Morlock et al. have developed a method for using modified inkjet printer cartridges to deliver spots as small as 0.45 mm</w:t>
      </w:r>
      <w:r w:rsidR="00F82083">
        <w:rPr>
          <w:rFonts w:eastAsiaTheme="minorEastAsia" w:cs="Times New Roman"/>
        </w:rPr>
        <w:t>, and Fenimore and Meyer developed a method for contact spotting which can deliver a spot as small as 0.1 mm</w:t>
      </w:r>
      <w:r w:rsidR="00F64B1F">
        <w:rPr>
          <w:rFonts w:eastAsiaTheme="minorEastAsia" w:cs="Times New Roman"/>
        </w:rPr>
        <w:t>.</w:t>
      </w:r>
      <w:r w:rsidR="00F64B1F">
        <w:rPr>
          <w:rFonts w:eastAsiaTheme="minorEastAsia" w:cs="Times New Roman"/>
        </w:rPr>
        <w:fldChar w:fldCharType="begin" w:fldLock="1"/>
      </w:r>
      <w:r w:rsidR="00247906">
        <w:rPr>
          <w:rFonts w:eastAsiaTheme="minorEastAsia" w:cs="Times New Roman"/>
        </w:rPr>
        <w:instrText>ADDIN CSL_CITATION { "citationItems" : [ { "id" : "ITEM-1", "itemData" : { "DOI" : "10.1021/ac902945t", "ISSN" : "0003-2700", "author" : [ { "dropping-particle" : "", "family" : "Morlock", "given" : "Gertrud E.", "non-dropping-particle" : "", "parse-names" : false, "suffix" : "" }, { "dropping-particle" : "", "family" : "Oellig", "given" : "Claudia", "non-dropping-particle" : "", "parse-names" : false, "suffix" : "" }, { "dropping-particle" : "", "family" : "Bezuidenhout", "given" : "Louis W.", "non-dropping-particle" : "", "parse-names" : false, "suffix" : "" }, { "dropping-particle" : "", "family" : "Brett", "given" : "Michael J.", "non-dropping-particle" : "", "parse-names" : false, "suffix" : "" }, { "dropping-particle" : "", "family" : "Schwack", "given" : "Wolfgang", "non-dropping-particle" : "", "parse-names" : false, "suffix" : "" } ], "container-title" : "Analytical Chemistry", "id" : "ITEM-1", "issue" : "7", "issued" : { "date-parts" : [ [ "2010" ] ] }, "page" : "2940-2946", "title" : "Miniaturized Planar Chromatography Using Office Peripherals", "type" : "article-journal", "volume" : "82" }, "uris" : [ "http://www.mendeley.com/documents/?uuid=63fc85ba-1b25-484e-838d-bd4378650106" ] }, { "id" : "ITEM-2", "itemData" : { "author" : [ { "dropping-particle" : "", "family" : "Fenimore", "given" : "D. C.", "non-dropping-particle" : "", "parse-names" : false, "suffix" : "" }, { "dropping-particle" : "", "family" : "Meyer", "given" : "C. J.", "non-dropping-particle" : "", "parse-names" : false, "suffix" : "" } ], "container-title" : "Journal of Chromatography", "id" : "ITEM-2", "issued" : { "date-parts" : [ [ "1979" ] ] }, "page" : "555-561", "title" : "A new approach to sample application in thin-layer chromatography", "type" : "article-journal", "volume" : "186" }, "uris" : [ "http://www.mendeley.com/documents/?uuid=e36b8fd8-753d-4069-a31e-e429e13f9b6d" ] } ], "mendeley" : { "formattedCitation" : "&lt;sup&gt;11,16&lt;/sup&gt;", "plainTextFormattedCitation" : "11,16", "previouslyFormattedCitation" : "&lt;sup&gt;11,16&lt;/sup&gt;" }, "properties" : { "noteIndex" : 0 }, "schema" : "https://github.com/citation-style-language/schema/raw/master/csl-citation.json" }</w:instrText>
      </w:r>
      <w:r w:rsidR="00F64B1F">
        <w:rPr>
          <w:rFonts w:eastAsiaTheme="minorEastAsia" w:cs="Times New Roman"/>
        </w:rPr>
        <w:fldChar w:fldCharType="separate"/>
      </w:r>
      <w:r w:rsidR="00F82083" w:rsidRPr="00F82083">
        <w:rPr>
          <w:rFonts w:eastAsiaTheme="minorEastAsia" w:cs="Times New Roman"/>
          <w:noProof/>
          <w:vertAlign w:val="superscript"/>
        </w:rPr>
        <w:t>11,16</w:t>
      </w:r>
      <w:r w:rsidR="00F64B1F">
        <w:rPr>
          <w:rFonts w:eastAsiaTheme="minorEastAsia" w:cs="Times New Roman"/>
        </w:rPr>
        <w:fldChar w:fldCharType="end"/>
      </w:r>
    </w:p>
    <w:p w:rsidR="00F82083" w:rsidRDefault="00F82083" w:rsidP="00183FDC">
      <w:pPr>
        <w:pStyle w:val="TimesNewRoman"/>
        <w:rPr>
          <w:rFonts w:eastAsiaTheme="minorEastAsia" w:cs="Times New Roman"/>
        </w:rPr>
      </w:pPr>
      <w:r>
        <w:rPr>
          <w:rFonts w:eastAsiaTheme="minorEastAsia" w:cs="Times New Roman"/>
        </w:rPr>
        <w:t>The spotting method developed for the work in this dissertation takes advantage of the superhydrophobic nature of the pillar arrays.  The micro- and nanoscale features, coupled with the hydrophobic carbon stationary phase with which they are coated results in a surface on which the sample may be spotted and allowed to concentrate</w:t>
      </w:r>
      <w:r w:rsidR="00036D38">
        <w:rPr>
          <w:rFonts w:eastAsiaTheme="minorEastAsia" w:cs="Times New Roman"/>
        </w:rPr>
        <w:t xml:space="preserve"> to a sub-mm size</w:t>
      </w:r>
      <w:r>
        <w:rPr>
          <w:rFonts w:eastAsiaTheme="minorEastAsia" w:cs="Times New Roman"/>
        </w:rPr>
        <w:t>.  When a suitable methanol/water mix is used in the sample solution, the droplet transitions from a Cassie state, where it is sitting on top of the pillars, to a Wenzel state, where it descends into the pillars.  This transition may be seen in Figure 1.4.1</w:t>
      </w:r>
      <w:r w:rsidR="00036D38">
        <w:rPr>
          <w:rFonts w:eastAsiaTheme="minorEastAsia" w:cs="Times New Roman"/>
        </w:rPr>
        <w:t>.</w:t>
      </w:r>
    </w:p>
    <w:p w:rsidR="003C5B1B" w:rsidRDefault="003C5B1B" w:rsidP="003C5B1B">
      <w:pPr>
        <w:pStyle w:val="Heading2"/>
        <w:ind w:firstLine="0"/>
        <w:rPr>
          <w:rFonts w:eastAsiaTheme="minorEastAsia"/>
        </w:rPr>
      </w:pPr>
      <w:r>
        <w:rPr>
          <w:rFonts w:eastAsiaTheme="minorEastAsia"/>
        </w:rPr>
        <w:t>1.5 – Development Method and Detection</w:t>
      </w:r>
    </w:p>
    <w:p w:rsidR="003C5B1B" w:rsidRDefault="003C5B1B" w:rsidP="003C5B1B">
      <w:pPr>
        <w:pStyle w:val="TimesNewRoman"/>
      </w:pPr>
      <w:r>
        <w:t>The majority of TLC development is done by allowing the mobile phase to travel up the plate, which is standing in a suitably-sized development chamber containing a reservoir of the mobile phase.  Development may also occur horizontally, wherein the bottom of the plate is allowed to touch a wick saturated with the mobile phase, thus beginning solvent migration.  In both cases, one of the most important considerations is chamber saturation, as unsaturation can cause unsymmetrical flow and exacerbate the phase ratio existing at the solvent front due to evaporation.</w:t>
      </w:r>
    </w:p>
    <w:p w:rsidR="007A348A" w:rsidRDefault="007A348A" w:rsidP="003C5B1B">
      <w:pPr>
        <w:pStyle w:val="TimesNewRoman"/>
      </w:pPr>
      <w:r>
        <w:t xml:space="preserve">For the system described in this dissertation, two TLC chambers were constructed to assure suitable size for the arrays used.  For the 1 cm x 3 cm arrays used for one-dimensional separations, a chamber was constructed using a dram vial with a sponge on the back wall to </w:t>
      </w:r>
      <w:r>
        <w:lastRenderedPageBreak/>
        <w:t>facilitate saturation and a piston to which the array could be attached such that it could be lowered at will into the mobile phase reservoir.  For the 3 cm x 3 cm arrays used for two-dimensional separations, a similar chamber was constructed using microscope slide.  An illustration of the two chambers is shown in Figure 1.5.1.</w:t>
      </w:r>
    </w:p>
    <w:p w:rsidR="00813829" w:rsidRDefault="00813829" w:rsidP="00154142">
      <w:pPr>
        <w:pStyle w:val="Heading2"/>
        <w:ind w:left="630" w:hanging="630"/>
      </w:pPr>
      <w:r>
        <w:t>1.6 – Efficiency, the Van Deemter Equation, and Factor</w:t>
      </w:r>
      <w:r w:rsidR="00154142">
        <w:t>s that Affect Band</w:t>
      </w:r>
      <w:r>
        <w:t xml:space="preserve"> Broadening</w:t>
      </w:r>
    </w:p>
    <w:p w:rsidR="00154142" w:rsidRDefault="00154142" w:rsidP="00154142">
      <w:pPr>
        <w:pStyle w:val="TimesNewRoman"/>
      </w:pPr>
      <w:r>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154142" w:rsidRDefault="00154142" w:rsidP="00154142">
      <w:pPr>
        <w:pStyle w:val="TimesNewRoman"/>
      </w:pPr>
      <w:r>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w:t>
      </w:r>
      <w:r>
        <w:lastRenderedPageBreak/>
        <w:t xml:space="preserve">convallis dui sed, egestas nisi. Nulla venenatis placerat placerat. Phasellus ultricies placerat leo a tincidunt. Phasellus pellentesque suscipit nisl, id sollicitudin urna vehicula et. </w:t>
      </w:r>
    </w:p>
    <w:p w:rsidR="00154142" w:rsidRDefault="00154142" w:rsidP="00154142">
      <w:pPr>
        <w:pStyle w:val="Heading2"/>
        <w:ind w:firstLine="0"/>
      </w:pPr>
      <w:r>
        <w:t>1.7 – Experimentally Determined Evaluation Metrics</w:t>
      </w:r>
    </w:p>
    <w:p w:rsidR="00154142" w:rsidRDefault="00154142" w:rsidP="00154142">
      <w:pPr>
        <w:pStyle w:val="TimesNewRoman"/>
      </w:pPr>
      <w:r>
        <w:t>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w:t>
      </w:r>
    </w:p>
    <w:p w:rsidR="00154142" w:rsidRPr="00154142" w:rsidRDefault="00154142" w:rsidP="00154142">
      <w:pPr>
        <w:pStyle w:val="TimesNewRoman"/>
      </w:pPr>
      <w:r>
        <w:t>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w:t>
      </w:r>
    </w:p>
    <w:p w:rsidR="00154142" w:rsidRDefault="004F2978" w:rsidP="004F2978">
      <w:pPr>
        <w:pStyle w:val="Heading2"/>
        <w:ind w:firstLine="0"/>
      </w:pPr>
      <w:r>
        <w:lastRenderedPageBreak/>
        <w:t>1.8 – Conclusions about Thin Layer Chromatography</w:t>
      </w:r>
    </w:p>
    <w:p w:rsidR="004F2978" w:rsidRDefault="004F2978" w:rsidP="004F2978">
      <w:pPr>
        <w:pStyle w:val="TimesNewRoman"/>
      </w:pPr>
      <w:r>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4F2978" w:rsidRDefault="004F2978" w:rsidP="004F2978">
      <w:pPr>
        <w:pStyle w:val="TimesNewRoman"/>
      </w:pPr>
      <w:r>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4F2978" w:rsidRDefault="004F2978" w:rsidP="004F2978">
      <w:pPr>
        <w:pStyle w:val="TimesNewRoman"/>
      </w:pPr>
    </w:p>
    <w:p w:rsidR="004F2978" w:rsidRDefault="004F2978">
      <w:pPr>
        <w:rPr>
          <w:rFonts w:ascii="Times New Roman" w:hAnsi="Times New Roman"/>
          <w:sz w:val="24"/>
        </w:rPr>
      </w:pPr>
      <w:r>
        <w:br w:type="page"/>
      </w:r>
    </w:p>
    <w:p w:rsidR="004F2978" w:rsidRDefault="004F2978" w:rsidP="004F2978">
      <w:pPr>
        <w:pStyle w:val="Title"/>
      </w:pPr>
      <w:r>
        <w:lastRenderedPageBreak/>
        <w:t>Chapter 2</w:t>
      </w:r>
    </w:p>
    <w:p w:rsidR="004F2978" w:rsidRDefault="004F2978" w:rsidP="004F2978">
      <w:pPr>
        <w:pStyle w:val="Title"/>
        <w:ind w:firstLine="0"/>
      </w:pPr>
    </w:p>
    <w:p w:rsidR="004F2978" w:rsidRDefault="004F2978" w:rsidP="004F2978">
      <w:pPr>
        <w:pStyle w:val="Title"/>
        <w:ind w:firstLine="0"/>
      </w:pPr>
    </w:p>
    <w:p w:rsidR="004F2978" w:rsidRDefault="004F2978" w:rsidP="004F2978">
      <w:pPr>
        <w:pStyle w:val="Title"/>
      </w:pPr>
    </w:p>
    <w:p w:rsidR="004F2978" w:rsidRDefault="004F2978" w:rsidP="004F2978">
      <w:pPr>
        <w:pStyle w:val="Title"/>
      </w:pPr>
    </w:p>
    <w:p w:rsidR="004F2978" w:rsidRDefault="004F2978" w:rsidP="004F2978">
      <w:pPr>
        <w:pStyle w:val="Title"/>
      </w:pPr>
      <w:r>
        <w:t>Introduction to Pillar Arrays</w:t>
      </w:r>
    </w:p>
    <w:p w:rsidR="004F2978" w:rsidRDefault="004F2978">
      <w:pPr>
        <w:rPr>
          <w:rFonts w:ascii="Times New Roman" w:eastAsiaTheme="majorEastAsia" w:hAnsi="Times New Roman" w:cstheme="majorBidi"/>
          <w:spacing w:val="-10"/>
          <w:kern w:val="28"/>
          <w:sz w:val="56"/>
          <w:szCs w:val="56"/>
        </w:rPr>
      </w:pPr>
      <w:r>
        <w:br w:type="page"/>
      </w:r>
    </w:p>
    <w:p w:rsidR="004F2978" w:rsidRDefault="004F2978" w:rsidP="004F2978">
      <w:pPr>
        <w:pStyle w:val="Heading2"/>
      </w:pPr>
      <w:r>
        <w:lastRenderedPageBreak/>
        <w:t>2.1 – History and Basic Principle</w:t>
      </w:r>
    </w:p>
    <w:p w:rsidR="004F2978" w:rsidRDefault="004F2978" w:rsidP="004F2978">
      <w:pPr>
        <w:pStyle w:val="TimesNewRoman"/>
      </w:pPr>
      <w:r>
        <w:t>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w:t>
      </w:r>
      <w:r>
        <w:t>tae metus. Cras ac velit lacus.</w:t>
      </w:r>
    </w:p>
    <w:p w:rsidR="004F2978" w:rsidRDefault="004F2978" w:rsidP="004F2978">
      <w:pPr>
        <w:pStyle w:val="TimesNewRoman"/>
      </w:pPr>
      <w:r>
        <w:t>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w:t>
      </w:r>
    </w:p>
    <w:p w:rsidR="004F2978" w:rsidRDefault="004F2978" w:rsidP="004F2978">
      <w:pPr>
        <w:pStyle w:val="Heading2"/>
        <w:ind w:firstLine="0"/>
      </w:pPr>
      <w:r>
        <w:t>2.2 – Efficiency, or Why to Use Pillars Instead of Thin Layer Chromatography</w:t>
      </w:r>
    </w:p>
    <w:p w:rsidR="004F2978" w:rsidRDefault="004F2978" w:rsidP="004F2978">
      <w:pPr>
        <w:pStyle w:val="TimesNewRoman"/>
      </w:pPr>
      <w:r>
        <w:t xml:space="preserve">Lorem ipsum dolor sit amet, consectetur adipiscing elit. Maecenas varius congue blandit. Donec a sodales felis. Nam nec velit a mi tincidunt malesuada. Mauris quis luctus neque. Sed </w:t>
      </w:r>
      <w:r>
        <w:lastRenderedPageBreak/>
        <w:t xml:space="preserve">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4F2978" w:rsidRDefault="004F2978" w:rsidP="004F2978">
      <w:pPr>
        <w:pStyle w:val="TimesNewRoman"/>
      </w:pPr>
      <w:r>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4F2978" w:rsidRDefault="004F2978" w:rsidP="004F2978">
      <w:pPr>
        <w:pStyle w:val="Heading2"/>
        <w:ind w:firstLine="0"/>
      </w:pPr>
      <w:r>
        <w:t>2.3 – Design of Deterministic Pillars by Photolithography</w:t>
      </w:r>
    </w:p>
    <w:p w:rsidR="004F2978" w:rsidRDefault="004F2978" w:rsidP="004F2978">
      <w:pPr>
        <w:pStyle w:val="TimesNewRoman"/>
      </w:pPr>
      <w:r>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w:t>
      </w:r>
      <w:r>
        <w:lastRenderedPageBreak/>
        <w:t xml:space="preserve">fermentum est. Aliquam quis suscipit nibh, a rhoncus mi. Aliquam erat volutpat. Aliquam laoreet, arcu non congue hendrerit, mi lacus commodo velit, blandit elementum nisl libero vitae metus. Cras ac velit lacus. </w:t>
      </w:r>
    </w:p>
    <w:p w:rsidR="004F2978" w:rsidRDefault="004F2978" w:rsidP="004F2978">
      <w:pPr>
        <w:pStyle w:val="TimesNewRoman"/>
      </w:pPr>
      <w:r>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4F2978" w:rsidRDefault="004F2978" w:rsidP="004F2978">
      <w:pPr>
        <w:pStyle w:val="Heading2"/>
        <w:ind w:firstLine="0"/>
      </w:pPr>
      <w:r>
        <w:t>2.4 – Design of Deterministic Pillars by Electron Beam Lithography</w:t>
      </w:r>
    </w:p>
    <w:p w:rsidR="004F2978" w:rsidRPr="004F2978" w:rsidRDefault="004F2978" w:rsidP="004F2978">
      <w:pPr>
        <w:pStyle w:val="TimesNewRoman"/>
      </w:pPr>
      <w:r w:rsidRPr="004F2978">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4F2978" w:rsidRPr="004F2978" w:rsidRDefault="004F2978" w:rsidP="004F2978">
      <w:pPr>
        <w:pStyle w:val="TimesNewRoman"/>
      </w:pPr>
      <w:r w:rsidRPr="004F2978">
        <w:lastRenderedPageBreak/>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4F2978" w:rsidRDefault="004F2978" w:rsidP="004F2978">
      <w:pPr>
        <w:pStyle w:val="Heading2"/>
        <w:ind w:firstLine="0"/>
      </w:pPr>
      <w:r>
        <w:t>2.5 – Design of Stochastic Pillars</w:t>
      </w:r>
    </w:p>
    <w:p w:rsidR="004F2978" w:rsidRPr="004F2978" w:rsidRDefault="004F2978" w:rsidP="004F2978">
      <w:pPr>
        <w:pStyle w:val="TimesNewRoman"/>
      </w:pPr>
      <w:r w:rsidRPr="004F2978">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4F2978" w:rsidRPr="004F2978" w:rsidRDefault="004F2978" w:rsidP="004F2978">
      <w:pPr>
        <w:pStyle w:val="TimesNewRoman"/>
      </w:pPr>
      <w:r w:rsidRPr="004F2978">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w:t>
      </w:r>
      <w:r w:rsidRPr="004F2978">
        <w:lastRenderedPageBreak/>
        <w:t xml:space="preserve">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4F2978" w:rsidRDefault="004F2978" w:rsidP="004F2978">
      <w:pPr>
        <w:pStyle w:val="Heading2"/>
        <w:ind w:firstLine="0"/>
      </w:pPr>
      <w:r>
        <w:t>2.6 – Reactive Ion Etching</w:t>
      </w:r>
    </w:p>
    <w:p w:rsidR="004F2978" w:rsidRPr="004F2978" w:rsidRDefault="004F2978" w:rsidP="004F2978">
      <w:pPr>
        <w:pStyle w:val="TimesNewRoman"/>
      </w:pPr>
      <w:r w:rsidRPr="004F2978">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4F2978" w:rsidRPr="004F2978" w:rsidRDefault="004F2978" w:rsidP="004F2978">
      <w:pPr>
        <w:pStyle w:val="TimesNewRoman"/>
      </w:pPr>
      <w:r w:rsidRPr="004F2978">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w:t>
      </w:r>
      <w:r w:rsidRPr="004F2978">
        <w:lastRenderedPageBreak/>
        <w:t xml:space="preserve">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4F2978" w:rsidRDefault="004F2978" w:rsidP="004F2978">
      <w:pPr>
        <w:pStyle w:val="Heading2"/>
        <w:ind w:firstLine="0"/>
      </w:pPr>
      <w:r>
        <w:t>2.7 – Surface Modification</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w:t>
      </w:r>
      <w:r w:rsidRPr="00031CC7">
        <w:lastRenderedPageBreak/>
        <w:t xml:space="preserve">convallis dui sed, egestas nisi. Nulla venenatis placerat placerat. Phasellus ultricies placerat leo a tincidunt. Phasellus pellentesque suscipit nisl, id sollicitudin urna vehicula et. </w:t>
      </w:r>
    </w:p>
    <w:p w:rsidR="00031CC7" w:rsidRDefault="00031CC7" w:rsidP="00031CC7">
      <w:pPr>
        <w:pStyle w:val="Heading2"/>
        <w:ind w:firstLine="0"/>
      </w:pPr>
      <w:r>
        <w:t>2.8 – Conclusions About Pillar Arrays</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pPr>
        <w:rPr>
          <w:rFonts w:ascii="Times New Roman" w:hAnsi="Times New Roman"/>
          <w:sz w:val="24"/>
        </w:rPr>
      </w:pPr>
    </w:p>
    <w:p w:rsidR="004F2978" w:rsidRDefault="00031CC7" w:rsidP="00031CC7">
      <w:pPr>
        <w:pStyle w:val="Title"/>
      </w:pPr>
      <w:r>
        <w:lastRenderedPageBreak/>
        <w:t>Chapter 3</w:t>
      </w:r>
    </w:p>
    <w:p w:rsidR="00031CC7" w:rsidRDefault="00031CC7" w:rsidP="00031CC7">
      <w:pPr>
        <w:pStyle w:val="Title"/>
        <w:ind w:firstLine="0"/>
      </w:pPr>
    </w:p>
    <w:p w:rsidR="00031CC7" w:rsidRDefault="00031CC7" w:rsidP="00031CC7">
      <w:pPr>
        <w:pStyle w:val="Title"/>
      </w:pPr>
    </w:p>
    <w:p w:rsidR="00031CC7" w:rsidRDefault="00031CC7" w:rsidP="00031CC7">
      <w:pPr>
        <w:pStyle w:val="Title"/>
        <w:ind w:left="720" w:firstLine="0"/>
      </w:pPr>
      <w:r>
        <w:t>Capillary Driven Transport in Hierarchically Porous Phases Formed by Conformal Deposition of Petal Like Carbon on Silicon Pillar Arrays</w:t>
      </w:r>
    </w:p>
    <w:p w:rsidR="00031CC7" w:rsidRDefault="00031CC7">
      <w:pPr>
        <w:rPr>
          <w:rFonts w:ascii="Times New Roman" w:eastAsiaTheme="majorEastAsia" w:hAnsi="Times New Roman" w:cstheme="majorBidi"/>
          <w:spacing w:val="-10"/>
          <w:kern w:val="28"/>
          <w:sz w:val="56"/>
          <w:szCs w:val="56"/>
        </w:rPr>
      </w:pPr>
      <w:r>
        <w:br w:type="page"/>
      </w:r>
    </w:p>
    <w:p w:rsidR="00031CC7" w:rsidRDefault="00031CC7" w:rsidP="00031CC7">
      <w:pPr>
        <w:pStyle w:val="Heading2"/>
        <w:ind w:firstLine="0"/>
      </w:pPr>
      <w:r>
        <w:lastRenderedPageBreak/>
        <w:t>3.1 – Abstract</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Heading2"/>
        <w:ind w:firstLine="0"/>
      </w:pPr>
      <w:r>
        <w:t>3.2 – Introduction to Carbonaceous Stationary Phases</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w:t>
      </w:r>
      <w:r w:rsidRPr="00031CC7">
        <w:lastRenderedPageBreak/>
        <w:t xml:space="preserve">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Heading2"/>
        <w:ind w:firstLine="0"/>
      </w:pPr>
      <w:r>
        <w:t>3.3 – Fabrication and Deposition of Petal Like Carbon</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w:t>
      </w:r>
      <w:r w:rsidRPr="00031CC7">
        <w:lastRenderedPageBreak/>
        <w:t xml:space="preserve">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Heading2"/>
        <w:ind w:firstLine="0"/>
      </w:pPr>
      <w:r>
        <w:t>3.4 – Solvent Transport Studies</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lastRenderedPageBreak/>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Heading2"/>
        <w:ind w:left="630" w:hanging="630"/>
      </w:pPr>
      <w:r>
        <w:t>3.5 – Possible Form Change with Increasing Thickness and Preliminary Surface Area Calculations</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w:t>
      </w:r>
      <w:r w:rsidRPr="00031CC7">
        <w:lastRenderedPageBreak/>
        <w:t xml:space="preserve">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Heading2"/>
        <w:ind w:firstLine="0"/>
      </w:pPr>
      <w:r>
        <w:t>3.6 – Preliminary Solute Transport Using a Two-Phase System</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w:t>
      </w:r>
      <w:r w:rsidRPr="00031CC7">
        <w:lastRenderedPageBreak/>
        <w:t xml:space="preserve">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Heading2"/>
        <w:ind w:firstLine="0"/>
      </w:pPr>
      <w:r>
        <w:t>3.7 – Conclusions About Petal Like Carbon</w:t>
      </w:r>
    </w:p>
    <w:p w:rsidR="00031CC7" w:rsidRPr="00031CC7" w:rsidRDefault="00031CC7" w:rsidP="00031CC7">
      <w:pPr>
        <w:pStyle w:val="TimesNewRoman"/>
      </w:pPr>
      <w:r w:rsidRPr="00031CC7">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031CC7" w:rsidRPr="00031CC7" w:rsidRDefault="00031CC7" w:rsidP="00031CC7">
      <w:pPr>
        <w:pStyle w:val="TimesNewRoman"/>
      </w:pPr>
      <w:r w:rsidRPr="00031CC7">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w:t>
      </w:r>
      <w:r w:rsidRPr="00031CC7">
        <w:lastRenderedPageBreak/>
        <w:t xml:space="preserve">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031CC7" w:rsidRDefault="00031CC7" w:rsidP="00031CC7">
      <w:pPr>
        <w:pStyle w:val="TimesNewRoman"/>
      </w:pPr>
    </w:p>
    <w:p w:rsidR="00031CC7" w:rsidRDefault="00031CC7">
      <w:pPr>
        <w:rPr>
          <w:rFonts w:ascii="Times New Roman" w:hAnsi="Times New Roman"/>
          <w:sz w:val="24"/>
        </w:rPr>
      </w:pPr>
      <w:r>
        <w:br w:type="page"/>
      </w:r>
    </w:p>
    <w:p w:rsidR="00031CC7" w:rsidRDefault="00031CC7" w:rsidP="00031CC7">
      <w:pPr>
        <w:pStyle w:val="Title"/>
      </w:pPr>
      <w:r>
        <w:lastRenderedPageBreak/>
        <w:t>Chapter 4</w:t>
      </w:r>
    </w:p>
    <w:p w:rsidR="00031CC7" w:rsidRDefault="00031CC7" w:rsidP="00031CC7">
      <w:pPr>
        <w:pStyle w:val="Title"/>
      </w:pPr>
    </w:p>
    <w:p w:rsidR="00031CC7" w:rsidRDefault="00031CC7" w:rsidP="00031CC7">
      <w:pPr>
        <w:pStyle w:val="Title"/>
      </w:pPr>
    </w:p>
    <w:p w:rsidR="00031CC7" w:rsidRDefault="00031CC7" w:rsidP="00031CC7">
      <w:pPr>
        <w:pStyle w:val="Title"/>
      </w:pPr>
    </w:p>
    <w:p w:rsidR="00031CC7" w:rsidRDefault="00031CC7" w:rsidP="00031CC7">
      <w:pPr>
        <w:pStyle w:val="Title"/>
        <w:ind w:left="720" w:firstLine="0"/>
      </w:pPr>
      <w:r>
        <w:t>Retention in Porous Layer Pillar Array Planar Separation Systems</w:t>
      </w:r>
    </w:p>
    <w:p w:rsidR="00031CC7" w:rsidRDefault="00031CC7">
      <w:pPr>
        <w:rPr>
          <w:rFonts w:ascii="Times New Roman" w:eastAsiaTheme="majorEastAsia" w:hAnsi="Times New Roman" w:cstheme="majorBidi"/>
          <w:spacing w:val="-10"/>
          <w:kern w:val="28"/>
          <w:sz w:val="56"/>
          <w:szCs w:val="56"/>
        </w:rPr>
      </w:pPr>
      <w:r>
        <w:br w:type="page"/>
      </w:r>
    </w:p>
    <w:p w:rsidR="001052CA" w:rsidRDefault="00031CC7" w:rsidP="00031CC7">
      <w:pPr>
        <w:pStyle w:val="TimesNewRoman"/>
        <w:spacing w:line="240" w:lineRule="auto"/>
        <w:ind w:firstLine="0"/>
      </w:pPr>
      <w:r>
        <w:lastRenderedPageBreak/>
        <w:t xml:space="preserve">This chapter has </w:t>
      </w:r>
      <w:r w:rsidR="001052CA">
        <w:t xml:space="preserve">been </w:t>
      </w:r>
      <w:r>
        <w:t>r</w:t>
      </w:r>
      <w:r>
        <w:t xml:space="preserve">eprinted with permission from </w:t>
      </w:r>
    </w:p>
    <w:p w:rsidR="001052CA" w:rsidRPr="001052CA" w:rsidRDefault="001052CA" w:rsidP="001052CA">
      <w:pPr>
        <w:pStyle w:val="TimesNewRoman"/>
        <w:rPr>
          <w:b/>
          <w:bCs/>
        </w:rPr>
      </w:pPr>
      <w:r w:rsidRPr="001052CA">
        <w:rPr>
          <w:b/>
          <w:bCs/>
        </w:rPr>
        <w:t>Retention in Porous Layer Pillar Array Planar Separation Platforms</w:t>
      </w:r>
    </w:p>
    <w:p w:rsidR="001052CA" w:rsidRPr="001052CA" w:rsidRDefault="001052CA" w:rsidP="001052CA">
      <w:pPr>
        <w:pStyle w:val="TimesNewRoman"/>
      </w:pPr>
      <w:r w:rsidRPr="001052CA">
        <w:t>Danielle R. Lincoln, Nickolay V. Lavrik, Ivan I. Kravchenko, and Michael J. Sepaniak</w:t>
      </w:r>
    </w:p>
    <w:p w:rsidR="001052CA" w:rsidRPr="001052CA" w:rsidRDefault="001052CA" w:rsidP="001052CA">
      <w:pPr>
        <w:pStyle w:val="TimesNewRoman"/>
      </w:pPr>
      <w:r w:rsidRPr="001052CA">
        <w:rPr>
          <w:i/>
          <w:iCs/>
        </w:rPr>
        <w:t>Analytical Chemistry</w:t>
      </w:r>
      <w:r w:rsidRPr="001052CA">
        <w:t xml:space="preserve"> </w:t>
      </w:r>
      <w:r w:rsidRPr="001052CA">
        <w:rPr>
          <w:b/>
          <w:bCs/>
        </w:rPr>
        <w:t>2016</w:t>
      </w:r>
      <w:r w:rsidRPr="001052CA">
        <w:t xml:space="preserve"> </w:t>
      </w:r>
      <w:r w:rsidRPr="001052CA">
        <w:rPr>
          <w:i/>
          <w:iCs/>
        </w:rPr>
        <w:t>88</w:t>
      </w:r>
      <w:r w:rsidRPr="001052CA">
        <w:t xml:space="preserve"> (17), 8741-8748 </w:t>
      </w:r>
    </w:p>
    <w:p w:rsidR="001052CA" w:rsidRDefault="001052CA" w:rsidP="001052CA">
      <w:pPr>
        <w:pStyle w:val="TimesNewRoman"/>
        <w:spacing w:line="240" w:lineRule="auto"/>
      </w:pPr>
      <w:r w:rsidRPr="001052CA">
        <w:t>DOI: 10.1021/acs.analchem.6b02079</w:t>
      </w:r>
    </w:p>
    <w:p w:rsidR="00031CC7" w:rsidRDefault="00031CC7" w:rsidP="00031CC7">
      <w:pPr>
        <w:pStyle w:val="TimesNewRoman"/>
        <w:spacing w:line="240" w:lineRule="auto"/>
        <w:ind w:firstLine="0"/>
      </w:pPr>
      <w:r>
        <w:t xml:space="preserve">Copyright </w:t>
      </w:r>
      <w:r w:rsidR="001052CA">
        <w:t xml:space="preserve">2016 </w:t>
      </w:r>
      <w:r>
        <w:t>American Chemical Society.</w:t>
      </w:r>
    </w:p>
    <w:p w:rsidR="001052CA" w:rsidRDefault="001052CA"/>
    <w:p w:rsidR="001052CA" w:rsidRDefault="001052CA" w:rsidP="001052CA">
      <w:pPr>
        <w:pStyle w:val="TimesNewRoman"/>
        <w:spacing w:line="240" w:lineRule="auto"/>
        <w:ind w:firstLine="0"/>
      </w:pPr>
      <w:r>
        <w:t>This use is permitted according to the Ethical Guidelines to Publication of Chemical Research [</w:t>
      </w:r>
      <w:r w:rsidRPr="001052CA">
        <w:t>http://pubs.acs.org/page/policy/ethics/index.html</w:t>
      </w:r>
      <w:r>
        <w:t>]:</w:t>
      </w:r>
    </w:p>
    <w:p w:rsidR="00921E93" w:rsidRDefault="001052CA" w:rsidP="00921E93">
      <w:pPr>
        <w:pStyle w:val="TimesNewRoman"/>
        <w:spacing w:line="240" w:lineRule="auto"/>
        <w:ind w:left="720" w:firstLine="0"/>
      </w:pPr>
      <w:r>
        <w:t>Authors may reuse all or part of the Submitted, Accepted or Published Work in a thesis or dissertation that the author writes and is required to submit to satisfy the criteria of degree-granting institutions. Such reuse is permitted subject to the ACS’ “</w:t>
      </w:r>
      <w:r w:rsidRPr="001052CA">
        <w:t>Ethical Guidelines to Publication of Chemical Research</w:t>
      </w:r>
      <w:r>
        <w:t>”; the author should secure written confirmation (via letter or email) from the respective ACS journal editor(s) to avoid potential conflicts</w:t>
      </w:r>
      <w:r w:rsidR="00921E93">
        <w:t xml:space="preserve"> with journal prior publication</w:t>
      </w:r>
      <w:r>
        <w:t>/embargo policies. Appropriate citation of t</w:t>
      </w:r>
      <w:r w:rsidR="00921E93">
        <w:t>he Published Work must be made</w:t>
      </w:r>
      <w:r>
        <w:t xml:space="preserve">. If the thesis or dissertation to be published is in electronic format, a direct link to the Published Work must also be included using the </w:t>
      </w:r>
      <w:r w:rsidRPr="001052CA">
        <w:t>ACS Articles on Request</w:t>
      </w:r>
      <w:r>
        <w:t xml:space="preserve"> author-directed link.</w:t>
      </w:r>
    </w:p>
    <w:p w:rsidR="00921E93" w:rsidRDefault="00921E93">
      <w:pPr>
        <w:rPr>
          <w:rFonts w:ascii="Times New Roman" w:hAnsi="Times New Roman"/>
          <w:sz w:val="24"/>
        </w:rPr>
      </w:pPr>
      <w:r>
        <w:br w:type="page"/>
      </w:r>
    </w:p>
    <w:p w:rsidR="00031CC7" w:rsidRDefault="00031CC7" w:rsidP="00921E93">
      <w:pPr>
        <w:pStyle w:val="Heading2"/>
        <w:ind w:firstLine="0"/>
      </w:pPr>
      <w:r>
        <w:lastRenderedPageBreak/>
        <w:t>4.1 –</w:t>
      </w:r>
      <w:r w:rsidR="00921E93">
        <w:t xml:space="preserve"> Abstract</w:t>
      </w:r>
    </w:p>
    <w:p w:rsidR="00921E93" w:rsidRDefault="00921E93" w:rsidP="00921E93">
      <w:pPr>
        <w:pStyle w:val="TimesNewRoman"/>
      </w:pPr>
      <w:r w:rsidRPr="00921E93">
        <w:t>This work presents the retention capabilities and surface area enhancement of highly ordered, high-aspect ratio, open-platform, 2-D pillar arrays when coated with a thin layer of porous silicon oxide (PSO).  Photolithographically-prepared pillar arrays were coated with 50-250 nm of PSO via plasma enhanced chemical vapor deposition and then functionalized with either octadecyltrichlorosilane or n-butyldimethylchlorosilane.  Theoretical calculations indicate that a 50 nm layer of PSO increases the surface area of a pillar nearly 120-fold.  Retention capabilities were tested by observing capillary action-driven development under various conditions, as well as by running one-dimensional separations on varying thicknesses of PSO.  Increasing the thickness of PSO on an array clearly resulted in greater retention of the analyte(s) in question in both experiments.  In culmination, a two-dimensional separation of fluorescently derivatized-amines was performed to further demonstrate the capabilities of these fabricated platforms.</w:t>
      </w:r>
    </w:p>
    <w:p w:rsidR="00921E93" w:rsidRDefault="00921E93" w:rsidP="00921E93">
      <w:pPr>
        <w:pStyle w:val="Heading2"/>
        <w:ind w:firstLine="0"/>
      </w:pPr>
      <w:r>
        <w:t xml:space="preserve">4.2 – Introduction </w:t>
      </w:r>
    </w:p>
    <w:p w:rsidR="00921E93" w:rsidRDefault="00921E93" w:rsidP="00921E93">
      <w:pPr>
        <w:pStyle w:val="TimesNewRoman"/>
        <w:rPr>
          <w:vertAlign w:val="superscript"/>
        </w:rPr>
      </w:pPr>
      <w:r w:rsidRPr="00921E93">
        <w:t>Micro- and nano-scale on-chip separation media have been developed by modifying fabrication processes first used by the semiconductor industry.</w:t>
      </w:r>
      <w:r>
        <w:rPr>
          <w:vertAlign w:val="superscript"/>
        </w:rPr>
        <w:t>x</w:t>
      </w:r>
      <w:r w:rsidRPr="00921E93">
        <w:t xml:space="preserve">  These techniques have been shown to improve efficiency by replacing the relatively polydisperse and heterogeneous packing particles in traditional packed and monolithic columns with lithographically fabricated high-aspect ratio pillars.</w:t>
      </w:r>
      <w:r>
        <w:rPr>
          <w:vertAlign w:val="superscript"/>
        </w:rPr>
        <w:t>x</w:t>
      </w:r>
      <w:r w:rsidRPr="00921E93">
        <w:t xml:space="preserve">  Not only has the fabrication of these pillar arrays been successfully replicated, but their advantages as a separation media have been well documented.</w:t>
      </w:r>
      <w:r>
        <w:rPr>
          <w:vertAlign w:val="superscript"/>
        </w:rPr>
        <w:t>x</w:t>
      </w:r>
      <w:r w:rsidRPr="00921E93">
        <w:t xml:space="preserve">  Efficiency related to mass transfer is known to improve as the particle size of a separation medium decreases, but scaling down traditional systems generally exacerbates nonuniformity in the packing material and its beds, in addition to increasing pressure demands.  However, recent </w:t>
      </w:r>
      <w:r w:rsidRPr="00921E93">
        <w:lastRenderedPageBreak/>
        <w:t>studies have established that nearly perfect pillar arrays exhibit less resistance to flow than comparable packed and monolithic columns, and combined with their high order these arrays should exhibit an improvement over traditional media.</w:t>
      </w:r>
      <w:r>
        <w:rPr>
          <w:vertAlign w:val="superscript"/>
        </w:rPr>
        <w:t>x</w:t>
      </w:r>
      <w:r w:rsidRPr="00921E93">
        <w:t xml:space="preserve">  Indeed, our group’s previous work with pillar arrays for ultra-thin layer chromatography (UTLC) has demonstrated improved plate height (H).</w:t>
      </w:r>
      <w:r>
        <w:rPr>
          <w:vertAlign w:val="superscript"/>
        </w:rPr>
        <w:t>x</w:t>
      </w:r>
      <w:r w:rsidRPr="00921E93">
        <w:rPr>
          <w:vertAlign w:val="superscript"/>
        </w:rPr>
        <w:t xml:space="preserve"> </w:t>
      </w:r>
      <w:r w:rsidRPr="00921E93">
        <w:t xml:space="preserve"> Moreover, non-lithographically created pillar arrays, such as the UTLC arrays created by Linford </w:t>
      </w:r>
      <w:r w:rsidRPr="00921E93">
        <w:rPr>
          <w:i/>
        </w:rPr>
        <w:t>et al</w:t>
      </w:r>
      <w:r w:rsidRPr="00921E93">
        <w:t xml:space="preserve"> by depositing silicon nitride onto carbon nanotube templates, or the glancing angle deposition UTLC plates created by Brett </w:t>
      </w:r>
      <w:r w:rsidRPr="00921E93">
        <w:rPr>
          <w:i/>
        </w:rPr>
        <w:t>et al</w:t>
      </w:r>
      <w:r w:rsidRPr="00921E93">
        <w:t>, have been shown to be valuable advances to separation chemistry.</w:t>
      </w:r>
      <w:r>
        <w:rPr>
          <w:vertAlign w:val="superscript"/>
        </w:rPr>
        <w:t>x</w:t>
      </w:r>
    </w:p>
    <w:p w:rsidR="00921E93" w:rsidRPr="00921E93" w:rsidRDefault="00921E93" w:rsidP="00921E93">
      <w:pPr>
        <w:pStyle w:val="TimesNewRoman"/>
      </w:pPr>
      <w:r w:rsidRPr="00921E93">
        <w:t>Perhaps one of the most promising applications of pillar UTLC is its ability to be used as a two-dimensional separation platform.  Pillar arrays have the potential to meet all three of the criteria for a true 2-D separation, because it is possible to develop in two dimensions with different mobile phases without having to transfer analytes from one medium to another.</w:t>
      </w:r>
    </w:p>
    <w:p w:rsidR="00921E93" w:rsidRDefault="00921E93" w:rsidP="00921E93">
      <w:pPr>
        <w:pStyle w:val="TimesNewRoman"/>
      </w:pPr>
      <w:r w:rsidRPr="00921E93">
        <w:t>Overall, however, the usefulness of pillar arrays as separation media is mitigated by a limited surface area.  It is well established that increasing the surface area of a stationary phase increases the retention of analyte in the system by providing more sites for sorption while simultaneously maintaining a thin sorbent layer.</w:t>
      </w:r>
      <w:r>
        <w:rPr>
          <w:vertAlign w:val="superscript"/>
        </w:rPr>
        <w:t>x</w:t>
      </w:r>
      <w:r w:rsidRPr="00921E93">
        <w:t xml:space="preserve">  Desmet </w:t>
      </w:r>
      <w:r w:rsidRPr="00921E93">
        <w:rPr>
          <w:i/>
        </w:rPr>
        <w:t>et al</w:t>
      </w:r>
      <w:r w:rsidRPr="00921E93">
        <w:t xml:space="preserve"> demonstrated that porous silicon can be used to increase surface area in pressurized and confined ordered systems, while Olesik </w:t>
      </w:r>
      <w:r w:rsidRPr="00921E93">
        <w:rPr>
          <w:i/>
        </w:rPr>
        <w:t>et al</w:t>
      </w:r>
      <w:r w:rsidRPr="00921E93">
        <w:t xml:space="preserve"> used a mat of spun polyacrylonitrile to generate a porous layer and create an open UTLC platform.</w:t>
      </w:r>
      <w:r>
        <w:rPr>
          <w:vertAlign w:val="superscript"/>
        </w:rPr>
        <w:t>x</w:t>
      </w:r>
      <w:r w:rsidRPr="00921E93">
        <w:t xml:space="preserve">  Previous research from our group has shown that highly ordered micro-pillar arrays, coated with a thin layer of silicon oxide and functionalized with a hydrocarbon reversed stationary phase, can produce plate heights of less than 1 μm in closed pressure-driven systems and plate heights on average of 2 μm in open, capillary-action-driven array systems.</w:t>
      </w:r>
      <w:r>
        <w:rPr>
          <w:vertAlign w:val="superscript"/>
        </w:rPr>
        <w:t>x</w:t>
      </w:r>
      <w:r w:rsidRPr="00921E93">
        <w:t xml:space="preserve">  Studies have found that room temperature plasma enhanced chemical vapor deposition (PECVD) of </w:t>
      </w:r>
      <w:r w:rsidRPr="00921E93">
        <w:lastRenderedPageBreak/>
        <w:t>silicon oxide creates a thin, conformal porous silicon oxide (PSO) layer.</w:t>
      </w:r>
      <w:r>
        <w:rPr>
          <w:vertAlign w:val="superscript"/>
        </w:rPr>
        <w:t>x</w:t>
      </w:r>
      <w:r w:rsidRPr="00921E93">
        <w:t xml:space="preserve">  Crane </w:t>
      </w:r>
      <w:r w:rsidRPr="00921E93">
        <w:rPr>
          <w:i/>
        </w:rPr>
        <w:t>et al</w:t>
      </w:r>
      <w:r w:rsidRPr="00921E93">
        <w:t xml:space="preserve"> were able to use PSO to investigate closing the gap between pillars and its effect on solvent flow and efficiency.</w:t>
      </w:r>
      <w:r>
        <w:rPr>
          <w:vertAlign w:val="superscript"/>
        </w:rPr>
        <w:t>x</w:t>
      </w:r>
      <w:r w:rsidRPr="00921E93">
        <w:t xml:space="preserve">  In this work we examine the effect of applying PSO to UTLC systems for the purposes of investigating its effect on analyte retention. The retentiveness and band dispersion of varying thicknesses of PSO is examined, along with the effect of solvent polarity on analyte retention.  After these preliminary studies, the effectiveness of the system as both a 1-D and a 2-D separation platform is evaluated.</w:t>
      </w:r>
    </w:p>
    <w:p w:rsidR="00921E93" w:rsidRDefault="00921E93" w:rsidP="00921E93">
      <w:pPr>
        <w:pStyle w:val="Heading2"/>
        <w:ind w:firstLine="0"/>
      </w:pPr>
      <w:r>
        <w:t>4.3 – Experimental</w:t>
      </w:r>
    </w:p>
    <w:p w:rsidR="00921E93" w:rsidRDefault="00921E93" w:rsidP="00921E93">
      <w:pPr>
        <w:pStyle w:val="Heading3"/>
      </w:pPr>
      <w:r>
        <w:t>Fabrication</w:t>
      </w:r>
    </w:p>
    <w:p w:rsidR="00921E93" w:rsidRPr="00921E93" w:rsidRDefault="00921E93" w:rsidP="00921E93">
      <w:pPr>
        <w:pStyle w:val="TimesNewRoman"/>
      </w:pPr>
      <w:r w:rsidRPr="00C7207E">
        <w:rPr>
          <w:color w:val="FF0000"/>
        </w:rPr>
        <w:t>Figure 4.3.1</w:t>
      </w:r>
      <w:r w:rsidRPr="00921E93">
        <w:t xml:space="preserve"> depicts the overarching steps in the fabrication process.  First, high aspect-ratio pillar arrays were designed using CAD software defining the pillars as rhomboids laid out in equilateral triangles.  Silicon wafers (Czochralski grown, p-type, 100 mm, 300-500 μm thickness, 0.01-20Ω resistivity) were chosen as the base of the arrays, with the arrays being 3 cm x 3 cm. After deposition of a double-layer resist system (lift-off resist LOR-1A overcoated by positive tone photoresist 955CM-2.1, Microchem Corp.), a Quintel Inc. contact aligner was used for photolithographic patterning.  The contact aligner exposes the wafer to UV light through a mask, such that after development there are holes in the photoresist where the pillars will be.  Chromium (15-20 nm) was then deposited onto the wafer with an electron beam physical vapor deposition evaporator.  The remaining photoresist is then lifted off the wafer, taking any excess Cr with it such that only areas which had holes now have Cr.  The Cr then acts as a hard mask during a Bosch process that alternates etching with a passivation layer of fluoropolymer.  This anisotropic deep reactive ion etching (DRIE, System 100 Plasma Etcher, Oxford Instruments) was used to form pillars that are 15-20 μm in height.  The resulting pillars also had a mean </w:t>
      </w:r>
      <w:r w:rsidRPr="00921E93">
        <w:lastRenderedPageBreak/>
        <w:t xml:space="preserve">diameter of 2 μm and a mean pillar gap of 1.5 μm.  Although the previous work by Crane </w:t>
      </w:r>
      <w:r w:rsidRPr="00921E93">
        <w:rPr>
          <w:i/>
        </w:rPr>
        <w:t>et al</w:t>
      </w:r>
      <w:r>
        <w:rPr>
          <w:i/>
          <w:vertAlign w:val="superscript"/>
        </w:rPr>
        <w:t xml:space="preserve">x </w:t>
      </w:r>
      <w:r w:rsidRPr="00921E93">
        <w:t xml:space="preserve">showed the advantage of decreasing pillar and pillar gap size, slightly greater gap sizes were chosen so that greater thicknesses of PSO could be deposited without closing the inter-pillar gap. </w:t>
      </w:r>
    </w:p>
    <w:p w:rsidR="00921E93" w:rsidRDefault="00921E93" w:rsidP="00921E93">
      <w:pPr>
        <w:pStyle w:val="TimesNewRoman"/>
      </w:pPr>
      <w:r w:rsidRPr="00921E93">
        <w:t>Following etching, pillars were coated with a thin layer of porous silicon oxide (2, 4, or 6 minute deposition time) via room temperature plasma-enhanced chemical vapor deposition (PECVD, System 100 Plasma Deposition Tool, Oxford Instruments).</w:t>
      </w:r>
      <w:proofErr w:type="gramStart"/>
      <w:r w:rsidRPr="00921E93">
        <w:rPr>
          <w:vertAlign w:val="superscript"/>
        </w:rPr>
        <w:t>x</w:t>
      </w:r>
      <w:r w:rsidRPr="00921E93">
        <w:t xml:space="preserve">  Unlike</w:t>
      </w:r>
      <w:proofErr w:type="gramEnd"/>
      <w:r w:rsidRPr="00921E93">
        <w:t xml:space="preserve"> wet chemistry methods of creating a porous silicon oxide layer, this method coats the surface of the pillar arrays instead of etching into them.  This retains the integrity of the pillars and requires no post-annealing process.  In addition to increasing the surface area of the arrays, the PSO is rich in free silanols, allowing for functionalization of the arrays with either octadecyltrichlorosilane (C18) or n-butyldimethylchlorosilane (C4) and making it a suitable substrate for reversed phase chromatography.</w:t>
      </w:r>
    </w:p>
    <w:p w:rsidR="00921E93" w:rsidRDefault="00921E93" w:rsidP="00921E93">
      <w:pPr>
        <w:pStyle w:val="Heading3"/>
      </w:pPr>
      <w:r>
        <w:t>Functionalization</w:t>
      </w:r>
    </w:p>
    <w:p w:rsidR="00921E93" w:rsidRDefault="00C7207E" w:rsidP="00921E93">
      <w:pPr>
        <w:pStyle w:val="TimesNewRoman"/>
      </w:pPr>
      <w:r w:rsidRPr="00C7207E">
        <w:t>Functionalization with C18 has been described previously.</w:t>
      </w:r>
      <w:proofErr w:type="gramStart"/>
      <w:r w:rsidRPr="00C7207E">
        <w:rPr>
          <w:vertAlign w:val="superscript"/>
        </w:rPr>
        <w:t>x</w:t>
      </w:r>
      <w:r w:rsidRPr="00C7207E">
        <w:t xml:space="preserve">  The</w:t>
      </w:r>
      <w:proofErr w:type="gramEnd"/>
      <w:r w:rsidRPr="00C7207E">
        <w:t xml:space="preserve"> pillar array was first treated with equal parts nitric and sulfuric acids for 30 minutes, followed by drying at 120 </w:t>
      </w:r>
      <w:r w:rsidRPr="00C7207E">
        <w:sym w:font="Symbol" w:char="F0B0"/>
      </w:r>
      <w:r w:rsidRPr="00C7207E">
        <w:t xml:space="preserve">C overnight.  The array was then submerged in 10% octadecyltrichlorosilane in toluene (to minimize polymerization) and heated to 170 </w:t>
      </w:r>
      <w:r w:rsidRPr="00C7207E">
        <w:rPr>
          <w:vertAlign w:val="superscript"/>
        </w:rPr>
        <w:t>o</w:t>
      </w:r>
      <w:r w:rsidRPr="00C7207E">
        <w:t>C for 2 hours.  Then the array was rinsed in toluene, tetrahydrafuran, 90/10 tetrahydrafuran/distilled water, and distilled water, each rinse lasting 10 minutes and repeated once before moving on to the next rinse.  In the C4 functionalization, the arrays were first treated with acid and dried as in the C18 functionalization.  Then they were placed into a desiccator overnight with an open dish containing a 10% solution of n-butyldimethylchlorosilane in toluene (to maximize evaporation) before following the same rinse procedure as with the C18 functionalization.</w:t>
      </w:r>
    </w:p>
    <w:p w:rsidR="00C7207E" w:rsidRDefault="00C7207E" w:rsidP="00C7207E">
      <w:pPr>
        <w:pStyle w:val="Heading3"/>
      </w:pPr>
      <w:r>
        <w:lastRenderedPageBreak/>
        <w:t>Determination of PSO porosity/surface area</w:t>
      </w:r>
    </w:p>
    <w:p w:rsidR="00C7207E" w:rsidRPr="00C7207E" w:rsidRDefault="00C7207E" w:rsidP="00C7207E">
      <w:pPr>
        <w:pStyle w:val="TimesNewRoman"/>
      </w:pPr>
      <w:r w:rsidRPr="00C7207E">
        <w:t>Following fabrication, arrays were imaged using Merlin scanning electron microscopy (SEM) to determine PSO thickness and to visualiz</w:t>
      </w:r>
      <w:r>
        <w:t xml:space="preserve">e the PSO morphology.  </w:t>
      </w:r>
      <w:r w:rsidRPr="00C7207E">
        <w:rPr>
          <w:color w:val="FF0000"/>
        </w:rPr>
        <w:t>Figure 4.3.1</w:t>
      </w:r>
      <w:r w:rsidRPr="00C7207E">
        <w:t xml:space="preserve"> shows a typical image of the arrays, with the characteristic pebbled texture of the PSO visible.  This morphology was then used to estimate the surface area increase due to the porous layer.</w:t>
      </w:r>
    </w:p>
    <w:p w:rsidR="00C7207E" w:rsidRPr="00C7207E" w:rsidRDefault="00C7207E" w:rsidP="00C7207E">
      <w:pPr>
        <w:pStyle w:val="TimesNewRoman"/>
      </w:pPr>
      <w:r w:rsidRPr="00C7207E">
        <w:t xml:space="preserve">In addition, ellipsometry was used to characterize degree of porosity of PSO deposited onto an unaltered silicon wafer. For ellipsometric measurements, PSO was deposited on silicon substrates using a deposition time of 110 seconds. Ellipsometric data were acquired at the probing wavelength of 633 nm and incident angle of 55 degrees using a Beaglehole spectroscopic imaging ellipsometer (SIE, Beaglehole) equipped with a sample flow cell. The flow cell was fed with a mixture of saturated water vapor and dry nitrogen gas (99.99 purity) and allowed us to acquire ellipsometric angles as a function of relative humidity (RH) in the range of 0-98 % with accuracy of 3%. Humidity was measured by a humidity sensor (Omega engineering USB sensor) at the outlet of the flow cell. These values were used to calculate refractive indices for dry and humid conditions, which were then applied to a three-component effective medium model, as shown in </w:t>
      </w:r>
      <w:r w:rsidRPr="00C7207E">
        <w:rPr>
          <w:color w:val="FF0000"/>
        </w:rPr>
        <w:t>Figure 4.3.1</w:t>
      </w:r>
      <w:r w:rsidRPr="00C7207E">
        <w:t xml:space="preserve">, to determine void fraction. </w:t>
      </w:r>
    </w:p>
    <w:p w:rsidR="00C7207E" w:rsidRDefault="00C7207E" w:rsidP="00C7207E">
      <w:pPr>
        <w:pStyle w:val="TimesNewRoman"/>
      </w:pPr>
      <w:r w:rsidRPr="00C7207E">
        <w:t xml:space="preserve">The surface area factor increase on pillar arrays was determined via fluorescence increase.  Array fragments with 0, 50, 100, and 150 nm of PSO were functionalized with 3-aminopropyltriethoxysilane (APTES) by placing the pieces in a 10% v/v APTES/toluene solution and soaking at room temperature for 1 hr.  The pieces were then sequentially rinsed with toluene, methanol, and deionized water and then were soaked in 1 mM fluoresceinisothiocyanate (FITC) (in ethanol) for 45 min.  After a triplicate rinse in ethanol to remove any excess FITC, fluorescence imaging of the pieces was performed with a Nikon Eclipse E600 microscope and Q-capture software.  Multiple (n≥7) </w:t>
      </w:r>
      <w:proofErr w:type="gramStart"/>
      <w:r w:rsidRPr="00C7207E">
        <w:t>102 pixel</w:t>
      </w:r>
      <w:proofErr w:type="gramEnd"/>
      <w:r w:rsidRPr="00C7207E">
        <w:t xml:space="preserve"> x 102 pixel square areas on the green channel of each </w:t>
      </w:r>
      <w:r w:rsidRPr="00C7207E">
        <w:lastRenderedPageBreak/>
        <w:t>image were then integrated and averaged to obtain the mean gray value.  These values were then corrected by subtracting the average mean gray value of an equivalent area without the APTES/FITC treatment.  Error was then taken as the standard deviations of the integrations.  Comparing the corrected fluorescence values to one another then indicated the surface a</w:t>
      </w:r>
      <w:r>
        <w:t xml:space="preserve">rea factor increase (see </w:t>
      </w:r>
      <w:r w:rsidRPr="00C7207E">
        <w:rPr>
          <w:color w:val="FF0000"/>
        </w:rPr>
        <w:t>Table 4.3.1</w:t>
      </w:r>
      <w:r w:rsidRPr="00C7207E">
        <w:t>).</w:t>
      </w:r>
    </w:p>
    <w:p w:rsidR="00C7207E" w:rsidRDefault="00C7207E" w:rsidP="00C7207E">
      <w:pPr>
        <w:pStyle w:val="Heading3"/>
      </w:pPr>
      <w:r>
        <w:t>Retention and Efficiency Studies</w:t>
      </w:r>
    </w:p>
    <w:p w:rsidR="00C7207E" w:rsidRDefault="00C7207E" w:rsidP="00C7207E">
      <w:pPr>
        <w:pStyle w:val="TimesNewRoman"/>
      </w:pPr>
      <w:r w:rsidRPr="00C7207E">
        <w:t xml:space="preserve">The retentive capabilities of the arrays were tested by observing analyte development.  A chamber for vertical development was constructed from a </w:t>
      </w:r>
      <w:proofErr w:type="gramStart"/>
      <w:r w:rsidRPr="00C7207E">
        <w:t>20 dram</w:t>
      </w:r>
      <w:proofErr w:type="gramEnd"/>
      <w:r w:rsidRPr="00C7207E">
        <w:t xml:space="preserve"> vial.  A hole was drilled in the top such that a moveable piston could be inserted into the chamber, and to which the array could be attached so it could be brought into contact with the solvent well below it.  Additionally, a sponge was placed in the solvent well against the back of the chamber to facilitate even vapor distribution of the mobile phase.  Analyte detection before and after development was obtained via fluorescence imaging with a Nikon Eclipse E600 microscope and Q-capture software.  Retention experiments were performed using coumarin 153 (LambdaPhysik, 1 x 10</w:t>
      </w:r>
      <w:r w:rsidRPr="00C7207E">
        <w:rPr>
          <w:vertAlign w:val="superscript"/>
        </w:rPr>
        <w:t>-5</w:t>
      </w:r>
      <w:r w:rsidRPr="00C7207E">
        <w:t xml:space="preserve"> M) with varying thicknesses of PSO coating on the arrays (2, 4, or </w:t>
      </w:r>
      <w:proofErr w:type="gramStart"/>
      <w:r w:rsidRPr="00C7207E">
        <w:t>6 minute</w:t>
      </w:r>
      <w:proofErr w:type="gramEnd"/>
      <w:r w:rsidRPr="00C7207E">
        <w:t xml:space="preserve"> deposition times), varying mobile phases (ethanol, methanol, or isopropanol, each in varying concentrations in water), and varying functionalization reagent.</w:t>
      </w:r>
    </w:p>
    <w:p w:rsidR="00C7207E" w:rsidRDefault="00C7207E" w:rsidP="00C7207E">
      <w:pPr>
        <w:pStyle w:val="Heading3"/>
      </w:pPr>
      <w:r>
        <w:t>Separations</w:t>
      </w:r>
    </w:p>
    <w:p w:rsidR="00C7207E" w:rsidRPr="00C7207E" w:rsidRDefault="00C7207E" w:rsidP="00C7207E">
      <w:pPr>
        <w:pStyle w:val="TimesNewRoman"/>
      </w:pPr>
      <w:r w:rsidRPr="00C7207E">
        <w:t>One-dimensional separation experiments were performed with a four-component dye mixture of coumarin 153 (Lambda Physik, 2 x 10</w:t>
      </w:r>
      <w:r w:rsidRPr="00C7207E">
        <w:rPr>
          <w:vertAlign w:val="superscript"/>
        </w:rPr>
        <w:t>-5</w:t>
      </w:r>
      <w:r w:rsidRPr="00C7207E">
        <w:t xml:space="preserve"> M), coumarin 2 (TCI, 1 x 10</w:t>
      </w:r>
      <w:r w:rsidRPr="00C7207E">
        <w:rPr>
          <w:vertAlign w:val="superscript"/>
        </w:rPr>
        <w:t>-5</w:t>
      </w:r>
      <w:r w:rsidRPr="00C7207E">
        <w:t xml:space="preserve"> M), coumarin 120 (Aldrich, 1 x 10</w:t>
      </w:r>
      <w:r w:rsidRPr="00C7207E">
        <w:rPr>
          <w:vertAlign w:val="superscript"/>
        </w:rPr>
        <w:t>-5</w:t>
      </w:r>
      <w:r w:rsidRPr="00C7207E">
        <w:t xml:space="preserve"> M), and sulforhodamine 640 (Exciton, 1 x 10</w:t>
      </w:r>
      <w:r w:rsidRPr="00C7207E">
        <w:rPr>
          <w:vertAlign w:val="superscript"/>
        </w:rPr>
        <w:t>-6</w:t>
      </w:r>
      <w:r w:rsidRPr="00C7207E">
        <w:t xml:space="preserve"> M) with varying PSO thickness (2’, 4’, or 6’ deposition time) and varying functionalization method.  Separations were carried out in 50% by volume </w:t>
      </w:r>
      <w:proofErr w:type="gramStart"/>
      <w:r w:rsidRPr="00C7207E">
        <w:t>ethanol:water</w:t>
      </w:r>
      <w:proofErr w:type="gramEnd"/>
      <w:r w:rsidRPr="00C7207E">
        <w:t xml:space="preserve"> on C4 arrays and a C18 array.  One-dimensional </w:t>
      </w:r>
      <w:r w:rsidRPr="00C7207E">
        <w:lastRenderedPageBreak/>
        <w:t xml:space="preserve">development was performed in the same chamber as in the retention experiments.  Detection was performed via fluorescence imaging with the Nikon microscope and software described above.  </w:t>
      </w:r>
    </w:p>
    <w:p w:rsidR="00C7207E" w:rsidRDefault="00C7207E" w:rsidP="00C7207E">
      <w:pPr>
        <w:pStyle w:val="TimesNewRoman"/>
      </w:pPr>
      <w:r w:rsidRPr="00C7207E">
        <w:t>Two-dimensional separation experiments were carried out using a mixture of 7-chlor-4-nitrobenzofurazan-derivitized amines (NBD-amines).  A 3 cm x 3 cm pillar array with 150 nm PSO was functionalized with C4.  NBD-amines were prepared by mixing 5 mL of a 2.95 M solution of the desired amine (in methanol) with 10 mL of a 0.1 M solution of NaHCO</w:t>
      </w:r>
      <w:r w:rsidRPr="00C7207E">
        <w:rPr>
          <w:vertAlign w:val="subscript"/>
        </w:rPr>
        <w:t>3</w:t>
      </w:r>
      <w:r w:rsidRPr="00C7207E">
        <w:t xml:space="preserve"> (Fischer Scientific, pH 9) and 25 mL of a 0.05% (w/v) solution of 7-chlor-4-nitrobenzofurazan (Acros Organics) in methanol.  After 60 min at 55</w:t>
      </w:r>
      <w:r w:rsidRPr="00C7207E">
        <w:sym w:font="Symbol" w:char="F0B0"/>
      </w:r>
      <w:r w:rsidRPr="00C7207E">
        <w:t>C, the derivatives were diluted to the desired concentration.  A six-component mixture containing NBD-heptylamine (5 x 10</w:t>
      </w:r>
      <w:r w:rsidRPr="00C7207E">
        <w:rPr>
          <w:vertAlign w:val="superscript"/>
        </w:rPr>
        <w:t>-4</w:t>
      </w:r>
      <w:r w:rsidRPr="00C7207E">
        <w:t xml:space="preserve"> M), NBD-hexylamine (5 x 10</w:t>
      </w:r>
      <w:r w:rsidRPr="00C7207E">
        <w:rPr>
          <w:vertAlign w:val="superscript"/>
        </w:rPr>
        <w:t>-4</w:t>
      </w:r>
      <w:r w:rsidRPr="00C7207E">
        <w:t xml:space="preserve"> M), NBD-1-amino-5-hexene (5 x 10</w:t>
      </w:r>
      <w:r w:rsidRPr="00C7207E">
        <w:rPr>
          <w:vertAlign w:val="superscript"/>
        </w:rPr>
        <w:t>-4</w:t>
      </w:r>
      <w:r w:rsidRPr="00C7207E">
        <w:t xml:space="preserve"> M), NBD-pentylamine (5 x 10</w:t>
      </w:r>
      <w:r w:rsidRPr="00C7207E">
        <w:rPr>
          <w:vertAlign w:val="superscript"/>
        </w:rPr>
        <w:t>-4</w:t>
      </w:r>
      <w:r w:rsidRPr="00C7207E">
        <w:t xml:space="preserve"> M), NBD-butylamine (5 x 10</w:t>
      </w:r>
      <w:r w:rsidRPr="00C7207E">
        <w:rPr>
          <w:vertAlign w:val="superscript"/>
        </w:rPr>
        <w:t>-4</w:t>
      </w:r>
      <w:r w:rsidRPr="00C7207E">
        <w:t xml:space="preserve"> M), and NBD-propylamine (5 x 10</w:t>
      </w:r>
      <w:r w:rsidRPr="00C7207E">
        <w:rPr>
          <w:vertAlign w:val="superscript"/>
        </w:rPr>
        <w:t>-4</w:t>
      </w:r>
      <w:r w:rsidRPr="00C7207E">
        <w:t xml:space="preserve"> M) was spotted in the lower left corner of the array.  Development in the first dimension was carried out using a 40% by volume </w:t>
      </w:r>
      <w:proofErr w:type="gramStart"/>
      <w:r w:rsidRPr="00C7207E">
        <w:t>ethanol:water</w:t>
      </w:r>
      <w:proofErr w:type="gramEnd"/>
      <w:r w:rsidRPr="00C7207E">
        <w:t xml:space="preserve"> solution.  Following this, the array was dried and imaged and then the array was rotated and development in the second dimension was carried out with a 40% by volume </w:t>
      </w:r>
      <w:proofErr w:type="gramStart"/>
      <w:r w:rsidRPr="00C7207E">
        <w:t>ethanol:water</w:t>
      </w:r>
      <w:proofErr w:type="gramEnd"/>
      <w:r w:rsidRPr="00C7207E">
        <w:t xml:space="preserve"> solution containing 0.038 M AgNO</w:t>
      </w:r>
      <w:r w:rsidRPr="00C7207E">
        <w:rPr>
          <w:vertAlign w:val="subscript"/>
        </w:rPr>
        <w:t>3</w:t>
      </w:r>
      <w:r w:rsidRPr="00C7207E">
        <w:t>.  Development was performed in a chamber similar to that used for the 1D separation and retention experiments.  Detection was again performed via fluorescence imaging with the Nikon microscope and software.</w:t>
      </w:r>
    </w:p>
    <w:p w:rsidR="00C7207E" w:rsidRDefault="00C7207E" w:rsidP="00C7207E">
      <w:pPr>
        <w:pStyle w:val="Heading2"/>
        <w:ind w:firstLine="0"/>
      </w:pPr>
      <w:r>
        <w:t>4.4 – Results and Discussion</w:t>
      </w:r>
    </w:p>
    <w:p w:rsidR="00C7207E" w:rsidRDefault="00C7207E" w:rsidP="00C7207E">
      <w:pPr>
        <w:pStyle w:val="Heading3"/>
      </w:pPr>
      <w:r>
        <w:t>Characterization of Porous Shell-Core Pillars</w:t>
      </w:r>
    </w:p>
    <w:p w:rsidR="00C7207E" w:rsidRPr="00C7207E" w:rsidRDefault="00C7207E" w:rsidP="00C7207E">
      <w:pPr>
        <w:pStyle w:val="TimesNewRoman"/>
      </w:pPr>
      <w:r w:rsidRPr="00C7207E">
        <w:t>It was deter</w:t>
      </w:r>
      <w:r>
        <w:t>mined via SEM that the 2-minute</w:t>
      </w:r>
      <w:r w:rsidRPr="00C7207E">
        <w:t xml:space="preserve"> deposition of PSO resulted in a layer of 50 nm on the pillar sidewalls, the 4-minute deposition resulted in a layer of 100 nm, and the 6-minute deposition resulted in a layer of 150 nm.  Although the deposition of PSO on a flat wafer surface follows a linear relationship with the deposition time (~90 nm/min),</w:t>
      </w:r>
      <w:r w:rsidRPr="00C7207E">
        <w:rPr>
          <w:vertAlign w:val="superscript"/>
        </w:rPr>
        <w:t xml:space="preserve"> </w:t>
      </w:r>
      <w:r w:rsidRPr="00C7207E">
        <w:t xml:space="preserve">the inability of the </w:t>
      </w:r>
      <w:r w:rsidRPr="00C7207E">
        <w:lastRenderedPageBreak/>
        <w:t xml:space="preserve">plasma to adequately reach between the pillars creates a growth pattern that is slower than anticipated, resulting in a deposition approximately 70% less than predicted for the flat surface.  Moreover, while PSO deposited on a flat wafer appears to change morphology as thickness increases from clusters of granules to a more columnar shape, PSO deposited on pillar walls does not appear to undergo this change, likely because of the thin layers deposited.   </w:t>
      </w:r>
    </w:p>
    <w:p w:rsidR="00C7207E" w:rsidRPr="00C7207E" w:rsidRDefault="00C7207E" w:rsidP="00C7207E">
      <w:pPr>
        <w:pStyle w:val="TimesNewRoman"/>
      </w:pPr>
      <w:r w:rsidRPr="00C7207E">
        <w:t>The ellipsometric angles acquired were fitted at the two extreme values of humidity, RH=0% and RH 98%, to an optical model that consisted of a single-crystal silicon substrate and a film with variable refractive index and thickness. A multi-iteration fitting procedure was performed in DeltaPsi2 software (Horiba), which allowed us to determine geometric thickness (d=144 nm) of the PSO film and its effective refractive indices for dry and humid conditions, n</w:t>
      </w:r>
      <w:r w:rsidRPr="00C7207E">
        <w:rPr>
          <w:vertAlign w:val="subscript"/>
        </w:rPr>
        <w:t>RH0</w:t>
      </w:r>
      <w:r w:rsidRPr="00C7207E">
        <w:t>=1.29 and n</w:t>
      </w:r>
      <w:r w:rsidRPr="00C7207E">
        <w:rPr>
          <w:vertAlign w:val="subscript"/>
        </w:rPr>
        <w:t>RH98</w:t>
      </w:r>
      <w:r w:rsidRPr="00C7207E">
        <w:t>=1.41, respectively. By applying these values of refractive indices to a three-component effective medium model (composed of SiO</w:t>
      </w:r>
      <w:r w:rsidRPr="00C7207E">
        <w:rPr>
          <w:vertAlign w:val="subscript"/>
        </w:rPr>
        <w:t>2</w:t>
      </w:r>
      <w:r w:rsidRPr="00C7207E">
        <w:t>, void and H</w:t>
      </w:r>
      <w:r w:rsidRPr="00C7207E">
        <w:rPr>
          <w:vertAlign w:val="subscript"/>
        </w:rPr>
        <w:t>2</w:t>
      </w:r>
      <w:r w:rsidRPr="00C7207E">
        <w:t>O) and assuming that nanosized pores in PSO are voids free of water at 0% RH and that they are completely filled with condensed water at 98% RH, we determined that the fraction of voids in dry PSO film was 34%.</w:t>
      </w:r>
    </w:p>
    <w:p w:rsidR="00C7207E" w:rsidRPr="00C7207E" w:rsidRDefault="00C7207E" w:rsidP="00C7207E">
      <w:pPr>
        <w:pStyle w:val="TimesNewRoman"/>
      </w:pPr>
      <w:r w:rsidRPr="00C7207E">
        <w:t>Using the porosity estimate and the morphological assumption that the PSO acts as a close-packed arrangement of spheres, we calculated that depositing 50 nm of PSO on a pillar results in a surface area increase by a factor of nearly 120.  The method of these calculations is shown in the supplemental information. Similarly, depositing 100 nm results in a factor increase of 240 and depositing 150 nm results in a factor increase of 370.</w:t>
      </w:r>
    </w:p>
    <w:p w:rsidR="00C7207E" w:rsidRDefault="00C7207E" w:rsidP="00C7207E">
      <w:pPr>
        <w:pStyle w:val="TimesNewRoman"/>
      </w:pPr>
      <w:r w:rsidRPr="00C7207E">
        <w:t xml:space="preserve">Using the experiments determining surface area increase by fluorescence, we calculated that depositing 50 nm of PSO resulted in a surface area factor increase of 43, depositing 100 nm of PSO resulted in a surface area factor increase of 345, and depositing 150 nm of PSO resulted in a surface area factor increase of 609.  While there is some agreement between the model and </w:t>
      </w:r>
      <w:r w:rsidRPr="00C7207E">
        <w:lastRenderedPageBreak/>
        <w:t>the FITC experiment, there is a discrepancy in the magnitude of the surface area increase.  This is possibly because the propensity of APTES to polymerize increases with increasing surface area of the underlying phase, resulting in an artificially inflated area for the FITC to bind to.  Additionally, in experiments with 50 nm PSO, we observed a S/N ratio of only 5, and this could have negatively affected our observed surface area factor increase.</w:t>
      </w:r>
    </w:p>
    <w:p w:rsidR="00C7207E" w:rsidRDefault="00C7207E" w:rsidP="00C7207E">
      <w:pPr>
        <w:pStyle w:val="Heading3"/>
      </w:pPr>
      <w:r>
        <w:t>Retention Properties</w:t>
      </w:r>
    </w:p>
    <w:p w:rsidR="00C7207E" w:rsidRPr="00C7207E" w:rsidRDefault="00C7207E" w:rsidP="00C7207E">
      <w:pPr>
        <w:pStyle w:val="TimesNewRoman"/>
      </w:pPr>
      <w:r w:rsidRPr="00C7207E">
        <w:t>The retentive capabilities of PSO-coated micro-scale pillar arrays was first examined by observing the retention of Coumarin 153 on a C4-functionalized, 50 nm PSO-coated array.  There are a number of solvent characterization parameters used in chromatography, such as mobile phase polarity index (P’).</w:t>
      </w:r>
      <w:r>
        <w:rPr>
          <w:vertAlign w:val="superscript"/>
        </w:rPr>
        <w:t>x</w:t>
      </w:r>
      <w:r w:rsidRPr="00C7207E">
        <w:t xml:space="preserve">   P’ values can vary from less than 0 for fluorochemical solvents to 10.2 for water.   </w:t>
      </w:r>
      <w:r w:rsidRPr="00C7207E">
        <w:rPr>
          <w:color w:val="FF0000"/>
        </w:rPr>
        <w:t>Figure 4.4.1</w:t>
      </w:r>
      <w:r w:rsidRPr="00C7207E">
        <w:t xml:space="preserve"> shows the retardation factor, R</w:t>
      </w:r>
      <w:r w:rsidRPr="00C7207E">
        <w:rPr>
          <w:vertAlign w:val="subscript"/>
        </w:rPr>
        <w:t>f,</w:t>
      </w:r>
      <w:r w:rsidRPr="00C7207E">
        <w:t xml:space="preserve"> of the dye versus P’ of the various solvents used in this study.   P’ is computed for mixed aqueous-organic solvents as follows </w:t>
      </w:r>
    </w:p>
    <w:p w:rsidR="00C7207E" w:rsidRPr="00C7207E" w:rsidRDefault="00C7207E" w:rsidP="00C7207E">
      <w:pPr>
        <w:pStyle w:val="TimesNewRoman"/>
        <w:jc w:val="center"/>
      </w:pPr>
      <m:oMath>
        <m:sSup>
          <m:sSupPr>
            <m:ctrlPr>
              <w:rPr>
                <w:rFonts w:ascii="Cambria Math" w:hAnsi="Cambria Math"/>
              </w:rPr>
            </m:ctrlPr>
          </m:sSupPr>
          <m:e>
            <m:r>
              <w:rPr>
                <w:rFonts w:ascii="Cambria Math" w:hAnsi="Cambria Math"/>
              </w:rPr>
              <m:t>P</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water</m:t>
            </m:r>
          </m:sub>
        </m:sSub>
        <m:sSub>
          <m:sSubPr>
            <m:ctrlPr>
              <w:rPr>
                <w:rFonts w:ascii="Cambria Math" w:hAnsi="Cambria Math"/>
              </w:rPr>
            </m:ctrlPr>
          </m:sSubPr>
          <m:e>
            <m:r>
              <w:rPr>
                <w:rFonts w:ascii="Cambria Math" w:hAnsi="Cambria Math"/>
              </w:rPr>
              <m:t>P</m:t>
            </m:r>
            <m:r>
              <m:rPr>
                <m:sty m:val="p"/>
              </m:rPr>
              <w:rPr>
                <w:rFonts w:ascii="Cambria Math" w:hAnsi="Cambria Math"/>
              </w:rPr>
              <m:t>'</m:t>
            </m:r>
          </m:e>
          <m:sub>
            <m:r>
              <w:rPr>
                <w:rFonts w:ascii="Cambria Math" w:hAnsi="Cambria Math"/>
              </w:rPr>
              <m:t>water</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w:rPr>
                <w:rFonts w:ascii="Cambria Math" w:hAnsi="Cambria Math"/>
              </w:rPr>
              <m:t>org</m:t>
            </m:r>
          </m:sub>
        </m:sSub>
        <m:sSub>
          <m:sSubPr>
            <m:ctrlPr>
              <w:rPr>
                <w:rFonts w:ascii="Cambria Math" w:hAnsi="Cambria Math"/>
              </w:rPr>
            </m:ctrlPr>
          </m:sSubPr>
          <m:e>
            <m:r>
              <w:rPr>
                <w:rFonts w:ascii="Cambria Math" w:hAnsi="Cambria Math"/>
              </w:rPr>
              <m:t>P</m:t>
            </m:r>
            <m:r>
              <m:rPr>
                <m:sty m:val="p"/>
              </m:rPr>
              <w:rPr>
                <w:rFonts w:ascii="Cambria Math" w:hAnsi="Cambria Math"/>
              </w:rPr>
              <m:t>'</m:t>
            </m:r>
          </m:e>
          <m:sub>
            <m:r>
              <w:rPr>
                <w:rFonts w:ascii="Cambria Math" w:hAnsi="Cambria Math"/>
              </w:rPr>
              <m:t>org</m:t>
            </m:r>
          </m:sub>
        </m:sSub>
        <m:r>
          <w:rPr>
            <w:rFonts w:ascii="Cambria Math" w:hAnsi="Cambria Math"/>
          </w:rPr>
          <m:t xml:space="preserve">        [4.4.1]</m:t>
        </m:r>
      </m:oMath>
      <w:r>
        <w:t xml:space="preserve">          </w:t>
      </w:r>
    </w:p>
    <w:p w:rsidR="00C7207E" w:rsidRPr="00C7207E" w:rsidRDefault="00C7207E" w:rsidP="00A236CA">
      <w:pPr>
        <w:pStyle w:val="TimesNewRoman"/>
        <w:ind w:firstLine="0"/>
      </w:pPr>
      <w:r w:rsidRPr="00C7207E">
        <w:t>with P’ values taken from tables</w:t>
      </w:r>
      <w:r w:rsidRPr="00C7207E">
        <w:rPr>
          <w:vertAlign w:val="superscript"/>
        </w:rPr>
        <w:t xml:space="preserve">x </w:t>
      </w:r>
      <w:r w:rsidRPr="00C7207E">
        <w:t xml:space="preserve">and φ being volume fraction.  </w:t>
      </w:r>
    </w:p>
    <w:p w:rsidR="00C7207E" w:rsidRPr="00C7207E" w:rsidRDefault="00C7207E" w:rsidP="00C7207E">
      <w:pPr>
        <w:pStyle w:val="TimesNewRoman"/>
      </w:pPr>
      <w:r w:rsidRPr="00C7207E">
        <w:t>In general, a change of P’ by two units is expected to result in a 10-fold change in capacity factor, k’, where</w:t>
      </w:r>
    </w:p>
    <w:p w:rsidR="00C7207E" w:rsidRPr="00C7207E" w:rsidRDefault="00C7207E" w:rsidP="00C7207E">
      <w:pPr>
        <w:pStyle w:val="TimesNewRoman"/>
        <w:jc w:val="center"/>
      </w:pPr>
      <m:oMath>
        <m:sSup>
          <m:sSupPr>
            <m:ctrlPr>
              <w:rPr>
                <w:rFonts w:ascii="Cambria Math" w:hAnsi="Cambria Math"/>
                <w:i/>
              </w:rPr>
            </m:ctrlPr>
          </m:sSupPr>
          <m:e>
            <m:r>
              <w:rPr>
                <w:rFonts w:ascii="Cambria Math" w:hAnsi="Cambria Math"/>
              </w:rPr>
              <m:t>k</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f</m:t>
                </m:r>
              </m:sub>
            </m:sSub>
          </m:den>
        </m:f>
        <m:r>
          <w:rPr>
            <w:rFonts w:ascii="Cambria Math" w:hAnsi="Cambria Math"/>
          </w:rPr>
          <m:t>-1</m:t>
        </m:r>
        <m:r>
          <w:rPr>
            <w:rFonts w:ascii="Cambria Math" w:eastAsiaTheme="minorEastAsia" w:hAnsi="Cambria Math"/>
          </w:rPr>
          <m:t xml:space="preserve">        [4.4.2]</m:t>
        </m:r>
      </m:oMath>
      <w:r>
        <w:rPr>
          <w:vertAlign w:val="superscript"/>
        </w:rPr>
        <w:t>x</w:t>
      </w:r>
    </w:p>
    <w:p w:rsidR="00C7207E" w:rsidRPr="00C7207E" w:rsidRDefault="00C7207E" w:rsidP="00C7207E">
      <w:pPr>
        <w:pStyle w:val="TimesNewRoman"/>
      </w:pPr>
      <w:r w:rsidRPr="00C7207E">
        <w:t xml:space="preserve">Our results suggest that a change of P’ by two units changes the capacity factor 30-fold, in rough agreement with this expectation, although the overall trend in retardation factor is nonlinear.  As polarity increases, the retention of the Coumarin 153 is at first fairly level, but above an index value of 7.5 the retention sharply increases.  It was not possible to achieve solvent flow with any mobile phase of higher polarity index than 8.2 as the solvent does not </w:t>
      </w:r>
      <w:r w:rsidRPr="00C7207E">
        <w:lastRenderedPageBreak/>
        <w:t>adequately wet the hydrophobic surface and wick during development.  It is possible that the inability of the mobile phase to adequately wet the stationary phase is accountable for the sharp increase in retention with higher polarity (higher water content) solvent mixtures.  Moreover, the open planar chromatography systems at the UTLC scale can be susceptible to evaporation even when care is taken to saturate the vapor above the pillar array.</w:t>
      </w:r>
      <w:proofErr w:type="gramStart"/>
      <w:r>
        <w:rPr>
          <w:vertAlign w:val="superscript"/>
        </w:rPr>
        <w:t xml:space="preserve">x </w:t>
      </w:r>
      <w:r w:rsidRPr="00C7207E">
        <w:rPr>
          <w:vertAlign w:val="superscript"/>
        </w:rPr>
        <w:t xml:space="preserve"> </w:t>
      </w:r>
      <w:r w:rsidRPr="00C7207E">
        <w:t>Thus</w:t>
      </w:r>
      <w:proofErr w:type="gramEnd"/>
      <w:r w:rsidRPr="00C7207E">
        <w:t>, the composition of the mixed solvent might change as development proceeds and along the development dimension.</w:t>
      </w:r>
    </w:p>
    <w:p w:rsidR="00C7207E" w:rsidRPr="00C7207E" w:rsidRDefault="00C7207E" w:rsidP="00C7207E">
      <w:pPr>
        <w:pStyle w:val="TimesNewRoman"/>
      </w:pPr>
      <w:r w:rsidRPr="00C7207E">
        <w:t>Although P’ is a common measure of solvent strength, and useful for determining appropriate solvent mixtures, other terms have also been used to evaluate separation systems.  One such term, solvent strength (</w:t>
      </w:r>
      <w:r w:rsidRPr="00C7207E">
        <w:rPr>
          <w:i/>
        </w:rPr>
        <w:t>S</w:t>
      </w:r>
      <w:r w:rsidRPr="00C7207E">
        <w:t>), is related to the strength of the organic modifier in reversed-phase systems, and for a given system, is often observed to be relatively constant.</w:t>
      </w:r>
      <w:proofErr w:type="gramStart"/>
      <w:r>
        <w:rPr>
          <w:vertAlign w:val="superscript"/>
        </w:rPr>
        <w:t>x</w:t>
      </w:r>
      <w:r w:rsidRPr="00C7207E">
        <w:t xml:space="preserve">  Although</w:t>
      </w:r>
      <w:proofErr w:type="gramEnd"/>
      <w:r w:rsidRPr="00C7207E">
        <w:t xml:space="preserve"> </w:t>
      </w:r>
      <w:r w:rsidRPr="00C7207E">
        <w:rPr>
          <w:i/>
        </w:rPr>
        <w:t>S</w:t>
      </w:r>
      <w:r w:rsidRPr="00C7207E">
        <w:t xml:space="preserve"> remains fairly constant for a given system, it has been shown to vary slightly with different organic modifiers, different solutes, and different reversed phase packings.</w:t>
      </w:r>
      <w:r>
        <w:rPr>
          <w:vertAlign w:val="superscript"/>
        </w:rPr>
        <w:t>x</w:t>
      </w:r>
      <w:r w:rsidRPr="00C7207E">
        <w:t xml:space="preserve">  </w:t>
      </w:r>
      <w:r w:rsidRPr="00C7207E">
        <w:rPr>
          <w:i/>
        </w:rPr>
        <w:t>S</w:t>
      </w:r>
      <w:r w:rsidRPr="00C7207E">
        <w:t xml:space="preserve"> falls out of the straight line relationship between ln(k’) and the fraction of organic modifier according to the equation  </w:t>
      </w:r>
    </w:p>
    <w:p w:rsidR="00C7207E" w:rsidRPr="00C7207E" w:rsidRDefault="00C7207E" w:rsidP="00C7207E">
      <w:pPr>
        <w:pStyle w:val="TimesNewRoman"/>
        <w:jc w:val="center"/>
      </w:pPr>
      <m:oMathPara>
        <m:oMath>
          <m:func>
            <m:funcPr>
              <m:ctrlPr>
                <w:rPr>
                  <w:rFonts w:ascii="Cambria Math" w:hAnsi="Cambria Math"/>
                </w:rPr>
              </m:ctrlPr>
            </m:funcPr>
            <m:fName>
              <m:r>
                <m:rPr>
                  <m:sty m:val="p"/>
                </m:rPr>
                <w:rPr>
                  <w:rFonts w:ascii="Cambria Math" w:hAnsi="Cambria Math"/>
                </w:rPr>
                <m:t>ln</m:t>
              </m:r>
            </m:fName>
            <m:e>
              <m:sSup>
                <m:sSupPr>
                  <m:ctrlPr>
                    <w:rPr>
                      <w:rFonts w:ascii="Cambria Math" w:hAnsi="Cambria Math"/>
                    </w:rPr>
                  </m:ctrlPr>
                </m:sSupPr>
                <m:e>
                  <m:r>
                    <w:rPr>
                      <w:rFonts w:ascii="Cambria Math" w:hAnsi="Cambria Math"/>
                    </w:rPr>
                    <m:t>k</m:t>
                  </m:r>
                </m:e>
                <m:sup>
                  <m:r>
                    <m:rPr>
                      <m:sty m:val="p"/>
                    </m:rPr>
                    <w:rPr>
                      <w:rFonts w:ascii="Cambria Math" w:hAnsi="Cambria Math"/>
                    </w:rPr>
                    <m:t>'</m:t>
                  </m:r>
                </m:sup>
              </m:sSup>
            </m:e>
          </m:func>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sSubSup>
                <m:sSubSupPr>
                  <m:ctrlPr>
                    <w:rPr>
                      <w:rFonts w:ascii="Cambria Math" w:hAnsi="Cambria Math"/>
                    </w:rPr>
                  </m:ctrlPr>
                </m:sSubSupPr>
                <m:e>
                  <m:r>
                    <w:rPr>
                      <w:rFonts w:ascii="Cambria Math" w:hAnsi="Cambria Math"/>
                    </w:rPr>
                    <m:t>k</m:t>
                  </m:r>
                </m:e>
                <m:sub>
                  <m:r>
                    <m:rPr>
                      <m:sty m:val="p"/>
                    </m:rPr>
                    <w:rPr>
                      <w:rFonts w:ascii="Cambria Math" w:hAnsi="Cambria Math"/>
                    </w:rPr>
                    <m:t>0</m:t>
                  </m:r>
                </m:sub>
                <m:sup>
                  <m:r>
                    <m:rPr>
                      <m:sty m:val="p"/>
                    </m:rPr>
                    <w:rPr>
                      <w:rFonts w:ascii="Cambria Math" w:hAnsi="Cambria Math"/>
                    </w:rPr>
                    <m:t>'</m:t>
                  </m:r>
                </m:sup>
              </m:sSubSup>
            </m:e>
          </m:func>
          <m:r>
            <m:rPr>
              <m:sty m:val="p"/>
            </m:rPr>
            <w:rPr>
              <w:rFonts w:ascii="Cambria Math" w:hAnsi="Cambria Math"/>
            </w:rPr>
            <m:t>-</m:t>
          </m:r>
          <m:r>
            <w:rPr>
              <w:rFonts w:ascii="Cambria Math" w:hAnsi="Cambria Math"/>
            </w:rPr>
            <m:t>Sφ</m:t>
          </m:r>
          <m:r>
            <w:rPr>
              <w:rFonts w:ascii="Cambria Math" w:hAnsi="Cambria Math"/>
            </w:rPr>
            <m:t xml:space="preserve">        [4.4.3]</m:t>
          </m:r>
        </m:oMath>
      </m:oMathPara>
    </w:p>
    <w:p w:rsidR="00C7207E" w:rsidRPr="00C7207E" w:rsidRDefault="00C7207E" w:rsidP="00A236CA">
      <w:pPr>
        <w:pStyle w:val="TimesNewRoman"/>
        <w:ind w:firstLine="0"/>
      </w:pPr>
      <w:r w:rsidRPr="00C7207E">
        <w:t>where φ is the fraction of organic modifier, in percent, and ln(k’</w:t>
      </w:r>
      <w:r w:rsidRPr="00C7207E">
        <w:rPr>
          <w:vertAlign w:val="subscript"/>
        </w:rPr>
        <w:t>0</w:t>
      </w:r>
      <w:r w:rsidRPr="00C7207E">
        <w:t>) is the retention factor of the analyte in pure water, which can be extrapolated from the plot.</w:t>
      </w:r>
      <w:proofErr w:type="gramStart"/>
      <w:r>
        <w:rPr>
          <w:vertAlign w:val="superscript"/>
        </w:rPr>
        <w:t>x</w:t>
      </w:r>
      <w:r w:rsidRPr="00C7207E">
        <w:t xml:space="preserve">  Desmet</w:t>
      </w:r>
      <w:proofErr w:type="gramEnd"/>
      <w:r w:rsidRPr="00C7207E">
        <w:t xml:space="preserve"> </w:t>
      </w:r>
      <w:r w:rsidRPr="00C7207E">
        <w:rPr>
          <w:i/>
        </w:rPr>
        <w:t>et al</w:t>
      </w:r>
      <w:r w:rsidRPr="00C7207E">
        <w:t xml:space="preserve"> used this relationship to examine their sealed, pressure-driven porous pillar arrays.  Their </w:t>
      </w:r>
      <w:r w:rsidRPr="00C7207E">
        <w:rPr>
          <w:i/>
        </w:rPr>
        <w:t>S</w:t>
      </w:r>
      <w:r w:rsidRPr="00C7207E">
        <w:t xml:space="preserve"> values were comparable, but slightly larger, than typically cited solvent strength value for methanol in a reversed-phase system.</w:t>
      </w:r>
      <w:r w:rsidR="00A236CA">
        <w:rPr>
          <w:vertAlign w:val="superscript"/>
        </w:rPr>
        <w:t>x</w:t>
      </w:r>
      <w:r w:rsidRPr="00C7207E">
        <w:t xml:space="preserve"> </w:t>
      </w:r>
    </w:p>
    <w:p w:rsidR="00C7207E" w:rsidRPr="00C7207E" w:rsidRDefault="00C7207E" w:rsidP="00C7207E">
      <w:pPr>
        <w:pStyle w:val="TimesNewRoman"/>
      </w:pPr>
      <w:r w:rsidRPr="00C7207E">
        <w:t xml:space="preserve">Our system is an open porous pillar array platform similar to TLC, relying on capillary flow to wick the mobile phase, unlike Desmet </w:t>
      </w:r>
      <w:r w:rsidRPr="00C7207E">
        <w:rPr>
          <w:i/>
        </w:rPr>
        <w:t>et al</w:t>
      </w:r>
      <w:r w:rsidRPr="00C7207E">
        <w:t xml:space="preserve">, but we still wanted to draw a comparison between the two systems since both dealt with porous silicon pillar arrays.  As such, the effect of </w:t>
      </w:r>
      <w:r w:rsidRPr="00C7207E">
        <w:lastRenderedPageBreak/>
        <w:t xml:space="preserve">increasing the PSO thickness was analyzed by observing the retention of coumarin 153 on C4-functionalized pillar arrays with 50, 100, and 150 nm PSO at varying fraction of organic modifier (ethanol) in the mobile phase.  </w:t>
      </w:r>
      <w:r w:rsidRPr="00A236CA">
        <w:rPr>
          <w:color w:val="FF0000"/>
        </w:rPr>
        <w:t xml:space="preserve">Figure </w:t>
      </w:r>
      <w:r w:rsidR="00A236CA" w:rsidRPr="00A236CA">
        <w:rPr>
          <w:color w:val="FF0000"/>
        </w:rPr>
        <w:t>4.4.1</w:t>
      </w:r>
      <w:r w:rsidRPr="00C7207E">
        <w:t xml:space="preserve"> shows the graph of this relationship, ln(k’) vs φ, for the three PSO thicknesses.  Although we would expect the slopes for the lines of the three thicknesses to be the same, retention on the 150 nm PSO array developed with 70:30 </w:t>
      </w:r>
      <w:proofErr w:type="gramStart"/>
      <w:r w:rsidRPr="00C7207E">
        <w:t>EtOH:H</w:t>
      </w:r>
      <w:r w:rsidRPr="00C7207E">
        <w:rPr>
          <w:vertAlign w:val="subscript"/>
        </w:rPr>
        <w:t>2</w:t>
      </w:r>
      <w:r w:rsidRPr="00C7207E">
        <w:t>O</w:t>
      </w:r>
      <w:proofErr w:type="gramEnd"/>
      <w:r w:rsidRPr="00C7207E">
        <w:t xml:space="preserve"> was consistently less than retention in the 100 nm PSO array.  This may be due to unexpected changes in the morphology of the PSO in the thicker phase, as we found occurs on flat substrate (see above).</w:t>
      </w:r>
    </w:p>
    <w:p w:rsidR="00C7207E" w:rsidRPr="00C7207E" w:rsidRDefault="00C7207E" w:rsidP="00C7207E">
      <w:pPr>
        <w:pStyle w:val="TimesNewRoman"/>
      </w:pPr>
      <w:r w:rsidRPr="00C7207E">
        <w:t xml:space="preserve">Our solvent strength values are 100-fold less than Desmet </w:t>
      </w:r>
      <w:r w:rsidRPr="00C7207E">
        <w:rPr>
          <w:i/>
        </w:rPr>
        <w:t>et al</w:t>
      </w:r>
      <w:r w:rsidRPr="00C7207E">
        <w:t xml:space="preserve"> reported, and 10-fold less than Snyder reported.</w:t>
      </w:r>
      <w:proofErr w:type="gramStart"/>
      <w:r w:rsidR="00A236CA">
        <w:rPr>
          <w:vertAlign w:val="superscript"/>
        </w:rPr>
        <w:t>x</w:t>
      </w:r>
      <w:r w:rsidRPr="00C7207E">
        <w:t xml:space="preserve">  The</w:t>
      </w:r>
      <w:proofErr w:type="gramEnd"/>
      <w:r w:rsidRPr="00C7207E">
        <w:t xml:space="preserve"> disparity between </w:t>
      </w:r>
      <w:r w:rsidRPr="00C7207E">
        <w:rPr>
          <w:i/>
        </w:rPr>
        <w:t>S</w:t>
      </w:r>
      <w:r w:rsidRPr="00C7207E">
        <w:t xml:space="preserve"> values may come in part from differing mobile phase, but more likely comes from the differences in systems, namely that our system is open-platform, and therefore must take into account wicking and evaporation factors.  Both Desmet </w:t>
      </w:r>
      <w:r w:rsidRPr="00C7207E">
        <w:rPr>
          <w:i/>
        </w:rPr>
        <w:t>et al</w:t>
      </w:r>
      <w:r w:rsidRPr="00C7207E">
        <w:t xml:space="preserve"> and Snyder report values based upon closed, pressure-driven systems—Snyder from LC and Desmet </w:t>
      </w:r>
      <w:r w:rsidRPr="00C7207E">
        <w:rPr>
          <w:i/>
        </w:rPr>
        <w:t xml:space="preserve">et al </w:t>
      </w:r>
      <w:r w:rsidRPr="00C7207E">
        <w:t>from pillar arrays.</w:t>
      </w:r>
    </w:p>
    <w:p w:rsidR="00C7207E" w:rsidRPr="00C7207E" w:rsidRDefault="00C7207E" w:rsidP="00C7207E">
      <w:pPr>
        <w:pStyle w:val="TimesNewRoman"/>
      </w:pPr>
      <w:r w:rsidRPr="00C7207E">
        <w:t xml:space="preserve">In addition to using it to compare systems, we also used the relationship between ln(k’) and φ to examine the surface area increase with different thicknesses of PSO, much like Desmet </w:t>
      </w:r>
      <w:r w:rsidRPr="00C7207E">
        <w:rPr>
          <w:i/>
        </w:rPr>
        <w:t>et al</w:t>
      </w:r>
      <w:r w:rsidRPr="00C7207E">
        <w:t xml:space="preserve"> used it for their porous-shell pillars.</w:t>
      </w:r>
      <w:proofErr w:type="gramStart"/>
      <w:r w:rsidR="00A236CA">
        <w:rPr>
          <w:vertAlign w:val="superscript"/>
        </w:rPr>
        <w:t>x</w:t>
      </w:r>
      <w:r w:rsidRPr="00C7207E">
        <w:t xml:space="preserve">  We</w:t>
      </w:r>
      <w:proofErr w:type="gramEnd"/>
      <w:r w:rsidRPr="00C7207E">
        <w:t xml:space="preserve"> extrapolated values of ln(k’</w:t>
      </w:r>
      <w:r w:rsidRPr="00C7207E">
        <w:rPr>
          <w:vertAlign w:val="subscript"/>
        </w:rPr>
        <w:t>0</w:t>
      </w:r>
      <w:r w:rsidRPr="00C7207E">
        <w:t>) for the three PSO thicknesses, and from them calculated k’</w:t>
      </w:r>
      <w:r w:rsidRPr="00C7207E">
        <w:rPr>
          <w:vertAlign w:val="subscript"/>
        </w:rPr>
        <w:t>0</w:t>
      </w:r>
      <w:r w:rsidRPr="00C7207E">
        <w:t xml:space="preserve">.  </w:t>
      </w:r>
    </w:p>
    <w:p w:rsidR="00C7207E" w:rsidRDefault="00C7207E" w:rsidP="00C7207E">
      <w:pPr>
        <w:pStyle w:val="TimesNewRoman"/>
      </w:pPr>
      <w:r w:rsidRPr="00C7207E">
        <w:t xml:space="preserve">By comparing these values, we determined that the effective retentive surface area increases by a factor of ~3 when increasing the PSO thickness from 50 nm to 100 nm, and increases by a factor of ~14 when increasing the PSO thickness from 50 nm to 150 nm.  Here there is closer agreement to our geometric model at smaller thicknesses of PSO, but deviations from model behavior at greater thicknesses.  By comparison, calculations from our geometric </w:t>
      </w:r>
      <w:r w:rsidRPr="00C7207E">
        <w:lastRenderedPageBreak/>
        <w:t>model predict a factor increase of 2 by increasing the PSO thickness from 50 nm to 100 nm, and a factor increase of 3 when increasing from 50 nm to 150 nm.  Calculations from the FITC experiment, on the other hand, indicate a factor increase of 8 when increasing from 50 nm to 100 nm, and a factor increase of 14 when increasing from 50 nm to 150 nm.</w:t>
      </w:r>
    </w:p>
    <w:p w:rsidR="00A236CA" w:rsidRDefault="00A236CA" w:rsidP="00A236CA">
      <w:pPr>
        <w:pStyle w:val="Heading3"/>
      </w:pPr>
      <w:r>
        <w:t>Efficiency</w:t>
      </w:r>
    </w:p>
    <w:p w:rsidR="00A236CA" w:rsidRPr="00A236CA" w:rsidRDefault="00A236CA" w:rsidP="00A236CA">
      <w:pPr>
        <w:pStyle w:val="TimesNewRoman"/>
      </w:pPr>
      <w:r w:rsidRPr="00A236CA">
        <w:t>Theoretical plate height, H, is influenced by a combination of complex factors generally summarized by the Van Deemter equation,</w:t>
      </w:r>
    </w:p>
    <w:p w:rsidR="00A236CA" w:rsidRPr="00A236CA" w:rsidRDefault="00A236CA" w:rsidP="00A236CA">
      <w:pPr>
        <w:pStyle w:val="TimesNewRoman"/>
        <w:jc w:val="center"/>
      </w:pPr>
      <m:oMathPara>
        <m:oMath>
          <m:r>
            <w:rPr>
              <w:rFonts w:ascii="Cambria Math" w:hAnsi="Cambria Math"/>
            </w:rPr>
            <m:t>H</m:t>
          </m:r>
          <m:r>
            <m:rPr>
              <m:sty m:val="p"/>
            </m:rPr>
            <w:rPr>
              <w:rFonts w:ascii="Cambria Math" w:hAnsi="Cambria Math"/>
            </w:rPr>
            <m:t>=</m:t>
          </m:r>
          <m:r>
            <w:rPr>
              <w:rFonts w:ascii="Cambria Math" w:hAnsi="Cambria Math"/>
            </w:rPr>
            <m:t>A</m:t>
          </m:r>
          <m:r>
            <m:rPr>
              <m:sty m:val="p"/>
            </m:rP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μ</m:t>
              </m:r>
            </m:den>
          </m:f>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s</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m</m:t>
                  </m:r>
                </m:sub>
              </m:sSub>
            </m:e>
          </m:d>
          <m:r>
            <w:rPr>
              <w:rFonts w:ascii="Cambria Math" w:hAnsi="Cambria Math"/>
            </w:rPr>
            <m:t>μ</m:t>
          </m:r>
          <m:r>
            <w:rPr>
              <w:rFonts w:ascii="Cambria Math" w:hAnsi="Cambria Math"/>
            </w:rPr>
            <m:t xml:space="preserve">        [4.4.4]</m:t>
          </m:r>
        </m:oMath>
      </m:oMathPara>
    </w:p>
    <w:p w:rsidR="00A236CA" w:rsidRPr="00A236CA" w:rsidRDefault="00A236CA" w:rsidP="00A236CA">
      <w:pPr>
        <w:pStyle w:val="TimesNewRoman"/>
      </w:pPr>
      <w:r w:rsidRPr="009F0797">
        <w:t>where A represents eddy diffusion, B represents longitudinal diffusion, and C</w:t>
      </w:r>
      <w:r w:rsidRPr="009F0797">
        <w:rPr>
          <w:vertAlign w:val="subscript"/>
        </w:rPr>
        <w:t>s</w:t>
      </w:r>
      <w:r w:rsidRPr="009F0797">
        <w:t xml:space="preserve"> and C</w:t>
      </w:r>
      <w:r w:rsidRPr="009F0797">
        <w:rPr>
          <w:vertAlign w:val="subscript"/>
        </w:rPr>
        <w:t>m</w:t>
      </w:r>
      <w:r w:rsidRPr="009F0797">
        <w:t xml:space="preserve"> represent resistance to mass transfer in the stationary and mobile phases, respectively. In our systems, we generally ignore eddy diffusion</w:t>
      </w:r>
      <w:r w:rsidRPr="00A236CA">
        <w:rPr>
          <w:rFonts w:ascii="Arno Pro" w:eastAsia="Times New Roman" w:hAnsi="Arno Pro" w:cs="Times New Roman"/>
          <w:kern w:val="21"/>
          <w:sz w:val="19"/>
          <w:szCs w:val="20"/>
        </w:rPr>
        <w:t xml:space="preserve"> </w:t>
      </w:r>
      <w:r w:rsidRPr="00A236CA">
        <w:t>due to the highly ordered nature of our pillar arrays.   The aforementioned publication based on anodized porous pillars involved a detailed study of the effect of porous layers on efficiency including the development of an analytical model.</w:t>
      </w:r>
      <w:r>
        <w:rPr>
          <w:vertAlign w:val="superscript"/>
        </w:rPr>
        <w:t>x</w:t>
      </w:r>
      <w:r w:rsidRPr="00A236CA">
        <w:t xml:space="preserve"> Van Deemter plots showed an increase in the resistance to mass transfer at higher flow rates as the porous layer thickness increases.  They attribute the increase in C-term to anodization of the floor of pillar arrays, creating a porous layer and non-uniformity.</w:t>
      </w:r>
      <w:r>
        <w:rPr>
          <w:vertAlign w:val="superscript"/>
        </w:rPr>
        <w:t>x</w:t>
      </w:r>
      <w:r w:rsidRPr="00A236CA">
        <w:t xml:space="preserve">   </w:t>
      </w:r>
    </w:p>
    <w:p w:rsidR="00A236CA" w:rsidRPr="00A236CA" w:rsidRDefault="00A236CA" w:rsidP="00A236CA">
      <w:pPr>
        <w:pStyle w:val="TimesNewRoman"/>
      </w:pPr>
      <w:r w:rsidRPr="00A236CA">
        <w:t xml:space="preserve">While we also have a porous floor, our cursory consideration of efficiency herein involves platforms and operations that have considerable differences as well.  From a morphological standpoint, our systems have significantly smaller pillar diameters and higher aspect ratios, making it more difficult for PSO to reach deep between the pillars, which may minimize the adverse floor effect.   We employ capillary action driven flow which while simple is limiting in terms of attainable and consistent flow rates.   The permeability of uniform pillar arrays is greater than for TLC beds of similar feature size.  Nonetheless, it is only in the very </w:t>
      </w:r>
      <w:r w:rsidRPr="00A236CA">
        <w:lastRenderedPageBreak/>
        <w:t xml:space="preserve">early development process that mass transfer is limiting; during most of the development molecular diffusion is contributing mostly to </w:t>
      </w:r>
      <w:proofErr w:type="gramStart"/>
      <w:r w:rsidRPr="00A236CA">
        <w:t>H.</w:t>
      </w:r>
      <w:r>
        <w:rPr>
          <w:vertAlign w:val="superscript"/>
        </w:rPr>
        <w:t>x</w:t>
      </w:r>
      <w:r w:rsidRPr="00A236CA">
        <w:t xml:space="preserve">  The</w:t>
      </w:r>
      <w:proofErr w:type="gramEnd"/>
      <w:r w:rsidRPr="00A236CA">
        <w:t xml:space="preserve"> same is true for nanoscale pillar arrays.</w:t>
      </w:r>
      <w:r>
        <w:rPr>
          <w:vertAlign w:val="superscript"/>
        </w:rPr>
        <w:t>x</w:t>
      </w:r>
    </w:p>
    <w:p w:rsidR="00A236CA" w:rsidRPr="00A236CA" w:rsidRDefault="00A236CA" w:rsidP="00A236CA">
      <w:pPr>
        <w:pStyle w:val="TimesNewRoman"/>
        <w:ind w:firstLine="0"/>
      </w:pPr>
      <w:r w:rsidRPr="00A236CA">
        <w:t>To determine whether molecular diffusion and/or resistance to mass transfer in the stationary phase was the primary source of band broadening as PSO layers are added, a cursory evaluation of efficiency was calculated experimentally using the equation</w:t>
      </w:r>
    </w:p>
    <w:p w:rsidR="00A236CA" w:rsidRPr="00A236CA" w:rsidRDefault="00A236CA" w:rsidP="00A236CA">
      <w:pPr>
        <w:pStyle w:val="TimesNewRoman"/>
        <w:jc w:val="center"/>
      </w:pPr>
      <m:oMathPara>
        <m:oMath>
          <m:r>
            <w:rPr>
              <w:rFonts w:ascii="Cambria Math" w:hAnsi="Cambria Math"/>
            </w:rPr>
            <m:t>H=</m:t>
          </m:r>
          <m:f>
            <m:fPr>
              <m:ctrlPr>
                <w:rPr>
                  <w:rFonts w:ascii="Cambria Math" w:hAnsi="Cambria Math"/>
                  <w:i/>
                </w:rPr>
              </m:ctrlPr>
            </m:fPr>
            <m:num>
              <m:sSup>
                <m:sSupPr>
                  <m:ctrlPr>
                    <w:rPr>
                      <w:rFonts w:ascii="Cambria Math" w:hAnsi="Cambria Math"/>
                      <w:i/>
                    </w:rPr>
                  </m:ctrlPr>
                </m:sSupPr>
                <m:e>
                  <m:r>
                    <w:rPr>
                      <w:rFonts w:ascii="Cambria Math" w:hAnsi="Cambria Math"/>
                    </w:rPr>
                    <m:t>σ</m:t>
                  </m:r>
                </m:e>
                <m:sup>
                  <m:r>
                    <w:rPr>
                      <w:rFonts w:ascii="Cambria Math" w:hAnsi="Cambria Math"/>
                    </w:rPr>
                    <m:t>2</m:t>
                  </m:r>
                </m:sup>
              </m:sSup>
            </m:num>
            <m:den>
              <m:r>
                <w:rPr>
                  <w:rFonts w:ascii="Cambria Math" w:hAnsi="Cambria Math"/>
                </w:rPr>
                <m:t>L</m:t>
              </m:r>
            </m:den>
          </m:f>
          <m:r>
            <w:rPr>
              <w:rFonts w:ascii="Cambria Math" w:hAnsi="Cambria Math"/>
            </w:rPr>
            <m:t xml:space="preserve">        [4.4.5]</m:t>
          </m:r>
        </m:oMath>
      </m:oMathPara>
    </w:p>
    <w:p w:rsidR="00A236CA" w:rsidRPr="00A236CA" w:rsidRDefault="00A236CA" w:rsidP="00A236CA">
      <w:pPr>
        <w:pStyle w:val="TimesNewRoman"/>
        <w:ind w:firstLine="0"/>
      </w:pPr>
      <w:r w:rsidRPr="00A236CA">
        <w:t xml:space="preserve">where σ represents one-fourth of the apparent spot size after development and L is the distance traveled by the spot.  In some cases, the initial spot exhibits a concentrating effect upon solvation by the moving solvent front, a phenomenon previously visualized by Kirchner </w:t>
      </w:r>
      <w:r w:rsidRPr="00A236CA">
        <w:rPr>
          <w:i/>
        </w:rPr>
        <w:t>et al</w:t>
      </w:r>
      <w:r w:rsidRPr="00A236CA">
        <w:t>.</w:t>
      </w:r>
      <w:r>
        <w:rPr>
          <w:vertAlign w:val="superscript"/>
        </w:rPr>
        <w:t>x</w:t>
      </w:r>
      <w:r w:rsidRPr="00A236CA">
        <w:t xml:space="preserve">  </w:t>
      </w:r>
    </w:p>
    <w:p w:rsidR="00A236CA" w:rsidRDefault="00A236CA" w:rsidP="00A236CA">
      <w:pPr>
        <w:pStyle w:val="TimesNewRoman"/>
      </w:pPr>
      <w:r w:rsidRPr="00A236CA">
        <w:t xml:space="preserve">Due to this phenomenon, the final band size was at times smaller than the initial spot.  In order to prevent negative values for H, we assumed an infinitesimally small initial spot.  This, in turn, resulted in inflated values for H.  </w:t>
      </w:r>
      <w:r w:rsidRPr="00A236CA">
        <w:rPr>
          <w:color w:val="FF0000"/>
        </w:rPr>
        <w:t>Figure 4.4.2</w:t>
      </w:r>
      <w:r w:rsidRPr="00A236CA">
        <w:t xml:space="preserve"> shows the results of these efficiency calculations for the different thicknesses of PSO using different ethanol concentrations in the mobile phase.  Although the values themselves are artificially enlarged, the trends depicted are sound.  In our system, efficiency decreases (shown by an increase in H) as the thickness of PSO increases.  Combined with the observation that thicker stationary phases exhibited faster mobile phase development than thinner phases, this suggests that the C-terms may be significant, although further studies are warranted.</w:t>
      </w:r>
    </w:p>
    <w:p w:rsidR="00A236CA" w:rsidRDefault="00A236CA" w:rsidP="00A236CA">
      <w:pPr>
        <w:pStyle w:val="Heading3"/>
      </w:pPr>
      <w:r>
        <w:t>Separations</w:t>
      </w:r>
    </w:p>
    <w:p w:rsidR="00A236CA" w:rsidRPr="00A236CA" w:rsidRDefault="00A236CA" w:rsidP="00A236CA">
      <w:pPr>
        <w:pStyle w:val="TimesNewRoman"/>
      </w:pPr>
      <w:r w:rsidRPr="00A236CA">
        <w:t>The chromatographic capability of the system was first demonstrated by separating laser dyes.  The four components of the dye mixture were separated in each of the four trials, to varying degrees.  The retention of the dyes generally increased with increasing PSO thickness, resulting overal</w:t>
      </w:r>
      <w:r>
        <w:t xml:space="preserve">l in better resolution.  </w:t>
      </w:r>
      <w:r w:rsidRPr="00A236CA">
        <w:rPr>
          <w:color w:val="FF0000"/>
        </w:rPr>
        <w:t>Figure 4.4.3</w:t>
      </w:r>
      <w:r w:rsidRPr="00A236CA">
        <w:t xml:space="preserve"> diagram</w:t>
      </w:r>
      <w:r>
        <w:t>s</w:t>
      </w:r>
      <w:r w:rsidRPr="00A236CA">
        <w:t xml:space="preserve"> the separation results.  In addition to </w:t>
      </w:r>
      <w:r w:rsidRPr="00A236CA">
        <w:lastRenderedPageBreak/>
        <w:t>the differences occurring as a result of changing the thickness of PSO, there is a significant difference in the separation capabilities between the C4 phase and the C18 phase.  Despite C18 having more nonpolar character, C4 exhibited better resolution and retention.  If the two phases functionalized equally well, we would expect that C18 would have the greater retention.  As a result, it is likely that the gas-phase C4 reaction has a better ability to penetrate PSO pores and produce more complete coverage.</w:t>
      </w:r>
    </w:p>
    <w:p w:rsidR="00A236CA" w:rsidRPr="00A236CA" w:rsidRDefault="00A236CA" w:rsidP="00A236CA">
      <w:pPr>
        <w:pStyle w:val="TimesNewRoman"/>
      </w:pPr>
      <w:r w:rsidRPr="00A236CA">
        <w:t xml:space="preserve">The results of the two-dimensional separation are depicted in </w:t>
      </w:r>
      <w:r w:rsidRPr="00A236CA">
        <w:rPr>
          <w:color w:val="FF0000"/>
        </w:rPr>
        <w:t>Figure 4.4.4</w:t>
      </w:r>
      <w:r w:rsidRPr="00A236CA">
        <w:t>.  We see in the second dimension separation of analytes which were coretained in the first dimension, although there is a staggered effect due to a lateral vector in the mobile phase flow of the second dimension.  In order to be considered a comprehensive 2D</w:t>
      </w:r>
      <w:r w:rsidRPr="00A236CA">
        <w:rPr>
          <w:rFonts w:ascii="Arno Pro" w:eastAsia="Times New Roman" w:hAnsi="Arno Pro" w:cs="Times New Roman"/>
          <w:kern w:val="21"/>
          <w:sz w:val="19"/>
          <w:szCs w:val="20"/>
        </w:rPr>
        <w:t xml:space="preserve"> </w:t>
      </w:r>
      <w:r w:rsidRPr="00A236CA">
        <w:t>separation system, three criteria must be met: transfer from one dimension to the other must result in minimal loss of analyte or degradation of efficiency; the sample components do not recombine during transfer nor during the separation in the second dimension; and the separations in the two dimensions must occur by different mechanisms.</w:t>
      </w:r>
      <w:r>
        <w:rPr>
          <w:vertAlign w:val="superscript"/>
        </w:rPr>
        <w:t>x</w:t>
      </w:r>
      <w:r w:rsidRPr="00A236CA">
        <w:t xml:space="preserve">  Because both dimensions occur on one array with no need for transfer, and the solvent flow in the second dimension occurs perpendicular to the first, our system satisfies the first two conditions.  The silver added to our second dimension’s mobile phase adds a different mechanism, as silver salts have been shown to form π-complexes with olefins and decrease their </w:t>
      </w:r>
      <w:proofErr w:type="gramStart"/>
      <w:r w:rsidRPr="00A236CA">
        <w:t>retention,</w:t>
      </w:r>
      <w:r>
        <w:rPr>
          <w:vertAlign w:val="superscript"/>
        </w:rPr>
        <w:t>x</w:t>
      </w:r>
      <w:proofErr w:type="gramEnd"/>
      <w:r w:rsidRPr="00A236CA">
        <w:t xml:space="preserve"> and when run individually, we observed less retention of NBD-1-amino-5-hexene when using a mobile phase containing AgNO</w:t>
      </w:r>
      <w:r w:rsidRPr="00A236CA">
        <w:rPr>
          <w:vertAlign w:val="subscript"/>
        </w:rPr>
        <w:t>3</w:t>
      </w:r>
      <w:r w:rsidRPr="00A236CA">
        <w:t xml:space="preserve">.   Furthermore, in our 2-D separation, we were able to observe the separation of two co-eluted components, NBD-hexylamine and NBD-1-amino-5-hexene, due to this.  However, both dimensions separate via reversed-phase chromatography, and so cannot be truly orthogonal.  This is supported by the observation of a slightly diagonal pattern in the final positions of the components.  Giddings and </w:t>
      </w:r>
      <w:r w:rsidRPr="00A236CA">
        <w:lastRenderedPageBreak/>
        <w:t>Keller explained that a separation that is truly orthogonal will utilize the full separation space present, resulting in a random distribution of sample components.</w:t>
      </w:r>
      <w:r>
        <w:rPr>
          <w:vertAlign w:val="superscript"/>
        </w:rPr>
        <w:t>x</w:t>
      </w:r>
      <w:r w:rsidRPr="00A236CA">
        <w:rPr>
          <w:vertAlign w:val="superscript"/>
        </w:rPr>
        <w:t xml:space="preserve"> </w:t>
      </w:r>
    </w:p>
    <w:p w:rsidR="00A236CA" w:rsidRPr="00A236CA" w:rsidRDefault="00A236CA" w:rsidP="00A236CA">
      <w:pPr>
        <w:pStyle w:val="TimesNewRoman"/>
      </w:pPr>
      <w:r w:rsidRPr="00A236CA">
        <w:t>Despite this, the ability to double the development distance without having to transfer sample from one medium to another is a distinct advantage, as the limited development distance in TLC is one of its more significant drawbacks.  Therefore, although our system does not realize its full potential by using all of the available separation space, and therefore does not exhibit the very high peak capacity of a true 2D separation, there is a marked increase in peak capacity to be gained by separating in two dimensions in this way.  As described by Giddings, peak capacity of a separation with unit resolution may be calculated using</w:t>
      </w:r>
    </w:p>
    <w:p w:rsidR="00A236CA" w:rsidRPr="00A236CA" w:rsidRDefault="00A236CA" w:rsidP="00A236CA">
      <w:pPr>
        <w:pStyle w:val="TimesNewRoman"/>
        <w:jc w:val="center"/>
      </w:pPr>
      <m:oMathPara>
        <m:oMath>
          <m:sSub>
            <m:sSubPr>
              <m:ctrlPr>
                <w:rPr>
                  <w:rFonts w:ascii="Cambria Math" w:hAnsi="Cambria Math"/>
                </w:rPr>
              </m:ctrlPr>
            </m:sSubPr>
            <m:e>
              <m:r>
                <m:rPr>
                  <m:nor/>
                </m:rPr>
                <m:t>N</m:t>
              </m:r>
            </m:e>
            <m:sub>
              <m:r>
                <m:rPr>
                  <m:nor/>
                </m:rPr>
                <m:t>c</m:t>
              </m:r>
            </m:sub>
          </m:sSub>
          <m:r>
            <m:rPr>
              <m:nor/>
            </m:rPr>
            <m:t>=</m:t>
          </m:r>
          <m:f>
            <m:fPr>
              <m:ctrlPr>
                <w:rPr>
                  <w:rFonts w:ascii="Cambria Math" w:hAnsi="Cambria Math"/>
                </w:rPr>
              </m:ctrlPr>
            </m:fPr>
            <m:num>
              <m:r>
                <m:rPr>
                  <m:nor/>
                </m:rPr>
                <m:t>L</m:t>
              </m:r>
            </m:num>
            <m:den>
              <m:r>
                <m:rPr>
                  <m:nor/>
                </m:rPr>
                <m:t>4σ</m:t>
              </m:r>
            </m:den>
          </m:f>
          <m:r>
            <w:rPr>
              <w:rFonts w:ascii="Cambria Math" w:eastAsiaTheme="minorEastAsia" w:hAnsi="Cambria Math"/>
            </w:rPr>
            <m:t xml:space="preserve">        [4.4.6]</m:t>
          </m:r>
        </m:oMath>
      </m:oMathPara>
    </w:p>
    <w:p w:rsidR="00A236CA" w:rsidRDefault="00A236CA" w:rsidP="00A236CA">
      <w:pPr>
        <w:pStyle w:val="TimesNewRoman"/>
        <w:ind w:firstLine="0"/>
      </w:pPr>
      <w:r w:rsidRPr="00A236CA">
        <w:t>where L is the distance over which peaks can be distributed and σ is the average standard deviation of the peaks.</w:t>
      </w:r>
      <w:proofErr w:type="gramStart"/>
      <w:r>
        <w:rPr>
          <w:vertAlign w:val="superscript"/>
        </w:rPr>
        <w:t>x</w:t>
      </w:r>
      <w:r w:rsidRPr="00A236CA">
        <w:t xml:space="preserve">  The</w:t>
      </w:r>
      <w:proofErr w:type="gramEnd"/>
      <w:r w:rsidRPr="00A236CA">
        <w:t xml:space="preserve"> peak capacity of a 2D separation is equal to the product of the peak capacities of the 1D methods within it.</w:t>
      </w:r>
      <w:r>
        <w:rPr>
          <w:vertAlign w:val="superscript"/>
        </w:rPr>
        <w:t>x</w:t>
      </w:r>
      <w:r w:rsidRPr="00A236CA">
        <w:t xml:space="preserve">  With an average </w:t>
      </w:r>
      <w:r w:rsidRPr="00A236CA">
        <w:sym w:font="Symbol" w:char="F073"/>
      </w:r>
      <w:r w:rsidRPr="00A236CA">
        <w:t xml:space="preserve"> of 640 μm in the first dimension and 750 μm in the second, our system has a potential peak capacity of approximately 53.</w:t>
      </w:r>
    </w:p>
    <w:p w:rsidR="00A236CA" w:rsidRDefault="00A236CA" w:rsidP="00A236CA">
      <w:pPr>
        <w:pStyle w:val="Heading2"/>
        <w:ind w:firstLine="0"/>
      </w:pPr>
      <w:r>
        <w:t>4.5 – Conclusion</w:t>
      </w:r>
    </w:p>
    <w:p w:rsidR="006A7D0B" w:rsidRDefault="00A236CA" w:rsidP="00A236CA">
      <w:pPr>
        <w:pStyle w:val="TimesNewRoman"/>
      </w:pPr>
      <w:r w:rsidRPr="00A236CA">
        <w:t xml:space="preserve">In this work, we demonstrate that porous silicon oxide can serve as a retentive and high capacity stationary phase modifier for pillar array systems; effectively creating porous shell-core pillar arrays.  We showed via three different methods the increase in surface area due to deposition of PSO on the pillars.  While there was a slight increase in theoretical plate height with increasing PSO thickness, we did observe an increase in retention.  In addition, PSO on 2D pillar arrays allowed us to carry out successful 1-D and 2-D separations, indicating that it does indeed improve the efficacy of pillar array systems.  Looking forward, we hope to apply these </w:t>
      </w:r>
      <w:r w:rsidRPr="00A236CA">
        <w:lastRenderedPageBreak/>
        <w:t>findings towards systems of smaller size as well as to attempt different flow methods and investigate stationary phase asymmetry to create a truly two-dimensional platform.</w:t>
      </w:r>
    </w:p>
    <w:p w:rsidR="006A7D0B" w:rsidRDefault="006A7D0B">
      <w:pPr>
        <w:rPr>
          <w:rFonts w:ascii="Times New Roman" w:hAnsi="Times New Roman"/>
          <w:sz w:val="24"/>
        </w:rPr>
      </w:pPr>
      <w:r>
        <w:br w:type="page"/>
      </w:r>
    </w:p>
    <w:p w:rsidR="00A236CA" w:rsidRDefault="006A7D0B" w:rsidP="006A7D0B">
      <w:pPr>
        <w:pStyle w:val="Title"/>
      </w:pPr>
      <w:r>
        <w:lastRenderedPageBreak/>
        <w:t>Chapter 5</w:t>
      </w:r>
    </w:p>
    <w:p w:rsidR="006A7D0B" w:rsidRDefault="006A7D0B" w:rsidP="006A7D0B">
      <w:pPr>
        <w:pStyle w:val="Title"/>
      </w:pPr>
    </w:p>
    <w:p w:rsidR="006A7D0B" w:rsidRDefault="006A7D0B" w:rsidP="006A7D0B">
      <w:pPr>
        <w:pStyle w:val="Title"/>
      </w:pPr>
    </w:p>
    <w:p w:rsidR="006A7D0B" w:rsidRDefault="006A7D0B" w:rsidP="006A7D0B">
      <w:pPr>
        <w:pStyle w:val="Title"/>
      </w:pPr>
    </w:p>
    <w:p w:rsidR="00247906" w:rsidRDefault="006A7D0B" w:rsidP="00247906">
      <w:pPr>
        <w:pStyle w:val="Title"/>
        <w:ind w:left="720" w:firstLine="0"/>
      </w:pPr>
      <w:r>
        <w:t>Surface Enhanced Fluorescence Detection of Uranium</w:t>
      </w:r>
    </w:p>
    <w:p w:rsidR="00247906" w:rsidRDefault="00247906">
      <w:pPr>
        <w:rPr>
          <w:rFonts w:ascii="Times New Roman" w:eastAsiaTheme="majorEastAsia" w:hAnsi="Times New Roman" w:cstheme="majorBidi"/>
          <w:spacing w:val="-10"/>
          <w:kern w:val="28"/>
          <w:sz w:val="56"/>
          <w:szCs w:val="56"/>
        </w:rPr>
      </w:pPr>
      <w:r>
        <w:br w:type="page"/>
      </w:r>
    </w:p>
    <w:p w:rsidR="006A7D0B" w:rsidRDefault="00247906" w:rsidP="00247906">
      <w:pPr>
        <w:pStyle w:val="Heading2"/>
      </w:pPr>
      <w:r>
        <w:lastRenderedPageBreak/>
        <w:t>5.1 – Abstract</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5.2 – Introduction to Surface-Enhanced Fluorescence</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w:t>
      </w:r>
      <w:r w:rsidRPr="00247906">
        <w:lastRenderedPageBreak/>
        <w:t xml:space="preserve">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5.3 – Fabrication of EBL Arrays and Deposition of PSO</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w:t>
      </w:r>
      <w:r w:rsidRPr="00247906">
        <w:lastRenderedPageBreak/>
        <w:t xml:space="preserve">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5.4 – Determination of Ideal Pillar Widths and Why We Use Uraplex</w:t>
      </w:r>
      <w:r>
        <w:rPr>
          <w:vertAlign w:val="superscript"/>
        </w:rPr>
        <w:t>TM</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lastRenderedPageBreak/>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5.5 – Fabrication of Dewet Pillars and Deposition of PSO</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w:t>
      </w:r>
      <w:r w:rsidRPr="00247906">
        <w:lastRenderedPageBreak/>
        <w:t xml:space="preserve">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5.6 – Functionalization of the Surface</w:t>
      </w:r>
    </w:p>
    <w:p w:rsidR="00247906" w:rsidRDefault="00247906" w:rsidP="00247906">
      <w:pPr>
        <w:pStyle w:val="TimesNewRoman"/>
      </w:pPr>
    </w:p>
    <w:p w:rsidR="00247906" w:rsidRDefault="00247906" w:rsidP="00247906">
      <w:pPr>
        <w:pStyle w:val="TimesNewRoman"/>
      </w:pPr>
    </w:p>
    <w:p w:rsidR="00247906" w:rsidRDefault="00247906" w:rsidP="00247906">
      <w:pPr>
        <w:pStyle w:val="TimesNewRoman"/>
      </w:pPr>
      <w:r>
        <w:t>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w:t>
      </w:r>
    </w:p>
    <w:p w:rsidR="00247906" w:rsidRDefault="00247906" w:rsidP="00247906">
      <w:pPr>
        <w:pStyle w:val="TimesNewRoman"/>
      </w:pPr>
    </w:p>
    <w:p w:rsidR="00247906" w:rsidRDefault="00247906" w:rsidP="00247906">
      <w:pPr>
        <w:pStyle w:val="TimesNewRoman"/>
      </w:pPr>
      <w:r>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w:t>
      </w:r>
      <w:r>
        <w:lastRenderedPageBreak/>
        <w:t>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w:t>
      </w:r>
    </w:p>
    <w:p w:rsidR="00247906" w:rsidRDefault="00247906" w:rsidP="00247906">
      <w:pPr>
        <w:pStyle w:val="Heading2"/>
        <w:ind w:firstLine="0"/>
      </w:pPr>
      <w:r>
        <w:t>5.7 – Detection of Uranium</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w:t>
      </w:r>
      <w:r w:rsidRPr="00247906">
        <w:lastRenderedPageBreak/>
        <w:t xml:space="preserve">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5.8 – Conclusions About CMPO and Uranium Detection</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w:t>
      </w:r>
      <w:r w:rsidRPr="00247906">
        <w:lastRenderedPageBreak/>
        <w:t xml:space="preserve">convallis dui sed, egestas nisi. Nulla venenatis placerat placerat. Phasellus ultricies placerat leo a tincidunt. Phasellus pellentesque suscipit nisl, id sollicitudin urna vehicula et. </w:t>
      </w:r>
    </w:p>
    <w:p w:rsidR="00247906" w:rsidRDefault="00247906" w:rsidP="00247906">
      <w:pPr>
        <w:pStyle w:val="TimesNewRoman"/>
      </w:pPr>
    </w:p>
    <w:p w:rsidR="00247906" w:rsidRDefault="00247906">
      <w:pPr>
        <w:rPr>
          <w:rFonts w:ascii="Times New Roman" w:hAnsi="Times New Roman"/>
          <w:sz w:val="24"/>
        </w:rPr>
      </w:pPr>
      <w:r>
        <w:br w:type="page"/>
      </w:r>
    </w:p>
    <w:p w:rsidR="00247906" w:rsidRDefault="00247906" w:rsidP="00247906">
      <w:pPr>
        <w:pStyle w:val="Title"/>
      </w:pPr>
      <w:r>
        <w:lastRenderedPageBreak/>
        <w:t>Chapter 6</w:t>
      </w:r>
    </w:p>
    <w:p w:rsidR="00247906" w:rsidRDefault="00247906" w:rsidP="00247906">
      <w:pPr>
        <w:pStyle w:val="Title"/>
      </w:pPr>
    </w:p>
    <w:p w:rsidR="00247906" w:rsidRDefault="00247906" w:rsidP="00247906">
      <w:pPr>
        <w:pStyle w:val="Title"/>
      </w:pPr>
    </w:p>
    <w:p w:rsidR="00247906" w:rsidRDefault="00247906" w:rsidP="00247906">
      <w:pPr>
        <w:pStyle w:val="Title"/>
      </w:pPr>
    </w:p>
    <w:p w:rsidR="00247906" w:rsidRDefault="00247906" w:rsidP="00247906">
      <w:pPr>
        <w:pStyle w:val="Title"/>
        <w:ind w:left="720" w:firstLine="0"/>
      </w:pPr>
      <w:r>
        <w:t>Surface Enhanced Fluorescence Detection of DNA</w:t>
      </w:r>
    </w:p>
    <w:p w:rsidR="00247906" w:rsidRDefault="00247906">
      <w:pPr>
        <w:rPr>
          <w:rFonts w:ascii="Times New Roman" w:eastAsiaTheme="majorEastAsia" w:hAnsi="Times New Roman" w:cstheme="majorBidi"/>
          <w:spacing w:val="-10"/>
          <w:kern w:val="28"/>
          <w:sz w:val="56"/>
          <w:szCs w:val="56"/>
        </w:rPr>
      </w:pPr>
      <w:r>
        <w:br w:type="page"/>
      </w:r>
    </w:p>
    <w:p w:rsidR="00247906" w:rsidRDefault="00247906" w:rsidP="00247906">
      <w:pPr>
        <w:pStyle w:val="Heading2"/>
        <w:ind w:firstLine="0"/>
      </w:pPr>
      <w:r>
        <w:lastRenderedPageBreak/>
        <w:t>6.1 – Abstract</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6.2 – Introduction to DNA, Intercalating Dyes, and Biotin-Avidin Affinity</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w:t>
      </w:r>
      <w:r w:rsidRPr="00247906">
        <w:lastRenderedPageBreak/>
        <w:t xml:space="preserve">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6.3 – Fabrication of the Arrays</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w:t>
      </w:r>
      <w:r w:rsidRPr="00247906">
        <w:lastRenderedPageBreak/>
        <w:t xml:space="preserve">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6.4 – Functionalization of the Surface</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lastRenderedPageBreak/>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6.5 – Creation of DNA-Dye Solutions and Application of the Sample</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w:t>
      </w:r>
      <w:r w:rsidRPr="00247906">
        <w:lastRenderedPageBreak/>
        <w:t xml:space="preserve">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6.6 – Determination of Fluorescence Intensity</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w:t>
      </w:r>
      <w:r w:rsidRPr="00247906">
        <w:lastRenderedPageBreak/>
        <w:t xml:space="preserve">nunc, consequat non euismod quis, rhoncus ut ex. Phasellus imperdiet metus eu magna faucibus, ut sagittis ipsum venenatis. Maecenas interdum orci vehicula, suscipit arcu vel, interdum turpis. Mauris ut risus molestie, congue tellus ut, vestibulum elit. Mauris sed augue vestibulum, convallis dui sed, egestas nisi. Nulla venenatis placerat placerat. Phasellus ultricies placerat leo a tincidunt. Phasellus pellentesque suscipit nisl, id sollicitudin urna vehicula et. </w:t>
      </w:r>
    </w:p>
    <w:p w:rsidR="00247906" w:rsidRDefault="00247906" w:rsidP="00247906">
      <w:pPr>
        <w:pStyle w:val="Heading2"/>
        <w:ind w:firstLine="0"/>
      </w:pPr>
      <w:r>
        <w:t>6.7 – Conclusions About Using Pillar Arrays for DNA Detection</w:t>
      </w:r>
    </w:p>
    <w:p w:rsidR="00247906" w:rsidRPr="00247906" w:rsidRDefault="00247906" w:rsidP="00247906">
      <w:pPr>
        <w:pStyle w:val="TimesNewRoman"/>
      </w:pPr>
      <w:r w:rsidRPr="00247906">
        <w:t xml:space="preserve">Lorem ipsum dolor sit amet, consectetur adipiscing elit. Maecenas varius congue blandit. Donec a sodales felis. Nam nec velit a mi tincidunt malesuada. Mauris quis luctus neque. Sed pulvinar lectus et commodo cursus. Pellentesque habitant morbi tristique senectus et netus et malesuada fames ac turpis egestas. Mauris elementum in nisi a ultricies. Mauris id odio ac eros sollicitudin lacinia. Etiam auctor vehicula sagittis. Vivamus et convallis metus. Integer quis fermentum est. Aliquam quis suscipit nibh, a rhoncus mi. Aliquam erat volutpat. Aliquam laoreet, arcu non congue hendrerit, mi lacus commodo velit, blandit elementum nisl libero vitae metus. Cras ac velit lacus. </w:t>
      </w:r>
    </w:p>
    <w:p w:rsidR="00247906" w:rsidRPr="00247906" w:rsidRDefault="00247906" w:rsidP="00247906">
      <w:pPr>
        <w:pStyle w:val="TimesNewRoman"/>
      </w:pPr>
      <w:r w:rsidRPr="00247906">
        <w:t xml:space="preserve">Nulla luctus, nisl et gravida varius, dui est vestibulum lacus, lobortis lacinia sapien nibh non tortor. Curabitur dapibus, magna at posuere scelerisque, ipsum quam venenatis diam, in sodales sem purus quis erat. Vivamus auctor lorem ante, ac fringilla nunc venenatis at. Aliquam vitae erat aliquam, eleifend tortor id, facilisis dui. Aenean hendrerit volutpat tellus vitae posuere. Vestibulum molestie lacinia malesuada. Vivamus ornare mollis lacus, semper semper orci varius ac. Suspendisse fringilla nisi sed risus rhoncus, nec porttitor lectus condimentum. Praesent dolor nunc, consequat non euismod quis, rhoncus ut ex. Phasellus imperdiet metus eu magna faucibus, ut sagittis ipsum venenatis. Maecenas interdum orci vehicula, suscipit arcu vel, interdum turpis. Mauris ut risus molestie, congue tellus ut, vestibulum elit. Mauris sed augue vestibulum, </w:t>
      </w:r>
      <w:r w:rsidRPr="00247906">
        <w:lastRenderedPageBreak/>
        <w:t xml:space="preserve">convallis dui sed, egestas nisi. Nulla venenatis placerat placerat. Phasellus ultricies placerat leo a tincidunt. Phasellus pellentesque suscipit nisl, id sollicitudin urna vehicula et. </w:t>
      </w:r>
    </w:p>
    <w:p w:rsidR="00247906" w:rsidRDefault="00247906" w:rsidP="00247906">
      <w:pPr>
        <w:pStyle w:val="TimesNewRoman"/>
      </w:pPr>
    </w:p>
    <w:p w:rsidR="00247906" w:rsidRDefault="00247906"/>
    <w:p w:rsidR="00407258" w:rsidRDefault="00247906" w:rsidP="00407258">
      <w:r>
        <w:br w:type="page"/>
      </w:r>
    </w:p>
    <w:p w:rsidR="00407258" w:rsidRDefault="00407258" w:rsidP="007E3608">
      <w:pPr>
        <w:pStyle w:val="Title"/>
        <w:ind w:firstLine="0"/>
      </w:pPr>
    </w:p>
    <w:p w:rsidR="00407258" w:rsidRDefault="00407258" w:rsidP="00407258">
      <w:pPr>
        <w:pStyle w:val="Title"/>
        <w:jc w:val="center"/>
      </w:pPr>
    </w:p>
    <w:p w:rsidR="00407258" w:rsidRDefault="00407258" w:rsidP="00407258">
      <w:pPr>
        <w:pStyle w:val="Title"/>
        <w:jc w:val="center"/>
      </w:pPr>
    </w:p>
    <w:p w:rsidR="00407258" w:rsidRDefault="00407258" w:rsidP="00407258">
      <w:pPr>
        <w:pStyle w:val="Title"/>
        <w:jc w:val="center"/>
      </w:pPr>
    </w:p>
    <w:p w:rsidR="00407258" w:rsidRDefault="00407258" w:rsidP="00407258">
      <w:pPr>
        <w:pStyle w:val="Title"/>
        <w:jc w:val="center"/>
      </w:pPr>
      <w:r>
        <w:t>References</w:t>
      </w:r>
      <w:r>
        <w:br w:type="page"/>
      </w:r>
    </w:p>
    <w:p w:rsidR="00247906" w:rsidRPr="00407258" w:rsidRDefault="00247906" w:rsidP="00407258">
      <w:pPr>
        <w:rPr>
          <w:rFonts w:ascii="Times New Roman" w:hAnsi="Times New Roman"/>
          <w:sz w:val="24"/>
        </w:rPr>
      </w:pPr>
      <w:r>
        <w:lastRenderedPageBreak/>
        <w:fldChar w:fldCharType="begin" w:fldLock="1"/>
      </w:r>
      <w:r>
        <w:instrText xml:space="preserve">ADDIN Mendeley Bibliography CSL_BIBLIOGRAPHY </w:instrText>
      </w:r>
      <w:r>
        <w:fldChar w:fldCharType="separate"/>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(1)</w:t>
      </w:r>
      <w:r w:rsidRPr="00247906">
        <w:rPr>
          <w:rFonts w:ascii="Times New Roman" w:hAnsi="Times New Roman" w:cs="Times New Roman"/>
          <w:noProof/>
          <w:sz w:val="24"/>
          <w:szCs w:val="24"/>
        </w:rPr>
        <w:tab/>
        <w:t xml:space="preserve">Kirchner, J. G.; Miller, J. M.; Keller, G. J. </w:t>
      </w:r>
      <w:r w:rsidRPr="00247906">
        <w:rPr>
          <w:rFonts w:ascii="Times New Roman" w:hAnsi="Times New Roman" w:cs="Times New Roman"/>
          <w:i/>
          <w:iCs/>
          <w:noProof/>
          <w:sz w:val="24"/>
          <w:szCs w:val="24"/>
        </w:rPr>
        <w:t>Anal. Chem.</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1951</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23</w:t>
      </w:r>
      <w:r w:rsidRPr="00247906">
        <w:rPr>
          <w:rFonts w:ascii="Times New Roman" w:hAnsi="Times New Roman" w:cs="Times New Roman"/>
          <w:noProof/>
          <w:sz w:val="24"/>
          <w:szCs w:val="24"/>
        </w:rPr>
        <w:t xml:space="preserve"> (3), 420–425.</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(2) </w:t>
      </w:r>
      <w:r w:rsidRPr="00247906">
        <w:rPr>
          <w:rFonts w:ascii="Times New Roman" w:hAnsi="Times New Roman" w:cs="Times New Roman"/>
          <w:noProof/>
          <w:sz w:val="24"/>
          <w:szCs w:val="24"/>
        </w:rPr>
        <w:tab/>
        <w:t xml:space="preserve">Miller, J. M.; Kirchner, J. G. </w:t>
      </w:r>
      <w:r w:rsidRPr="00247906">
        <w:rPr>
          <w:rFonts w:ascii="Times New Roman" w:hAnsi="Times New Roman" w:cs="Times New Roman"/>
          <w:i/>
          <w:iCs/>
          <w:noProof/>
          <w:sz w:val="24"/>
          <w:szCs w:val="24"/>
        </w:rPr>
        <w:t>Anal. Chem.</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1954</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26</w:t>
      </w:r>
      <w:r w:rsidRPr="00247906">
        <w:rPr>
          <w:rFonts w:ascii="Times New Roman" w:hAnsi="Times New Roman" w:cs="Times New Roman"/>
          <w:noProof/>
          <w:sz w:val="24"/>
          <w:szCs w:val="24"/>
        </w:rPr>
        <w:t>, 2002.</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(3) </w:t>
      </w:r>
      <w:r w:rsidRPr="00247906">
        <w:rPr>
          <w:rFonts w:ascii="Times New Roman" w:hAnsi="Times New Roman" w:cs="Times New Roman"/>
          <w:noProof/>
          <w:sz w:val="24"/>
          <w:szCs w:val="24"/>
        </w:rPr>
        <w:tab/>
        <w:t xml:space="preserve">Miller, J. M.; Kirchner, J. G. </w:t>
      </w:r>
      <w:r w:rsidRPr="00247906">
        <w:rPr>
          <w:rFonts w:ascii="Times New Roman" w:hAnsi="Times New Roman" w:cs="Times New Roman"/>
          <w:i/>
          <w:iCs/>
          <w:noProof/>
          <w:sz w:val="24"/>
          <w:szCs w:val="24"/>
        </w:rPr>
        <w:t>Anal. Chem.</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1952</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24</w:t>
      </w:r>
      <w:r w:rsidRPr="00247906">
        <w:rPr>
          <w:rFonts w:ascii="Times New Roman" w:hAnsi="Times New Roman" w:cs="Times New Roman"/>
          <w:noProof/>
          <w:sz w:val="24"/>
          <w:szCs w:val="24"/>
        </w:rPr>
        <w:t xml:space="preserve"> (9), 1480–1482.</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(4) </w:t>
      </w:r>
      <w:r w:rsidRPr="00247906">
        <w:rPr>
          <w:rFonts w:ascii="Times New Roman" w:hAnsi="Times New Roman" w:cs="Times New Roman"/>
          <w:noProof/>
          <w:sz w:val="24"/>
          <w:szCs w:val="24"/>
        </w:rPr>
        <w:tab/>
        <w:t xml:space="preserve">Stahl, E. </w:t>
      </w:r>
      <w:r w:rsidRPr="00247906">
        <w:rPr>
          <w:rFonts w:ascii="Times New Roman" w:hAnsi="Times New Roman" w:cs="Times New Roman"/>
          <w:i/>
          <w:iCs/>
          <w:noProof/>
          <w:sz w:val="24"/>
          <w:szCs w:val="24"/>
        </w:rPr>
        <w:t>Chemiker-Zeitung</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1958</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82</w:t>
      </w:r>
      <w:r w:rsidRPr="00247906">
        <w:rPr>
          <w:rFonts w:ascii="Times New Roman" w:hAnsi="Times New Roman" w:cs="Times New Roman"/>
          <w:noProof/>
          <w:sz w:val="24"/>
          <w:szCs w:val="24"/>
        </w:rPr>
        <w:t>, 323.</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(5) </w:t>
      </w:r>
      <w:r w:rsidRPr="00247906">
        <w:rPr>
          <w:rFonts w:ascii="Times New Roman" w:hAnsi="Times New Roman" w:cs="Times New Roman"/>
          <w:noProof/>
          <w:sz w:val="24"/>
          <w:szCs w:val="24"/>
        </w:rPr>
        <w:tab/>
        <w:t xml:space="preserve">Touchstone, J. C. </w:t>
      </w:r>
      <w:r w:rsidRPr="00247906">
        <w:rPr>
          <w:rFonts w:ascii="Times New Roman" w:hAnsi="Times New Roman" w:cs="Times New Roman"/>
          <w:i/>
          <w:iCs/>
          <w:noProof/>
          <w:sz w:val="24"/>
          <w:szCs w:val="24"/>
        </w:rPr>
        <w:t>Practice of Thin-Layer Chromatography</w:t>
      </w:r>
      <w:r w:rsidRPr="00247906">
        <w:rPr>
          <w:rFonts w:ascii="Times New Roman" w:hAnsi="Times New Roman" w:cs="Times New Roman"/>
          <w:noProof/>
          <w:sz w:val="24"/>
          <w:szCs w:val="24"/>
        </w:rPr>
        <w:t>, 3rd ed.; John Wiley &amp; Sons, INC: New York, 1992.</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(6) </w:t>
      </w:r>
      <w:r w:rsidRPr="00247906">
        <w:rPr>
          <w:rFonts w:ascii="Times New Roman" w:hAnsi="Times New Roman" w:cs="Times New Roman"/>
          <w:noProof/>
          <w:sz w:val="24"/>
          <w:szCs w:val="24"/>
        </w:rPr>
        <w:tab/>
        <w:t xml:space="preserve">Miller, J. M. </w:t>
      </w:r>
      <w:r w:rsidRPr="00247906">
        <w:rPr>
          <w:rFonts w:ascii="Times New Roman" w:hAnsi="Times New Roman" w:cs="Times New Roman"/>
          <w:i/>
          <w:iCs/>
          <w:noProof/>
          <w:sz w:val="24"/>
          <w:szCs w:val="24"/>
        </w:rPr>
        <w:t>Chromatography: Concepts and Contrasts</w:t>
      </w:r>
      <w:r w:rsidRPr="00247906">
        <w:rPr>
          <w:rFonts w:ascii="Times New Roman" w:hAnsi="Times New Roman" w:cs="Times New Roman"/>
          <w:noProof/>
          <w:sz w:val="24"/>
          <w:szCs w:val="24"/>
        </w:rPr>
        <w:t>, 2nd ed.; John Wiley &amp; Sons, INC: Hoboken, NJ, 2005.</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(7) </w:t>
      </w:r>
      <w:r w:rsidRPr="00247906">
        <w:rPr>
          <w:rFonts w:ascii="Times New Roman" w:hAnsi="Times New Roman" w:cs="Times New Roman"/>
          <w:noProof/>
          <w:sz w:val="24"/>
          <w:szCs w:val="24"/>
        </w:rPr>
        <w:tab/>
        <w:t xml:space="preserve">Poole, S. K.; Poole, C. F. </w:t>
      </w:r>
      <w:r w:rsidRPr="00247906">
        <w:rPr>
          <w:rFonts w:ascii="Times New Roman" w:hAnsi="Times New Roman" w:cs="Times New Roman"/>
          <w:i/>
          <w:iCs/>
          <w:noProof/>
          <w:sz w:val="24"/>
          <w:szCs w:val="24"/>
        </w:rPr>
        <w:t>J. Chromatogr. A</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2011</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1218</w:t>
      </w:r>
      <w:r w:rsidRPr="00247906">
        <w:rPr>
          <w:rFonts w:ascii="Times New Roman" w:hAnsi="Times New Roman" w:cs="Times New Roman"/>
          <w:noProof/>
          <w:sz w:val="24"/>
          <w:szCs w:val="24"/>
        </w:rPr>
        <w:t xml:space="preserve"> (19), 2648–2660.</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(8) </w:t>
      </w:r>
      <w:r w:rsidRPr="00247906">
        <w:rPr>
          <w:rFonts w:ascii="Times New Roman" w:hAnsi="Times New Roman" w:cs="Times New Roman"/>
          <w:noProof/>
          <w:sz w:val="24"/>
          <w:szCs w:val="24"/>
        </w:rPr>
        <w:tab/>
        <w:t xml:space="preserve">Frolova, A. M.; Chukhlieb, M. A.; Drobot, A. V; Kryshtal, A. P.; Loginova, L. P.; Boichenko, A. P. </w:t>
      </w:r>
      <w:r w:rsidRPr="00247906">
        <w:rPr>
          <w:rFonts w:ascii="Times New Roman" w:hAnsi="Times New Roman" w:cs="Times New Roman"/>
          <w:i/>
          <w:iCs/>
          <w:noProof/>
          <w:sz w:val="24"/>
          <w:szCs w:val="24"/>
        </w:rPr>
        <w:t>Open Surf. Sci. J.</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2009</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1</w:t>
      </w:r>
      <w:r w:rsidRPr="00247906">
        <w:rPr>
          <w:rFonts w:ascii="Times New Roman" w:hAnsi="Times New Roman" w:cs="Times New Roman"/>
          <w:noProof/>
          <w:sz w:val="24"/>
          <w:szCs w:val="24"/>
        </w:rPr>
        <w:t>, 40–45.</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(9) </w:t>
      </w:r>
      <w:r w:rsidRPr="00247906">
        <w:rPr>
          <w:rFonts w:ascii="Times New Roman" w:hAnsi="Times New Roman" w:cs="Times New Roman"/>
          <w:noProof/>
          <w:sz w:val="24"/>
          <w:szCs w:val="24"/>
        </w:rPr>
        <w:tab/>
        <w:t xml:space="preserve">Bezuidenhout, L. W.; Brett, M. J. </w:t>
      </w:r>
      <w:r w:rsidRPr="00247906">
        <w:rPr>
          <w:rFonts w:ascii="Times New Roman" w:hAnsi="Times New Roman" w:cs="Times New Roman"/>
          <w:i/>
          <w:iCs/>
          <w:noProof/>
          <w:sz w:val="24"/>
          <w:szCs w:val="24"/>
        </w:rPr>
        <w:t>J. Chromatogr. A</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2008</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1183</w:t>
      </w:r>
      <w:r w:rsidRPr="00247906">
        <w:rPr>
          <w:rFonts w:ascii="Times New Roman" w:hAnsi="Times New Roman" w:cs="Times New Roman"/>
          <w:noProof/>
          <w:sz w:val="24"/>
          <w:szCs w:val="24"/>
        </w:rPr>
        <w:t xml:space="preserve"> (1–2), 179–185.</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(10) </w:t>
      </w:r>
      <w:r w:rsidRPr="00247906">
        <w:rPr>
          <w:rFonts w:ascii="Times New Roman" w:hAnsi="Times New Roman" w:cs="Times New Roman"/>
          <w:noProof/>
          <w:sz w:val="24"/>
          <w:szCs w:val="24"/>
        </w:rPr>
        <w:tab/>
        <w:t xml:space="preserve">Jim, S. R.; Taschuk, M. T.; Morlock, G. E.; Bezuidenhout, L. W.; Schwack, W.; Brett, M. J. </w:t>
      </w:r>
      <w:r w:rsidRPr="00247906">
        <w:rPr>
          <w:rFonts w:ascii="Times New Roman" w:hAnsi="Times New Roman" w:cs="Times New Roman"/>
          <w:i/>
          <w:iCs/>
          <w:noProof/>
          <w:sz w:val="24"/>
          <w:szCs w:val="24"/>
        </w:rPr>
        <w:t>Anal. Chem.</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2010</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82</w:t>
      </w:r>
      <w:r w:rsidRPr="00247906">
        <w:rPr>
          <w:rFonts w:ascii="Times New Roman" w:hAnsi="Times New Roman" w:cs="Times New Roman"/>
          <w:noProof/>
          <w:sz w:val="24"/>
          <w:szCs w:val="24"/>
        </w:rPr>
        <w:t xml:space="preserve"> (12), 5349–5356.</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(11) </w:t>
      </w:r>
      <w:r w:rsidRPr="00247906">
        <w:rPr>
          <w:rFonts w:ascii="Times New Roman" w:hAnsi="Times New Roman" w:cs="Times New Roman"/>
          <w:noProof/>
          <w:sz w:val="24"/>
          <w:szCs w:val="24"/>
        </w:rPr>
        <w:tab/>
        <w:t xml:space="preserve">Morlock, G. E.; Oellig, C.; Bezuidenhout, L. W.; Brett, M. J.; Schwack, W. </w:t>
      </w:r>
      <w:r w:rsidRPr="00247906">
        <w:rPr>
          <w:rFonts w:ascii="Times New Roman" w:hAnsi="Times New Roman" w:cs="Times New Roman"/>
          <w:i/>
          <w:iCs/>
          <w:noProof/>
          <w:sz w:val="24"/>
          <w:szCs w:val="24"/>
        </w:rPr>
        <w:t>Anal. Chem.</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2010</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82</w:t>
      </w:r>
      <w:r w:rsidRPr="00247906">
        <w:rPr>
          <w:rFonts w:ascii="Times New Roman" w:hAnsi="Times New Roman" w:cs="Times New Roman"/>
          <w:noProof/>
          <w:sz w:val="24"/>
          <w:szCs w:val="24"/>
        </w:rPr>
        <w:t xml:space="preserve"> (7), 2940–2946.</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(12) </w:t>
      </w:r>
      <w:r w:rsidRPr="00247906">
        <w:rPr>
          <w:rFonts w:ascii="Times New Roman" w:hAnsi="Times New Roman" w:cs="Times New Roman"/>
          <w:noProof/>
          <w:sz w:val="24"/>
          <w:szCs w:val="24"/>
        </w:rPr>
        <w:tab/>
        <w:t xml:space="preserve">Clark, J. E.; Olesik, S. V. </w:t>
      </w:r>
      <w:r w:rsidRPr="00247906">
        <w:rPr>
          <w:rFonts w:ascii="Times New Roman" w:hAnsi="Times New Roman" w:cs="Times New Roman"/>
          <w:i/>
          <w:iCs/>
          <w:noProof/>
          <w:sz w:val="24"/>
          <w:szCs w:val="24"/>
        </w:rPr>
        <w:t>Anal. Chem.</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2009</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81</w:t>
      </w:r>
      <w:r w:rsidRPr="00247906">
        <w:rPr>
          <w:rFonts w:ascii="Times New Roman" w:hAnsi="Times New Roman" w:cs="Times New Roman"/>
          <w:noProof/>
          <w:sz w:val="24"/>
          <w:szCs w:val="24"/>
        </w:rPr>
        <w:t xml:space="preserve"> (10), 4121–4129.</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(13) </w:t>
      </w:r>
      <w:r w:rsidRPr="00247906">
        <w:rPr>
          <w:rFonts w:ascii="Times New Roman" w:hAnsi="Times New Roman" w:cs="Times New Roman"/>
          <w:noProof/>
          <w:sz w:val="24"/>
          <w:szCs w:val="24"/>
        </w:rPr>
        <w:tab/>
        <w:t xml:space="preserve">Gocan, S. In </w:t>
      </w:r>
      <w:r w:rsidRPr="00247906">
        <w:rPr>
          <w:rFonts w:ascii="Times New Roman" w:hAnsi="Times New Roman" w:cs="Times New Roman"/>
          <w:i/>
          <w:iCs/>
          <w:noProof/>
          <w:sz w:val="24"/>
          <w:szCs w:val="24"/>
        </w:rPr>
        <w:t>Encyclopedia of Chromatography, Volume 1</w:t>
      </w:r>
      <w:r w:rsidRPr="00247906">
        <w:rPr>
          <w:rFonts w:ascii="Times New Roman" w:hAnsi="Times New Roman" w:cs="Times New Roman"/>
          <w:noProof/>
          <w:sz w:val="24"/>
          <w:szCs w:val="24"/>
        </w:rPr>
        <w:t>; Cazes, J., Ed.; Taylor anf Francis Group, LLC: Boca Raton, FL, 2010; pp 730–735.</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(14) </w:t>
      </w:r>
      <w:r w:rsidRPr="00247906">
        <w:rPr>
          <w:rFonts w:ascii="Times New Roman" w:hAnsi="Times New Roman" w:cs="Times New Roman"/>
          <w:noProof/>
          <w:sz w:val="24"/>
          <w:szCs w:val="24"/>
        </w:rPr>
        <w:tab/>
        <w:t xml:space="preserve">Snyder, L. R. </w:t>
      </w:r>
      <w:r w:rsidRPr="00247906">
        <w:rPr>
          <w:rFonts w:ascii="Times New Roman" w:hAnsi="Times New Roman" w:cs="Times New Roman"/>
          <w:i/>
          <w:iCs/>
          <w:noProof/>
          <w:sz w:val="24"/>
          <w:szCs w:val="24"/>
        </w:rPr>
        <w:t>J. Chromatogr.</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1974</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92</w:t>
      </w:r>
      <w:r w:rsidRPr="00247906">
        <w:rPr>
          <w:rFonts w:ascii="Times New Roman" w:hAnsi="Times New Roman" w:cs="Times New Roman"/>
          <w:noProof/>
          <w:sz w:val="24"/>
          <w:szCs w:val="24"/>
        </w:rPr>
        <w:t>, 223–230.</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247906">
        <w:rPr>
          <w:rFonts w:ascii="Times New Roman" w:hAnsi="Times New Roman" w:cs="Times New Roman"/>
          <w:noProof/>
          <w:sz w:val="24"/>
          <w:szCs w:val="24"/>
        </w:rPr>
        <w:t xml:space="preserve">(15) </w:t>
      </w:r>
      <w:r w:rsidRPr="00247906">
        <w:rPr>
          <w:rFonts w:ascii="Times New Roman" w:hAnsi="Times New Roman" w:cs="Times New Roman"/>
          <w:noProof/>
          <w:sz w:val="24"/>
          <w:szCs w:val="24"/>
        </w:rPr>
        <w:tab/>
        <w:t xml:space="preserve">Fairbairn, J. W.; Relph, S. J. </w:t>
      </w:r>
      <w:r w:rsidRPr="00247906">
        <w:rPr>
          <w:rFonts w:ascii="Times New Roman" w:hAnsi="Times New Roman" w:cs="Times New Roman"/>
          <w:i/>
          <w:iCs/>
          <w:noProof/>
          <w:sz w:val="24"/>
          <w:szCs w:val="24"/>
        </w:rPr>
        <w:t>J. Chromatogr.</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1968</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33</w:t>
      </w:r>
      <w:r w:rsidRPr="00247906">
        <w:rPr>
          <w:rFonts w:ascii="Times New Roman" w:hAnsi="Times New Roman" w:cs="Times New Roman"/>
          <w:noProof/>
          <w:sz w:val="24"/>
          <w:szCs w:val="24"/>
        </w:rPr>
        <w:t>, 494–499.</w:t>
      </w:r>
    </w:p>
    <w:p w:rsidR="00247906" w:rsidRPr="00247906" w:rsidRDefault="00247906" w:rsidP="00247906">
      <w:pPr>
        <w:widowControl w:val="0"/>
        <w:autoSpaceDE w:val="0"/>
        <w:autoSpaceDN w:val="0"/>
        <w:adjustRightInd w:val="0"/>
        <w:spacing w:after="0" w:line="480" w:lineRule="auto"/>
        <w:ind w:left="640" w:hanging="640"/>
        <w:rPr>
          <w:rFonts w:ascii="Times New Roman" w:hAnsi="Times New Roman" w:cs="Times New Roman"/>
          <w:noProof/>
          <w:sz w:val="24"/>
        </w:rPr>
      </w:pPr>
      <w:r w:rsidRPr="00247906">
        <w:rPr>
          <w:rFonts w:ascii="Times New Roman" w:hAnsi="Times New Roman" w:cs="Times New Roman"/>
          <w:noProof/>
          <w:sz w:val="24"/>
          <w:szCs w:val="24"/>
        </w:rPr>
        <w:t xml:space="preserve">(16) </w:t>
      </w:r>
      <w:r w:rsidRPr="00247906">
        <w:rPr>
          <w:rFonts w:ascii="Times New Roman" w:hAnsi="Times New Roman" w:cs="Times New Roman"/>
          <w:noProof/>
          <w:sz w:val="24"/>
          <w:szCs w:val="24"/>
        </w:rPr>
        <w:tab/>
        <w:t xml:space="preserve">Fenimore, D. C.; Meyer, C. J. </w:t>
      </w:r>
      <w:r w:rsidRPr="00247906">
        <w:rPr>
          <w:rFonts w:ascii="Times New Roman" w:hAnsi="Times New Roman" w:cs="Times New Roman"/>
          <w:i/>
          <w:iCs/>
          <w:noProof/>
          <w:sz w:val="24"/>
          <w:szCs w:val="24"/>
        </w:rPr>
        <w:t>J. Chromatogr.</w:t>
      </w:r>
      <w:r w:rsidRPr="00247906">
        <w:rPr>
          <w:rFonts w:ascii="Times New Roman" w:hAnsi="Times New Roman" w:cs="Times New Roman"/>
          <w:noProof/>
          <w:sz w:val="24"/>
          <w:szCs w:val="24"/>
        </w:rPr>
        <w:t xml:space="preserve"> </w:t>
      </w:r>
      <w:r w:rsidRPr="00247906">
        <w:rPr>
          <w:rFonts w:ascii="Times New Roman" w:hAnsi="Times New Roman" w:cs="Times New Roman"/>
          <w:b/>
          <w:bCs/>
          <w:noProof/>
          <w:sz w:val="24"/>
          <w:szCs w:val="24"/>
        </w:rPr>
        <w:t>1979</w:t>
      </w:r>
      <w:r w:rsidRPr="00247906">
        <w:rPr>
          <w:rFonts w:ascii="Times New Roman" w:hAnsi="Times New Roman" w:cs="Times New Roman"/>
          <w:noProof/>
          <w:sz w:val="24"/>
          <w:szCs w:val="24"/>
        </w:rPr>
        <w:t xml:space="preserve">, </w:t>
      </w:r>
      <w:r w:rsidRPr="00247906">
        <w:rPr>
          <w:rFonts w:ascii="Times New Roman" w:hAnsi="Times New Roman" w:cs="Times New Roman"/>
          <w:i/>
          <w:iCs/>
          <w:noProof/>
          <w:sz w:val="24"/>
          <w:szCs w:val="24"/>
        </w:rPr>
        <w:t>186</w:t>
      </w:r>
      <w:r w:rsidRPr="00247906">
        <w:rPr>
          <w:rFonts w:ascii="Times New Roman" w:hAnsi="Times New Roman" w:cs="Times New Roman"/>
          <w:noProof/>
          <w:sz w:val="24"/>
          <w:szCs w:val="24"/>
        </w:rPr>
        <w:t>, 555–561.</w:t>
      </w:r>
    </w:p>
    <w:p w:rsidR="00247906" w:rsidRDefault="00247906" w:rsidP="00407258">
      <w:pPr>
        <w:pStyle w:val="Heading1"/>
        <w:ind w:firstLine="0"/>
        <w:jc w:val="center"/>
      </w:pPr>
      <w:r>
        <w:lastRenderedPageBreak/>
        <w:fldChar w:fldCharType="end"/>
      </w:r>
      <w:r w:rsidR="00407258">
        <w:t>Vita</w:t>
      </w:r>
    </w:p>
    <w:p w:rsidR="00407258" w:rsidRPr="00247906" w:rsidRDefault="00407258" w:rsidP="00407258">
      <w:pPr>
        <w:pStyle w:val="TimesNewRoman"/>
        <w:ind w:firstLine="0"/>
      </w:pPr>
      <w:r>
        <w:t xml:space="preserve">Danielle was born in Miami, FL in June 1990. She attended the zoo magnet program at Richmond Heights Middle School, which began her long love affair with science.  After graduating high school, she moved north to Orlando to attend Rollins College, where she was introduced to Analytical Chemistry.  She took the opportunity to participate in undergraduate research </w:t>
      </w:r>
      <w:r w:rsidR="00167269">
        <w:t xml:space="preserve">on the detection of gun shot residues by UPLC/MS </w:t>
      </w:r>
      <w:r>
        <w:t>at the Florida International Univ</w:t>
      </w:r>
      <w:r w:rsidR="00167269">
        <w:t>ersity under Dr. Bruce McCord.</w:t>
      </w:r>
      <w:r>
        <w:t xml:space="preserve">  </w:t>
      </w:r>
      <w:r w:rsidR="00167269">
        <w:t>Danielle</w:t>
      </w:r>
      <w:r>
        <w:t xml:space="preserve"> graduated </w:t>
      </w:r>
      <w:r w:rsidR="00167269">
        <w:t xml:space="preserve">from Rollins with honors </w:t>
      </w:r>
      <w:r>
        <w:t xml:space="preserve">in May 2012.  </w:t>
      </w:r>
      <w:r w:rsidR="00167269">
        <w:t>That same year, she accepted a graduate assistantship at the University of Tennessee, Knoxville in the Chemistry Department and subsequently joined the research group of Dr. Michael Sepaniak.  She will graduate with her Ph.D. in May 2017.</w:t>
      </w:r>
    </w:p>
    <w:sectPr w:rsidR="00407258" w:rsidRPr="00247906" w:rsidSect="000A74A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7E7" w:rsidRDefault="000957E7" w:rsidP="00B12193">
      <w:pPr>
        <w:spacing w:after="0" w:line="240" w:lineRule="auto"/>
      </w:pPr>
      <w:r>
        <w:separator/>
      </w:r>
    </w:p>
  </w:endnote>
  <w:endnote w:type="continuationSeparator" w:id="0">
    <w:p w:rsidR="000957E7" w:rsidRDefault="000957E7" w:rsidP="00B1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no Pro">
    <w:altName w:val="Constantia"/>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436929"/>
      <w:docPartObj>
        <w:docPartGallery w:val="Page Numbers (Bottom of Page)"/>
        <w:docPartUnique/>
      </w:docPartObj>
    </w:sdtPr>
    <w:sdtEndPr>
      <w:rPr>
        <w:noProof/>
      </w:rPr>
    </w:sdtEndPr>
    <w:sdtContent>
      <w:p w:rsidR="008A740C" w:rsidRDefault="008A740C">
        <w:pPr>
          <w:pStyle w:val="Footer"/>
          <w:jc w:val="right"/>
        </w:pPr>
        <w:r>
          <w:fldChar w:fldCharType="begin"/>
        </w:r>
        <w:r>
          <w:instrText xml:space="preserve"> PAGE   \* MERGEFORMAT </w:instrText>
        </w:r>
        <w:r>
          <w:fldChar w:fldCharType="separate"/>
        </w:r>
        <w:r w:rsidR="00662088">
          <w:rPr>
            <w:noProof/>
          </w:rPr>
          <w:t>11</w:t>
        </w:r>
        <w:r>
          <w:rPr>
            <w:noProof/>
          </w:rPr>
          <w:fldChar w:fldCharType="end"/>
        </w:r>
      </w:p>
    </w:sdtContent>
  </w:sdt>
  <w:p w:rsidR="008A740C" w:rsidRDefault="008A74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7097104"/>
      <w:docPartObj>
        <w:docPartGallery w:val="Page Numbers (Bottom of Page)"/>
        <w:docPartUnique/>
      </w:docPartObj>
    </w:sdtPr>
    <w:sdtEndPr>
      <w:rPr>
        <w:noProof/>
      </w:rPr>
    </w:sdtEndPr>
    <w:sdtContent>
      <w:p w:rsidR="008A740C" w:rsidRDefault="008A740C">
        <w:pPr>
          <w:pStyle w:val="Footer"/>
          <w:jc w:val="right"/>
        </w:pPr>
        <w:r>
          <w:fldChar w:fldCharType="begin"/>
        </w:r>
        <w:r>
          <w:instrText xml:space="preserve"> PAGE   \* MERGEFORMAT </w:instrText>
        </w:r>
        <w:r>
          <w:fldChar w:fldCharType="separate"/>
        </w:r>
        <w:r w:rsidR="00662088">
          <w:rPr>
            <w:noProof/>
          </w:rPr>
          <w:t>1</w:t>
        </w:r>
        <w:r>
          <w:rPr>
            <w:noProof/>
          </w:rPr>
          <w:fldChar w:fldCharType="end"/>
        </w:r>
      </w:p>
    </w:sdtContent>
  </w:sdt>
  <w:p w:rsidR="008A740C" w:rsidRDefault="008A7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7E7" w:rsidRDefault="000957E7" w:rsidP="00B12193">
      <w:pPr>
        <w:spacing w:after="0" w:line="240" w:lineRule="auto"/>
      </w:pPr>
      <w:r>
        <w:separator/>
      </w:r>
    </w:p>
  </w:footnote>
  <w:footnote w:type="continuationSeparator" w:id="0">
    <w:p w:rsidR="000957E7" w:rsidRDefault="000957E7" w:rsidP="00B1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5BA"/>
    <w:multiLevelType w:val="multilevel"/>
    <w:tmpl w:val="23D29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EC23F3"/>
    <w:multiLevelType w:val="multilevel"/>
    <w:tmpl w:val="D22C91A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69321B"/>
    <w:multiLevelType w:val="multilevel"/>
    <w:tmpl w:val="D29E986A"/>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3B2"/>
    <w:rsid w:val="00000692"/>
    <w:rsid w:val="0000070D"/>
    <w:rsid w:val="00005701"/>
    <w:rsid w:val="00017B89"/>
    <w:rsid w:val="0002368D"/>
    <w:rsid w:val="00024492"/>
    <w:rsid w:val="0003022D"/>
    <w:rsid w:val="00030D9C"/>
    <w:rsid w:val="00031753"/>
    <w:rsid w:val="00031CC7"/>
    <w:rsid w:val="00036624"/>
    <w:rsid w:val="00036D38"/>
    <w:rsid w:val="000400D9"/>
    <w:rsid w:val="00041B2B"/>
    <w:rsid w:val="00042C26"/>
    <w:rsid w:val="000514E3"/>
    <w:rsid w:val="00051E80"/>
    <w:rsid w:val="00066823"/>
    <w:rsid w:val="00070645"/>
    <w:rsid w:val="00072FA2"/>
    <w:rsid w:val="00074C73"/>
    <w:rsid w:val="00081C38"/>
    <w:rsid w:val="00084303"/>
    <w:rsid w:val="00085532"/>
    <w:rsid w:val="00086953"/>
    <w:rsid w:val="00091EE0"/>
    <w:rsid w:val="00092240"/>
    <w:rsid w:val="000957E7"/>
    <w:rsid w:val="000961EF"/>
    <w:rsid w:val="000A0479"/>
    <w:rsid w:val="000A3EA1"/>
    <w:rsid w:val="000A565B"/>
    <w:rsid w:val="000A74A1"/>
    <w:rsid w:val="000A7ECA"/>
    <w:rsid w:val="000B576F"/>
    <w:rsid w:val="000C20C1"/>
    <w:rsid w:val="000C4063"/>
    <w:rsid w:val="000C614B"/>
    <w:rsid w:val="000C6AEB"/>
    <w:rsid w:val="000D4947"/>
    <w:rsid w:val="000E394C"/>
    <w:rsid w:val="000E3FA4"/>
    <w:rsid w:val="000E62FC"/>
    <w:rsid w:val="000F4AD6"/>
    <w:rsid w:val="00100714"/>
    <w:rsid w:val="00104040"/>
    <w:rsid w:val="001052CA"/>
    <w:rsid w:val="0011406A"/>
    <w:rsid w:val="0012070C"/>
    <w:rsid w:val="0012318F"/>
    <w:rsid w:val="0013512A"/>
    <w:rsid w:val="001378DD"/>
    <w:rsid w:val="00143303"/>
    <w:rsid w:val="00143930"/>
    <w:rsid w:val="00151125"/>
    <w:rsid w:val="00152E4C"/>
    <w:rsid w:val="00153D5B"/>
    <w:rsid w:val="00154142"/>
    <w:rsid w:val="00160473"/>
    <w:rsid w:val="00160C08"/>
    <w:rsid w:val="001636E2"/>
    <w:rsid w:val="00163C0E"/>
    <w:rsid w:val="00167269"/>
    <w:rsid w:val="00176E59"/>
    <w:rsid w:val="00177106"/>
    <w:rsid w:val="00183FDC"/>
    <w:rsid w:val="00190BFE"/>
    <w:rsid w:val="00191180"/>
    <w:rsid w:val="00195FFD"/>
    <w:rsid w:val="00197EA9"/>
    <w:rsid w:val="001B18FE"/>
    <w:rsid w:val="001B1A5D"/>
    <w:rsid w:val="001C0DD2"/>
    <w:rsid w:val="001C1C86"/>
    <w:rsid w:val="001C22FC"/>
    <w:rsid w:val="001C49F1"/>
    <w:rsid w:val="001C52F5"/>
    <w:rsid w:val="001C62A9"/>
    <w:rsid w:val="001C7A19"/>
    <w:rsid w:val="001D5326"/>
    <w:rsid w:val="001E06CD"/>
    <w:rsid w:val="001E3B4C"/>
    <w:rsid w:val="001F6C3D"/>
    <w:rsid w:val="001F7740"/>
    <w:rsid w:val="00200601"/>
    <w:rsid w:val="00200EF7"/>
    <w:rsid w:val="00201502"/>
    <w:rsid w:val="00202EAC"/>
    <w:rsid w:val="00211018"/>
    <w:rsid w:val="00212A39"/>
    <w:rsid w:val="00213CD3"/>
    <w:rsid w:val="002249DC"/>
    <w:rsid w:val="00224FB3"/>
    <w:rsid w:val="0022608D"/>
    <w:rsid w:val="00226847"/>
    <w:rsid w:val="00231BB5"/>
    <w:rsid w:val="002321C0"/>
    <w:rsid w:val="00237B28"/>
    <w:rsid w:val="00247906"/>
    <w:rsid w:val="00252154"/>
    <w:rsid w:val="002563B9"/>
    <w:rsid w:val="002616EC"/>
    <w:rsid w:val="0026262A"/>
    <w:rsid w:val="00262740"/>
    <w:rsid w:val="00263002"/>
    <w:rsid w:val="0026665B"/>
    <w:rsid w:val="00270DF4"/>
    <w:rsid w:val="00274226"/>
    <w:rsid w:val="002752F5"/>
    <w:rsid w:val="0027696F"/>
    <w:rsid w:val="00280E34"/>
    <w:rsid w:val="00282128"/>
    <w:rsid w:val="002845F6"/>
    <w:rsid w:val="0029590D"/>
    <w:rsid w:val="002A0DBA"/>
    <w:rsid w:val="002A3B0A"/>
    <w:rsid w:val="002B0945"/>
    <w:rsid w:val="002B0C7A"/>
    <w:rsid w:val="002C1045"/>
    <w:rsid w:val="002C4F06"/>
    <w:rsid w:val="002C6D45"/>
    <w:rsid w:val="002C6DEA"/>
    <w:rsid w:val="002D73E1"/>
    <w:rsid w:val="002E0AF5"/>
    <w:rsid w:val="002E1D9F"/>
    <w:rsid w:val="002E2F90"/>
    <w:rsid w:val="002F2B38"/>
    <w:rsid w:val="003047D2"/>
    <w:rsid w:val="003114CC"/>
    <w:rsid w:val="00311D5B"/>
    <w:rsid w:val="00312BC5"/>
    <w:rsid w:val="00312EED"/>
    <w:rsid w:val="0032178B"/>
    <w:rsid w:val="00321A9C"/>
    <w:rsid w:val="00321AFA"/>
    <w:rsid w:val="00322841"/>
    <w:rsid w:val="00331B5A"/>
    <w:rsid w:val="003335F5"/>
    <w:rsid w:val="00356997"/>
    <w:rsid w:val="0035717D"/>
    <w:rsid w:val="003577A5"/>
    <w:rsid w:val="003618C2"/>
    <w:rsid w:val="00363638"/>
    <w:rsid w:val="00364D55"/>
    <w:rsid w:val="00365A3A"/>
    <w:rsid w:val="003674B3"/>
    <w:rsid w:val="00371B1C"/>
    <w:rsid w:val="003721E9"/>
    <w:rsid w:val="0037309A"/>
    <w:rsid w:val="00373782"/>
    <w:rsid w:val="00380A01"/>
    <w:rsid w:val="0038111C"/>
    <w:rsid w:val="00382A32"/>
    <w:rsid w:val="0039028D"/>
    <w:rsid w:val="00391306"/>
    <w:rsid w:val="00394E87"/>
    <w:rsid w:val="00395A55"/>
    <w:rsid w:val="00397C8F"/>
    <w:rsid w:val="003A0840"/>
    <w:rsid w:val="003A43E3"/>
    <w:rsid w:val="003A6322"/>
    <w:rsid w:val="003C5B1B"/>
    <w:rsid w:val="003D243A"/>
    <w:rsid w:val="003D7EA7"/>
    <w:rsid w:val="003F3CA2"/>
    <w:rsid w:val="003F524B"/>
    <w:rsid w:val="00407258"/>
    <w:rsid w:val="00407E22"/>
    <w:rsid w:val="00414CF1"/>
    <w:rsid w:val="00423C8C"/>
    <w:rsid w:val="00423DC5"/>
    <w:rsid w:val="0043352E"/>
    <w:rsid w:val="00433A0D"/>
    <w:rsid w:val="004371E7"/>
    <w:rsid w:val="00437230"/>
    <w:rsid w:val="00450BB6"/>
    <w:rsid w:val="004531BC"/>
    <w:rsid w:val="004564D2"/>
    <w:rsid w:val="00464CAF"/>
    <w:rsid w:val="00466837"/>
    <w:rsid w:val="00471284"/>
    <w:rsid w:val="0047417C"/>
    <w:rsid w:val="004755BC"/>
    <w:rsid w:val="00475B02"/>
    <w:rsid w:val="00477F8E"/>
    <w:rsid w:val="00480159"/>
    <w:rsid w:val="00481354"/>
    <w:rsid w:val="00481B5C"/>
    <w:rsid w:val="00482147"/>
    <w:rsid w:val="00483922"/>
    <w:rsid w:val="00486492"/>
    <w:rsid w:val="00491E98"/>
    <w:rsid w:val="004A0C88"/>
    <w:rsid w:val="004A4765"/>
    <w:rsid w:val="004A4EF4"/>
    <w:rsid w:val="004A67BA"/>
    <w:rsid w:val="004A7B48"/>
    <w:rsid w:val="004B1494"/>
    <w:rsid w:val="004B4ADF"/>
    <w:rsid w:val="004B4F90"/>
    <w:rsid w:val="004B702F"/>
    <w:rsid w:val="004C01F6"/>
    <w:rsid w:val="004C0206"/>
    <w:rsid w:val="004C54F0"/>
    <w:rsid w:val="004D0697"/>
    <w:rsid w:val="004D3183"/>
    <w:rsid w:val="004D637A"/>
    <w:rsid w:val="004E0180"/>
    <w:rsid w:val="004E3C7C"/>
    <w:rsid w:val="004E4075"/>
    <w:rsid w:val="004F09FB"/>
    <w:rsid w:val="004F201D"/>
    <w:rsid w:val="004F2978"/>
    <w:rsid w:val="004F2CBD"/>
    <w:rsid w:val="004F34BE"/>
    <w:rsid w:val="004F6FFB"/>
    <w:rsid w:val="004F7222"/>
    <w:rsid w:val="004F7BBC"/>
    <w:rsid w:val="005100DC"/>
    <w:rsid w:val="00515B8C"/>
    <w:rsid w:val="005253FB"/>
    <w:rsid w:val="0052597C"/>
    <w:rsid w:val="00547CA8"/>
    <w:rsid w:val="00555727"/>
    <w:rsid w:val="00565F00"/>
    <w:rsid w:val="00570A7C"/>
    <w:rsid w:val="00574A87"/>
    <w:rsid w:val="00576582"/>
    <w:rsid w:val="005778A8"/>
    <w:rsid w:val="00580A9E"/>
    <w:rsid w:val="005816A1"/>
    <w:rsid w:val="0059209C"/>
    <w:rsid w:val="005927A1"/>
    <w:rsid w:val="005946E2"/>
    <w:rsid w:val="00595016"/>
    <w:rsid w:val="00596BAE"/>
    <w:rsid w:val="00596CAF"/>
    <w:rsid w:val="005A1C3B"/>
    <w:rsid w:val="005A7023"/>
    <w:rsid w:val="005B0191"/>
    <w:rsid w:val="005B4A1D"/>
    <w:rsid w:val="005B5B30"/>
    <w:rsid w:val="005B5CA5"/>
    <w:rsid w:val="005B7B70"/>
    <w:rsid w:val="005C53FC"/>
    <w:rsid w:val="005D0D5E"/>
    <w:rsid w:val="005D489B"/>
    <w:rsid w:val="005D4FAD"/>
    <w:rsid w:val="005D7FEA"/>
    <w:rsid w:val="005E268D"/>
    <w:rsid w:val="005E5705"/>
    <w:rsid w:val="005E597B"/>
    <w:rsid w:val="005E5CE3"/>
    <w:rsid w:val="005F247D"/>
    <w:rsid w:val="005F3080"/>
    <w:rsid w:val="005F3187"/>
    <w:rsid w:val="005F4E97"/>
    <w:rsid w:val="006004B3"/>
    <w:rsid w:val="006036F5"/>
    <w:rsid w:val="00604DF4"/>
    <w:rsid w:val="00605056"/>
    <w:rsid w:val="00607BE1"/>
    <w:rsid w:val="006124DF"/>
    <w:rsid w:val="0061440D"/>
    <w:rsid w:val="00614F9E"/>
    <w:rsid w:val="006157F8"/>
    <w:rsid w:val="00615832"/>
    <w:rsid w:val="0062300C"/>
    <w:rsid w:val="006233F5"/>
    <w:rsid w:val="00633F5D"/>
    <w:rsid w:val="00634FDE"/>
    <w:rsid w:val="006418C6"/>
    <w:rsid w:val="00642A09"/>
    <w:rsid w:val="00643B21"/>
    <w:rsid w:val="00644737"/>
    <w:rsid w:val="00646FA9"/>
    <w:rsid w:val="006513E1"/>
    <w:rsid w:val="0065248B"/>
    <w:rsid w:val="006535E8"/>
    <w:rsid w:val="00656140"/>
    <w:rsid w:val="00657E6A"/>
    <w:rsid w:val="00662088"/>
    <w:rsid w:val="006A11DD"/>
    <w:rsid w:val="006A3E1F"/>
    <w:rsid w:val="006A53AA"/>
    <w:rsid w:val="006A5882"/>
    <w:rsid w:val="006A7D0B"/>
    <w:rsid w:val="006C0C95"/>
    <w:rsid w:val="006C2824"/>
    <w:rsid w:val="006C5222"/>
    <w:rsid w:val="006C56D5"/>
    <w:rsid w:val="006C6038"/>
    <w:rsid w:val="006D2C33"/>
    <w:rsid w:val="006D3CFA"/>
    <w:rsid w:val="006E69F9"/>
    <w:rsid w:val="007032B6"/>
    <w:rsid w:val="0070506C"/>
    <w:rsid w:val="007074BC"/>
    <w:rsid w:val="00712458"/>
    <w:rsid w:val="0071568F"/>
    <w:rsid w:val="00717437"/>
    <w:rsid w:val="00717A65"/>
    <w:rsid w:val="00721949"/>
    <w:rsid w:val="00722EB4"/>
    <w:rsid w:val="00731D5A"/>
    <w:rsid w:val="00746325"/>
    <w:rsid w:val="00750761"/>
    <w:rsid w:val="00761B91"/>
    <w:rsid w:val="007631D5"/>
    <w:rsid w:val="007700EF"/>
    <w:rsid w:val="007706D8"/>
    <w:rsid w:val="0077399E"/>
    <w:rsid w:val="007763EB"/>
    <w:rsid w:val="00776F7F"/>
    <w:rsid w:val="00780E34"/>
    <w:rsid w:val="007851C3"/>
    <w:rsid w:val="00792451"/>
    <w:rsid w:val="00796E1C"/>
    <w:rsid w:val="007A1C97"/>
    <w:rsid w:val="007A348A"/>
    <w:rsid w:val="007A4C60"/>
    <w:rsid w:val="007A5FB3"/>
    <w:rsid w:val="007C5038"/>
    <w:rsid w:val="007C5971"/>
    <w:rsid w:val="007C73C3"/>
    <w:rsid w:val="007D7937"/>
    <w:rsid w:val="007E3608"/>
    <w:rsid w:val="007F265C"/>
    <w:rsid w:val="007F356B"/>
    <w:rsid w:val="007F3A4E"/>
    <w:rsid w:val="007F3D17"/>
    <w:rsid w:val="007F5837"/>
    <w:rsid w:val="00800FB2"/>
    <w:rsid w:val="00801FC4"/>
    <w:rsid w:val="00804ADC"/>
    <w:rsid w:val="008062F8"/>
    <w:rsid w:val="00811A69"/>
    <w:rsid w:val="008121F8"/>
    <w:rsid w:val="00813304"/>
    <w:rsid w:val="00813829"/>
    <w:rsid w:val="00822056"/>
    <w:rsid w:val="00824EA1"/>
    <w:rsid w:val="00826027"/>
    <w:rsid w:val="00835912"/>
    <w:rsid w:val="00835CAB"/>
    <w:rsid w:val="008457ED"/>
    <w:rsid w:val="008473AC"/>
    <w:rsid w:val="00850171"/>
    <w:rsid w:val="00852124"/>
    <w:rsid w:val="00852EDA"/>
    <w:rsid w:val="00855D31"/>
    <w:rsid w:val="00856042"/>
    <w:rsid w:val="00862934"/>
    <w:rsid w:val="00865105"/>
    <w:rsid w:val="00866CA9"/>
    <w:rsid w:val="008721B4"/>
    <w:rsid w:val="00877C6C"/>
    <w:rsid w:val="0088071A"/>
    <w:rsid w:val="00883EBF"/>
    <w:rsid w:val="00887127"/>
    <w:rsid w:val="00887148"/>
    <w:rsid w:val="008932DC"/>
    <w:rsid w:val="008944F9"/>
    <w:rsid w:val="0089468A"/>
    <w:rsid w:val="008A740C"/>
    <w:rsid w:val="008B1045"/>
    <w:rsid w:val="008B213F"/>
    <w:rsid w:val="008B31D1"/>
    <w:rsid w:val="008B3D08"/>
    <w:rsid w:val="008B4898"/>
    <w:rsid w:val="008D275F"/>
    <w:rsid w:val="008D27E0"/>
    <w:rsid w:val="008D6F60"/>
    <w:rsid w:val="008D73B2"/>
    <w:rsid w:val="008E2681"/>
    <w:rsid w:val="008F3E3A"/>
    <w:rsid w:val="00904A08"/>
    <w:rsid w:val="00904EE2"/>
    <w:rsid w:val="00905127"/>
    <w:rsid w:val="00905ED8"/>
    <w:rsid w:val="009061CD"/>
    <w:rsid w:val="00906E5A"/>
    <w:rsid w:val="0091027A"/>
    <w:rsid w:val="00912101"/>
    <w:rsid w:val="009126B3"/>
    <w:rsid w:val="00920648"/>
    <w:rsid w:val="00921D64"/>
    <w:rsid w:val="00921E93"/>
    <w:rsid w:val="009220B0"/>
    <w:rsid w:val="009246C3"/>
    <w:rsid w:val="00936170"/>
    <w:rsid w:val="00936F84"/>
    <w:rsid w:val="00946017"/>
    <w:rsid w:val="00956F86"/>
    <w:rsid w:val="009636E5"/>
    <w:rsid w:val="009701B7"/>
    <w:rsid w:val="00971CFA"/>
    <w:rsid w:val="0097665F"/>
    <w:rsid w:val="009770D6"/>
    <w:rsid w:val="00977ACE"/>
    <w:rsid w:val="0098035F"/>
    <w:rsid w:val="009814C0"/>
    <w:rsid w:val="00981DD2"/>
    <w:rsid w:val="00981F94"/>
    <w:rsid w:val="00985816"/>
    <w:rsid w:val="00991A49"/>
    <w:rsid w:val="009955F9"/>
    <w:rsid w:val="009A0D8F"/>
    <w:rsid w:val="009A1B12"/>
    <w:rsid w:val="009A1BEC"/>
    <w:rsid w:val="009A7824"/>
    <w:rsid w:val="009A7E31"/>
    <w:rsid w:val="009B00AF"/>
    <w:rsid w:val="009B265A"/>
    <w:rsid w:val="009B6607"/>
    <w:rsid w:val="009B7EAC"/>
    <w:rsid w:val="009C2D00"/>
    <w:rsid w:val="009D27B1"/>
    <w:rsid w:val="009D33CF"/>
    <w:rsid w:val="009F2222"/>
    <w:rsid w:val="00A120B7"/>
    <w:rsid w:val="00A17947"/>
    <w:rsid w:val="00A20B84"/>
    <w:rsid w:val="00A236CA"/>
    <w:rsid w:val="00A25F34"/>
    <w:rsid w:val="00A3146A"/>
    <w:rsid w:val="00A33054"/>
    <w:rsid w:val="00A33BE4"/>
    <w:rsid w:val="00A368D5"/>
    <w:rsid w:val="00A445AF"/>
    <w:rsid w:val="00A53A79"/>
    <w:rsid w:val="00A60FE1"/>
    <w:rsid w:val="00A662D5"/>
    <w:rsid w:val="00A7064F"/>
    <w:rsid w:val="00A710C2"/>
    <w:rsid w:val="00A72063"/>
    <w:rsid w:val="00A72160"/>
    <w:rsid w:val="00A72E7E"/>
    <w:rsid w:val="00A75681"/>
    <w:rsid w:val="00A87E10"/>
    <w:rsid w:val="00A91B93"/>
    <w:rsid w:val="00A920B6"/>
    <w:rsid w:val="00A96722"/>
    <w:rsid w:val="00AA09C9"/>
    <w:rsid w:val="00AA31FC"/>
    <w:rsid w:val="00AA7E12"/>
    <w:rsid w:val="00AB3789"/>
    <w:rsid w:val="00AB3890"/>
    <w:rsid w:val="00AB6BC8"/>
    <w:rsid w:val="00AC0E93"/>
    <w:rsid w:val="00AC1938"/>
    <w:rsid w:val="00AC4C2E"/>
    <w:rsid w:val="00AC56B1"/>
    <w:rsid w:val="00AC6DA4"/>
    <w:rsid w:val="00AC78BE"/>
    <w:rsid w:val="00AC7E09"/>
    <w:rsid w:val="00AD6766"/>
    <w:rsid w:val="00AE496C"/>
    <w:rsid w:val="00AE6EAE"/>
    <w:rsid w:val="00AE6F20"/>
    <w:rsid w:val="00AF3265"/>
    <w:rsid w:val="00AF70F7"/>
    <w:rsid w:val="00AF749D"/>
    <w:rsid w:val="00AF7A77"/>
    <w:rsid w:val="00B07DE8"/>
    <w:rsid w:val="00B10E34"/>
    <w:rsid w:val="00B1119A"/>
    <w:rsid w:val="00B112EA"/>
    <w:rsid w:val="00B12193"/>
    <w:rsid w:val="00B12D7E"/>
    <w:rsid w:val="00B21178"/>
    <w:rsid w:val="00B246E2"/>
    <w:rsid w:val="00B24AAC"/>
    <w:rsid w:val="00B33476"/>
    <w:rsid w:val="00B35C18"/>
    <w:rsid w:val="00B36C32"/>
    <w:rsid w:val="00B3785D"/>
    <w:rsid w:val="00B433B3"/>
    <w:rsid w:val="00B46335"/>
    <w:rsid w:val="00B556CC"/>
    <w:rsid w:val="00B56AB7"/>
    <w:rsid w:val="00B56D60"/>
    <w:rsid w:val="00B57BDB"/>
    <w:rsid w:val="00B57E07"/>
    <w:rsid w:val="00B62979"/>
    <w:rsid w:val="00B7183C"/>
    <w:rsid w:val="00B73F18"/>
    <w:rsid w:val="00B875D2"/>
    <w:rsid w:val="00B94525"/>
    <w:rsid w:val="00B96217"/>
    <w:rsid w:val="00B977C6"/>
    <w:rsid w:val="00BA3ADC"/>
    <w:rsid w:val="00BA6105"/>
    <w:rsid w:val="00BA6D43"/>
    <w:rsid w:val="00BB327E"/>
    <w:rsid w:val="00BB67A6"/>
    <w:rsid w:val="00BC3855"/>
    <w:rsid w:val="00BC586C"/>
    <w:rsid w:val="00BC6DD3"/>
    <w:rsid w:val="00BD7878"/>
    <w:rsid w:val="00BE49E9"/>
    <w:rsid w:val="00BE5160"/>
    <w:rsid w:val="00BE517A"/>
    <w:rsid w:val="00BE7AE9"/>
    <w:rsid w:val="00BF2C37"/>
    <w:rsid w:val="00BF63DD"/>
    <w:rsid w:val="00C03888"/>
    <w:rsid w:val="00C054B7"/>
    <w:rsid w:val="00C065BA"/>
    <w:rsid w:val="00C07701"/>
    <w:rsid w:val="00C116D0"/>
    <w:rsid w:val="00C1399E"/>
    <w:rsid w:val="00C17FED"/>
    <w:rsid w:val="00C207C0"/>
    <w:rsid w:val="00C20F61"/>
    <w:rsid w:val="00C24983"/>
    <w:rsid w:val="00C3002A"/>
    <w:rsid w:val="00C33592"/>
    <w:rsid w:val="00C336CC"/>
    <w:rsid w:val="00C435A4"/>
    <w:rsid w:val="00C4736D"/>
    <w:rsid w:val="00C47733"/>
    <w:rsid w:val="00C51043"/>
    <w:rsid w:val="00C528E9"/>
    <w:rsid w:val="00C52C8D"/>
    <w:rsid w:val="00C61B6E"/>
    <w:rsid w:val="00C64568"/>
    <w:rsid w:val="00C668EA"/>
    <w:rsid w:val="00C67BDC"/>
    <w:rsid w:val="00C7207E"/>
    <w:rsid w:val="00C8217D"/>
    <w:rsid w:val="00C82982"/>
    <w:rsid w:val="00C83176"/>
    <w:rsid w:val="00C8324F"/>
    <w:rsid w:val="00C92822"/>
    <w:rsid w:val="00C94F62"/>
    <w:rsid w:val="00CA1BA5"/>
    <w:rsid w:val="00CA63E0"/>
    <w:rsid w:val="00CB3370"/>
    <w:rsid w:val="00CB414A"/>
    <w:rsid w:val="00CB502B"/>
    <w:rsid w:val="00CB759A"/>
    <w:rsid w:val="00CB7EEB"/>
    <w:rsid w:val="00CC111F"/>
    <w:rsid w:val="00CC19C5"/>
    <w:rsid w:val="00CD2429"/>
    <w:rsid w:val="00CD401C"/>
    <w:rsid w:val="00CE07C5"/>
    <w:rsid w:val="00CE1F40"/>
    <w:rsid w:val="00CE6767"/>
    <w:rsid w:val="00CF53A6"/>
    <w:rsid w:val="00CF688C"/>
    <w:rsid w:val="00D01550"/>
    <w:rsid w:val="00D01952"/>
    <w:rsid w:val="00D0272E"/>
    <w:rsid w:val="00D10EA9"/>
    <w:rsid w:val="00D11019"/>
    <w:rsid w:val="00D12A72"/>
    <w:rsid w:val="00D136F5"/>
    <w:rsid w:val="00D145E6"/>
    <w:rsid w:val="00D1476D"/>
    <w:rsid w:val="00D14C53"/>
    <w:rsid w:val="00D1539C"/>
    <w:rsid w:val="00D17977"/>
    <w:rsid w:val="00D222B6"/>
    <w:rsid w:val="00D2260F"/>
    <w:rsid w:val="00D26678"/>
    <w:rsid w:val="00D37470"/>
    <w:rsid w:val="00D40C70"/>
    <w:rsid w:val="00D42CE6"/>
    <w:rsid w:val="00D4691C"/>
    <w:rsid w:val="00D51317"/>
    <w:rsid w:val="00D549B3"/>
    <w:rsid w:val="00D54E8B"/>
    <w:rsid w:val="00D578A8"/>
    <w:rsid w:val="00D62E87"/>
    <w:rsid w:val="00D647B7"/>
    <w:rsid w:val="00D70362"/>
    <w:rsid w:val="00D72DFB"/>
    <w:rsid w:val="00D7581E"/>
    <w:rsid w:val="00D806BD"/>
    <w:rsid w:val="00D85780"/>
    <w:rsid w:val="00D86BCF"/>
    <w:rsid w:val="00D9279B"/>
    <w:rsid w:val="00D93076"/>
    <w:rsid w:val="00DA4397"/>
    <w:rsid w:val="00DA7618"/>
    <w:rsid w:val="00DB37CF"/>
    <w:rsid w:val="00DB427A"/>
    <w:rsid w:val="00DC0207"/>
    <w:rsid w:val="00DC07B1"/>
    <w:rsid w:val="00DC4803"/>
    <w:rsid w:val="00DC6B9A"/>
    <w:rsid w:val="00DD61B3"/>
    <w:rsid w:val="00DD766D"/>
    <w:rsid w:val="00DE04A7"/>
    <w:rsid w:val="00DE3372"/>
    <w:rsid w:val="00DF0878"/>
    <w:rsid w:val="00DF1EDD"/>
    <w:rsid w:val="00DF2320"/>
    <w:rsid w:val="00DF5146"/>
    <w:rsid w:val="00E02248"/>
    <w:rsid w:val="00E10061"/>
    <w:rsid w:val="00E10504"/>
    <w:rsid w:val="00E10D2F"/>
    <w:rsid w:val="00E11CD8"/>
    <w:rsid w:val="00E16AB0"/>
    <w:rsid w:val="00E2326B"/>
    <w:rsid w:val="00E27A86"/>
    <w:rsid w:val="00E31490"/>
    <w:rsid w:val="00E341E9"/>
    <w:rsid w:val="00E406C2"/>
    <w:rsid w:val="00E44433"/>
    <w:rsid w:val="00E45739"/>
    <w:rsid w:val="00E564D3"/>
    <w:rsid w:val="00E75635"/>
    <w:rsid w:val="00E7765B"/>
    <w:rsid w:val="00E8284C"/>
    <w:rsid w:val="00E829AD"/>
    <w:rsid w:val="00E82E5E"/>
    <w:rsid w:val="00E868FA"/>
    <w:rsid w:val="00E8799E"/>
    <w:rsid w:val="00E90DDE"/>
    <w:rsid w:val="00EA1A9B"/>
    <w:rsid w:val="00EA1F66"/>
    <w:rsid w:val="00EA307D"/>
    <w:rsid w:val="00EA3801"/>
    <w:rsid w:val="00EA6162"/>
    <w:rsid w:val="00EA6DDD"/>
    <w:rsid w:val="00EA7996"/>
    <w:rsid w:val="00EB48A7"/>
    <w:rsid w:val="00EB4DF8"/>
    <w:rsid w:val="00EC1442"/>
    <w:rsid w:val="00EC15AB"/>
    <w:rsid w:val="00EC652A"/>
    <w:rsid w:val="00EC6879"/>
    <w:rsid w:val="00ED046E"/>
    <w:rsid w:val="00ED284E"/>
    <w:rsid w:val="00ED401D"/>
    <w:rsid w:val="00ED458C"/>
    <w:rsid w:val="00ED54A3"/>
    <w:rsid w:val="00EE120F"/>
    <w:rsid w:val="00EE1862"/>
    <w:rsid w:val="00EE1B57"/>
    <w:rsid w:val="00EE519E"/>
    <w:rsid w:val="00EF0D57"/>
    <w:rsid w:val="00EF3568"/>
    <w:rsid w:val="00EF6D59"/>
    <w:rsid w:val="00EF7512"/>
    <w:rsid w:val="00EF7E48"/>
    <w:rsid w:val="00F02A1A"/>
    <w:rsid w:val="00F0303A"/>
    <w:rsid w:val="00F063E6"/>
    <w:rsid w:val="00F10E67"/>
    <w:rsid w:val="00F22A50"/>
    <w:rsid w:val="00F22A5F"/>
    <w:rsid w:val="00F2301A"/>
    <w:rsid w:val="00F23428"/>
    <w:rsid w:val="00F30937"/>
    <w:rsid w:val="00F33B42"/>
    <w:rsid w:val="00F3575B"/>
    <w:rsid w:val="00F364A5"/>
    <w:rsid w:val="00F40639"/>
    <w:rsid w:val="00F46E4D"/>
    <w:rsid w:val="00F503DB"/>
    <w:rsid w:val="00F604EC"/>
    <w:rsid w:val="00F64B1F"/>
    <w:rsid w:val="00F64CDA"/>
    <w:rsid w:val="00F74768"/>
    <w:rsid w:val="00F751B3"/>
    <w:rsid w:val="00F82083"/>
    <w:rsid w:val="00F93C8F"/>
    <w:rsid w:val="00FA0460"/>
    <w:rsid w:val="00FA3C19"/>
    <w:rsid w:val="00FA3E7D"/>
    <w:rsid w:val="00FA6ACE"/>
    <w:rsid w:val="00FB2F47"/>
    <w:rsid w:val="00FB7EC9"/>
    <w:rsid w:val="00FC1C27"/>
    <w:rsid w:val="00FC32FF"/>
    <w:rsid w:val="00FC432C"/>
    <w:rsid w:val="00FC4B45"/>
    <w:rsid w:val="00FD0576"/>
    <w:rsid w:val="00FD3C6C"/>
    <w:rsid w:val="00FD4DAF"/>
    <w:rsid w:val="00FD6771"/>
    <w:rsid w:val="00FE4160"/>
    <w:rsid w:val="00FE7633"/>
    <w:rsid w:val="00FE7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13F17"/>
  <w15:chartTrackingRefBased/>
  <w15:docId w15:val="{12919609-56A4-480E-8A6D-0F953561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TimesNewRoman"/>
    <w:link w:val="Heading1Char"/>
    <w:uiPriority w:val="9"/>
    <w:qFormat/>
    <w:rsid w:val="000A74A1"/>
    <w:pPr>
      <w:keepNext/>
      <w:keepLines/>
      <w:spacing w:before="240" w:after="240"/>
      <w:outlineLvl w:val="0"/>
    </w:pPr>
    <w:rPr>
      <w:rFonts w:eastAsiaTheme="majorEastAsia" w:cstheme="majorBidi"/>
      <w:b/>
      <w:sz w:val="32"/>
      <w:szCs w:val="32"/>
    </w:rPr>
  </w:style>
  <w:style w:type="paragraph" w:styleId="Heading2">
    <w:name w:val="heading 2"/>
    <w:basedOn w:val="TimesNewRoman"/>
    <w:next w:val="TimesNewRoman"/>
    <w:link w:val="Heading2Char"/>
    <w:uiPriority w:val="9"/>
    <w:unhideWhenUsed/>
    <w:qFormat/>
    <w:rsid w:val="001E3B4C"/>
    <w:pPr>
      <w:keepNext/>
      <w:keepLines/>
      <w:spacing w:before="12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44433"/>
    <w:pPr>
      <w:keepNext/>
      <w:keepLines/>
      <w:spacing w:before="40" w:after="40"/>
      <w:outlineLvl w:val="2"/>
    </w:pPr>
    <w:rPr>
      <w:rFonts w:ascii="Times New Roman" w:eastAsiaTheme="majorEastAsia" w:hAnsi="Times New Roman" w:cstheme="majorBidi"/>
      <w:b/>
      <w:sz w:val="24"/>
      <w:szCs w:val="24"/>
    </w:rPr>
  </w:style>
  <w:style w:type="paragraph" w:styleId="Heading4">
    <w:name w:val="heading 4"/>
    <w:basedOn w:val="TimesNewRoman"/>
    <w:next w:val="TimesNewRoman"/>
    <w:link w:val="Heading4Char"/>
    <w:uiPriority w:val="9"/>
    <w:unhideWhenUsed/>
    <w:qFormat/>
    <w:rsid w:val="008D73B2"/>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
    <w:name w:val="Times New Roman"/>
    <w:basedOn w:val="Normal"/>
    <w:link w:val="TimesNewRomanChar"/>
    <w:qFormat/>
    <w:rsid w:val="007631D5"/>
    <w:pPr>
      <w:spacing w:after="0" w:line="480" w:lineRule="auto"/>
      <w:ind w:firstLine="720"/>
      <w:contextualSpacing/>
    </w:pPr>
    <w:rPr>
      <w:rFonts w:ascii="Times New Roman" w:hAnsi="Times New Roman"/>
      <w:sz w:val="24"/>
    </w:rPr>
  </w:style>
  <w:style w:type="character" w:customStyle="1" w:styleId="TimesNewRomanChar">
    <w:name w:val="Times New Roman Char"/>
    <w:basedOn w:val="DefaultParagraphFont"/>
    <w:link w:val="TimesNewRoman"/>
    <w:rsid w:val="007631D5"/>
    <w:rPr>
      <w:rFonts w:ascii="Times New Roman" w:hAnsi="Times New Roman"/>
      <w:sz w:val="24"/>
    </w:rPr>
  </w:style>
  <w:style w:type="paragraph" w:styleId="NoSpacing">
    <w:name w:val="No Spacing"/>
    <w:uiPriority w:val="1"/>
    <w:qFormat/>
    <w:rsid w:val="008D73B2"/>
    <w:pPr>
      <w:spacing w:after="0" w:line="240" w:lineRule="auto"/>
    </w:pPr>
  </w:style>
  <w:style w:type="character" w:customStyle="1" w:styleId="Heading1Char">
    <w:name w:val="Heading 1 Char"/>
    <w:basedOn w:val="DefaultParagraphFont"/>
    <w:link w:val="Heading1"/>
    <w:uiPriority w:val="9"/>
    <w:rsid w:val="000A74A1"/>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1E3B4C"/>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E44433"/>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8D73B2"/>
    <w:rPr>
      <w:rFonts w:ascii="Times New Roman" w:eastAsiaTheme="majorEastAsia" w:hAnsi="Times New Roman" w:cstheme="majorBidi"/>
      <w:i/>
      <w:iCs/>
      <w:sz w:val="24"/>
    </w:rPr>
  </w:style>
  <w:style w:type="paragraph" w:styleId="Title">
    <w:name w:val="Title"/>
    <w:basedOn w:val="TimesNewRoman"/>
    <w:link w:val="TitleChar"/>
    <w:uiPriority w:val="10"/>
    <w:qFormat/>
    <w:rsid w:val="008D73B2"/>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8D73B2"/>
    <w:rPr>
      <w:rFonts w:ascii="Times New Roman" w:eastAsiaTheme="majorEastAsia" w:hAnsi="Times New Roman" w:cstheme="majorBidi"/>
      <w:spacing w:val="-10"/>
      <w:kern w:val="28"/>
      <w:sz w:val="56"/>
      <w:szCs w:val="56"/>
    </w:rPr>
  </w:style>
  <w:style w:type="paragraph" w:styleId="Subtitle">
    <w:name w:val="Subtitle"/>
    <w:basedOn w:val="TimesNewRoman"/>
    <w:link w:val="SubtitleChar"/>
    <w:uiPriority w:val="11"/>
    <w:qFormat/>
    <w:rsid w:val="008D73B2"/>
    <w:pPr>
      <w:numPr>
        <w:ilvl w:val="1"/>
      </w:numPr>
      <w:ind w:firstLine="720"/>
    </w:pPr>
    <w:rPr>
      <w:rFonts w:eastAsiaTheme="minorEastAsia"/>
      <w:spacing w:val="15"/>
      <w:sz w:val="28"/>
    </w:rPr>
  </w:style>
  <w:style w:type="character" w:customStyle="1" w:styleId="SubtitleChar">
    <w:name w:val="Subtitle Char"/>
    <w:basedOn w:val="DefaultParagraphFont"/>
    <w:link w:val="Subtitle"/>
    <w:uiPriority w:val="11"/>
    <w:rsid w:val="008D73B2"/>
    <w:rPr>
      <w:rFonts w:ascii="Times New Roman" w:eastAsiaTheme="minorEastAsia" w:hAnsi="Times New Roman"/>
      <w:spacing w:val="15"/>
      <w:sz w:val="28"/>
    </w:rPr>
  </w:style>
  <w:style w:type="paragraph" w:styleId="Header">
    <w:name w:val="header"/>
    <w:basedOn w:val="Normal"/>
    <w:link w:val="HeaderChar"/>
    <w:uiPriority w:val="99"/>
    <w:unhideWhenUsed/>
    <w:rsid w:val="00B12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193"/>
  </w:style>
  <w:style w:type="paragraph" w:styleId="Footer">
    <w:name w:val="footer"/>
    <w:basedOn w:val="Normal"/>
    <w:link w:val="FooterChar"/>
    <w:uiPriority w:val="99"/>
    <w:unhideWhenUsed/>
    <w:rsid w:val="00B12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193"/>
  </w:style>
  <w:style w:type="character" w:styleId="Hyperlink">
    <w:name w:val="Hyperlink"/>
    <w:basedOn w:val="DefaultParagraphFont"/>
    <w:uiPriority w:val="99"/>
    <w:unhideWhenUsed/>
    <w:rsid w:val="005B5B30"/>
    <w:rPr>
      <w:color w:val="0563C1" w:themeColor="hyperlink"/>
      <w:u w:val="single"/>
    </w:rPr>
  </w:style>
  <w:style w:type="paragraph" w:styleId="TOC1">
    <w:name w:val="toc 1"/>
    <w:basedOn w:val="TimesNewRoman"/>
    <w:next w:val="TimesNewRoman"/>
    <w:autoRedefine/>
    <w:uiPriority w:val="39"/>
    <w:unhideWhenUsed/>
    <w:rsid w:val="005B5B30"/>
    <w:pPr>
      <w:spacing w:after="100"/>
    </w:pPr>
  </w:style>
  <w:style w:type="paragraph" w:styleId="TOCHeading">
    <w:name w:val="TOC Heading"/>
    <w:basedOn w:val="Heading1"/>
    <w:next w:val="Normal"/>
    <w:uiPriority w:val="39"/>
    <w:unhideWhenUsed/>
    <w:qFormat/>
    <w:rsid w:val="005B5B30"/>
    <w:pPr>
      <w:spacing w:line="259" w:lineRule="auto"/>
      <w:contextualSpacing w:val="0"/>
      <w:outlineLvl w:val="9"/>
    </w:pPr>
    <w:rPr>
      <w:rFonts w:asciiTheme="majorHAnsi" w:hAnsiTheme="majorHAnsi"/>
      <w:b w:val="0"/>
      <w:color w:val="2E74B5" w:themeColor="accent1" w:themeShade="BF"/>
    </w:rPr>
  </w:style>
  <w:style w:type="paragraph" w:styleId="TOC2">
    <w:name w:val="toc 2"/>
    <w:basedOn w:val="TimesNewRoman"/>
    <w:next w:val="TimesNewRoman"/>
    <w:autoRedefine/>
    <w:uiPriority w:val="39"/>
    <w:semiHidden/>
    <w:unhideWhenUsed/>
    <w:rsid w:val="005B5B30"/>
    <w:pPr>
      <w:spacing w:after="100"/>
      <w:ind w:left="220"/>
    </w:pPr>
  </w:style>
  <w:style w:type="paragraph" w:styleId="TOC3">
    <w:name w:val="toc 3"/>
    <w:basedOn w:val="TimesNewRoman"/>
    <w:next w:val="TimesNewRoman"/>
    <w:autoRedefine/>
    <w:uiPriority w:val="39"/>
    <w:semiHidden/>
    <w:unhideWhenUsed/>
    <w:rsid w:val="005B5B30"/>
    <w:pPr>
      <w:spacing w:after="100"/>
      <w:ind w:left="440"/>
    </w:pPr>
  </w:style>
  <w:style w:type="paragraph" w:styleId="TOC4">
    <w:name w:val="toc 4"/>
    <w:basedOn w:val="TimesNewRoman"/>
    <w:next w:val="TimesNewRoman"/>
    <w:autoRedefine/>
    <w:uiPriority w:val="39"/>
    <w:semiHidden/>
    <w:unhideWhenUsed/>
    <w:rsid w:val="005B5B30"/>
    <w:pPr>
      <w:spacing w:after="100"/>
      <w:ind w:left="660"/>
    </w:pPr>
  </w:style>
  <w:style w:type="paragraph" w:styleId="TOC5">
    <w:name w:val="toc 5"/>
    <w:basedOn w:val="TimesNewRoman"/>
    <w:next w:val="TimesNewRoman"/>
    <w:autoRedefine/>
    <w:uiPriority w:val="39"/>
    <w:semiHidden/>
    <w:unhideWhenUsed/>
    <w:rsid w:val="005B5B30"/>
    <w:pPr>
      <w:spacing w:after="100"/>
      <w:ind w:left="880"/>
    </w:pPr>
  </w:style>
  <w:style w:type="paragraph" w:styleId="TOC6">
    <w:name w:val="toc 6"/>
    <w:basedOn w:val="TimesNewRoman"/>
    <w:next w:val="TimesNewRoman"/>
    <w:autoRedefine/>
    <w:uiPriority w:val="39"/>
    <w:semiHidden/>
    <w:unhideWhenUsed/>
    <w:rsid w:val="005B5B30"/>
    <w:pPr>
      <w:spacing w:after="100"/>
      <w:ind w:left="1100"/>
    </w:pPr>
  </w:style>
  <w:style w:type="paragraph" w:styleId="TOC7">
    <w:name w:val="toc 7"/>
    <w:basedOn w:val="TimesNewRoman"/>
    <w:next w:val="TimesNewRoman"/>
    <w:autoRedefine/>
    <w:uiPriority w:val="39"/>
    <w:semiHidden/>
    <w:unhideWhenUsed/>
    <w:rsid w:val="005B5B30"/>
    <w:pPr>
      <w:spacing w:after="100"/>
      <w:ind w:left="1320"/>
    </w:pPr>
  </w:style>
  <w:style w:type="paragraph" w:styleId="TOC8">
    <w:name w:val="toc 8"/>
    <w:basedOn w:val="TimesNewRoman"/>
    <w:next w:val="TimesNewRoman"/>
    <w:autoRedefine/>
    <w:uiPriority w:val="39"/>
    <w:semiHidden/>
    <w:unhideWhenUsed/>
    <w:rsid w:val="005B5B30"/>
    <w:pPr>
      <w:spacing w:after="100"/>
      <w:ind w:left="1540"/>
    </w:pPr>
  </w:style>
  <w:style w:type="paragraph" w:styleId="TOC9">
    <w:name w:val="toc 9"/>
    <w:basedOn w:val="TimesNewRoman"/>
    <w:next w:val="TimesNewRoman"/>
    <w:autoRedefine/>
    <w:uiPriority w:val="39"/>
    <w:semiHidden/>
    <w:unhideWhenUsed/>
    <w:rsid w:val="005B5B30"/>
    <w:pPr>
      <w:spacing w:after="100"/>
      <w:ind w:left="1760"/>
    </w:pPr>
  </w:style>
  <w:style w:type="character" w:styleId="PlaceholderText">
    <w:name w:val="Placeholder Text"/>
    <w:basedOn w:val="DefaultParagraphFont"/>
    <w:uiPriority w:val="99"/>
    <w:semiHidden/>
    <w:rsid w:val="00D9279B"/>
    <w:rPr>
      <w:color w:val="808080"/>
    </w:rPr>
  </w:style>
  <w:style w:type="table" w:styleId="TableGrid">
    <w:name w:val="Table Grid"/>
    <w:basedOn w:val="TableNormal"/>
    <w:uiPriority w:val="39"/>
    <w:rsid w:val="00E4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414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rsid w:val="00921E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8207">
      <w:bodyDiv w:val="1"/>
      <w:marLeft w:val="0"/>
      <w:marRight w:val="0"/>
      <w:marTop w:val="0"/>
      <w:marBottom w:val="0"/>
      <w:divBdr>
        <w:top w:val="none" w:sz="0" w:space="0" w:color="auto"/>
        <w:left w:val="none" w:sz="0" w:space="0" w:color="auto"/>
        <w:bottom w:val="none" w:sz="0" w:space="0" w:color="auto"/>
        <w:right w:val="none" w:sz="0" w:space="0" w:color="auto"/>
      </w:divBdr>
      <w:divsChild>
        <w:div w:id="210769117">
          <w:marLeft w:val="0"/>
          <w:marRight w:val="0"/>
          <w:marTop w:val="0"/>
          <w:marBottom w:val="0"/>
          <w:divBdr>
            <w:top w:val="none" w:sz="0" w:space="0" w:color="auto"/>
            <w:left w:val="none" w:sz="0" w:space="0" w:color="auto"/>
            <w:bottom w:val="none" w:sz="0" w:space="0" w:color="auto"/>
            <w:right w:val="none" w:sz="0" w:space="0" w:color="auto"/>
          </w:divBdr>
        </w:div>
      </w:divsChild>
    </w:div>
    <w:div w:id="59913392">
      <w:bodyDiv w:val="1"/>
      <w:marLeft w:val="0"/>
      <w:marRight w:val="0"/>
      <w:marTop w:val="0"/>
      <w:marBottom w:val="0"/>
      <w:divBdr>
        <w:top w:val="none" w:sz="0" w:space="0" w:color="auto"/>
        <w:left w:val="none" w:sz="0" w:space="0" w:color="auto"/>
        <w:bottom w:val="none" w:sz="0" w:space="0" w:color="auto"/>
        <w:right w:val="none" w:sz="0" w:space="0" w:color="auto"/>
      </w:divBdr>
      <w:divsChild>
        <w:div w:id="199173189">
          <w:marLeft w:val="0"/>
          <w:marRight w:val="0"/>
          <w:marTop w:val="0"/>
          <w:marBottom w:val="0"/>
          <w:divBdr>
            <w:top w:val="none" w:sz="0" w:space="0" w:color="auto"/>
            <w:left w:val="none" w:sz="0" w:space="0" w:color="auto"/>
            <w:bottom w:val="none" w:sz="0" w:space="0" w:color="auto"/>
            <w:right w:val="none" w:sz="0" w:space="0" w:color="auto"/>
          </w:divBdr>
        </w:div>
      </w:divsChild>
    </w:div>
    <w:div w:id="94981462">
      <w:bodyDiv w:val="1"/>
      <w:marLeft w:val="0"/>
      <w:marRight w:val="0"/>
      <w:marTop w:val="0"/>
      <w:marBottom w:val="0"/>
      <w:divBdr>
        <w:top w:val="none" w:sz="0" w:space="0" w:color="auto"/>
        <w:left w:val="none" w:sz="0" w:space="0" w:color="auto"/>
        <w:bottom w:val="none" w:sz="0" w:space="0" w:color="auto"/>
        <w:right w:val="none" w:sz="0" w:space="0" w:color="auto"/>
      </w:divBdr>
      <w:divsChild>
        <w:div w:id="1709186887">
          <w:marLeft w:val="0"/>
          <w:marRight w:val="0"/>
          <w:marTop w:val="0"/>
          <w:marBottom w:val="0"/>
          <w:divBdr>
            <w:top w:val="none" w:sz="0" w:space="0" w:color="auto"/>
            <w:left w:val="none" w:sz="0" w:space="0" w:color="auto"/>
            <w:bottom w:val="none" w:sz="0" w:space="0" w:color="auto"/>
            <w:right w:val="none" w:sz="0" w:space="0" w:color="auto"/>
          </w:divBdr>
        </w:div>
      </w:divsChild>
    </w:div>
    <w:div w:id="257177994">
      <w:bodyDiv w:val="1"/>
      <w:marLeft w:val="0"/>
      <w:marRight w:val="0"/>
      <w:marTop w:val="0"/>
      <w:marBottom w:val="0"/>
      <w:divBdr>
        <w:top w:val="none" w:sz="0" w:space="0" w:color="auto"/>
        <w:left w:val="none" w:sz="0" w:space="0" w:color="auto"/>
        <w:bottom w:val="none" w:sz="0" w:space="0" w:color="auto"/>
        <w:right w:val="none" w:sz="0" w:space="0" w:color="auto"/>
      </w:divBdr>
      <w:divsChild>
        <w:div w:id="1851865986">
          <w:marLeft w:val="0"/>
          <w:marRight w:val="0"/>
          <w:marTop w:val="0"/>
          <w:marBottom w:val="0"/>
          <w:divBdr>
            <w:top w:val="none" w:sz="0" w:space="0" w:color="auto"/>
            <w:left w:val="none" w:sz="0" w:space="0" w:color="auto"/>
            <w:bottom w:val="none" w:sz="0" w:space="0" w:color="auto"/>
            <w:right w:val="none" w:sz="0" w:space="0" w:color="auto"/>
          </w:divBdr>
        </w:div>
      </w:divsChild>
    </w:div>
    <w:div w:id="317420008">
      <w:bodyDiv w:val="1"/>
      <w:marLeft w:val="0"/>
      <w:marRight w:val="0"/>
      <w:marTop w:val="0"/>
      <w:marBottom w:val="0"/>
      <w:divBdr>
        <w:top w:val="none" w:sz="0" w:space="0" w:color="auto"/>
        <w:left w:val="none" w:sz="0" w:space="0" w:color="auto"/>
        <w:bottom w:val="none" w:sz="0" w:space="0" w:color="auto"/>
        <w:right w:val="none" w:sz="0" w:space="0" w:color="auto"/>
      </w:divBdr>
      <w:divsChild>
        <w:div w:id="1599437136">
          <w:marLeft w:val="0"/>
          <w:marRight w:val="0"/>
          <w:marTop w:val="0"/>
          <w:marBottom w:val="0"/>
          <w:divBdr>
            <w:top w:val="none" w:sz="0" w:space="0" w:color="auto"/>
            <w:left w:val="none" w:sz="0" w:space="0" w:color="auto"/>
            <w:bottom w:val="none" w:sz="0" w:space="0" w:color="auto"/>
            <w:right w:val="none" w:sz="0" w:space="0" w:color="auto"/>
          </w:divBdr>
        </w:div>
      </w:divsChild>
    </w:div>
    <w:div w:id="330108568">
      <w:bodyDiv w:val="1"/>
      <w:marLeft w:val="0"/>
      <w:marRight w:val="0"/>
      <w:marTop w:val="0"/>
      <w:marBottom w:val="0"/>
      <w:divBdr>
        <w:top w:val="none" w:sz="0" w:space="0" w:color="auto"/>
        <w:left w:val="none" w:sz="0" w:space="0" w:color="auto"/>
        <w:bottom w:val="none" w:sz="0" w:space="0" w:color="auto"/>
        <w:right w:val="none" w:sz="0" w:space="0" w:color="auto"/>
      </w:divBdr>
      <w:divsChild>
        <w:div w:id="70742928">
          <w:marLeft w:val="0"/>
          <w:marRight w:val="0"/>
          <w:marTop w:val="0"/>
          <w:marBottom w:val="0"/>
          <w:divBdr>
            <w:top w:val="none" w:sz="0" w:space="0" w:color="auto"/>
            <w:left w:val="none" w:sz="0" w:space="0" w:color="auto"/>
            <w:bottom w:val="none" w:sz="0" w:space="0" w:color="auto"/>
            <w:right w:val="none" w:sz="0" w:space="0" w:color="auto"/>
          </w:divBdr>
        </w:div>
      </w:divsChild>
    </w:div>
    <w:div w:id="338897053">
      <w:bodyDiv w:val="1"/>
      <w:marLeft w:val="0"/>
      <w:marRight w:val="0"/>
      <w:marTop w:val="0"/>
      <w:marBottom w:val="0"/>
      <w:divBdr>
        <w:top w:val="none" w:sz="0" w:space="0" w:color="auto"/>
        <w:left w:val="none" w:sz="0" w:space="0" w:color="auto"/>
        <w:bottom w:val="none" w:sz="0" w:space="0" w:color="auto"/>
        <w:right w:val="none" w:sz="0" w:space="0" w:color="auto"/>
      </w:divBdr>
      <w:divsChild>
        <w:div w:id="65961903">
          <w:marLeft w:val="0"/>
          <w:marRight w:val="0"/>
          <w:marTop w:val="0"/>
          <w:marBottom w:val="0"/>
          <w:divBdr>
            <w:top w:val="none" w:sz="0" w:space="0" w:color="auto"/>
            <w:left w:val="none" w:sz="0" w:space="0" w:color="auto"/>
            <w:bottom w:val="none" w:sz="0" w:space="0" w:color="auto"/>
            <w:right w:val="none" w:sz="0" w:space="0" w:color="auto"/>
          </w:divBdr>
        </w:div>
      </w:divsChild>
    </w:div>
    <w:div w:id="361395420">
      <w:bodyDiv w:val="1"/>
      <w:marLeft w:val="0"/>
      <w:marRight w:val="0"/>
      <w:marTop w:val="0"/>
      <w:marBottom w:val="0"/>
      <w:divBdr>
        <w:top w:val="none" w:sz="0" w:space="0" w:color="auto"/>
        <w:left w:val="none" w:sz="0" w:space="0" w:color="auto"/>
        <w:bottom w:val="none" w:sz="0" w:space="0" w:color="auto"/>
        <w:right w:val="none" w:sz="0" w:space="0" w:color="auto"/>
      </w:divBdr>
      <w:divsChild>
        <w:div w:id="1044135864">
          <w:marLeft w:val="0"/>
          <w:marRight w:val="0"/>
          <w:marTop w:val="0"/>
          <w:marBottom w:val="0"/>
          <w:divBdr>
            <w:top w:val="none" w:sz="0" w:space="0" w:color="auto"/>
            <w:left w:val="none" w:sz="0" w:space="0" w:color="auto"/>
            <w:bottom w:val="none" w:sz="0" w:space="0" w:color="auto"/>
            <w:right w:val="none" w:sz="0" w:space="0" w:color="auto"/>
          </w:divBdr>
        </w:div>
      </w:divsChild>
    </w:div>
    <w:div w:id="419836033">
      <w:bodyDiv w:val="1"/>
      <w:marLeft w:val="0"/>
      <w:marRight w:val="0"/>
      <w:marTop w:val="0"/>
      <w:marBottom w:val="0"/>
      <w:divBdr>
        <w:top w:val="none" w:sz="0" w:space="0" w:color="auto"/>
        <w:left w:val="none" w:sz="0" w:space="0" w:color="auto"/>
        <w:bottom w:val="none" w:sz="0" w:space="0" w:color="auto"/>
        <w:right w:val="none" w:sz="0" w:space="0" w:color="auto"/>
      </w:divBdr>
      <w:divsChild>
        <w:div w:id="2069449269">
          <w:marLeft w:val="0"/>
          <w:marRight w:val="0"/>
          <w:marTop w:val="0"/>
          <w:marBottom w:val="0"/>
          <w:divBdr>
            <w:top w:val="none" w:sz="0" w:space="0" w:color="auto"/>
            <w:left w:val="none" w:sz="0" w:space="0" w:color="auto"/>
            <w:bottom w:val="none" w:sz="0" w:space="0" w:color="auto"/>
            <w:right w:val="none" w:sz="0" w:space="0" w:color="auto"/>
          </w:divBdr>
        </w:div>
        <w:div w:id="2009862546">
          <w:marLeft w:val="0"/>
          <w:marRight w:val="0"/>
          <w:marTop w:val="0"/>
          <w:marBottom w:val="0"/>
          <w:divBdr>
            <w:top w:val="none" w:sz="0" w:space="0" w:color="auto"/>
            <w:left w:val="none" w:sz="0" w:space="0" w:color="auto"/>
            <w:bottom w:val="none" w:sz="0" w:space="0" w:color="auto"/>
            <w:right w:val="none" w:sz="0" w:space="0" w:color="auto"/>
          </w:divBdr>
        </w:div>
      </w:divsChild>
    </w:div>
    <w:div w:id="540828279">
      <w:bodyDiv w:val="1"/>
      <w:marLeft w:val="0"/>
      <w:marRight w:val="0"/>
      <w:marTop w:val="0"/>
      <w:marBottom w:val="0"/>
      <w:divBdr>
        <w:top w:val="none" w:sz="0" w:space="0" w:color="auto"/>
        <w:left w:val="none" w:sz="0" w:space="0" w:color="auto"/>
        <w:bottom w:val="none" w:sz="0" w:space="0" w:color="auto"/>
        <w:right w:val="none" w:sz="0" w:space="0" w:color="auto"/>
      </w:divBdr>
      <w:divsChild>
        <w:div w:id="2102682655">
          <w:marLeft w:val="0"/>
          <w:marRight w:val="0"/>
          <w:marTop w:val="0"/>
          <w:marBottom w:val="0"/>
          <w:divBdr>
            <w:top w:val="none" w:sz="0" w:space="0" w:color="auto"/>
            <w:left w:val="none" w:sz="0" w:space="0" w:color="auto"/>
            <w:bottom w:val="none" w:sz="0" w:space="0" w:color="auto"/>
            <w:right w:val="none" w:sz="0" w:space="0" w:color="auto"/>
          </w:divBdr>
        </w:div>
      </w:divsChild>
    </w:div>
    <w:div w:id="659037424">
      <w:bodyDiv w:val="1"/>
      <w:marLeft w:val="0"/>
      <w:marRight w:val="0"/>
      <w:marTop w:val="0"/>
      <w:marBottom w:val="0"/>
      <w:divBdr>
        <w:top w:val="none" w:sz="0" w:space="0" w:color="auto"/>
        <w:left w:val="none" w:sz="0" w:space="0" w:color="auto"/>
        <w:bottom w:val="none" w:sz="0" w:space="0" w:color="auto"/>
        <w:right w:val="none" w:sz="0" w:space="0" w:color="auto"/>
      </w:divBdr>
      <w:divsChild>
        <w:div w:id="148788177">
          <w:marLeft w:val="0"/>
          <w:marRight w:val="0"/>
          <w:marTop w:val="0"/>
          <w:marBottom w:val="0"/>
          <w:divBdr>
            <w:top w:val="none" w:sz="0" w:space="0" w:color="auto"/>
            <w:left w:val="none" w:sz="0" w:space="0" w:color="auto"/>
            <w:bottom w:val="none" w:sz="0" w:space="0" w:color="auto"/>
            <w:right w:val="none" w:sz="0" w:space="0" w:color="auto"/>
          </w:divBdr>
        </w:div>
      </w:divsChild>
    </w:div>
    <w:div w:id="684135261">
      <w:bodyDiv w:val="1"/>
      <w:marLeft w:val="0"/>
      <w:marRight w:val="0"/>
      <w:marTop w:val="0"/>
      <w:marBottom w:val="0"/>
      <w:divBdr>
        <w:top w:val="none" w:sz="0" w:space="0" w:color="auto"/>
        <w:left w:val="none" w:sz="0" w:space="0" w:color="auto"/>
        <w:bottom w:val="none" w:sz="0" w:space="0" w:color="auto"/>
        <w:right w:val="none" w:sz="0" w:space="0" w:color="auto"/>
      </w:divBdr>
      <w:divsChild>
        <w:div w:id="1171917269">
          <w:marLeft w:val="0"/>
          <w:marRight w:val="0"/>
          <w:marTop w:val="0"/>
          <w:marBottom w:val="0"/>
          <w:divBdr>
            <w:top w:val="none" w:sz="0" w:space="0" w:color="auto"/>
            <w:left w:val="none" w:sz="0" w:space="0" w:color="auto"/>
            <w:bottom w:val="none" w:sz="0" w:space="0" w:color="auto"/>
            <w:right w:val="none" w:sz="0" w:space="0" w:color="auto"/>
          </w:divBdr>
        </w:div>
      </w:divsChild>
    </w:div>
    <w:div w:id="785084289">
      <w:bodyDiv w:val="1"/>
      <w:marLeft w:val="0"/>
      <w:marRight w:val="0"/>
      <w:marTop w:val="0"/>
      <w:marBottom w:val="0"/>
      <w:divBdr>
        <w:top w:val="none" w:sz="0" w:space="0" w:color="auto"/>
        <w:left w:val="none" w:sz="0" w:space="0" w:color="auto"/>
        <w:bottom w:val="none" w:sz="0" w:space="0" w:color="auto"/>
        <w:right w:val="none" w:sz="0" w:space="0" w:color="auto"/>
      </w:divBdr>
      <w:divsChild>
        <w:div w:id="2085951374">
          <w:marLeft w:val="0"/>
          <w:marRight w:val="0"/>
          <w:marTop w:val="0"/>
          <w:marBottom w:val="0"/>
          <w:divBdr>
            <w:top w:val="none" w:sz="0" w:space="0" w:color="auto"/>
            <w:left w:val="none" w:sz="0" w:space="0" w:color="auto"/>
            <w:bottom w:val="none" w:sz="0" w:space="0" w:color="auto"/>
            <w:right w:val="none" w:sz="0" w:space="0" w:color="auto"/>
          </w:divBdr>
        </w:div>
      </w:divsChild>
    </w:div>
    <w:div w:id="839202991">
      <w:bodyDiv w:val="1"/>
      <w:marLeft w:val="0"/>
      <w:marRight w:val="0"/>
      <w:marTop w:val="0"/>
      <w:marBottom w:val="0"/>
      <w:divBdr>
        <w:top w:val="none" w:sz="0" w:space="0" w:color="auto"/>
        <w:left w:val="none" w:sz="0" w:space="0" w:color="auto"/>
        <w:bottom w:val="none" w:sz="0" w:space="0" w:color="auto"/>
        <w:right w:val="none" w:sz="0" w:space="0" w:color="auto"/>
      </w:divBdr>
      <w:divsChild>
        <w:div w:id="1748380726">
          <w:marLeft w:val="0"/>
          <w:marRight w:val="0"/>
          <w:marTop w:val="0"/>
          <w:marBottom w:val="0"/>
          <w:divBdr>
            <w:top w:val="none" w:sz="0" w:space="0" w:color="auto"/>
            <w:left w:val="none" w:sz="0" w:space="0" w:color="auto"/>
            <w:bottom w:val="none" w:sz="0" w:space="0" w:color="auto"/>
            <w:right w:val="none" w:sz="0" w:space="0" w:color="auto"/>
          </w:divBdr>
        </w:div>
      </w:divsChild>
    </w:div>
    <w:div w:id="843324220">
      <w:bodyDiv w:val="1"/>
      <w:marLeft w:val="0"/>
      <w:marRight w:val="0"/>
      <w:marTop w:val="0"/>
      <w:marBottom w:val="0"/>
      <w:divBdr>
        <w:top w:val="none" w:sz="0" w:space="0" w:color="auto"/>
        <w:left w:val="none" w:sz="0" w:space="0" w:color="auto"/>
        <w:bottom w:val="none" w:sz="0" w:space="0" w:color="auto"/>
        <w:right w:val="none" w:sz="0" w:space="0" w:color="auto"/>
      </w:divBdr>
      <w:divsChild>
        <w:div w:id="835651499">
          <w:marLeft w:val="0"/>
          <w:marRight w:val="0"/>
          <w:marTop w:val="0"/>
          <w:marBottom w:val="0"/>
          <w:divBdr>
            <w:top w:val="none" w:sz="0" w:space="0" w:color="auto"/>
            <w:left w:val="none" w:sz="0" w:space="0" w:color="auto"/>
            <w:bottom w:val="none" w:sz="0" w:space="0" w:color="auto"/>
            <w:right w:val="none" w:sz="0" w:space="0" w:color="auto"/>
          </w:divBdr>
        </w:div>
      </w:divsChild>
    </w:div>
    <w:div w:id="859465463">
      <w:bodyDiv w:val="1"/>
      <w:marLeft w:val="0"/>
      <w:marRight w:val="0"/>
      <w:marTop w:val="0"/>
      <w:marBottom w:val="0"/>
      <w:divBdr>
        <w:top w:val="none" w:sz="0" w:space="0" w:color="auto"/>
        <w:left w:val="none" w:sz="0" w:space="0" w:color="auto"/>
        <w:bottom w:val="none" w:sz="0" w:space="0" w:color="auto"/>
        <w:right w:val="none" w:sz="0" w:space="0" w:color="auto"/>
      </w:divBdr>
      <w:divsChild>
        <w:div w:id="1622347051">
          <w:marLeft w:val="0"/>
          <w:marRight w:val="0"/>
          <w:marTop w:val="0"/>
          <w:marBottom w:val="0"/>
          <w:divBdr>
            <w:top w:val="none" w:sz="0" w:space="0" w:color="auto"/>
            <w:left w:val="none" w:sz="0" w:space="0" w:color="auto"/>
            <w:bottom w:val="none" w:sz="0" w:space="0" w:color="auto"/>
            <w:right w:val="none" w:sz="0" w:space="0" w:color="auto"/>
          </w:divBdr>
        </w:div>
      </w:divsChild>
    </w:div>
    <w:div w:id="913858586">
      <w:bodyDiv w:val="1"/>
      <w:marLeft w:val="0"/>
      <w:marRight w:val="0"/>
      <w:marTop w:val="0"/>
      <w:marBottom w:val="0"/>
      <w:divBdr>
        <w:top w:val="none" w:sz="0" w:space="0" w:color="auto"/>
        <w:left w:val="none" w:sz="0" w:space="0" w:color="auto"/>
        <w:bottom w:val="none" w:sz="0" w:space="0" w:color="auto"/>
        <w:right w:val="none" w:sz="0" w:space="0" w:color="auto"/>
      </w:divBdr>
      <w:divsChild>
        <w:div w:id="466317001">
          <w:marLeft w:val="0"/>
          <w:marRight w:val="0"/>
          <w:marTop w:val="0"/>
          <w:marBottom w:val="0"/>
          <w:divBdr>
            <w:top w:val="none" w:sz="0" w:space="0" w:color="auto"/>
            <w:left w:val="none" w:sz="0" w:space="0" w:color="auto"/>
            <w:bottom w:val="none" w:sz="0" w:space="0" w:color="auto"/>
            <w:right w:val="none" w:sz="0" w:space="0" w:color="auto"/>
          </w:divBdr>
        </w:div>
      </w:divsChild>
    </w:div>
    <w:div w:id="974027415">
      <w:bodyDiv w:val="1"/>
      <w:marLeft w:val="0"/>
      <w:marRight w:val="0"/>
      <w:marTop w:val="0"/>
      <w:marBottom w:val="0"/>
      <w:divBdr>
        <w:top w:val="none" w:sz="0" w:space="0" w:color="auto"/>
        <w:left w:val="none" w:sz="0" w:space="0" w:color="auto"/>
        <w:bottom w:val="none" w:sz="0" w:space="0" w:color="auto"/>
        <w:right w:val="none" w:sz="0" w:space="0" w:color="auto"/>
      </w:divBdr>
      <w:divsChild>
        <w:div w:id="1438209855">
          <w:marLeft w:val="0"/>
          <w:marRight w:val="0"/>
          <w:marTop w:val="0"/>
          <w:marBottom w:val="0"/>
          <w:divBdr>
            <w:top w:val="none" w:sz="0" w:space="0" w:color="auto"/>
            <w:left w:val="none" w:sz="0" w:space="0" w:color="auto"/>
            <w:bottom w:val="none" w:sz="0" w:space="0" w:color="auto"/>
            <w:right w:val="none" w:sz="0" w:space="0" w:color="auto"/>
          </w:divBdr>
        </w:div>
      </w:divsChild>
    </w:div>
    <w:div w:id="1119252563">
      <w:bodyDiv w:val="1"/>
      <w:marLeft w:val="0"/>
      <w:marRight w:val="0"/>
      <w:marTop w:val="0"/>
      <w:marBottom w:val="0"/>
      <w:divBdr>
        <w:top w:val="none" w:sz="0" w:space="0" w:color="auto"/>
        <w:left w:val="none" w:sz="0" w:space="0" w:color="auto"/>
        <w:bottom w:val="none" w:sz="0" w:space="0" w:color="auto"/>
        <w:right w:val="none" w:sz="0" w:space="0" w:color="auto"/>
      </w:divBdr>
      <w:divsChild>
        <w:div w:id="477459639">
          <w:marLeft w:val="0"/>
          <w:marRight w:val="0"/>
          <w:marTop w:val="0"/>
          <w:marBottom w:val="0"/>
          <w:divBdr>
            <w:top w:val="none" w:sz="0" w:space="0" w:color="auto"/>
            <w:left w:val="none" w:sz="0" w:space="0" w:color="auto"/>
            <w:bottom w:val="none" w:sz="0" w:space="0" w:color="auto"/>
            <w:right w:val="none" w:sz="0" w:space="0" w:color="auto"/>
          </w:divBdr>
        </w:div>
      </w:divsChild>
    </w:div>
    <w:div w:id="1192915436">
      <w:bodyDiv w:val="1"/>
      <w:marLeft w:val="0"/>
      <w:marRight w:val="0"/>
      <w:marTop w:val="0"/>
      <w:marBottom w:val="0"/>
      <w:divBdr>
        <w:top w:val="none" w:sz="0" w:space="0" w:color="auto"/>
        <w:left w:val="none" w:sz="0" w:space="0" w:color="auto"/>
        <w:bottom w:val="none" w:sz="0" w:space="0" w:color="auto"/>
        <w:right w:val="none" w:sz="0" w:space="0" w:color="auto"/>
      </w:divBdr>
      <w:divsChild>
        <w:div w:id="634069276">
          <w:marLeft w:val="0"/>
          <w:marRight w:val="0"/>
          <w:marTop w:val="0"/>
          <w:marBottom w:val="0"/>
          <w:divBdr>
            <w:top w:val="none" w:sz="0" w:space="0" w:color="auto"/>
            <w:left w:val="none" w:sz="0" w:space="0" w:color="auto"/>
            <w:bottom w:val="none" w:sz="0" w:space="0" w:color="auto"/>
            <w:right w:val="none" w:sz="0" w:space="0" w:color="auto"/>
          </w:divBdr>
        </w:div>
      </w:divsChild>
    </w:div>
    <w:div w:id="1304432438">
      <w:bodyDiv w:val="1"/>
      <w:marLeft w:val="0"/>
      <w:marRight w:val="0"/>
      <w:marTop w:val="0"/>
      <w:marBottom w:val="0"/>
      <w:divBdr>
        <w:top w:val="none" w:sz="0" w:space="0" w:color="auto"/>
        <w:left w:val="none" w:sz="0" w:space="0" w:color="auto"/>
        <w:bottom w:val="none" w:sz="0" w:space="0" w:color="auto"/>
        <w:right w:val="none" w:sz="0" w:space="0" w:color="auto"/>
      </w:divBdr>
      <w:divsChild>
        <w:div w:id="931860506">
          <w:marLeft w:val="0"/>
          <w:marRight w:val="0"/>
          <w:marTop w:val="0"/>
          <w:marBottom w:val="0"/>
          <w:divBdr>
            <w:top w:val="none" w:sz="0" w:space="0" w:color="auto"/>
            <w:left w:val="none" w:sz="0" w:space="0" w:color="auto"/>
            <w:bottom w:val="none" w:sz="0" w:space="0" w:color="auto"/>
            <w:right w:val="none" w:sz="0" w:space="0" w:color="auto"/>
          </w:divBdr>
        </w:div>
      </w:divsChild>
    </w:div>
    <w:div w:id="1343701362">
      <w:bodyDiv w:val="1"/>
      <w:marLeft w:val="0"/>
      <w:marRight w:val="0"/>
      <w:marTop w:val="0"/>
      <w:marBottom w:val="0"/>
      <w:divBdr>
        <w:top w:val="none" w:sz="0" w:space="0" w:color="auto"/>
        <w:left w:val="none" w:sz="0" w:space="0" w:color="auto"/>
        <w:bottom w:val="none" w:sz="0" w:space="0" w:color="auto"/>
        <w:right w:val="none" w:sz="0" w:space="0" w:color="auto"/>
      </w:divBdr>
      <w:divsChild>
        <w:div w:id="1609778440">
          <w:marLeft w:val="0"/>
          <w:marRight w:val="0"/>
          <w:marTop w:val="0"/>
          <w:marBottom w:val="0"/>
          <w:divBdr>
            <w:top w:val="none" w:sz="0" w:space="0" w:color="auto"/>
            <w:left w:val="none" w:sz="0" w:space="0" w:color="auto"/>
            <w:bottom w:val="none" w:sz="0" w:space="0" w:color="auto"/>
            <w:right w:val="none" w:sz="0" w:space="0" w:color="auto"/>
          </w:divBdr>
        </w:div>
      </w:divsChild>
    </w:div>
    <w:div w:id="1473406795">
      <w:bodyDiv w:val="1"/>
      <w:marLeft w:val="0"/>
      <w:marRight w:val="0"/>
      <w:marTop w:val="0"/>
      <w:marBottom w:val="0"/>
      <w:divBdr>
        <w:top w:val="none" w:sz="0" w:space="0" w:color="auto"/>
        <w:left w:val="none" w:sz="0" w:space="0" w:color="auto"/>
        <w:bottom w:val="none" w:sz="0" w:space="0" w:color="auto"/>
        <w:right w:val="none" w:sz="0" w:space="0" w:color="auto"/>
      </w:divBdr>
      <w:divsChild>
        <w:div w:id="2062170835">
          <w:marLeft w:val="0"/>
          <w:marRight w:val="0"/>
          <w:marTop w:val="0"/>
          <w:marBottom w:val="0"/>
          <w:divBdr>
            <w:top w:val="none" w:sz="0" w:space="0" w:color="auto"/>
            <w:left w:val="none" w:sz="0" w:space="0" w:color="auto"/>
            <w:bottom w:val="none" w:sz="0" w:space="0" w:color="auto"/>
            <w:right w:val="none" w:sz="0" w:space="0" w:color="auto"/>
          </w:divBdr>
        </w:div>
      </w:divsChild>
    </w:div>
    <w:div w:id="1485780431">
      <w:bodyDiv w:val="1"/>
      <w:marLeft w:val="0"/>
      <w:marRight w:val="0"/>
      <w:marTop w:val="0"/>
      <w:marBottom w:val="0"/>
      <w:divBdr>
        <w:top w:val="none" w:sz="0" w:space="0" w:color="auto"/>
        <w:left w:val="none" w:sz="0" w:space="0" w:color="auto"/>
        <w:bottom w:val="none" w:sz="0" w:space="0" w:color="auto"/>
        <w:right w:val="none" w:sz="0" w:space="0" w:color="auto"/>
      </w:divBdr>
      <w:divsChild>
        <w:div w:id="1674533673">
          <w:marLeft w:val="0"/>
          <w:marRight w:val="0"/>
          <w:marTop w:val="0"/>
          <w:marBottom w:val="0"/>
          <w:divBdr>
            <w:top w:val="none" w:sz="0" w:space="0" w:color="auto"/>
            <w:left w:val="none" w:sz="0" w:space="0" w:color="auto"/>
            <w:bottom w:val="none" w:sz="0" w:space="0" w:color="auto"/>
            <w:right w:val="none" w:sz="0" w:space="0" w:color="auto"/>
          </w:divBdr>
        </w:div>
      </w:divsChild>
    </w:div>
    <w:div w:id="1488322778">
      <w:bodyDiv w:val="1"/>
      <w:marLeft w:val="0"/>
      <w:marRight w:val="0"/>
      <w:marTop w:val="0"/>
      <w:marBottom w:val="0"/>
      <w:divBdr>
        <w:top w:val="none" w:sz="0" w:space="0" w:color="auto"/>
        <w:left w:val="none" w:sz="0" w:space="0" w:color="auto"/>
        <w:bottom w:val="none" w:sz="0" w:space="0" w:color="auto"/>
        <w:right w:val="none" w:sz="0" w:space="0" w:color="auto"/>
      </w:divBdr>
      <w:divsChild>
        <w:div w:id="536626480">
          <w:marLeft w:val="0"/>
          <w:marRight w:val="0"/>
          <w:marTop w:val="0"/>
          <w:marBottom w:val="0"/>
          <w:divBdr>
            <w:top w:val="none" w:sz="0" w:space="0" w:color="auto"/>
            <w:left w:val="none" w:sz="0" w:space="0" w:color="auto"/>
            <w:bottom w:val="none" w:sz="0" w:space="0" w:color="auto"/>
            <w:right w:val="none" w:sz="0" w:space="0" w:color="auto"/>
          </w:divBdr>
        </w:div>
      </w:divsChild>
    </w:div>
    <w:div w:id="1530676538">
      <w:bodyDiv w:val="1"/>
      <w:marLeft w:val="0"/>
      <w:marRight w:val="0"/>
      <w:marTop w:val="0"/>
      <w:marBottom w:val="0"/>
      <w:divBdr>
        <w:top w:val="none" w:sz="0" w:space="0" w:color="auto"/>
        <w:left w:val="none" w:sz="0" w:space="0" w:color="auto"/>
        <w:bottom w:val="none" w:sz="0" w:space="0" w:color="auto"/>
        <w:right w:val="none" w:sz="0" w:space="0" w:color="auto"/>
      </w:divBdr>
      <w:divsChild>
        <w:div w:id="1646546228">
          <w:marLeft w:val="0"/>
          <w:marRight w:val="0"/>
          <w:marTop w:val="0"/>
          <w:marBottom w:val="0"/>
          <w:divBdr>
            <w:top w:val="none" w:sz="0" w:space="0" w:color="auto"/>
            <w:left w:val="none" w:sz="0" w:space="0" w:color="auto"/>
            <w:bottom w:val="none" w:sz="0" w:space="0" w:color="auto"/>
            <w:right w:val="none" w:sz="0" w:space="0" w:color="auto"/>
          </w:divBdr>
        </w:div>
      </w:divsChild>
    </w:div>
    <w:div w:id="1534077601">
      <w:bodyDiv w:val="1"/>
      <w:marLeft w:val="0"/>
      <w:marRight w:val="0"/>
      <w:marTop w:val="0"/>
      <w:marBottom w:val="0"/>
      <w:divBdr>
        <w:top w:val="none" w:sz="0" w:space="0" w:color="auto"/>
        <w:left w:val="none" w:sz="0" w:space="0" w:color="auto"/>
        <w:bottom w:val="none" w:sz="0" w:space="0" w:color="auto"/>
        <w:right w:val="none" w:sz="0" w:space="0" w:color="auto"/>
      </w:divBdr>
      <w:divsChild>
        <w:div w:id="1217545620">
          <w:marLeft w:val="0"/>
          <w:marRight w:val="0"/>
          <w:marTop w:val="0"/>
          <w:marBottom w:val="0"/>
          <w:divBdr>
            <w:top w:val="none" w:sz="0" w:space="0" w:color="auto"/>
            <w:left w:val="none" w:sz="0" w:space="0" w:color="auto"/>
            <w:bottom w:val="none" w:sz="0" w:space="0" w:color="auto"/>
            <w:right w:val="none" w:sz="0" w:space="0" w:color="auto"/>
          </w:divBdr>
        </w:div>
      </w:divsChild>
    </w:div>
    <w:div w:id="1595673844">
      <w:bodyDiv w:val="1"/>
      <w:marLeft w:val="0"/>
      <w:marRight w:val="0"/>
      <w:marTop w:val="0"/>
      <w:marBottom w:val="0"/>
      <w:divBdr>
        <w:top w:val="none" w:sz="0" w:space="0" w:color="auto"/>
        <w:left w:val="none" w:sz="0" w:space="0" w:color="auto"/>
        <w:bottom w:val="none" w:sz="0" w:space="0" w:color="auto"/>
        <w:right w:val="none" w:sz="0" w:space="0" w:color="auto"/>
      </w:divBdr>
      <w:divsChild>
        <w:div w:id="616987666">
          <w:marLeft w:val="0"/>
          <w:marRight w:val="0"/>
          <w:marTop w:val="0"/>
          <w:marBottom w:val="0"/>
          <w:divBdr>
            <w:top w:val="none" w:sz="0" w:space="0" w:color="auto"/>
            <w:left w:val="none" w:sz="0" w:space="0" w:color="auto"/>
            <w:bottom w:val="none" w:sz="0" w:space="0" w:color="auto"/>
            <w:right w:val="none" w:sz="0" w:space="0" w:color="auto"/>
          </w:divBdr>
        </w:div>
      </w:divsChild>
    </w:div>
    <w:div w:id="1668054769">
      <w:bodyDiv w:val="1"/>
      <w:marLeft w:val="0"/>
      <w:marRight w:val="0"/>
      <w:marTop w:val="0"/>
      <w:marBottom w:val="0"/>
      <w:divBdr>
        <w:top w:val="none" w:sz="0" w:space="0" w:color="auto"/>
        <w:left w:val="none" w:sz="0" w:space="0" w:color="auto"/>
        <w:bottom w:val="none" w:sz="0" w:space="0" w:color="auto"/>
        <w:right w:val="none" w:sz="0" w:space="0" w:color="auto"/>
      </w:divBdr>
      <w:divsChild>
        <w:div w:id="2013755329">
          <w:marLeft w:val="0"/>
          <w:marRight w:val="0"/>
          <w:marTop w:val="0"/>
          <w:marBottom w:val="0"/>
          <w:divBdr>
            <w:top w:val="none" w:sz="0" w:space="0" w:color="auto"/>
            <w:left w:val="none" w:sz="0" w:space="0" w:color="auto"/>
            <w:bottom w:val="none" w:sz="0" w:space="0" w:color="auto"/>
            <w:right w:val="none" w:sz="0" w:space="0" w:color="auto"/>
          </w:divBdr>
        </w:div>
      </w:divsChild>
    </w:div>
    <w:div w:id="1747916886">
      <w:bodyDiv w:val="1"/>
      <w:marLeft w:val="0"/>
      <w:marRight w:val="0"/>
      <w:marTop w:val="0"/>
      <w:marBottom w:val="0"/>
      <w:divBdr>
        <w:top w:val="none" w:sz="0" w:space="0" w:color="auto"/>
        <w:left w:val="none" w:sz="0" w:space="0" w:color="auto"/>
        <w:bottom w:val="none" w:sz="0" w:space="0" w:color="auto"/>
        <w:right w:val="none" w:sz="0" w:space="0" w:color="auto"/>
      </w:divBdr>
      <w:divsChild>
        <w:div w:id="1244684711">
          <w:marLeft w:val="0"/>
          <w:marRight w:val="0"/>
          <w:marTop w:val="0"/>
          <w:marBottom w:val="0"/>
          <w:divBdr>
            <w:top w:val="none" w:sz="0" w:space="0" w:color="auto"/>
            <w:left w:val="none" w:sz="0" w:space="0" w:color="auto"/>
            <w:bottom w:val="none" w:sz="0" w:space="0" w:color="auto"/>
            <w:right w:val="none" w:sz="0" w:space="0" w:color="auto"/>
          </w:divBdr>
        </w:div>
      </w:divsChild>
    </w:div>
    <w:div w:id="1996494959">
      <w:bodyDiv w:val="1"/>
      <w:marLeft w:val="0"/>
      <w:marRight w:val="0"/>
      <w:marTop w:val="0"/>
      <w:marBottom w:val="0"/>
      <w:divBdr>
        <w:top w:val="none" w:sz="0" w:space="0" w:color="auto"/>
        <w:left w:val="none" w:sz="0" w:space="0" w:color="auto"/>
        <w:bottom w:val="none" w:sz="0" w:space="0" w:color="auto"/>
        <w:right w:val="none" w:sz="0" w:space="0" w:color="auto"/>
      </w:divBdr>
      <w:divsChild>
        <w:div w:id="465467473">
          <w:marLeft w:val="0"/>
          <w:marRight w:val="0"/>
          <w:marTop w:val="0"/>
          <w:marBottom w:val="0"/>
          <w:divBdr>
            <w:top w:val="none" w:sz="0" w:space="0" w:color="auto"/>
            <w:left w:val="none" w:sz="0" w:space="0" w:color="auto"/>
            <w:bottom w:val="none" w:sz="0" w:space="0" w:color="auto"/>
            <w:right w:val="none" w:sz="0" w:space="0" w:color="auto"/>
          </w:divBdr>
        </w:div>
        <w:div w:id="1571310997">
          <w:marLeft w:val="0"/>
          <w:marRight w:val="0"/>
          <w:marTop w:val="0"/>
          <w:marBottom w:val="0"/>
          <w:divBdr>
            <w:top w:val="none" w:sz="0" w:space="0" w:color="auto"/>
            <w:left w:val="none" w:sz="0" w:space="0" w:color="auto"/>
            <w:bottom w:val="none" w:sz="0" w:space="0" w:color="auto"/>
            <w:right w:val="none" w:sz="0" w:space="0" w:color="auto"/>
          </w:divBdr>
        </w:div>
      </w:divsChild>
    </w:div>
    <w:div w:id="2145538804">
      <w:bodyDiv w:val="1"/>
      <w:marLeft w:val="0"/>
      <w:marRight w:val="0"/>
      <w:marTop w:val="0"/>
      <w:marBottom w:val="0"/>
      <w:divBdr>
        <w:top w:val="none" w:sz="0" w:space="0" w:color="auto"/>
        <w:left w:val="none" w:sz="0" w:space="0" w:color="auto"/>
        <w:bottom w:val="none" w:sz="0" w:space="0" w:color="auto"/>
        <w:right w:val="none" w:sz="0" w:space="0" w:color="auto"/>
      </w:divBdr>
      <w:divsChild>
        <w:div w:id="1924101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no Pro">
    <w:altName w:val="Constantia"/>
    <w:panose1 w:val="00000000000000000000"/>
    <w:charset w:val="00"/>
    <w:family w:val="roman"/>
    <w:notTrueType/>
    <w:pitch w:val="variable"/>
    <w:sig w:usb0="00000001"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97"/>
    <w:rsid w:val="00E0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C9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B0077-AD3C-4B5C-B672-17CF9D5FF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4360</TotalTime>
  <Pages>76</Pages>
  <Words>22164</Words>
  <Characters>126335</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dlincoln</dc:creator>
  <cp:keywords/>
  <dc:description/>
  <cp:lastModifiedBy>dlincoln</cp:lastModifiedBy>
  <cp:revision>7</cp:revision>
  <dcterms:created xsi:type="dcterms:W3CDTF">2017-02-01T15:53:00Z</dcterms:created>
  <dcterms:modified xsi:type="dcterms:W3CDTF">2017-02-24T02:00:00Z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5bab8401-6ff2-3167-b2f9-6dd6f805894d</vt:lpwstr>
  </property>
  <property fmtid="{D5CDD505-2E9C-101B-9397-08002B2CF9AE}" pid="4" name="Mendeley Citation Style_1">
    <vt:lpwstr>http://www.zotero.org/styles/analytical-chemistry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http://www.zotero.org/styles/analytical-chemistry</vt:lpwstr>
  </property>
  <property fmtid="{D5CDD505-2E9C-101B-9397-08002B2CF9AE}" pid="12" name="Mendeley Recent Style Name 3_1">
    <vt:lpwstr>Analytical Chemistry</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