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FEC" w:rsidRPr="005F6A34" w:rsidRDefault="00057FEC" w:rsidP="00057FEC">
      <w:pPr>
        <w:rPr>
          <w:u w:val="single"/>
        </w:rPr>
      </w:pPr>
    </w:p>
    <w:p w:rsidR="00057FEC" w:rsidRDefault="00057FEC" w:rsidP="00560E8D">
      <w:pPr>
        <w:pStyle w:val="NoSpacing"/>
        <w:jc w:val="center"/>
        <w:rPr>
          <w:b/>
          <w:szCs w:val="24"/>
        </w:rPr>
      </w:pPr>
    </w:p>
    <w:p w:rsidR="00AF6A5D" w:rsidRDefault="00AF6A5D" w:rsidP="00AF6A5D">
      <w:pPr>
        <w:pStyle w:val="NoSpacing"/>
        <w:jc w:val="center"/>
        <w:rPr>
          <w:b/>
          <w:szCs w:val="24"/>
        </w:rPr>
      </w:pPr>
      <w:r>
        <w:rPr>
          <w:b/>
          <w:szCs w:val="24"/>
        </w:rPr>
        <w:t xml:space="preserve">Antecedents and Consequences of Supply Chain Resilience: </w:t>
      </w:r>
    </w:p>
    <w:p w:rsidR="00AF6A5D" w:rsidRDefault="00AF6A5D" w:rsidP="00AF6A5D">
      <w:pPr>
        <w:pStyle w:val="NoSpacing"/>
        <w:jc w:val="center"/>
        <w:rPr>
          <w:b/>
          <w:szCs w:val="24"/>
        </w:rPr>
      </w:pPr>
      <w:r>
        <w:rPr>
          <w:b/>
          <w:szCs w:val="24"/>
        </w:rPr>
        <w:t>A Dynamic Capabilities Perspective</w:t>
      </w: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r>
        <w:rPr>
          <w:b/>
          <w:szCs w:val="24"/>
        </w:rPr>
        <w:t xml:space="preserve">  </w:t>
      </w: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p>
    <w:p w:rsidR="00AF6A5D" w:rsidRDefault="00AF6A5D" w:rsidP="00AF6A5D">
      <w:pPr>
        <w:pStyle w:val="NoSpacing"/>
        <w:ind w:left="720" w:hanging="720"/>
        <w:jc w:val="center"/>
        <w:rPr>
          <w:b/>
          <w:szCs w:val="24"/>
        </w:rPr>
      </w:pPr>
      <w:r>
        <w:rPr>
          <w:b/>
          <w:szCs w:val="24"/>
        </w:rPr>
        <w:t xml:space="preserve"> </w:t>
      </w:r>
    </w:p>
    <w:p w:rsidR="00AF6A5D" w:rsidRDefault="00AF6A5D" w:rsidP="00AF6A5D">
      <w:pPr>
        <w:pStyle w:val="NoSpacing"/>
        <w:ind w:left="720" w:hanging="720"/>
        <w:jc w:val="center"/>
        <w:rPr>
          <w:b/>
          <w:szCs w:val="24"/>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r>
        <w:rPr>
          <w:b/>
        </w:rPr>
        <w:t xml:space="preserve">A Dissertation </w:t>
      </w:r>
    </w:p>
    <w:p w:rsidR="00AF6A5D" w:rsidRDefault="00AF6A5D" w:rsidP="00AF6A5D">
      <w:pPr>
        <w:pStyle w:val="NoSpacing"/>
        <w:jc w:val="center"/>
        <w:rPr>
          <w:b/>
        </w:rPr>
      </w:pPr>
      <w:r>
        <w:rPr>
          <w:b/>
        </w:rPr>
        <w:t xml:space="preserve">Presented for </w:t>
      </w:r>
    </w:p>
    <w:p w:rsidR="00AF6A5D" w:rsidRDefault="00AF6A5D" w:rsidP="00AF6A5D">
      <w:pPr>
        <w:pStyle w:val="NoSpacing"/>
        <w:jc w:val="center"/>
        <w:rPr>
          <w:b/>
        </w:rPr>
      </w:pPr>
      <w:r>
        <w:rPr>
          <w:b/>
        </w:rPr>
        <w:t>Doctor of Philosophy Degree</w:t>
      </w:r>
    </w:p>
    <w:p w:rsidR="00AF6A5D" w:rsidRDefault="00AF6A5D" w:rsidP="00AF6A5D">
      <w:pPr>
        <w:pStyle w:val="NoSpacing"/>
        <w:jc w:val="center"/>
        <w:rPr>
          <w:b/>
        </w:rPr>
      </w:pPr>
      <w:r>
        <w:rPr>
          <w:b/>
        </w:rPr>
        <w:t xml:space="preserve">Department of </w:t>
      </w:r>
      <w:r w:rsidR="009D6931">
        <w:rPr>
          <w:b/>
        </w:rPr>
        <w:t>Marketing and Supply Chain Management</w:t>
      </w:r>
    </w:p>
    <w:p w:rsidR="00AF6A5D" w:rsidRDefault="00AF6A5D" w:rsidP="00AF6A5D">
      <w:pPr>
        <w:pStyle w:val="NoSpacing"/>
        <w:jc w:val="center"/>
        <w:rPr>
          <w:b/>
        </w:rPr>
      </w:pPr>
      <w:r>
        <w:rPr>
          <w:b/>
        </w:rPr>
        <w:t>College of Business Administration</w:t>
      </w:r>
    </w:p>
    <w:p w:rsidR="00AF6A5D" w:rsidRDefault="00AF6A5D" w:rsidP="00AF6A5D">
      <w:pPr>
        <w:pStyle w:val="NoSpacing"/>
        <w:jc w:val="center"/>
        <w:rPr>
          <w:b/>
        </w:rPr>
      </w:pPr>
      <w:r>
        <w:rPr>
          <w:b/>
        </w:rPr>
        <w:t>University of Tennessee, Knoxville</w:t>
      </w: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jc w:val="center"/>
        <w:rPr>
          <w:b/>
        </w:rPr>
      </w:pPr>
      <w:proofErr w:type="spellStart"/>
      <w:r>
        <w:rPr>
          <w:b/>
        </w:rPr>
        <w:t>Serhiy</w:t>
      </w:r>
      <w:proofErr w:type="spellEnd"/>
      <w:r>
        <w:rPr>
          <w:b/>
        </w:rPr>
        <w:t xml:space="preserve"> Y. </w:t>
      </w:r>
      <w:proofErr w:type="spellStart"/>
      <w:r>
        <w:rPr>
          <w:b/>
        </w:rPr>
        <w:t>Ponomarov</w:t>
      </w:r>
      <w:proofErr w:type="spellEnd"/>
    </w:p>
    <w:p w:rsidR="00AF6A5D" w:rsidRDefault="00AF6A5D" w:rsidP="00AF6A5D">
      <w:pPr>
        <w:pStyle w:val="NoSpacing"/>
        <w:jc w:val="center"/>
        <w:rPr>
          <w:b/>
        </w:rPr>
      </w:pPr>
      <w:r>
        <w:rPr>
          <w:b/>
        </w:rPr>
        <w:t>March 2012</w:t>
      </w:r>
    </w:p>
    <w:p w:rsidR="00AF6A5D" w:rsidRDefault="00AF6A5D" w:rsidP="00AF6A5D">
      <w:pPr>
        <w:pStyle w:val="NoSpacing"/>
        <w:spacing w:line="480" w:lineRule="auto"/>
        <w:jc w:val="center"/>
        <w:rPr>
          <w:b/>
        </w:rPr>
      </w:pPr>
    </w:p>
    <w:p w:rsidR="00AF6A5D" w:rsidRDefault="00AF6A5D" w:rsidP="00AF6A5D">
      <w:pPr>
        <w:spacing w:after="0" w:line="240" w:lineRule="auto"/>
        <w:rPr>
          <w:b/>
        </w:rPr>
        <w:sectPr w:rsidR="00AF6A5D" w:rsidSect="00B93291">
          <w:footerReference w:type="default" r:id="rId8"/>
          <w:pgSz w:w="12240" w:h="15840" w:code="1"/>
          <w:pgMar w:top="1440" w:right="1440" w:bottom="1440" w:left="1440" w:header="720" w:footer="634" w:gutter="0"/>
          <w:pgNumType w:fmt="lowerRoman" w:start="1"/>
          <w:cols w:space="720"/>
          <w:titlePg/>
          <w:docGrid w:linePitch="360"/>
        </w:sectPr>
      </w:pPr>
    </w:p>
    <w:p w:rsidR="00AF6A5D" w:rsidRDefault="00AF6A5D" w:rsidP="00AF6A5D">
      <w:pPr>
        <w:spacing w:after="0" w:line="240" w:lineRule="auto"/>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Pr="00391308" w:rsidRDefault="00AF6A5D" w:rsidP="00AF6A5D">
      <w:pPr>
        <w:pStyle w:val="NoSpacing"/>
        <w:jc w:val="center"/>
        <w:rPr>
          <w:b/>
        </w:rPr>
      </w:pPr>
      <w:r>
        <w:rPr>
          <w:b/>
        </w:rPr>
        <w:t xml:space="preserve">Copyright © 2012 by </w:t>
      </w:r>
      <w:proofErr w:type="spellStart"/>
      <w:r>
        <w:rPr>
          <w:b/>
        </w:rPr>
        <w:t>Serhiy</w:t>
      </w:r>
      <w:proofErr w:type="spellEnd"/>
      <w:r>
        <w:rPr>
          <w:b/>
        </w:rPr>
        <w:t xml:space="preserve"> Y. </w:t>
      </w:r>
      <w:proofErr w:type="spellStart"/>
      <w:r>
        <w:rPr>
          <w:b/>
        </w:rPr>
        <w:t>Ponomarov</w:t>
      </w:r>
      <w:proofErr w:type="spellEnd"/>
    </w:p>
    <w:p w:rsidR="00AF6A5D" w:rsidRPr="00391308" w:rsidRDefault="00AF6A5D" w:rsidP="00AF6A5D">
      <w:pPr>
        <w:pStyle w:val="NoSpacing"/>
        <w:jc w:val="center"/>
        <w:rPr>
          <w:b/>
        </w:rPr>
      </w:pPr>
      <w:r w:rsidRPr="00391308">
        <w:rPr>
          <w:b/>
        </w:rPr>
        <w:t>All rights reserved.</w:t>
      </w: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p>
    <w:p w:rsidR="00AF6A5D" w:rsidRDefault="00AF6A5D" w:rsidP="00AF6A5D">
      <w:pPr>
        <w:autoSpaceDE w:val="0"/>
        <w:autoSpaceDN w:val="0"/>
        <w:adjustRightInd w:val="0"/>
        <w:jc w:val="center"/>
        <w:rPr>
          <w:b/>
          <w:bCs/>
          <w:color w:val="000000"/>
        </w:rPr>
      </w:pPr>
      <w:r>
        <w:rPr>
          <w:b/>
          <w:bCs/>
          <w:color w:val="000000"/>
        </w:rPr>
        <w:t>DEDICATION</w:t>
      </w:r>
    </w:p>
    <w:p w:rsidR="00C1325D" w:rsidRDefault="00C1325D" w:rsidP="00AF6A5D">
      <w:pPr>
        <w:pStyle w:val="NoSpacing"/>
        <w:jc w:val="center"/>
      </w:pPr>
    </w:p>
    <w:p w:rsidR="00AF6A5D" w:rsidRDefault="00AF6A5D" w:rsidP="00AF6A5D">
      <w:pPr>
        <w:pStyle w:val="NoSpacing"/>
        <w:jc w:val="center"/>
        <w:rPr>
          <w:color w:val="FF0000"/>
        </w:rPr>
      </w:pPr>
      <w:r w:rsidRPr="005066B6">
        <w:t>This dissertation is dedicated to</w:t>
      </w:r>
      <w:r>
        <w:t xml:space="preserve"> my family.</w:t>
      </w: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AF6A5D" w:rsidRDefault="00AF6A5D" w:rsidP="00AF6A5D">
      <w:pPr>
        <w:jc w:val="center"/>
        <w:rPr>
          <w:b/>
          <w:bCs/>
          <w:color w:val="000000"/>
        </w:rPr>
      </w:pPr>
      <w:r>
        <w:rPr>
          <w:b/>
          <w:bCs/>
          <w:color w:val="000000"/>
        </w:rPr>
        <w:lastRenderedPageBreak/>
        <w:t>ACKNOWLEDGEMENTS</w:t>
      </w:r>
    </w:p>
    <w:p w:rsidR="004A7437" w:rsidRDefault="004A7437" w:rsidP="00C1325D">
      <w:pPr>
        <w:pStyle w:val="NoSpacing"/>
        <w:spacing w:line="480" w:lineRule="auto"/>
        <w:ind w:firstLine="720"/>
        <w:rPr>
          <w:color w:val="000000"/>
        </w:rPr>
      </w:pPr>
    </w:p>
    <w:p w:rsidR="00167B5D" w:rsidRDefault="00C1325D" w:rsidP="00167B5D">
      <w:pPr>
        <w:pStyle w:val="NoSpacing"/>
        <w:spacing w:line="480" w:lineRule="auto"/>
        <w:ind w:firstLine="720"/>
        <w:rPr>
          <w:color w:val="000000"/>
        </w:rPr>
      </w:pPr>
      <w:r w:rsidRPr="00F53A3C">
        <w:rPr>
          <w:color w:val="000000"/>
        </w:rPr>
        <w:t xml:space="preserve">I </w:t>
      </w:r>
      <w:r w:rsidR="004A7437">
        <w:rPr>
          <w:color w:val="000000"/>
        </w:rPr>
        <w:t>would like to thank many people who have either directly guided this research</w:t>
      </w:r>
      <w:r w:rsidR="00167B5D">
        <w:rPr>
          <w:color w:val="000000"/>
        </w:rPr>
        <w:t xml:space="preserve"> or provided various other kinds</w:t>
      </w:r>
      <w:r w:rsidR="004A7437">
        <w:rPr>
          <w:color w:val="000000"/>
        </w:rPr>
        <w:t xml:space="preserve"> of encouragement and support during the entire process of my dissertation research and professional development. I am sincerely grateful for the</w:t>
      </w:r>
      <w:r w:rsidR="00E65386">
        <w:rPr>
          <w:color w:val="000000"/>
        </w:rPr>
        <w:t xml:space="preserve"> excellent</w:t>
      </w:r>
      <w:r w:rsidR="004A7437">
        <w:rPr>
          <w:color w:val="000000"/>
        </w:rPr>
        <w:t xml:space="preserve"> academic training that I hav</w:t>
      </w:r>
      <w:r w:rsidR="00167B5D">
        <w:rPr>
          <w:color w:val="000000"/>
        </w:rPr>
        <w:t xml:space="preserve">e received </w:t>
      </w:r>
      <w:r w:rsidR="000A6C04">
        <w:rPr>
          <w:color w:val="000000"/>
        </w:rPr>
        <w:t>at the University of Tennessee</w:t>
      </w:r>
      <w:r w:rsidR="00513B9F">
        <w:rPr>
          <w:color w:val="000000"/>
        </w:rPr>
        <w:t>.</w:t>
      </w:r>
      <w:r w:rsidR="00167B5D">
        <w:rPr>
          <w:color w:val="000000"/>
        </w:rPr>
        <w:t xml:space="preserve"> I am indebted to many faculty members from the Department of Marketing and Supply Chain Management as well as from the other departments for that.</w:t>
      </w:r>
    </w:p>
    <w:p w:rsidR="00513B9F" w:rsidRDefault="000A6C04" w:rsidP="00EB5B8A">
      <w:pPr>
        <w:pStyle w:val="NoSpacing"/>
        <w:spacing w:line="480" w:lineRule="auto"/>
        <w:ind w:firstLine="720"/>
        <w:rPr>
          <w:color w:val="000000"/>
        </w:rPr>
      </w:pPr>
      <w:r>
        <w:rPr>
          <w:color w:val="000000"/>
        </w:rPr>
        <w:t xml:space="preserve"> </w:t>
      </w:r>
      <w:r w:rsidR="009D7D97">
        <w:rPr>
          <w:color w:val="000000"/>
        </w:rPr>
        <w:t>I wish to express</w:t>
      </w:r>
      <w:r>
        <w:rPr>
          <w:color w:val="000000"/>
        </w:rPr>
        <w:t xml:space="preserve"> </w:t>
      </w:r>
      <w:r w:rsidR="009D7D97">
        <w:rPr>
          <w:color w:val="000000"/>
        </w:rPr>
        <w:t xml:space="preserve">my very </w:t>
      </w:r>
      <w:r>
        <w:rPr>
          <w:color w:val="000000"/>
        </w:rPr>
        <w:t xml:space="preserve">special thanks to my Dissertation Committee, Dr. Ted Stank, Dr. Mary Holcomb, Dr. Terry </w:t>
      </w:r>
      <w:proofErr w:type="spellStart"/>
      <w:r>
        <w:rPr>
          <w:color w:val="000000"/>
        </w:rPr>
        <w:t>Esper</w:t>
      </w:r>
      <w:proofErr w:type="spellEnd"/>
      <w:r>
        <w:rPr>
          <w:color w:val="000000"/>
        </w:rPr>
        <w:t>, Dr. Chad Autry, and Dr. Tom Ladd for their expertise</w:t>
      </w:r>
      <w:r w:rsidR="00EB5B8A">
        <w:rPr>
          <w:color w:val="000000"/>
        </w:rPr>
        <w:t>, valuable insights, and guidance in crafting my dissertation</w:t>
      </w:r>
      <w:r>
        <w:rPr>
          <w:color w:val="000000"/>
        </w:rPr>
        <w:t xml:space="preserve">. </w:t>
      </w:r>
      <w:r w:rsidR="00513B9F">
        <w:rPr>
          <w:color w:val="000000"/>
        </w:rPr>
        <w:t>I am especially appreciative of my mentors though the entire program, Dr. Ted Stank and Dr. Mary Holcomb, who jointly chaired the Dissertation Committee</w:t>
      </w:r>
      <w:r>
        <w:rPr>
          <w:color w:val="000000"/>
        </w:rPr>
        <w:t xml:space="preserve">. I sincerely appreciate all their guidance, support, </w:t>
      </w:r>
      <w:r w:rsidR="00EB5B8A">
        <w:rPr>
          <w:color w:val="000000"/>
        </w:rPr>
        <w:t xml:space="preserve">encouragement, </w:t>
      </w:r>
      <w:r>
        <w:rPr>
          <w:color w:val="000000"/>
        </w:rPr>
        <w:t>and patience.</w:t>
      </w:r>
      <w:r w:rsidR="009D7D97">
        <w:rPr>
          <w:color w:val="000000"/>
        </w:rPr>
        <w:t xml:space="preserve"> I truly value all the lessons I learned in the process of our interaction.</w:t>
      </w:r>
    </w:p>
    <w:p w:rsidR="00E65386" w:rsidRDefault="004A7437" w:rsidP="00C1325D">
      <w:pPr>
        <w:pStyle w:val="NoSpacing"/>
        <w:spacing w:line="480" w:lineRule="auto"/>
        <w:ind w:firstLine="720"/>
        <w:rPr>
          <w:color w:val="000000"/>
        </w:rPr>
      </w:pPr>
      <w:r>
        <w:rPr>
          <w:color w:val="000000"/>
        </w:rPr>
        <w:t xml:space="preserve">I would also like to thank my family </w:t>
      </w:r>
      <w:r w:rsidR="00C564CA">
        <w:rPr>
          <w:color w:val="000000"/>
        </w:rPr>
        <w:t xml:space="preserve">and friends for their unconditional love and continuous support throughout the challenging process of personal transition from student to scholar. </w:t>
      </w:r>
      <w:r w:rsidR="00513B9F">
        <w:rPr>
          <w:color w:val="000000"/>
        </w:rPr>
        <w:t>I gratefully acknowledge an important role of my PhD peers and staff members of the Department</w:t>
      </w:r>
      <w:r w:rsidR="00513B9F" w:rsidRPr="00513B9F">
        <w:rPr>
          <w:color w:val="000000"/>
        </w:rPr>
        <w:t xml:space="preserve"> </w:t>
      </w:r>
      <w:r w:rsidR="00721D7A">
        <w:rPr>
          <w:color w:val="000000"/>
        </w:rPr>
        <w:t>of Marketing and Supply Chain Management</w:t>
      </w:r>
      <w:r w:rsidR="00EB5B8A" w:rsidRPr="00EB5B8A">
        <w:rPr>
          <w:color w:val="000000"/>
        </w:rPr>
        <w:t xml:space="preserve"> </w:t>
      </w:r>
      <w:r w:rsidR="00EB5B8A">
        <w:rPr>
          <w:color w:val="000000"/>
        </w:rPr>
        <w:t>who have offered many valuable insights and a lot of encouragement during my PhD program years</w:t>
      </w:r>
      <w:r w:rsidR="00513B9F">
        <w:rPr>
          <w:color w:val="000000"/>
        </w:rPr>
        <w:t>.</w:t>
      </w:r>
    </w:p>
    <w:p w:rsidR="004A7437" w:rsidRDefault="00E65386" w:rsidP="00C1325D">
      <w:pPr>
        <w:pStyle w:val="NoSpacing"/>
        <w:spacing w:line="480" w:lineRule="auto"/>
        <w:ind w:firstLine="720"/>
        <w:rPr>
          <w:color w:val="000000"/>
        </w:rPr>
      </w:pPr>
      <w:r>
        <w:rPr>
          <w:color w:val="000000"/>
        </w:rPr>
        <w:t xml:space="preserve">Additionally, I thank Dr. Robert </w:t>
      </w:r>
      <w:proofErr w:type="spellStart"/>
      <w:r>
        <w:rPr>
          <w:color w:val="000000"/>
        </w:rPr>
        <w:t>Robicheaux</w:t>
      </w:r>
      <w:proofErr w:type="spellEnd"/>
      <w:r>
        <w:rPr>
          <w:color w:val="000000"/>
        </w:rPr>
        <w:t xml:space="preserve"> and the Society for Marketing Advances for acknowledging and rewarding my dissertation research proposal. I am also very grateful for the $3,000 Scholarly Research Grant generously provided by the College of Business Administration</w:t>
      </w:r>
      <w:r w:rsidR="00C564CA">
        <w:rPr>
          <w:color w:val="000000"/>
        </w:rPr>
        <w:t xml:space="preserve"> to support my dissertation research</w:t>
      </w:r>
      <w:r>
        <w:rPr>
          <w:color w:val="000000"/>
        </w:rPr>
        <w:t>.</w:t>
      </w:r>
    </w:p>
    <w:p w:rsidR="004A7437" w:rsidRDefault="004A7437" w:rsidP="00C1325D">
      <w:pPr>
        <w:pStyle w:val="NoSpacing"/>
        <w:spacing w:line="480" w:lineRule="auto"/>
        <w:ind w:firstLine="720"/>
        <w:rPr>
          <w:color w:val="000000"/>
        </w:rPr>
      </w:pPr>
    </w:p>
    <w:p w:rsidR="00AF6A5D" w:rsidRDefault="00AF6A5D" w:rsidP="00C1325D">
      <w:pPr>
        <w:pStyle w:val="NoSpacing"/>
        <w:spacing w:line="480" w:lineRule="auto"/>
        <w:jc w:val="center"/>
        <w:rPr>
          <w:b/>
        </w:rPr>
      </w:pPr>
      <w:r>
        <w:rPr>
          <w:b/>
        </w:rPr>
        <w:t>ABSTRACT</w:t>
      </w:r>
    </w:p>
    <w:p w:rsidR="006529A3" w:rsidRDefault="00AF6A5D" w:rsidP="00C1325D">
      <w:pPr>
        <w:tabs>
          <w:tab w:val="left" w:pos="720"/>
          <w:tab w:val="left" w:pos="1170"/>
        </w:tabs>
        <w:spacing w:after="0" w:line="480" w:lineRule="auto"/>
        <w:rPr>
          <w:szCs w:val="24"/>
        </w:rPr>
      </w:pPr>
      <w:r>
        <w:rPr>
          <w:szCs w:val="24"/>
        </w:rPr>
        <w:tab/>
      </w:r>
    </w:p>
    <w:p w:rsidR="00AF6A5D" w:rsidRDefault="008D3B29" w:rsidP="00C1325D">
      <w:pPr>
        <w:tabs>
          <w:tab w:val="left" w:pos="720"/>
          <w:tab w:val="left" w:pos="1170"/>
        </w:tabs>
        <w:spacing w:after="0" w:line="480" w:lineRule="auto"/>
        <w:rPr>
          <w:szCs w:val="24"/>
        </w:rPr>
      </w:pPr>
      <w:r>
        <w:rPr>
          <w:szCs w:val="24"/>
        </w:rPr>
        <w:tab/>
      </w:r>
      <w:r w:rsidR="00AF6A5D" w:rsidRPr="0073489F">
        <w:rPr>
          <w:szCs w:val="24"/>
        </w:rPr>
        <w:t xml:space="preserve">Supply chain resilience is a comparatively unexplored area of supply chain research, that is related to risk management, but at the same time differs from traditional risk management approaches in that it focuses on firms’ ability to absorb disruptions or enables the supply network to return to stable conditions faster. The increased risks that are the result of complex and geographically disperse global supply chains necessitate that companies gain a better theoretical understanding of this emerging critical topic in order to be sustainable in the long term and effectively operate in turbulent business environment.  Thus, a better understanding of supply chain resilience, its major antecedents and consequences is warranted. </w:t>
      </w:r>
    </w:p>
    <w:p w:rsidR="00CB5691" w:rsidRDefault="00AF6A5D" w:rsidP="00C1325D">
      <w:pPr>
        <w:tabs>
          <w:tab w:val="left" w:pos="720"/>
          <w:tab w:val="left" w:pos="1170"/>
        </w:tabs>
        <w:spacing w:after="0" w:line="480" w:lineRule="auto"/>
        <w:rPr>
          <w:szCs w:val="24"/>
        </w:rPr>
      </w:pPr>
      <w:r>
        <w:rPr>
          <w:szCs w:val="24"/>
        </w:rPr>
        <w:tab/>
      </w:r>
      <w:r w:rsidRPr="0073489F">
        <w:rPr>
          <w:szCs w:val="24"/>
        </w:rPr>
        <w:t>Employing a multi-disciplinar</w:t>
      </w:r>
      <w:r w:rsidR="00CB5691">
        <w:rPr>
          <w:szCs w:val="24"/>
        </w:rPr>
        <w:t>y approach, this dissertation was</w:t>
      </w:r>
      <w:r w:rsidRPr="0073489F">
        <w:rPr>
          <w:szCs w:val="24"/>
        </w:rPr>
        <w:t xml:space="preserve"> exploring antecedents and value-based consequences of supply chain resilience</w:t>
      </w:r>
      <w:r w:rsidR="00C1325D">
        <w:rPr>
          <w:szCs w:val="24"/>
        </w:rPr>
        <w:t xml:space="preserve"> from a firm perspective</w:t>
      </w:r>
      <w:r w:rsidRPr="0073489F">
        <w:rPr>
          <w:szCs w:val="24"/>
        </w:rPr>
        <w:t>. A dynamic capabilities extensi</w:t>
      </w:r>
      <w:r w:rsidR="00C1325D">
        <w:rPr>
          <w:szCs w:val="24"/>
        </w:rPr>
        <w:t>on of the resource-based view was</w:t>
      </w:r>
      <w:r w:rsidRPr="0073489F">
        <w:rPr>
          <w:szCs w:val="24"/>
        </w:rPr>
        <w:t xml:space="preserve"> combined with several related theoretical perspectives to build a comprehensive conceptual framework filling the gaps in previous research. A combination of survey methodology and s</w:t>
      </w:r>
      <w:r w:rsidR="00C1325D">
        <w:rPr>
          <w:szCs w:val="24"/>
        </w:rPr>
        <w:t>tructural equation modeling was</w:t>
      </w:r>
      <w:r w:rsidRPr="0073489F">
        <w:rPr>
          <w:szCs w:val="24"/>
        </w:rPr>
        <w:t xml:space="preserve"> employed to collect and analyze the data drawing from a sample of supply chain and logistics managers. </w:t>
      </w:r>
    </w:p>
    <w:p w:rsidR="00CB5691" w:rsidRDefault="00CB5691" w:rsidP="00C1325D">
      <w:pPr>
        <w:tabs>
          <w:tab w:val="left" w:pos="720"/>
          <w:tab w:val="left" w:pos="1170"/>
        </w:tabs>
        <w:spacing w:after="0" w:line="480" w:lineRule="auto"/>
        <w:rPr>
          <w:szCs w:val="24"/>
        </w:rPr>
      </w:pPr>
      <w:r>
        <w:rPr>
          <w:szCs w:val="24"/>
        </w:rPr>
        <w:t xml:space="preserve">Quantitative data analysis resulted in significant theoretical and practical research implications. </w:t>
      </w:r>
    </w:p>
    <w:p w:rsidR="00AF6A5D" w:rsidRPr="0073489F" w:rsidRDefault="00CB5691" w:rsidP="00C1325D">
      <w:pPr>
        <w:tabs>
          <w:tab w:val="left" w:pos="720"/>
          <w:tab w:val="left" w:pos="1170"/>
        </w:tabs>
        <w:spacing w:after="0" w:line="480" w:lineRule="auto"/>
        <w:rPr>
          <w:szCs w:val="24"/>
        </w:rPr>
      </w:pPr>
      <w:r>
        <w:rPr>
          <w:szCs w:val="24"/>
        </w:rPr>
        <w:t>Finally, the directions for future research that have the potential to make a significant contribution to both business practice and academic research were proposed.</w:t>
      </w:r>
    </w:p>
    <w:p w:rsidR="00AF6A5D" w:rsidRDefault="00AF6A5D" w:rsidP="00AF6A5D">
      <w:pPr>
        <w:pStyle w:val="NoSpacing"/>
        <w:spacing w:line="480" w:lineRule="auto"/>
        <w:jc w:val="center"/>
        <w:rPr>
          <w:b/>
        </w:rPr>
      </w:pPr>
    </w:p>
    <w:p w:rsidR="00AF6A5D" w:rsidRDefault="00AF6A5D" w:rsidP="00AF6A5D">
      <w:pPr>
        <w:pStyle w:val="NoSpacing"/>
        <w:spacing w:line="480" w:lineRule="auto"/>
        <w:jc w:val="center"/>
        <w:rPr>
          <w:b/>
        </w:rPr>
      </w:pPr>
    </w:p>
    <w:p w:rsidR="006560EC" w:rsidRDefault="006560EC" w:rsidP="00AF6A5D">
      <w:pPr>
        <w:pStyle w:val="NoSpacing"/>
        <w:spacing w:line="480" w:lineRule="auto"/>
        <w:jc w:val="center"/>
        <w:rPr>
          <w:b/>
        </w:rPr>
      </w:pPr>
    </w:p>
    <w:p w:rsidR="00AF6A5D" w:rsidRDefault="00AF6A5D" w:rsidP="00AF6A5D">
      <w:pPr>
        <w:pStyle w:val="NoSpacing"/>
        <w:spacing w:line="480" w:lineRule="auto"/>
        <w:jc w:val="center"/>
        <w:rPr>
          <w:b/>
        </w:rPr>
      </w:pPr>
      <w:r w:rsidRPr="00F70591">
        <w:rPr>
          <w:b/>
        </w:rPr>
        <w:lastRenderedPageBreak/>
        <w:t>TABLE OF CONTENTS</w:t>
      </w:r>
    </w:p>
    <w:p w:rsidR="00AF6A5D" w:rsidRPr="00920749" w:rsidRDefault="00AF6A5D" w:rsidP="00AF6A5D">
      <w:pPr>
        <w:pStyle w:val="NoSpacing"/>
        <w:tabs>
          <w:tab w:val="left" w:leader="dot" w:pos="8280"/>
        </w:tabs>
        <w:rPr>
          <w:b/>
        </w:rPr>
      </w:pPr>
      <w:r w:rsidRPr="00920749">
        <w:rPr>
          <w:b/>
        </w:rPr>
        <w:t>CHAPTER 1 – INTRODUCTION</w:t>
      </w:r>
      <w:r w:rsidRPr="00920749">
        <w:rPr>
          <w:b/>
        </w:rPr>
        <w:tab/>
        <w:t>1</w:t>
      </w:r>
    </w:p>
    <w:p w:rsidR="00AF6A5D" w:rsidRDefault="00AF6A5D" w:rsidP="00AF6A5D">
      <w:pPr>
        <w:pStyle w:val="NoSpacing"/>
        <w:tabs>
          <w:tab w:val="left" w:leader="dot" w:pos="8280"/>
        </w:tabs>
        <w:ind w:left="720"/>
      </w:pPr>
      <w:r>
        <w:t>SUPPLY CHAIN MANAGEMENT</w:t>
      </w:r>
      <w:r>
        <w:tab/>
        <w:t>1</w:t>
      </w:r>
    </w:p>
    <w:p w:rsidR="00AF6A5D" w:rsidRDefault="00AF6A5D" w:rsidP="00AF6A5D">
      <w:pPr>
        <w:pStyle w:val="NoSpacing"/>
        <w:tabs>
          <w:tab w:val="left" w:leader="dot" w:pos="8280"/>
        </w:tabs>
        <w:ind w:left="720"/>
      </w:pPr>
      <w:r>
        <w:t>SUPPLY CHAIN RISKS AND VULNERABILITIES</w:t>
      </w:r>
      <w:r>
        <w:tab/>
        <w:t>2</w:t>
      </w:r>
    </w:p>
    <w:p w:rsidR="00AF6A5D" w:rsidRDefault="00AF6A5D" w:rsidP="00AF6A5D">
      <w:pPr>
        <w:pStyle w:val="NoSpacing"/>
        <w:tabs>
          <w:tab w:val="left" w:leader="dot" w:pos="8280"/>
        </w:tabs>
        <w:ind w:left="720"/>
      </w:pPr>
      <w:r>
        <w:t>SUPPLY CHAIN RISK MANAGEMENT</w:t>
      </w:r>
      <w:r>
        <w:tab/>
        <w:t>3</w:t>
      </w:r>
    </w:p>
    <w:p w:rsidR="00AF6A5D" w:rsidRDefault="003C4800" w:rsidP="00AF6A5D">
      <w:pPr>
        <w:pStyle w:val="NoSpacing"/>
        <w:tabs>
          <w:tab w:val="left" w:leader="dot" w:pos="8280"/>
        </w:tabs>
        <w:ind w:left="720"/>
      </w:pPr>
      <w:r>
        <w:t>SUPPLY CHAIN RESILIENCE</w:t>
      </w:r>
      <w:r>
        <w:tab/>
        <w:t>6</w:t>
      </w:r>
    </w:p>
    <w:p w:rsidR="00AF6A5D" w:rsidRDefault="003C4800" w:rsidP="00AF6A5D">
      <w:pPr>
        <w:pStyle w:val="NoSpacing"/>
        <w:tabs>
          <w:tab w:val="left" w:leader="dot" w:pos="8280"/>
        </w:tabs>
        <w:ind w:left="720"/>
      </w:pPr>
      <w:r>
        <w:t>THEORETICAL FOUNDATIONS</w:t>
      </w:r>
      <w:r>
        <w:tab/>
        <w:t>8</w:t>
      </w:r>
    </w:p>
    <w:p w:rsidR="003C4800" w:rsidRDefault="003C4800" w:rsidP="003C4800">
      <w:pPr>
        <w:pStyle w:val="NoSpacing"/>
        <w:tabs>
          <w:tab w:val="left" w:leader="dot" w:pos="8280"/>
        </w:tabs>
        <w:ind w:left="720"/>
      </w:pPr>
      <w:r>
        <w:t>STATEMENT OF PURPOSE</w:t>
      </w:r>
      <w:r>
        <w:tab/>
        <w:t>9</w:t>
      </w:r>
    </w:p>
    <w:p w:rsidR="00AF6A5D" w:rsidRDefault="00AF6A5D" w:rsidP="00AF6A5D">
      <w:pPr>
        <w:pStyle w:val="NoSpacing"/>
        <w:tabs>
          <w:tab w:val="left" w:leader="dot" w:pos="8280"/>
        </w:tabs>
        <w:ind w:left="720"/>
      </w:pPr>
      <w:r>
        <w:t>CONTRIBUTIONS OF THIS DISSERTATION</w:t>
      </w:r>
      <w:r>
        <w:tab/>
        <w:t>10</w:t>
      </w:r>
    </w:p>
    <w:p w:rsidR="00AF6A5D" w:rsidRPr="00A07D56" w:rsidRDefault="00AF6A5D" w:rsidP="00AF6A5D">
      <w:pPr>
        <w:pStyle w:val="NoSpacing"/>
        <w:tabs>
          <w:tab w:val="left" w:leader="dot" w:pos="8280"/>
        </w:tabs>
        <w:ind w:left="720"/>
      </w:pPr>
      <w:r>
        <w:t>DISSERTATION ORGANIZATION</w:t>
      </w:r>
      <w:r>
        <w:tab/>
        <w:t>11</w:t>
      </w:r>
    </w:p>
    <w:p w:rsidR="00AF6A5D" w:rsidRDefault="00AF6A5D" w:rsidP="00AF6A5D">
      <w:pPr>
        <w:pStyle w:val="NoSpacing"/>
        <w:tabs>
          <w:tab w:val="left" w:leader="dot" w:pos="8280"/>
        </w:tabs>
        <w:rPr>
          <w:b/>
        </w:rPr>
      </w:pPr>
    </w:p>
    <w:p w:rsidR="00AF6A5D" w:rsidRDefault="00AF6A5D" w:rsidP="00AF6A5D">
      <w:pPr>
        <w:pStyle w:val="NoSpacing"/>
        <w:tabs>
          <w:tab w:val="left" w:leader="dot" w:pos="8280"/>
        </w:tabs>
        <w:rPr>
          <w:b/>
        </w:rPr>
      </w:pPr>
      <w:r w:rsidRPr="0080317A">
        <w:rPr>
          <w:b/>
        </w:rPr>
        <w:t>CHAPTER 2 – THEORY BUILDING</w:t>
      </w:r>
      <w:r w:rsidR="003C4800">
        <w:rPr>
          <w:b/>
        </w:rPr>
        <w:tab/>
        <w:t>12</w:t>
      </w:r>
    </w:p>
    <w:p w:rsidR="00AF6A5D" w:rsidRDefault="00AF6A5D" w:rsidP="00AF6A5D">
      <w:pPr>
        <w:pStyle w:val="NoSpacing"/>
        <w:tabs>
          <w:tab w:val="left" w:leader="dot" w:pos="8280"/>
        </w:tabs>
        <w:ind w:left="720"/>
      </w:pPr>
      <w:r>
        <w:t xml:space="preserve">ORGANIZING </w:t>
      </w:r>
      <w:r w:rsidR="003C4800">
        <w:t>FRAMEWORK FOR THEORY BUILDING</w:t>
      </w:r>
      <w:r w:rsidR="003C4800">
        <w:tab/>
        <w:t>12</w:t>
      </w:r>
    </w:p>
    <w:p w:rsidR="00AF6A5D" w:rsidRDefault="003C4800" w:rsidP="00AF6A5D">
      <w:pPr>
        <w:pStyle w:val="NoSpacing"/>
        <w:tabs>
          <w:tab w:val="left" w:leader="dot" w:pos="8280"/>
          <w:tab w:val="left" w:pos="8370"/>
        </w:tabs>
        <w:ind w:left="720"/>
      </w:pPr>
      <w:r>
        <w:t>THEORETICAL FRAMEWORK</w:t>
      </w:r>
      <w:r>
        <w:tab/>
        <w:t>12</w:t>
      </w:r>
    </w:p>
    <w:p w:rsidR="00AF6A5D" w:rsidRDefault="003C4800" w:rsidP="00AF6A5D">
      <w:pPr>
        <w:pStyle w:val="NoSpacing"/>
        <w:tabs>
          <w:tab w:val="left" w:leader="dot" w:pos="8280"/>
        </w:tabs>
        <w:ind w:left="720" w:firstLine="720"/>
      </w:pPr>
      <w:r>
        <w:t>Theoretical Lenses</w:t>
      </w:r>
      <w:r>
        <w:tab/>
        <w:t>12</w:t>
      </w:r>
    </w:p>
    <w:p w:rsidR="00AF6A5D" w:rsidRDefault="00AF6A5D" w:rsidP="00AF6A5D">
      <w:pPr>
        <w:pStyle w:val="NoSpacing"/>
        <w:tabs>
          <w:tab w:val="left" w:leader="dot" w:pos="8280"/>
        </w:tabs>
        <w:ind w:left="4320" w:hanging="2160"/>
      </w:pPr>
      <w:r>
        <w:rPr>
          <w:i/>
        </w:rPr>
        <w:t>Resource-Based View</w:t>
      </w:r>
      <w:r w:rsidRPr="0080317A">
        <w:t>………………………………………</w:t>
      </w:r>
      <w:r w:rsidR="00AE3334">
        <w:t>.</w:t>
      </w:r>
      <w:r w:rsidR="003C4800">
        <w:t>…...13</w:t>
      </w:r>
    </w:p>
    <w:p w:rsidR="00AF6A5D" w:rsidRDefault="00AF6A5D" w:rsidP="00AF6A5D">
      <w:pPr>
        <w:pStyle w:val="NoSpacing"/>
        <w:tabs>
          <w:tab w:val="left" w:leader="dot" w:pos="8280"/>
        </w:tabs>
        <w:ind w:left="4320" w:hanging="2160"/>
      </w:pPr>
      <w:r>
        <w:rPr>
          <w:i/>
        </w:rPr>
        <w:t xml:space="preserve">Resource Dependence Theory </w:t>
      </w:r>
      <w:r w:rsidRPr="0080317A">
        <w:t>……………………</w:t>
      </w:r>
      <w:r>
        <w:t>..</w:t>
      </w:r>
      <w:r w:rsidRPr="0080317A">
        <w:t>…………</w:t>
      </w:r>
      <w:r w:rsidR="00AE3334">
        <w:t>.</w:t>
      </w:r>
      <w:r w:rsidRPr="0080317A">
        <w:t>. 18</w:t>
      </w:r>
    </w:p>
    <w:p w:rsidR="00AF6A5D" w:rsidRDefault="00AF6A5D" w:rsidP="00AF6A5D">
      <w:pPr>
        <w:pStyle w:val="NoSpacing"/>
        <w:tabs>
          <w:tab w:val="left" w:leader="dot" w:pos="8280"/>
        </w:tabs>
        <w:ind w:left="4320" w:hanging="2160"/>
      </w:pPr>
      <w:r>
        <w:rPr>
          <w:i/>
        </w:rPr>
        <w:t xml:space="preserve">Strategic Choice Theory </w:t>
      </w:r>
      <w:proofErr w:type="gramStart"/>
      <w:r w:rsidRPr="0080317A">
        <w:t>……………………</w:t>
      </w:r>
      <w:r>
        <w:t>………..</w:t>
      </w:r>
      <w:r w:rsidRPr="0080317A">
        <w:t>……</w:t>
      </w:r>
      <w:r w:rsidR="00AE3334">
        <w:t>.</w:t>
      </w:r>
      <w:r>
        <w:t>.</w:t>
      </w:r>
      <w:r w:rsidRPr="0080317A">
        <w:t>…</w:t>
      </w:r>
      <w:proofErr w:type="gramEnd"/>
      <w:r w:rsidRPr="0080317A">
        <w:t>. 1</w:t>
      </w:r>
      <w:r w:rsidR="003C4800">
        <w:t>8</w:t>
      </w:r>
    </w:p>
    <w:p w:rsidR="00AF6A5D" w:rsidRDefault="00AF6A5D" w:rsidP="00AF6A5D">
      <w:pPr>
        <w:pStyle w:val="NoSpacing"/>
        <w:tabs>
          <w:tab w:val="left" w:leader="dot" w:pos="8280"/>
        </w:tabs>
        <w:ind w:left="720" w:firstLine="720"/>
      </w:pPr>
      <w:r>
        <w:t>Managing Firm Resources in Dynamic Enviro</w:t>
      </w:r>
      <w:r w:rsidR="003C4800">
        <w:t>nments</w:t>
      </w:r>
      <w:r w:rsidR="003C4800">
        <w:tab/>
        <w:t>19</w:t>
      </w:r>
    </w:p>
    <w:p w:rsidR="00AF6A5D" w:rsidRDefault="00AF6A5D" w:rsidP="00AF6A5D">
      <w:pPr>
        <w:pStyle w:val="NoSpacing"/>
        <w:tabs>
          <w:tab w:val="left" w:leader="dot" w:pos="8280"/>
        </w:tabs>
        <w:ind w:left="720" w:firstLine="720"/>
      </w:pPr>
      <w:r>
        <w:t>Dynamic Capabilities within the Resource-Based Framework</w:t>
      </w:r>
      <w:r>
        <w:tab/>
        <w:t>21</w:t>
      </w:r>
    </w:p>
    <w:p w:rsidR="00AF6A5D" w:rsidRDefault="003C4800" w:rsidP="00AF6A5D">
      <w:pPr>
        <w:pStyle w:val="NoSpacing"/>
        <w:tabs>
          <w:tab w:val="left" w:leader="dot" w:pos="8280"/>
        </w:tabs>
        <w:ind w:left="720" w:firstLine="720"/>
      </w:pPr>
      <w:r>
        <w:t>Performance Outcomes</w:t>
      </w:r>
      <w:r>
        <w:tab/>
        <w:t>22</w:t>
      </w:r>
    </w:p>
    <w:p w:rsidR="00AF6A5D" w:rsidRDefault="00AF6A5D" w:rsidP="00AF6A5D">
      <w:pPr>
        <w:pStyle w:val="NoSpacing"/>
        <w:tabs>
          <w:tab w:val="left" w:leader="dot" w:pos="8280"/>
        </w:tabs>
        <w:ind w:left="720" w:hanging="720"/>
      </w:pPr>
      <w:r>
        <w:tab/>
        <w:t>CONTEXTUALIZATION</w:t>
      </w:r>
      <w:r w:rsidR="003C4800">
        <w:t xml:space="preserve"> OF THE THEORETICAL FRAMEWORK</w:t>
      </w:r>
      <w:r w:rsidR="003C4800">
        <w:tab/>
        <w:t>23</w:t>
      </w:r>
    </w:p>
    <w:p w:rsidR="00AF6A5D" w:rsidRDefault="00AF6A5D" w:rsidP="00AF6A5D">
      <w:pPr>
        <w:pStyle w:val="NoSpacing"/>
        <w:tabs>
          <w:tab w:val="left" w:leader="dot" w:pos="8280"/>
        </w:tabs>
        <w:ind w:left="720" w:firstLine="720"/>
      </w:pPr>
      <w:r>
        <w:t>Supply</w:t>
      </w:r>
      <w:r w:rsidR="003C4800">
        <w:t xml:space="preserve"> Chain Management Perspective</w:t>
      </w:r>
      <w:r w:rsidR="003C4800">
        <w:tab/>
        <w:t>23</w:t>
      </w:r>
    </w:p>
    <w:p w:rsidR="00AF6A5D" w:rsidRDefault="00AF6A5D" w:rsidP="00AF6A5D">
      <w:pPr>
        <w:pStyle w:val="NoSpacing"/>
        <w:tabs>
          <w:tab w:val="left" w:leader="dot" w:pos="8280"/>
        </w:tabs>
        <w:ind w:left="720" w:firstLine="720"/>
      </w:pPr>
      <w:r>
        <w:t>Foc</w:t>
      </w:r>
      <w:r w:rsidR="003C4800">
        <w:t xml:space="preserve">us on Logistics Capabilities </w:t>
      </w:r>
      <w:r w:rsidR="003C4800">
        <w:tab/>
        <w:t>25</w:t>
      </w:r>
    </w:p>
    <w:p w:rsidR="00AF6A5D" w:rsidRDefault="00AF6A5D" w:rsidP="00AF6A5D">
      <w:pPr>
        <w:pStyle w:val="NoSpacing"/>
        <w:tabs>
          <w:tab w:val="left" w:leader="dot" w:pos="8280"/>
        </w:tabs>
        <w:ind w:left="720" w:firstLine="720"/>
      </w:pPr>
      <w:r>
        <w:t xml:space="preserve">Resilience from the Resource-Based Perspective </w:t>
      </w:r>
      <w:r>
        <w:tab/>
        <w:t>27</w:t>
      </w:r>
    </w:p>
    <w:p w:rsidR="00AF6A5D" w:rsidRDefault="00AF6A5D" w:rsidP="00AF6A5D">
      <w:pPr>
        <w:pStyle w:val="NoSpacing"/>
        <w:tabs>
          <w:tab w:val="left" w:leader="dot" w:pos="8280"/>
        </w:tabs>
        <w:ind w:left="720"/>
      </w:pPr>
      <w:r>
        <w:t>THE CONCEPTUALIZATI</w:t>
      </w:r>
      <w:r w:rsidR="003C4800">
        <w:t>ON OF SUPPLY CHAIN RESILIENCE</w:t>
      </w:r>
      <w:r w:rsidR="003C4800">
        <w:tab/>
        <w:t>27</w:t>
      </w:r>
    </w:p>
    <w:p w:rsidR="00AF6A5D" w:rsidRDefault="00AF6A5D" w:rsidP="00AF6A5D">
      <w:pPr>
        <w:pStyle w:val="NoSpacing"/>
        <w:tabs>
          <w:tab w:val="left" w:leader="dot" w:pos="8280"/>
        </w:tabs>
        <w:ind w:firstLine="1440"/>
      </w:pPr>
      <w:r>
        <w:t xml:space="preserve">Contributions based </w:t>
      </w:r>
      <w:r w:rsidR="003C4800">
        <w:t>on the Ecological Perspective</w:t>
      </w:r>
      <w:r w:rsidR="003C4800">
        <w:tab/>
        <w:t>27</w:t>
      </w:r>
    </w:p>
    <w:p w:rsidR="00AF6A5D" w:rsidRDefault="00AF6A5D" w:rsidP="00AF6A5D">
      <w:pPr>
        <w:pStyle w:val="NoSpacing"/>
        <w:tabs>
          <w:tab w:val="left" w:leader="dot" w:pos="8280"/>
        </w:tabs>
        <w:ind w:firstLine="1440"/>
      </w:pPr>
      <w:r>
        <w:t>Contributions based on the Psychological Perspective</w:t>
      </w:r>
      <w:r>
        <w:tab/>
        <w:t>30</w:t>
      </w:r>
    </w:p>
    <w:p w:rsidR="00AF6A5D" w:rsidRDefault="00AF6A5D" w:rsidP="00AF6A5D">
      <w:pPr>
        <w:pStyle w:val="NoSpacing"/>
        <w:tabs>
          <w:tab w:val="left" w:leader="dot" w:pos="8280"/>
        </w:tabs>
        <w:ind w:firstLine="1440"/>
      </w:pPr>
      <w:r>
        <w:t>Contributions based on the Economic Perspective</w:t>
      </w:r>
      <w:r>
        <w:tab/>
        <w:t>31</w:t>
      </w:r>
    </w:p>
    <w:p w:rsidR="00AF6A5D" w:rsidRPr="00920749" w:rsidRDefault="00AF6A5D" w:rsidP="00AF6A5D">
      <w:pPr>
        <w:pStyle w:val="NoSpacing"/>
        <w:tabs>
          <w:tab w:val="left" w:leader="dot" w:pos="8280"/>
        </w:tabs>
        <w:ind w:firstLine="1440"/>
      </w:pPr>
      <w:r>
        <w:t xml:space="preserve">Contributions based </w:t>
      </w:r>
      <w:r w:rsidRPr="00920749">
        <w:t>on the Organizational Perspective</w:t>
      </w:r>
      <w:r w:rsidRPr="00920749">
        <w:tab/>
        <w:t>3</w:t>
      </w:r>
      <w:r w:rsidR="003C4800">
        <w:t>3</w:t>
      </w:r>
    </w:p>
    <w:p w:rsidR="00AF6A5D" w:rsidRPr="00920749" w:rsidRDefault="00AF6A5D" w:rsidP="00AF6A5D">
      <w:pPr>
        <w:pStyle w:val="NoSpacing"/>
        <w:tabs>
          <w:tab w:val="left" w:leader="dot" w:pos="8280"/>
        </w:tabs>
        <w:ind w:firstLine="1440"/>
      </w:pPr>
      <w:r w:rsidRPr="00920749">
        <w:t>Synthesizing In</w:t>
      </w:r>
      <w:r w:rsidR="003C4800">
        <w:t>terdisciplinary Contributions</w:t>
      </w:r>
      <w:r w:rsidR="003C4800">
        <w:tab/>
        <w:t>34</w:t>
      </w:r>
    </w:p>
    <w:p w:rsidR="00AF6A5D" w:rsidRPr="00920749" w:rsidRDefault="00AF6A5D" w:rsidP="00AF6A5D">
      <w:pPr>
        <w:pStyle w:val="NoSpacing"/>
        <w:tabs>
          <w:tab w:val="left" w:leader="dot" w:pos="8280"/>
        </w:tabs>
        <w:ind w:left="720" w:hanging="720"/>
      </w:pPr>
      <w:r w:rsidRPr="00920749">
        <w:tab/>
        <w:t>ANTECEDENTS OF SUPPLY CHAIN RESILIENCE</w:t>
      </w:r>
      <w:r w:rsidRPr="00920749">
        <w:tab/>
        <w:t>37</w:t>
      </w:r>
    </w:p>
    <w:p w:rsidR="00AF6A5D" w:rsidRPr="00920749" w:rsidRDefault="00AF6A5D" w:rsidP="00AF6A5D">
      <w:pPr>
        <w:pStyle w:val="NoSpacing"/>
        <w:tabs>
          <w:tab w:val="left" w:leader="dot" w:pos="8280"/>
        </w:tabs>
        <w:ind w:left="720" w:firstLine="720"/>
      </w:pPr>
      <w:r w:rsidRPr="00920749">
        <w:t>Logistics Capabilities within the Resource-Based Framework</w:t>
      </w:r>
      <w:r w:rsidRPr="00920749">
        <w:tab/>
        <w:t>37</w:t>
      </w:r>
    </w:p>
    <w:p w:rsidR="00AF6A5D" w:rsidRPr="00920749" w:rsidRDefault="00AF6A5D" w:rsidP="00AF6A5D">
      <w:pPr>
        <w:pStyle w:val="NoSpacing"/>
        <w:tabs>
          <w:tab w:val="left" w:leader="dot" w:pos="8280"/>
        </w:tabs>
        <w:ind w:left="720" w:firstLine="720"/>
      </w:pPr>
      <w:r w:rsidRPr="00920749">
        <w:t>The Role of Vulnerability and Environmental Uncertainty</w:t>
      </w:r>
      <w:r w:rsidRPr="00920749">
        <w:tab/>
        <w:t>39</w:t>
      </w:r>
    </w:p>
    <w:p w:rsidR="00AF6A5D" w:rsidRPr="00920749" w:rsidRDefault="00AF6A5D" w:rsidP="00AF6A5D">
      <w:pPr>
        <w:pStyle w:val="NoSpacing"/>
        <w:tabs>
          <w:tab w:val="left" w:leader="dot" w:pos="8280"/>
        </w:tabs>
        <w:ind w:left="720" w:hanging="720"/>
      </w:pPr>
      <w:r w:rsidRPr="00920749">
        <w:tab/>
        <w:t>THE MODERATING ROLE OF FIRM ORIENTATIONS</w:t>
      </w:r>
      <w:r w:rsidRPr="00920749">
        <w:tab/>
        <w:t>41</w:t>
      </w:r>
    </w:p>
    <w:p w:rsidR="00AF6A5D" w:rsidRPr="00920749" w:rsidRDefault="00AF6A5D" w:rsidP="00AF6A5D">
      <w:pPr>
        <w:pStyle w:val="NoSpacing"/>
        <w:tabs>
          <w:tab w:val="left" w:leader="dot" w:pos="8280"/>
        </w:tabs>
        <w:ind w:firstLine="1440"/>
      </w:pPr>
      <w:r w:rsidRPr="00920749">
        <w:t>Supply Chain Orientation</w:t>
      </w:r>
      <w:r w:rsidRPr="00920749">
        <w:tab/>
        <w:t>41</w:t>
      </w:r>
    </w:p>
    <w:p w:rsidR="00AF6A5D" w:rsidRPr="00920749" w:rsidRDefault="00AF6A5D" w:rsidP="00AF6A5D">
      <w:pPr>
        <w:pStyle w:val="NoSpacing"/>
        <w:tabs>
          <w:tab w:val="left" w:leader="dot" w:pos="8280"/>
        </w:tabs>
        <w:ind w:firstLine="1440"/>
      </w:pPr>
      <w:r w:rsidRPr="00920749">
        <w:t>Risk Management Orientation</w:t>
      </w:r>
      <w:r w:rsidRPr="00920749">
        <w:tab/>
        <w:t>43</w:t>
      </w:r>
    </w:p>
    <w:p w:rsidR="00AF6A5D" w:rsidRPr="00920749" w:rsidRDefault="00AF6A5D" w:rsidP="00AF6A5D">
      <w:pPr>
        <w:pStyle w:val="NoSpacing"/>
        <w:tabs>
          <w:tab w:val="left" w:leader="dot" w:pos="8280"/>
        </w:tabs>
        <w:ind w:left="720" w:hanging="720"/>
      </w:pPr>
      <w:r w:rsidRPr="00920749">
        <w:tab/>
        <w:t>OUTCOMES OF SUPPLY CHAIN RESILIENCE</w:t>
      </w:r>
      <w:r w:rsidRPr="00920749">
        <w:tab/>
        <w:t>44</w:t>
      </w:r>
    </w:p>
    <w:p w:rsidR="00AF6A5D" w:rsidRPr="00920749" w:rsidRDefault="00AF6A5D" w:rsidP="00AF6A5D">
      <w:pPr>
        <w:pStyle w:val="NoSpacing"/>
        <w:tabs>
          <w:tab w:val="left" w:leader="dot" w:pos="8280"/>
        </w:tabs>
        <w:ind w:left="720" w:firstLine="720"/>
      </w:pPr>
      <w:r w:rsidRPr="00920749">
        <w:t>Supply Chain Process Variability</w:t>
      </w:r>
      <w:r w:rsidRPr="00920749">
        <w:tab/>
        <w:t>44</w:t>
      </w:r>
    </w:p>
    <w:p w:rsidR="00AF6A5D" w:rsidRPr="00920749" w:rsidRDefault="00AF6A5D" w:rsidP="00AF6A5D">
      <w:pPr>
        <w:pStyle w:val="NoSpacing"/>
        <w:tabs>
          <w:tab w:val="left" w:leader="dot" w:pos="8280"/>
        </w:tabs>
        <w:ind w:left="720" w:firstLine="720"/>
      </w:pPr>
      <w:r w:rsidRPr="00920749">
        <w:t>Supply Chain Capital</w:t>
      </w:r>
      <w:r w:rsidR="003C4800">
        <w:t xml:space="preserve"> and Supply Chain Knowledge Development</w:t>
      </w:r>
      <w:r w:rsidRPr="00920749">
        <w:tab/>
        <w:t>45</w:t>
      </w:r>
    </w:p>
    <w:p w:rsidR="00AF6A5D" w:rsidRPr="00920749" w:rsidRDefault="00AF6A5D" w:rsidP="00AF6A5D">
      <w:pPr>
        <w:pStyle w:val="NoSpacing"/>
        <w:tabs>
          <w:tab w:val="left" w:leader="dot" w:pos="8280"/>
        </w:tabs>
        <w:ind w:left="720" w:hanging="720"/>
      </w:pPr>
      <w:r w:rsidRPr="00920749">
        <w:tab/>
        <w:t>BUILDING A CONCEPTUAL MODEL</w:t>
      </w:r>
      <w:r w:rsidRPr="00920749">
        <w:tab/>
        <w:t>4</w:t>
      </w:r>
      <w:r w:rsidR="003C4800">
        <w:t>8</w:t>
      </w:r>
    </w:p>
    <w:p w:rsidR="00AF6A5D" w:rsidRPr="00920749" w:rsidRDefault="00AF6A5D" w:rsidP="00AF6A5D">
      <w:pPr>
        <w:pStyle w:val="NoSpacing"/>
        <w:tabs>
          <w:tab w:val="left" w:leader="dot" w:pos="8280"/>
        </w:tabs>
        <w:ind w:firstLine="720"/>
      </w:pPr>
      <w:r w:rsidRPr="00920749">
        <w:t>CHAPTER SUMMARY</w:t>
      </w:r>
      <w:r w:rsidRPr="00920749">
        <w:tab/>
        <w:t>49</w:t>
      </w:r>
    </w:p>
    <w:p w:rsidR="00AF6A5D" w:rsidRPr="00920749" w:rsidRDefault="00AF6A5D" w:rsidP="00AF6A5D">
      <w:pPr>
        <w:pStyle w:val="NoSpacing"/>
        <w:tabs>
          <w:tab w:val="left" w:leader="dot" w:pos="8280"/>
        </w:tabs>
        <w:rPr>
          <w:b/>
        </w:rPr>
      </w:pPr>
    </w:p>
    <w:p w:rsidR="002A109B" w:rsidRDefault="002A109B" w:rsidP="00AF6A5D">
      <w:pPr>
        <w:pStyle w:val="NoSpacing"/>
        <w:tabs>
          <w:tab w:val="left" w:leader="dot" w:pos="8280"/>
        </w:tabs>
        <w:rPr>
          <w:b/>
        </w:rPr>
      </w:pPr>
    </w:p>
    <w:p w:rsidR="002A109B" w:rsidRDefault="002A109B" w:rsidP="00AF6A5D">
      <w:pPr>
        <w:pStyle w:val="NoSpacing"/>
        <w:tabs>
          <w:tab w:val="left" w:leader="dot" w:pos="8280"/>
        </w:tabs>
        <w:rPr>
          <w:b/>
        </w:rPr>
      </w:pPr>
    </w:p>
    <w:p w:rsidR="00AF6A5D" w:rsidRPr="00920749" w:rsidRDefault="002844FB" w:rsidP="00AF6A5D">
      <w:pPr>
        <w:pStyle w:val="NoSpacing"/>
        <w:tabs>
          <w:tab w:val="left" w:leader="dot" w:pos="8280"/>
        </w:tabs>
        <w:rPr>
          <w:b/>
        </w:rPr>
      </w:pPr>
      <w:r>
        <w:rPr>
          <w:b/>
        </w:rPr>
        <w:lastRenderedPageBreak/>
        <w:t>CHAPTER 3 – METHODOLOGY</w:t>
      </w:r>
      <w:r>
        <w:rPr>
          <w:b/>
        </w:rPr>
        <w:tab/>
        <w:t>51</w:t>
      </w:r>
    </w:p>
    <w:p w:rsidR="00AF6A5D" w:rsidRPr="00920749" w:rsidRDefault="002844FB" w:rsidP="00AF6A5D">
      <w:pPr>
        <w:pStyle w:val="NoSpacing"/>
        <w:tabs>
          <w:tab w:val="left" w:leader="dot" w:pos="8280"/>
        </w:tabs>
        <w:ind w:left="1440" w:hanging="720"/>
      </w:pPr>
      <w:r>
        <w:t>INTRODUCTION</w:t>
      </w:r>
      <w:r>
        <w:tab/>
        <w:t>51</w:t>
      </w:r>
    </w:p>
    <w:p w:rsidR="00AF6A5D" w:rsidRDefault="0024144C" w:rsidP="00AF6A5D">
      <w:pPr>
        <w:pStyle w:val="NoSpacing"/>
        <w:tabs>
          <w:tab w:val="left" w:leader="dot" w:pos="8280"/>
        </w:tabs>
        <w:ind w:left="1440" w:hanging="720"/>
      </w:pPr>
      <w:r>
        <w:t>STRUCTURAL EQUATION MODELING</w:t>
      </w:r>
      <w:r w:rsidR="002844FB">
        <w:tab/>
        <w:t>51</w:t>
      </w:r>
    </w:p>
    <w:p w:rsidR="0024144C" w:rsidRDefault="0024144C" w:rsidP="0024144C">
      <w:pPr>
        <w:pStyle w:val="NoSpacing"/>
        <w:tabs>
          <w:tab w:val="left" w:leader="dot" w:pos="8280"/>
        </w:tabs>
        <w:ind w:left="1440" w:hanging="720"/>
      </w:pPr>
      <w:r>
        <w:t>RESEARCH DESIGN</w:t>
      </w:r>
      <w:r>
        <w:tab/>
        <w:t>52</w:t>
      </w:r>
    </w:p>
    <w:p w:rsidR="00AF6A5D" w:rsidRPr="00920749" w:rsidRDefault="0024144C" w:rsidP="00AF6A5D">
      <w:pPr>
        <w:pStyle w:val="NoSpacing"/>
        <w:tabs>
          <w:tab w:val="left" w:leader="dot" w:pos="8280"/>
        </w:tabs>
        <w:ind w:left="2880" w:hanging="1440"/>
      </w:pPr>
      <w:r>
        <w:t>Data Collection</w:t>
      </w:r>
      <w:r w:rsidR="002844FB">
        <w:tab/>
        <w:t>51</w:t>
      </w:r>
    </w:p>
    <w:p w:rsidR="00AF6A5D" w:rsidRPr="00920749" w:rsidRDefault="0024144C" w:rsidP="00AF6A5D">
      <w:pPr>
        <w:pStyle w:val="NoSpacing"/>
        <w:tabs>
          <w:tab w:val="left" w:leader="dot" w:pos="8280"/>
        </w:tabs>
        <w:ind w:left="2880" w:hanging="1440"/>
      </w:pPr>
      <w:r>
        <w:t>Sampling and Research Procedures</w:t>
      </w:r>
      <w:r w:rsidR="002844FB">
        <w:tab/>
        <w:t>52</w:t>
      </w:r>
    </w:p>
    <w:p w:rsidR="00AF6A5D" w:rsidRPr="00920749" w:rsidRDefault="0024144C" w:rsidP="0024144C">
      <w:pPr>
        <w:pStyle w:val="NoSpacing"/>
        <w:tabs>
          <w:tab w:val="left" w:leader="dot" w:pos="8280"/>
        </w:tabs>
      </w:pPr>
      <w:r>
        <w:t xml:space="preserve">            </w:t>
      </w:r>
      <w:r w:rsidR="002844FB">
        <w:t>S</w:t>
      </w:r>
      <w:r>
        <w:t>URVEY PRETEST and MAIN TEST</w:t>
      </w:r>
      <w:r w:rsidR="002844FB">
        <w:tab/>
        <w:t>54</w:t>
      </w:r>
    </w:p>
    <w:p w:rsidR="00AF6A5D" w:rsidRPr="00920749" w:rsidRDefault="0024144C" w:rsidP="0024144C">
      <w:pPr>
        <w:pStyle w:val="NoSpacing"/>
        <w:tabs>
          <w:tab w:val="left" w:leader="dot" w:pos="8280"/>
        </w:tabs>
      </w:pPr>
      <w:r>
        <w:t xml:space="preserve">            </w:t>
      </w:r>
      <w:r w:rsidR="00AF6A5D" w:rsidRPr="00920749">
        <w:t>V</w:t>
      </w:r>
      <w:r>
        <w:t>ALIDATION AND SCALE PURIFICATION</w:t>
      </w:r>
      <w:r w:rsidR="002844FB">
        <w:tab/>
        <w:t>54</w:t>
      </w:r>
    </w:p>
    <w:p w:rsidR="00AF6A5D" w:rsidRPr="00920749" w:rsidRDefault="002844FB" w:rsidP="00AF6A5D">
      <w:pPr>
        <w:pStyle w:val="NoSpacing"/>
        <w:tabs>
          <w:tab w:val="left" w:leader="dot" w:pos="8280"/>
        </w:tabs>
        <w:ind w:left="720" w:hanging="720"/>
      </w:pPr>
      <w:r>
        <w:tab/>
        <w:t>CONSTRUCT MEASUREMENT</w:t>
      </w:r>
      <w:r>
        <w:tab/>
        <w:t>56</w:t>
      </w:r>
    </w:p>
    <w:p w:rsidR="00AF6A5D" w:rsidRPr="00920749" w:rsidRDefault="00AF6A5D" w:rsidP="00AF6A5D">
      <w:pPr>
        <w:pStyle w:val="NoSpacing"/>
        <w:tabs>
          <w:tab w:val="left" w:leader="dot" w:pos="8280"/>
        </w:tabs>
        <w:ind w:left="720" w:firstLine="720"/>
      </w:pPr>
      <w:r w:rsidRPr="00920749">
        <w:t>Mea</w:t>
      </w:r>
      <w:r w:rsidR="002844FB">
        <w:t>suring Logistics Capabilities</w:t>
      </w:r>
      <w:r w:rsidR="002844FB">
        <w:tab/>
        <w:t>56</w:t>
      </w:r>
    </w:p>
    <w:p w:rsidR="00AF6A5D" w:rsidRPr="00920749" w:rsidRDefault="002844FB" w:rsidP="00AF6A5D">
      <w:pPr>
        <w:pStyle w:val="NoSpacing"/>
        <w:tabs>
          <w:tab w:val="left" w:leader="dot" w:pos="8280"/>
        </w:tabs>
        <w:ind w:left="720" w:firstLine="720"/>
      </w:pPr>
      <w:r>
        <w:t>Environmental Uncertainty</w:t>
      </w:r>
      <w:r>
        <w:tab/>
        <w:t>58</w:t>
      </w:r>
    </w:p>
    <w:p w:rsidR="00AF6A5D" w:rsidRPr="00920749" w:rsidRDefault="002844FB" w:rsidP="00AF6A5D">
      <w:pPr>
        <w:pStyle w:val="NoSpacing"/>
        <w:tabs>
          <w:tab w:val="left" w:leader="dot" w:pos="8280"/>
        </w:tabs>
        <w:ind w:left="720" w:firstLine="720"/>
      </w:pPr>
      <w:r>
        <w:t>Supply Chain Vulnerability</w:t>
      </w:r>
      <w:r>
        <w:tab/>
        <w:t>59</w:t>
      </w:r>
    </w:p>
    <w:p w:rsidR="00AF6A5D" w:rsidRPr="00920749" w:rsidRDefault="002844FB" w:rsidP="00AF6A5D">
      <w:pPr>
        <w:pStyle w:val="NoSpacing"/>
        <w:tabs>
          <w:tab w:val="left" w:leader="dot" w:pos="8280"/>
        </w:tabs>
        <w:ind w:left="720" w:firstLine="720"/>
      </w:pPr>
      <w:r>
        <w:t>Supply Chain Resilience</w:t>
      </w:r>
      <w:r>
        <w:tab/>
        <w:t>59</w:t>
      </w:r>
    </w:p>
    <w:p w:rsidR="00AF6A5D" w:rsidRPr="00920749" w:rsidRDefault="002844FB" w:rsidP="00AF6A5D">
      <w:pPr>
        <w:pStyle w:val="NoSpacing"/>
        <w:tabs>
          <w:tab w:val="left" w:leader="dot" w:pos="8280"/>
        </w:tabs>
        <w:ind w:left="720" w:firstLine="720"/>
      </w:pPr>
      <w:r>
        <w:t>Supply Chain Orientation</w:t>
      </w:r>
      <w:r>
        <w:tab/>
        <w:t>60</w:t>
      </w:r>
    </w:p>
    <w:p w:rsidR="00AF6A5D" w:rsidRPr="00920749" w:rsidRDefault="002844FB" w:rsidP="00AF6A5D">
      <w:pPr>
        <w:pStyle w:val="NoSpacing"/>
        <w:tabs>
          <w:tab w:val="left" w:leader="dot" w:pos="8280"/>
        </w:tabs>
        <w:ind w:left="720" w:firstLine="720"/>
      </w:pPr>
      <w:r>
        <w:t>Risk Management Orientation</w:t>
      </w:r>
      <w:r>
        <w:tab/>
        <w:t>62</w:t>
      </w:r>
    </w:p>
    <w:p w:rsidR="00AF6A5D" w:rsidRPr="00920749" w:rsidRDefault="00AF6A5D" w:rsidP="00AF6A5D">
      <w:pPr>
        <w:pStyle w:val="NoSpacing"/>
        <w:tabs>
          <w:tab w:val="left" w:leader="dot" w:pos="8280"/>
        </w:tabs>
        <w:ind w:left="720" w:firstLine="720"/>
      </w:pPr>
      <w:r w:rsidRPr="00920749">
        <w:t>Supply Chain Process Variabili</w:t>
      </w:r>
      <w:r w:rsidR="002844FB">
        <w:t>ty</w:t>
      </w:r>
      <w:r w:rsidR="002844FB">
        <w:tab/>
        <w:t>63</w:t>
      </w:r>
    </w:p>
    <w:p w:rsidR="00AF6A5D" w:rsidRPr="00920749" w:rsidRDefault="002844FB" w:rsidP="00AF6A5D">
      <w:pPr>
        <w:pStyle w:val="NoSpacing"/>
        <w:tabs>
          <w:tab w:val="left" w:leader="dot" w:pos="8280"/>
        </w:tabs>
        <w:ind w:left="720" w:firstLine="720"/>
      </w:pPr>
      <w:r>
        <w:t>Supply Chain Capital</w:t>
      </w:r>
      <w:r>
        <w:tab/>
        <w:t>64</w:t>
      </w:r>
    </w:p>
    <w:p w:rsidR="00AF6A5D" w:rsidRPr="00920749" w:rsidRDefault="00AF6A5D" w:rsidP="00AF6A5D">
      <w:pPr>
        <w:pStyle w:val="NoSpacing"/>
        <w:tabs>
          <w:tab w:val="left" w:leader="dot" w:pos="8280"/>
        </w:tabs>
        <w:ind w:left="720" w:firstLine="720"/>
      </w:pPr>
      <w:r w:rsidRPr="00920749">
        <w:t>Suppl</w:t>
      </w:r>
      <w:r w:rsidR="002844FB">
        <w:t>y Chain Knowledge Development</w:t>
      </w:r>
      <w:r w:rsidR="002844FB">
        <w:tab/>
        <w:t>65</w:t>
      </w:r>
    </w:p>
    <w:p w:rsidR="00AF6A5D" w:rsidRPr="00920749" w:rsidRDefault="00AF6A5D" w:rsidP="00AF6A5D">
      <w:pPr>
        <w:pStyle w:val="NoSpacing"/>
        <w:tabs>
          <w:tab w:val="left" w:leader="dot" w:pos="8280"/>
        </w:tabs>
        <w:ind w:left="720" w:firstLine="720"/>
      </w:pPr>
    </w:p>
    <w:p w:rsidR="00AF6A5D" w:rsidRPr="00920749" w:rsidRDefault="00AF6A5D" w:rsidP="00AF6A5D">
      <w:pPr>
        <w:pStyle w:val="NoSpacing"/>
        <w:tabs>
          <w:tab w:val="left" w:leader="dot" w:pos="8280"/>
        </w:tabs>
        <w:rPr>
          <w:b/>
        </w:rPr>
      </w:pPr>
      <w:r w:rsidRPr="00920749">
        <w:rPr>
          <w:b/>
        </w:rPr>
        <w:t>CHAPTER 4 – DATA ANALYSIS</w:t>
      </w:r>
      <w:r w:rsidRPr="00920749">
        <w:rPr>
          <w:b/>
        </w:rPr>
        <w:tab/>
        <w:t>67</w:t>
      </w:r>
    </w:p>
    <w:p w:rsidR="00AF6A5D" w:rsidRPr="00920749" w:rsidRDefault="00AF6A5D" w:rsidP="00AF6A5D">
      <w:pPr>
        <w:pStyle w:val="NoSpacing"/>
        <w:tabs>
          <w:tab w:val="left" w:leader="dot" w:pos="8280"/>
        </w:tabs>
        <w:ind w:left="720"/>
      </w:pPr>
      <w:r w:rsidRPr="00920749">
        <w:t>INTRODUCTION</w:t>
      </w:r>
      <w:r w:rsidRPr="00920749">
        <w:tab/>
        <w:t>67</w:t>
      </w:r>
    </w:p>
    <w:p w:rsidR="00AF6A5D" w:rsidRPr="00920749" w:rsidRDefault="00AF6A5D" w:rsidP="00AF6A5D">
      <w:pPr>
        <w:pStyle w:val="NoSpacing"/>
        <w:tabs>
          <w:tab w:val="left" w:leader="dot" w:pos="8280"/>
        </w:tabs>
        <w:ind w:left="720"/>
      </w:pPr>
      <w:r w:rsidRPr="00920749">
        <w:t>SURVEY PRE-TEST</w:t>
      </w:r>
      <w:r w:rsidRPr="00920749">
        <w:tab/>
        <w:t>67</w:t>
      </w:r>
    </w:p>
    <w:p w:rsidR="00AF6A5D" w:rsidRDefault="00AF6A5D" w:rsidP="00AF6A5D">
      <w:pPr>
        <w:pStyle w:val="NoSpacing"/>
        <w:tabs>
          <w:tab w:val="left" w:leader="dot" w:pos="8280"/>
        </w:tabs>
        <w:ind w:left="1440"/>
      </w:pPr>
      <w:r w:rsidRPr="00920749">
        <w:t>Descriptive Statistics</w:t>
      </w:r>
      <w:r w:rsidRPr="00920749">
        <w:tab/>
        <w:t>68</w:t>
      </w:r>
    </w:p>
    <w:p w:rsidR="001361B0" w:rsidRDefault="001361B0" w:rsidP="001361B0">
      <w:pPr>
        <w:pStyle w:val="NoSpacing"/>
        <w:tabs>
          <w:tab w:val="left" w:leader="dot" w:pos="8280"/>
        </w:tabs>
        <w:ind w:left="1440"/>
      </w:pPr>
      <w:r>
        <w:t>Pre-test Data Analysis</w:t>
      </w:r>
      <w:r w:rsidR="00C70397">
        <w:tab/>
        <w:t>69</w:t>
      </w:r>
    </w:p>
    <w:p w:rsidR="00AF6A5D" w:rsidRDefault="001361B0" w:rsidP="00AF6A5D">
      <w:pPr>
        <w:pStyle w:val="NoSpacing"/>
        <w:tabs>
          <w:tab w:val="left" w:leader="dot" w:pos="8280"/>
        </w:tabs>
        <w:ind w:left="1440"/>
      </w:pPr>
      <w:r>
        <w:t>Evaluation of Measures</w:t>
      </w:r>
      <w:r w:rsidR="00C70397">
        <w:tab/>
        <w:t>74</w:t>
      </w:r>
    </w:p>
    <w:p w:rsidR="001361B0" w:rsidRPr="00920749" w:rsidRDefault="001361B0" w:rsidP="001361B0">
      <w:pPr>
        <w:pStyle w:val="NoSpacing"/>
        <w:tabs>
          <w:tab w:val="left" w:leader="dot" w:pos="8280"/>
        </w:tabs>
        <w:ind w:left="720"/>
      </w:pPr>
      <w:r>
        <w:t xml:space="preserve">SURVEY MAIN </w:t>
      </w:r>
      <w:r w:rsidR="00C70397">
        <w:t>TEST</w:t>
      </w:r>
      <w:r w:rsidR="00C70397">
        <w:tab/>
        <w:t>75</w:t>
      </w:r>
    </w:p>
    <w:p w:rsidR="001361B0" w:rsidRDefault="001361B0" w:rsidP="001361B0">
      <w:pPr>
        <w:pStyle w:val="NoSpacing"/>
        <w:tabs>
          <w:tab w:val="left" w:leader="dot" w:pos="8280"/>
        </w:tabs>
        <w:ind w:left="1440"/>
      </w:pPr>
      <w:r>
        <w:t>Missing Data Analysis</w:t>
      </w:r>
      <w:r w:rsidR="00C70397">
        <w:tab/>
        <w:t>79</w:t>
      </w:r>
    </w:p>
    <w:p w:rsidR="001361B0" w:rsidRDefault="001361B0" w:rsidP="001361B0">
      <w:pPr>
        <w:pStyle w:val="NoSpacing"/>
        <w:tabs>
          <w:tab w:val="left" w:leader="dot" w:pos="8280"/>
        </w:tabs>
        <w:ind w:left="1440"/>
      </w:pPr>
      <w:r>
        <w:t>Data Distribution</w:t>
      </w:r>
      <w:r w:rsidR="00C70397">
        <w:tab/>
        <w:t>80</w:t>
      </w:r>
    </w:p>
    <w:p w:rsidR="001361B0" w:rsidRDefault="00C70397" w:rsidP="001361B0">
      <w:pPr>
        <w:pStyle w:val="NoSpacing"/>
        <w:tabs>
          <w:tab w:val="left" w:leader="dot" w:pos="8280"/>
        </w:tabs>
        <w:ind w:left="1440"/>
      </w:pPr>
      <w:r>
        <w:t>Descriptive Statistics</w:t>
      </w:r>
      <w:r>
        <w:tab/>
        <w:t>82</w:t>
      </w:r>
    </w:p>
    <w:p w:rsidR="001361B0" w:rsidRDefault="001361B0" w:rsidP="001361B0">
      <w:pPr>
        <w:pStyle w:val="NoSpacing"/>
        <w:tabs>
          <w:tab w:val="left" w:leader="dot" w:pos="8280"/>
        </w:tabs>
        <w:ind w:left="1440"/>
      </w:pPr>
      <w:r>
        <w:t>Evaluation of Measurement Items</w:t>
      </w:r>
      <w:r w:rsidR="00C70397">
        <w:tab/>
        <w:t>84</w:t>
      </w:r>
    </w:p>
    <w:p w:rsidR="00AF6A5D" w:rsidRPr="00920749" w:rsidRDefault="00C70397" w:rsidP="00AF6A5D">
      <w:pPr>
        <w:pStyle w:val="NoSpacing"/>
        <w:tabs>
          <w:tab w:val="left" w:leader="dot" w:pos="8280"/>
        </w:tabs>
        <w:ind w:left="1440"/>
      </w:pPr>
      <w:r>
        <w:t>Measurement Model Refinement</w:t>
      </w:r>
      <w:r>
        <w:tab/>
        <w:t>87</w:t>
      </w:r>
    </w:p>
    <w:p w:rsidR="00AF6A5D" w:rsidRPr="00920749" w:rsidRDefault="00AF6A5D" w:rsidP="00AF6A5D">
      <w:pPr>
        <w:pStyle w:val="NoSpacing"/>
        <w:tabs>
          <w:tab w:val="left" w:leader="dot" w:pos="8280"/>
        </w:tabs>
        <w:ind w:left="2160"/>
      </w:pPr>
      <w:r w:rsidRPr="00920749">
        <w:rPr>
          <w:i/>
        </w:rPr>
        <w:t>Unidimensionality</w:t>
      </w:r>
      <w:r w:rsidR="00C70397">
        <w:tab/>
        <w:t>92</w:t>
      </w:r>
    </w:p>
    <w:p w:rsidR="00AF6A5D" w:rsidRPr="00920749" w:rsidRDefault="00AF6A5D" w:rsidP="00AF6A5D">
      <w:pPr>
        <w:pStyle w:val="NoSpacing"/>
        <w:tabs>
          <w:tab w:val="left" w:leader="dot" w:pos="8280"/>
        </w:tabs>
        <w:ind w:left="2160"/>
        <w:rPr>
          <w:i/>
        </w:rPr>
      </w:pPr>
      <w:r w:rsidRPr="00920749">
        <w:rPr>
          <w:i/>
        </w:rPr>
        <w:t>Convergent Validity</w:t>
      </w:r>
      <w:r w:rsidR="00C70397">
        <w:tab/>
        <w:t>93</w:t>
      </w:r>
    </w:p>
    <w:p w:rsidR="00AF6A5D" w:rsidRPr="00920749" w:rsidRDefault="00AF6A5D" w:rsidP="00AF6A5D">
      <w:pPr>
        <w:pStyle w:val="NoSpacing"/>
        <w:tabs>
          <w:tab w:val="left" w:leader="dot" w:pos="8280"/>
        </w:tabs>
        <w:ind w:left="2160"/>
        <w:rPr>
          <w:i/>
        </w:rPr>
      </w:pPr>
      <w:r w:rsidRPr="00920749">
        <w:rPr>
          <w:i/>
        </w:rPr>
        <w:t>Discriminant Validity</w:t>
      </w:r>
      <w:r w:rsidR="00C70397">
        <w:tab/>
        <w:t>93</w:t>
      </w:r>
    </w:p>
    <w:p w:rsidR="00AF6A5D" w:rsidRPr="00920749" w:rsidRDefault="00AF6A5D" w:rsidP="00AF6A5D">
      <w:pPr>
        <w:pStyle w:val="NoSpacing"/>
        <w:tabs>
          <w:tab w:val="left" w:leader="dot" w:pos="8280"/>
        </w:tabs>
        <w:ind w:left="2160"/>
      </w:pPr>
      <w:r w:rsidRPr="00920749">
        <w:rPr>
          <w:i/>
        </w:rPr>
        <w:t>Reliability</w:t>
      </w:r>
      <w:r w:rsidR="00C70397">
        <w:tab/>
        <w:t>95</w:t>
      </w:r>
    </w:p>
    <w:p w:rsidR="00AF6A5D" w:rsidRDefault="00C70397" w:rsidP="00AF6A5D">
      <w:pPr>
        <w:pStyle w:val="NoSpacing"/>
        <w:tabs>
          <w:tab w:val="left" w:leader="dot" w:pos="8280"/>
        </w:tabs>
        <w:ind w:left="1440" w:hanging="1440"/>
      </w:pPr>
      <w:r>
        <w:tab/>
        <w:t>Common Method Variance</w:t>
      </w:r>
      <w:r>
        <w:tab/>
        <w:t>96</w:t>
      </w:r>
    </w:p>
    <w:p w:rsidR="001361B0" w:rsidRDefault="001361B0" w:rsidP="001361B0">
      <w:pPr>
        <w:pStyle w:val="NoSpacing"/>
        <w:tabs>
          <w:tab w:val="left" w:leader="dot" w:pos="8280"/>
        </w:tabs>
        <w:ind w:left="1440" w:hanging="1440"/>
      </w:pPr>
      <w:r>
        <w:t xml:space="preserve">                        Hypotheses Testing</w:t>
      </w:r>
      <w:r w:rsidR="00C70397">
        <w:tab/>
        <w:t>97</w:t>
      </w:r>
    </w:p>
    <w:p w:rsidR="001361B0" w:rsidRDefault="001361B0" w:rsidP="00AF6A5D">
      <w:pPr>
        <w:pStyle w:val="NoSpacing"/>
        <w:tabs>
          <w:tab w:val="left" w:leader="dot" w:pos="8280"/>
        </w:tabs>
        <w:ind w:left="1440" w:hanging="1440"/>
      </w:pPr>
      <w:r>
        <w:tab/>
        <w:t>Moderating Effects of Firm Orientations</w:t>
      </w:r>
      <w:r w:rsidR="00C70397">
        <w:tab/>
        <w:t>103</w:t>
      </w:r>
    </w:p>
    <w:p w:rsidR="001361B0" w:rsidRDefault="001361B0" w:rsidP="001361B0">
      <w:pPr>
        <w:pStyle w:val="NoSpacing"/>
        <w:tabs>
          <w:tab w:val="left" w:leader="dot" w:pos="8280"/>
        </w:tabs>
        <w:ind w:left="1440" w:hanging="1440"/>
      </w:pPr>
      <w:r>
        <w:tab/>
        <w:t>Alternate Model</w:t>
      </w:r>
      <w:r w:rsidR="00C70397">
        <w:t xml:space="preserve"> Analysis</w:t>
      </w:r>
      <w:r w:rsidR="00C70397">
        <w:tab/>
        <w:t>104</w:t>
      </w:r>
    </w:p>
    <w:p w:rsidR="00AF6A5D" w:rsidRPr="00920749" w:rsidRDefault="00C70397" w:rsidP="00AF6A5D">
      <w:pPr>
        <w:pStyle w:val="NoSpacing"/>
        <w:tabs>
          <w:tab w:val="left" w:leader="dot" w:pos="8280"/>
        </w:tabs>
        <w:ind w:left="720"/>
      </w:pPr>
      <w:r>
        <w:t>CHAPTER SUMMARY</w:t>
      </w:r>
      <w:r>
        <w:tab/>
        <w:t>108</w:t>
      </w:r>
    </w:p>
    <w:p w:rsidR="00AF6A5D" w:rsidRPr="00920749" w:rsidRDefault="00AF6A5D" w:rsidP="00AF6A5D">
      <w:pPr>
        <w:pStyle w:val="NoSpacing"/>
        <w:tabs>
          <w:tab w:val="left" w:leader="dot" w:pos="8280"/>
        </w:tabs>
      </w:pPr>
    </w:p>
    <w:p w:rsidR="00AF6A5D" w:rsidRPr="00920749" w:rsidRDefault="00AF6A5D" w:rsidP="00AF6A5D">
      <w:pPr>
        <w:pStyle w:val="NoSpacing"/>
        <w:tabs>
          <w:tab w:val="left" w:leader="dot" w:pos="8280"/>
        </w:tabs>
        <w:rPr>
          <w:b/>
        </w:rPr>
      </w:pPr>
      <w:r w:rsidRPr="00920749">
        <w:rPr>
          <w:b/>
        </w:rPr>
        <w:t xml:space="preserve">CHAPTER 5 – </w:t>
      </w:r>
      <w:r w:rsidR="00BF012D">
        <w:rPr>
          <w:b/>
        </w:rPr>
        <w:t>CONCLUSIONS AND IMPLICATIONS</w:t>
      </w:r>
      <w:r w:rsidR="00BF012D">
        <w:rPr>
          <w:b/>
        </w:rPr>
        <w:tab/>
        <w:t>110</w:t>
      </w:r>
    </w:p>
    <w:p w:rsidR="00AF6A5D" w:rsidRPr="00920749" w:rsidRDefault="00AF6A5D" w:rsidP="00AF6A5D">
      <w:pPr>
        <w:pStyle w:val="NoSpacing"/>
        <w:tabs>
          <w:tab w:val="left" w:leader="dot" w:pos="8280"/>
        </w:tabs>
        <w:ind w:left="1440" w:hanging="720"/>
      </w:pPr>
      <w:r w:rsidRPr="00920749">
        <w:t>O</w:t>
      </w:r>
      <w:r w:rsidR="00BF012D">
        <w:t>VERVIEW</w:t>
      </w:r>
      <w:r w:rsidR="00BF012D">
        <w:tab/>
        <w:t>110</w:t>
      </w:r>
    </w:p>
    <w:p w:rsidR="00AF6A5D" w:rsidRPr="00920749" w:rsidRDefault="00BF012D" w:rsidP="00AF6A5D">
      <w:pPr>
        <w:pStyle w:val="NoSpacing"/>
        <w:tabs>
          <w:tab w:val="left" w:leader="dot" w:pos="8280"/>
        </w:tabs>
        <w:ind w:left="1440" w:hanging="720"/>
      </w:pPr>
      <w:r>
        <w:t>DISCUSSION OF THE FINDINGS</w:t>
      </w:r>
      <w:r>
        <w:tab/>
        <w:t>112</w:t>
      </w:r>
    </w:p>
    <w:p w:rsidR="00AF6A5D" w:rsidRPr="00920749" w:rsidRDefault="00AF6A5D" w:rsidP="00AF6A5D">
      <w:pPr>
        <w:pStyle w:val="NoSpacing"/>
        <w:tabs>
          <w:tab w:val="left" w:leader="dot" w:pos="8280"/>
        </w:tabs>
        <w:ind w:left="1440"/>
      </w:pPr>
      <w:r w:rsidRPr="00920749">
        <w:t>Fin</w:t>
      </w:r>
      <w:r w:rsidR="00BF012D">
        <w:t>dings Related to Antecedents</w:t>
      </w:r>
      <w:r w:rsidR="00BF012D">
        <w:tab/>
        <w:t>112</w:t>
      </w:r>
    </w:p>
    <w:p w:rsidR="00AF6A5D" w:rsidRPr="00920749" w:rsidRDefault="00AF6A5D" w:rsidP="00AF6A5D">
      <w:pPr>
        <w:pStyle w:val="NoSpacing"/>
        <w:tabs>
          <w:tab w:val="left" w:leader="dot" w:pos="8280"/>
        </w:tabs>
        <w:ind w:left="1440"/>
      </w:pPr>
      <w:r w:rsidRPr="00920749">
        <w:t>The Role of</w:t>
      </w:r>
      <w:r w:rsidR="00BF012D">
        <w:t xml:space="preserve"> Strategic Firm Orientations</w:t>
      </w:r>
      <w:r w:rsidR="00BF012D">
        <w:tab/>
        <w:t>114</w:t>
      </w:r>
    </w:p>
    <w:p w:rsidR="00AF6A5D" w:rsidRPr="00920749" w:rsidRDefault="00BF012D" w:rsidP="00AF6A5D">
      <w:pPr>
        <w:pStyle w:val="NoSpacing"/>
        <w:tabs>
          <w:tab w:val="left" w:leader="dot" w:pos="8280"/>
        </w:tabs>
        <w:ind w:left="1440"/>
      </w:pPr>
      <w:r>
        <w:lastRenderedPageBreak/>
        <w:t>The Role of External Factors</w:t>
      </w:r>
      <w:r>
        <w:tab/>
        <w:t>117</w:t>
      </w:r>
    </w:p>
    <w:p w:rsidR="00AF6A5D" w:rsidRPr="00920749" w:rsidRDefault="00AF6A5D" w:rsidP="00AF6A5D">
      <w:pPr>
        <w:pStyle w:val="NoSpacing"/>
        <w:tabs>
          <w:tab w:val="left" w:leader="dot" w:pos="8280"/>
        </w:tabs>
        <w:ind w:left="1440"/>
      </w:pPr>
      <w:r w:rsidRPr="00920749">
        <w:t>Find</w:t>
      </w:r>
      <w:r w:rsidR="00BF012D">
        <w:t>ings Related to the Outcomes</w:t>
      </w:r>
      <w:r w:rsidR="00BF012D">
        <w:tab/>
        <w:t>118</w:t>
      </w:r>
    </w:p>
    <w:p w:rsidR="00AF6A5D" w:rsidRPr="00920749" w:rsidRDefault="00BF012D" w:rsidP="00AF6A5D">
      <w:pPr>
        <w:pStyle w:val="NoSpacing"/>
        <w:tabs>
          <w:tab w:val="left" w:leader="dot" w:pos="8280"/>
        </w:tabs>
        <w:ind w:left="720"/>
      </w:pPr>
      <w:r>
        <w:t>CONTRIBUTION</w:t>
      </w:r>
      <w:r>
        <w:tab/>
        <w:t>120</w:t>
      </w:r>
    </w:p>
    <w:p w:rsidR="00AF6A5D" w:rsidRPr="00920749" w:rsidRDefault="00BF012D" w:rsidP="00AF6A5D">
      <w:pPr>
        <w:pStyle w:val="NoSpacing"/>
        <w:tabs>
          <w:tab w:val="left" w:leader="dot" w:pos="8280"/>
        </w:tabs>
        <w:ind w:left="720"/>
      </w:pPr>
      <w:r>
        <w:t>THEORETICAL IMPLICATIONS</w:t>
      </w:r>
      <w:r>
        <w:tab/>
        <w:t>121</w:t>
      </w:r>
    </w:p>
    <w:p w:rsidR="00AF6A5D" w:rsidRPr="00920749" w:rsidRDefault="00AF6A5D" w:rsidP="00AF6A5D">
      <w:pPr>
        <w:pStyle w:val="NoSpacing"/>
        <w:tabs>
          <w:tab w:val="left" w:leader="dot" w:pos="8280"/>
        </w:tabs>
        <w:ind w:left="1440"/>
      </w:pPr>
      <w:r w:rsidRPr="00920749">
        <w:t>Defining and Meas</w:t>
      </w:r>
      <w:r w:rsidR="00BF012D">
        <w:t>uring SCR and RMO</w:t>
      </w:r>
      <w:r w:rsidR="00BF012D">
        <w:tab/>
        <w:t>121</w:t>
      </w:r>
    </w:p>
    <w:p w:rsidR="00AF6A5D" w:rsidRPr="00920749" w:rsidRDefault="00AF6A5D" w:rsidP="00AF6A5D">
      <w:pPr>
        <w:pStyle w:val="NoSpacing"/>
        <w:tabs>
          <w:tab w:val="left" w:leader="dot" w:pos="8280"/>
        </w:tabs>
        <w:ind w:left="1440"/>
      </w:pPr>
      <w:r w:rsidRPr="00920749">
        <w:t>Understanding the Ante</w:t>
      </w:r>
      <w:r w:rsidR="00BF012D">
        <w:t>cedents of SCR……………………………….. 122</w:t>
      </w:r>
    </w:p>
    <w:p w:rsidR="00AF6A5D" w:rsidRPr="00920749" w:rsidRDefault="00AF6A5D" w:rsidP="00AF6A5D">
      <w:pPr>
        <w:pStyle w:val="NoSpacing"/>
        <w:tabs>
          <w:tab w:val="left" w:leader="dot" w:pos="8280"/>
        </w:tabs>
        <w:ind w:left="1440"/>
      </w:pPr>
      <w:r w:rsidRPr="00920749">
        <w:t>Unders</w:t>
      </w:r>
      <w:r w:rsidR="00BF012D">
        <w:t xml:space="preserve">tanding the Outcomes of SCR </w:t>
      </w:r>
      <w:r w:rsidR="00BF012D">
        <w:tab/>
        <w:t>123</w:t>
      </w:r>
    </w:p>
    <w:p w:rsidR="00AF6A5D" w:rsidRPr="00920749" w:rsidRDefault="00BF012D" w:rsidP="00AF6A5D">
      <w:pPr>
        <w:pStyle w:val="NoSpacing"/>
        <w:tabs>
          <w:tab w:val="left" w:leader="dot" w:pos="8280"/>
        </w:tabs>
        <w:ind w:left="720"/>
      </w:pPr>
      <w:r>
        <w:t>MANAGERIAL IMPLICATIONS</w:t>
      </w:r>
      <w:r>
        <w:tab/>
        <w:t>124</w:t>
      </w:r>
    </w:p>
    <w:p w:rsidR="00AF6A5D" w:rsidRPr="00920749" w:rsidRDefault="00AF6A5D" w:rsidP="00AF6A5D">
      <w:pPr>
        <w:pStyle w:val="NoSpacing"/>
        <w:tabs>
          <w:tab w:val="left" w:leader="dot" w:pos="8280"/>
        </w:tabs>
        <w:ind w:left="1440"/>
      </w:pPr>
      <w:r w:rsidRPr="00920749">
        <w:t>Defini</w:t>
      </w:r>
      <w:r w:rsidR="00BF012D">
        <w:t>ng and Measuring SCR and RMO</w:t>
      </w:r>
      <w:r w:rsidR="00BF012D">
        <w:tab/>
        <w:t>124</w:t>
      </w:r>
    </w:p>
    <w:p w:rsidR="00AF6A5D" w:rsidRPr="00920749" w:rsidRDefault="00AF6A5D" w:rsidP="00AF6A5D">
      <w:pPr>
        <w:pStyle w:val="NoSpacing"/>
        <w:tabs>
          <w:tab w:val="left" w:leader="dot" w:pos="8280"/>
        </w:tabs>
        <w:ind w:left="1440"/>
      </w:pPr>
      <w:r w:rsidRPr="00920749">
        <w:t>Understanding the System of Ante</w:t>
      </w:r>
      <w:r w:rsidR="00BF012D">
        <w:t xml:space="preserve">cedents and Outcomes of SCR </w:t>
      </w:r>
      <w:r w:rsidR="00BF012D">
        <w:tab/>
        <w:t>125</w:t>
      </w:r>
    </w:p>
    <w:p w:rsidR="00AF6A5D" w:rsidRPr="00920749" w:rsidRDefault="00AF6A5D" w:rsidP="00AF6A5D">
      <w:pPr>
        <w:pStyle w:val="NoSpacing"/>
        <w:tabs>
          <w:tab w:val="left" w:leader="dot" w:pos="8280"/>
        </w:tabs>
        <w:ind w:left="720"/>
      </w:pPr>
      <w:r w:rsidRPr="00920749">
        <w:t>LIMITATIONS AND F</w:t>
      </w:r>
      <w:r w:rsidR="00BF012D">
        <w:t>UTURE RESEARCH OPPORTUNITIES</w:t>
      </w:r>
      <w:r w:rsidR="00BF012D">
        <w:tab/>
        <w:t>126</w:t>
      </w:r>
    </w:p>
    <w:p w:rsidR="00AF6A5D" w:rsidRPr="00920749" w:rsidRDefault="00BF012D" w:rsidP="00AF6A5D">
      <w:pPr>
        <w:pStyle w:val="NoSpacing"/>
        <w:tabs>
          <w:tab w:val="left" w:leader="dot" w:pos="8280"/>
        </w:tabs>
        <w:ind w:firstLine="1440"/>
      </w:pPr>
      <w:r>
        <w:t>Limitations</w:t>
      </w:r>
      <w:r>
        <w:tab/>
        <w:t>126</w:t>
      </w:r>
    </w:p>
    <w:p w:rsidR="00AF6A5D" w:rsidRPr="00920749" w:rsidRDefault="00AF6A5D" w:rsidP="00AF6A5D">
      <w:pPr>
        <w:pStyle w:val="NoSpacing"/>
        <w:tabs>
          <w:tab w:val="left" w:leader="dot" w:pos="8280"/>
        </w:tabs>
        <w:ind w:firstLine="1440"/>
      </w:pPr>
      <w:r w:rsidRPr="00920749">
        <w:t>Sug</w:t>
      </w:r>
      <w:r w:rsidR="00BF012D">
        <w:t>gestions for Future Research</w:t>
      </w:r>
      <w:r w:rsidR="00BF012D">
        <w:tab/>
        <w:t>128</w:t>
      </w:r>
    </w:p>
    <w:p w:rsidR="00AF6A5D" w:rsidRPr="00920749" w:rsidRDefault="00AF6A5D" w:rsidP="00AF6A5D">
      <w:pPr>
        <w:pStyle w:val="NoSpacing"/>
        <w:tabs>
          <w:tab w:val="left" w:leader="dot" w:pos="8280"/>
        </w:tabs>
        <w:ind w:left="2160"/>
      </w:pPr>
      <w:r w:rsidRPr="00920749">
        <w:rPr>
          <w:i/>
        </w:rPr>
        <w:t>Addressing Methodological Limitations</w:t>
      </w:r>
      <w:r w:rsidR="00BF012D">
        <w:tab/>
        <w:t>12</w:t>
      </w:r>
      <w:r w:rsidRPr="00920749">
        <w:t>9</w:t>
      </w:r>
    </w:p>
    <w:p w:rsidR="00AF6A5D" w:rsidRPr="00920749" w:rsidRDefault="00AF6A5D" w:rsidP="00AF6A5D">
      <w:pPr>
        <w:pStyle w:val="NoSpacing"/>
        <w:tabs>
          <w:tab w:val="left" w:leader="dot" w:pos="8280"/>
        </w:tabs>
        <w:ind w:left="2160"/>
        <w:rPr>
          <w:i/>
        </w:rPr>
      </w:pPr>
      <w:r w:rsidRPr="00920749">
        <w:rPr>
          <w:i/>
        </w:rPr>
        <w:t xml:space="preserve">Extending this Research by Adding New Variables and Making </w:t>
      </w:r>
    </w:p>
    <w:p w:rsidR="00AF6A5D" w:rsidRPr="00920749" w:rsidRDefault="00AF6A5D" w:rsidP="00AF6A5D">
      <w:pPr>
        <w:pStyle w:val="NoSpacing"/>
        <w:tabs>
          <w:tab w:val="left" w:leader="dot" w:pos="8280"/>
        </w:tabs>
        <w:ind w:left="2160"/>
        <w:rPr>
          <w:i/>
        </w:rPr>
      </w:pPr>
      <w:r w:rsidRPr="00920749">
        <w:rPr>
          <w:i/>
        </w:rPr>
        <w:t>Conceptual Modifications</w:t>
      </w:r>
      <w:r w:rsidR="00BF012D">
        <w:tab/>
        <w:t>13</w:t>
      </w:r>
      <w:r w:rsidRPr="00920749">
        <w:t>0</w:t>
      </w:r>
    </w:p>
    <w:p w:rsidR="00AF6A5D" w:rsidRPr="00920749" w:rsidRDefault="00AF6A5D" w:rsidP="00AF6A5D">
      <w:pPr>
        <w:pStyle w:val="NoSpacing"/>
        <w:tabs>
          <w:tab w:val="left" w:leader="dot" w:pos="8280"/>
        </w:tabs>
        <w:ind w:left="2160"/>
        <w:rPr>
          <w:i/>
        </w:rPr>
      </w:pPr>
      <w:r w:rsidRPr="00920749">
        <w:rPr>
          <w:i/>
        </w:rPr>
        <w:t>Extending this Research to Different Contexts</w:t>
      </w:r>
      <w:r w:rsidR="00BF012D">
        <w:tab/>
        <w:t>13</w:t>
      </w:r>
      <w:r w:rsidRPr="00920749">
        <w:t>1</w:t>
      </w:r>
    </w:p>
    <w:p w:rsidR="00AF6A5D" w:rsidRPr="00920749" w:rsidRDefault="00BF012D" w:rsidP="00AF6A5D">
      <w:pPr>
        <w:pStyle w:val="NoSpacing"/>
        <w:tabs>
          <w:tab w:val="left" w:leader="dot" w:pos="8280"/>
        </w:tabs>
        <w:ind w:firstLine="720"/>
      </w:pPr>
      <w:r>
        <w:t>CONCLUDING REMARKS</w:t>
      </w:r>
      <w:r>
        <w:tab/>
        <w:t>13</w:t>
      </w:r>
      <w:r w:rsidR="00AF6A5D" w:rsidRPr="00920749">
        <w:t>2</w:t>
      </w:r>
    </w:p>
    <w:p w:rsidR="00AF6A5D" w:rsidRPr="00920749" w:rsidRDefault="00AF6A5D" w:rsidP="00AF6A5D">
      <w:pPr>
        <w:pStyle w:val="NoSpacing"/>
        <w:tabs>
          <w:tab w:val="left" w:leader="dot" w:pos="8280"/>
        </w:tabs>
        <w:rPr>
          <w:b/>
        </w:rPr>
      </w:pPr>
    </w:p>
    <w:p w:rsidR="00AF6A5D" w:rsidRPr="00920749" w:rsidRDefault="00BF012D" w:rsidP="00AF6A5D">
      <w:pPr>
        <w:pStyle w:val="NoSpacing"/>
        <w:tabs>
          <w:tab w:val="left" w:leader="dot" w:pos="8280"/>
        </w:tabs>
        <w:rPr>
          <w:b/>
        </w:rPr>
      </w:pPr>
      <w:r>
        <w:rPr>
          <w:b/>
        </w:rPr>
        <w:t>LIST OF REFERENCES</w:t>
      </w:r>
      <w:r>
        <w:rPr>
          <w:b/>
        </w:rPr>
        <w:tab/>
        <w:t>13</w:t>
      </w:r>
      <w:r w:rsidR="00AF6A5D" w:rsidRPr="00920749">
        <w:rPr>
          <w:b/>
        </w:rPr>
        <w:t>3</w:t>
      </w:r>
    </w:p>
    <w:p w:rsidR="00830398" w:rsidRPr="00920749" w:rsidRDefault="00830398" w:rsidP="00830398">
      <w:pPr>
        <w:pStyle w:val="NoSpacing"/>
        <w:tabs>
          <w:tab w:val="left" w:leader="dot" w:pos="8280"/>
        </w:tabs>
        <w:rPr>
          <w:b/>
        </w:rPr>
      </w:pPr>
      <w:r>
        <w:rPr>
          <w:b/>
        </w:rPr>
        <w:t>VITA</w:t>
      </w:r>
      <w:r>
        <w:rPr>
          <w:b/>
        </w:rPr>
        <w:tab/>
        <w:t>14</w:t>
      </w:r>
      <w:r w:rsidRPr="00920749">
        <w:rPr>
          <w:b/>
        </w:rPr>
        <w:t>3</w:t>
      </w:r>
    </w:p>
    <w:p w:rsidR="00830398" w:rsidRDefault="00830398" w:rsidP="009D0F90">
      <w:pPr>
        <w:pStyle w:val="NoSpacing"/>
        <w:tabs>
          <w:tab w:val="left" w:leader="dot" w:pos="8280"/>
        </w:tabs>
        <w:rPr>
          <w:b/>
        </w:rPr>
      </w:pPr>
    </w:p>
    <w:p w:rsidR="00AF6A5D" w:rsidRPr="005E49DF" w:rsidRDefault="00AF6A5D" w:rsidP="00AF6A5D">
      <w:pPr>
        <w:pStyle w:val="NoSpacing"/>
        <w:tabs>
          <w:tab w:val="left" w:leader="dot" w:pos="8280"/>
        </w:tabs>
        <w:rPr>
          <w:b/>
        </w:rP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r>
        <w:t>LIST OF TABLES</w:t>
      </w:r>
    </w:p>
    <w:p w:rsidR="00AF6A5D" w:rsidRDefault="00AF6A5D" w:rsidP="00AF6A5D">
      <w:pPr>
        <w:pStyle w:val="NoSpacing"/>
      </w:pPr>
    </w:p>
    <w:p w:rsidR="004D5499" w:rsidRDefault="004D5499" w:rsidP="00AF6A5D">
      <w:pPr>
        <w:pStyle w:val="NoSpacing"/>
        <w:tabs>
          <w:tab w:val="left" w:leader="dot" w:pos="8280"/>
        </w:tabs>
      </w:pPr>
    </w:p>
    <w:p w:rsidR="004D5499" w:rsidRDefault="004D5499" w:rsidP="00AF6A5D">
      <w:pPr>
        <w:pStyle w:val="NoSpacing"/>
        <w:tabs>
          <w:tab w:val="left" w:leader="dot" w:pos="8280"/>
        </w:tabs>
      </w:pPr>
    </w:p>
    <w:p w:rsidR="004D5499" w:rsidRDefault="004D5499" w:rsidP="004D5499">
      <w:pPr>
        <w:pStyle w:val="NoSpacing"/>
        <w:tabs>
          <w:tab w:val="left" w:leader="dot" w:pos="8280"/>
        </w:tabs>
      </w:pPr>
      <w:r>
        <w:t>Table 2.1 Key Contributions to the RBV</w:t>
      </w:r>
      <w:r>
        <w:tab/>
        <w:t>14</w:t>
      </w:r>
    </w:p>
    <w:p w:rsidR="004D5499" w:rsidRDefault="004D5499" w:rsidP="004D5499">
      <w:pPr>
        <w:pStyle w:val="NoSpacing"/>
        <w:tabs>
          <w:tab w:val="left" w:leader="dot" w:pos="8280"/>
        </w:tabs>
      </w:pPr>
      <w:r>
        <w:t>Table 2.2 Assessment of Selected Critiques to the RBV</w:t>
      </w:r>
      <w:r>
        <w:tab/>
        <w:t>16</w:t>
      </w:r>
    </w:p>
    <w:p w:rsidR="004D5499" w:rsidRDefault="004D5499" w:rsidP="004D5499">
      <w:pPr>
        <w:pStyle w:val="NoSpacing"/>
        <w:tabs>
          <w:tab w:val="left" w:leader="dot" w:pos="8280"/>
        </w:tabs>
      </w:pPr>
      <w:r>
        <w:t>Table 2.3 Components of Resilience from the Ecological Perspective</w:t>
      </w:r>
      <w:r>
        <w:tab/>
        <w:t>28</w:t>
      </w:r>
    </w:p>
    <w:p w:rsidR="004D5499" w:rsidRPr="00DD799F" w:rsidRDefault="004D5499" w:rsidP="004D5499">
      <w:pPr>
        <w:pStyle w:val="NoSpacing"/>
        <w:tabs>
          <w:tab w:val="left" w:leader="dot" w:pos="8280"/>
        </w:tabs>
      </w:pPr>
      <w:r>
        <w:t>Table 2.4 Summary of Selected Characteristics and Approaches to SCR</w:t>
      </w:r>
      <w:r>
        <w:tab/>
        <w:t>36</w:t>
      </w:r>
    </w:p>
    <w:p w:rsidR="004D5499" w:rsidRDefault="004D5499" w:rsidP="004D5499">
      <w:pPr>
        <w:pStyle w:val="NoSpacing"/>
        <w:tabs>
          <w:tab w:val="left" w:leader="dot" w:pos="8280"/>
        </w:tabs>
      </w:pPr>
      <w:r>
        <w:t>Table 3.1 Measurement of Supply Management Capabilities</w:t>
      </w:r>
      <w:r>
        <w:tab/>
        <w:t>57</w:t>
      </w:r>
    </w:p>
    <w:p w:rsidR="004D5499" w:rsidRDefault="004D5499" w:rsidP="004D5499">
      <w:pPr>
        <w:pStyle w:val="NoSpacing"/>
        <w:tabs>
          <w:tab w:val="left" w:leader="dot" w:pos="8280"/>
        </w:tabs>
      </w:pPr>
      <w:r>
        <w:t>Table 3.2 Measurement of Information Management Capabilities</w:t>
      </w:r>
      <w:r>
        <w:tab/>
        <w:t>57</w:t>
      </w:r>
    </w:p>
    <w:p w:rsidR="004D5499" w:rsidRDefault="004D5499" w:rsidP="004D5499">
      <w:pPr>
        <w:pStyle w:val="NoSpacing"/>
        <w:tabs>
          <w:tab w:val="left" w:leader="dot" w:pos="8280"/>
        </w:tabs>
      </w:pPr>
      <w:r>
        <w:t>Table 3.3 Measurement of Environmental Uncertainty</w:t>
      </w:r>
      <w:r>
        <w:tab/>
        <w:t>58</w:t>
      </w:r>
    </w:p>
    <w:p w:rsidR="004D5499" w:rsidRDefault="004D5499" w:rsidP="004D5499">
      <w:pPr>
        <w:pStyle w:val="NoSpacing"/>
        <w:tabs>
          <w:tab w:val="left" w:leader="dot" w:pos="8280"/>
        </w:tabs>
      </w:pPr>
      <w:r>
        <w:t>Table 3.4 Measurement of Supply Chain Vulnerability</w:t>
      </w:r>
      <w:r>
        <w:tab/>
        <w:t>59</w:t>
      </w:r>
    </w:p>
    <w:p w:rsidR="004D5499" w:rsidRDefault="004D5499" w:rsidP="004D5499">
      <w:pPr>
        <w:pStyle w:val="NoSpacing"/>
        <w:tabs>
          <w:tab w:val="left" w:leader="dot" w:pos="8280"/>
        </w:tabs>
      </w:pPr>
      <w:r>
        <w:t>Table 3.5 Measurement of Supply Chain Resilience</w:t>
      </w:r>
      <w:r>
        <w:tab/>
        <w:t>60</w:t>
      </w:r>
    </w:p>
    <w:p w:rsidR="004D5499" w:rsidRDefault="004D5499" w:rsidP="004D5499">
      <w:pPr>
        <w:pStyle w:val="NoSpacing"/>
        <w:tabs>
          <w:tab w:val="left" w:leader="dot" w:pos="8280"/>
        </w:tabs>
      </w:pPr>
      <w:r>
        <w:t>Table 3.6 Measurement of Supply Chain Orientation</w:t>
      </w:r>
      <w:r>
        <w:tab/>
        <w:t>61</w:t>
      </w:r>
    </w:p>
    <w:p w:rsidR="004D5499" w:rsidRDefault="004D5499" w:rsidP="004D5499">
      <w:pPr>
        <w:pStyle w:val="NoSpacing"/>
        <w:tabs>
          <w:tab w:val="left" w:leader="dot" w:pos="8280"/>
        </w:tabs>
      </w:pPr>
      <w:r>
        <w:t>Table 3.7 Measurement of Risk Management Orientation</w:t>
      </w:r>
      <w:r>
        <w:tab/>
        <w:t>63</w:t>
      </w:r>
    </w:p>
    <w:p w:rsidR="004D5499" w:rsidRDefault="004D5499" w:rsidP="004D5499">
      <w:pPr>
        <w:pStyle w:val="NoSpacing"/>
        <w:tabs>
          <w:tab w:val="left" w:leader="dot" w:pos="8280"/>
        </w:tabs>
      </w:pPr>
      <w:r>
        <w:t>Table 3.8 Measurement of Supply Chain Process Variability</w:t>
      </w:r>
      <w:r>
        <w:tab/>
        <w:t>64</w:t>
      </w:r>
    </w:p>
    <w:p w:rsidR="004D5499" w:rsidRDefault="004D5499" w:rsidP="004D5499">
      <w:pPr>
        <w:pStyle w:val="NoSpacing"/>
        <w:tabs>
          <w:tab w:val="left" w:leader="dot" w:pos="8280"/>
        </w:tabs>
      </w:pPr>
      <w:r>
        <w:t>Table 3.9 Measurement of Supply Chain Capital</w:t>
      </w:r>
      <w:r>
        <w:tab/>
        <w:t>65</w:t>
      </w:r>
    </w:p>
    <w:p w:rsidR="004D5499" w:rsidRDefault="004D5499" w:rsidP="004D5499">
      <w:pPr>
        <w:pStyle w:val="NoSpacing"/>
        <w:tabs>
          <w:tab w:val="left" w:leader="dot" w:pos="8280"/>
        </w:tabs>
      </w:pPr>
      <w:r>
        <w:t>Table 3.10 Measurement of Supply Chain Knowledge Development</w:t>
      </w:r>
      <w:r>
        <w:tab/>
        <w:t>65</w:t>
      </w:r>
    </w:p>
    <w:p w:rsidR="004D5499" w:rsidRDefault="004D5499" w:rsidP="004D5499">
      <w:pPr>
        <w:pStyle w:val="NoSpacing"/>
        <w:tabs>
          <w:tab w:val="left" w:leader="dot" w:pos="8280"/>
        </w:tabs>
      </w:pPr>
      <w:r>
        <w:t>Table 4.1 Pre-Test Participants by Industry</w:t>
      </w:r>
      <w:r>
        <w:tab/>
        <w:t>68</w:t>
      </w:r>
    </w:p>
    <w:p w:rsidR="004D5499" w:rsidRDefault="004D5499" w:rsidP="004D5499">
      <w:pPr>
        <w:pStyle w:val="NoSpacing"/>
        <w:tabs>
          <w:tab w:val="left" w:leader="dot" w:pos="8280"/>
        </w:tabs>
      </w:pPr>
      <w:r>
        <w:t>Table 4.2 Pre-Test Descriptive Statistics</w:t>
      </w:r>
      <w:r>
        <w:tab/>
        <w:t>71</w:t>
      </w:r>
    </w:p>
    <w:p w:rsidR="004D5499" w:rsidRDefault="004D5499" w:rsidP="004D5499">
      <w:pPr>
        <w:pStyle w:val="NoSpacing"/>
        <w:tabs>
          <w:tab w:val="left" w:leader="dot" w:pos="8280"/>
        </w:tabs>
      </w:pPr>
      <w:r>
        <w:t>Table 4.3 Main Survey Items</w:t>
      </w:r>
      <w:r>
        <w:tab/>
        <w:t>75</w:t>
      </w:r>
    </w:p>
    <w:p w:rsidR="004D5499" w:rsidRDefault="004D5499" w:rsidP="004D5499">
      <w:pPr>
        <w:pStyle w:val="NoSpacing"/>
        <w:tabs>
          <w:tab w:val="left" w:leader="dot" w:pos="8280"/>
        </w:tabs>
      </w:pPr>
      <w:r>
        <w:t>Table 4.4 Summary of Normality Analysis for the Main Test</w:t>
      </w:r>
      <w:r>
        <w:tab/>
        <w:t>81</w:t>
      </w:r>
    </w:p>
    <w:p w:rsidR="004D5499" w:rsidRDefault="004D5499" w:rsidP="004D5499">
      <w:pPr>
        <w:pStyle w:val="NoSpacing"/>
        <w:tabs>
          <w:tab w:val="left" w:leader="dot" w:pos="8280"/>
        </w:tabs>
      </w:pPr>
      <w:r>
        <w:t>Table 4.5 Main Test Participants by Industry</w:t>
      </w:r>
      <w:r>
        <w:tab/>
        <w:t>83</w:t>
      </w:r>
    </w:p>
    <w:p w:rsidR="004D5499" w:rsidRDefault="004D5499" w:rsidP="004D5499">
      <w:pPr>
        <w:pStyle w:val="NoSpacing"/>
        <w:tabs>
          <w:tab w:val="left" w:leader="dot" w:pos="8280"/>
        </w:tabs>
      </w:pPr>
      <w:r>
        <w:t>Table 4.6 Annual Sales of Participating Companies</w:t>
      </w:r>
      <w:r>
        <w:tab/>
        <w:t>84</w:t>
      </w:r>
    </w:p>
    <w:p w:rsidR="004D5499" w:rsidRDefault="004D5499" w:rsidP="004D5499">
      <w:pPr>
        <w:pStyle w:val="NoSpacing"/>
        <w:tabs>
          <w:tab w:val="left" w:leader="dot" w:pos="8280"/>
        </w:tabs>
      </w:pPr>
      <w:r>
        <w:t>Table 4.7 Refined Scales for the Main Test</w:t>
      </w:r>
      <w:r>
        <w:tab/>
        <w:t>87</w:t>
      </w:r>
    </w:p>
    <w:p w:rsidR="004D5499" w:rsidRDefault="004D5499" w:rsidP="004D5499">
      <w:pPr>
        <w:pStyle w:val="NoSpacing"/>
        <w:tabs>
          <w:tab w:val="left" w:leader="dot" w:pos="8280"/>
        </w:tabs>
      </w:pPr>
      <w:r>
        <w:t>Table 4.7 Average Variance Extracted (AVE)</w:t>
      </w:r>
      <w:r>
        <w:tab/>
        <w:t>95</w:t>
      </w:r>
    </w:p>
    <w:p w:rsidR="004D5499" w:rsidRDefault="004D5499" w:rsidP="004D5499">
      <w:pPr>
        <w:pStyle w:val="NoSpacing"/>
        <w:tabs>
          <w:tab w:val="left" w:leader="dot" w:pos="8280"/>
        </w:tabs>
      </w:pPr>
      <w:r>
        <w:t>Table 4.8 Marker Variable Measurement</w:t>
      </w:r>
      <w:r>
        <w:tab/>
        <w:t>97</w:t>
      </w:r>
    </w:p>
    <w:p w:rsidR="004D5499" w:rsidRDefault="004D5499" w:rsidP="004D5499">
      <w:pPr>
        <w:pStyle w:val="NoSpacing"/>
        <w:tabs>
          <w:tab w:val="left" w:leader="dot" w:pos="8280"/>
        </w:tabs>
      </w:pPr>
      <w:r>
        <w:t>Table 4.9 Structural Model Statistics</w:t>
      </w:r>
      <w:r>
        <w:tab/>
        <w:t>99</w:t>
      </w:r>
    </w:p>
    <w:p w:rsidR="004D5499" w:rsidRDefault="004D5499" w:rsidP="004D5499">
      <w:pPr>
        <w:pStyle w:val="NoSpacing"/>
        <w:tabs>
          <w:tab w:val="left" w:leader="dot" w:pos="8280"/>
        </w:tabs>
      </w:pPr>
      <w:r>
        <w:t>Table 4.10 Structural Model Statistics (Alternate Model)</w:t>
      </w:r>
      <w:r>
        <w:tab/>
        <w:t>106</w:t>
      </w: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AF6A5D" w:rsidRDefault="00AF6A5D"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6931" w:rsidRDefault="009D6931" w:rsidP="00AF6A5D">
      <w:pPr>
        <w:pStyle w:val="NoSpacing"/>
        <w:jc w:val="center"/>
      </w:pPr>
    </w:p>
    <w:p w:rsidR="009D7D97" w:rsidRDefault="009D7D97" w:rsidP="00AF6A5D">
      <w:pPr>
        <w:pStyle w:val="NoSpacing"/>
        <w:jc w:val="center"/>
      </w:pPr>
    </w:p>
    <w:p w:rsidR="009D7D97" w:rsidRDefault="009D7D97" w:rsidP="00AF6A5D">
      <w:pPr>
        <w:pStyle w:val="NoSpacing"/>
        <w:jc w:val="center"/>
      </w:pPr>
    </w:p>
    <w:p w:rsidR="009D7D97" w:rsidRDefault="009D7D97" w:rsidP="00AF6A5D">
      <w:pPr>
        <w:pStyle w:val="NoSpacing"/>
        <w:jc w:val="center"/>
      </w:pPr>
    </w:p>
    <w:p w:rsidR="009D6931" w:rsidRDefault="009D6931" w:rsidP="00AF6A5D">
      <w:pPr>
        <w:pStyle w:val="NoSpacing"/>
        <w:jc w:val="center"/>
      </w:pPr>
    </w:p>
    <w:p w:rsidR="00AF6A5D" w:rsidRDefault="00AF6A5D" w:rsidP="00AF6A5D">
      <w:pPr>
        <w:pStyle w:val="NoSpacing"/>
        <w:jc w:val="center"/>
      </w:pPr>
    </w:p>
    <w:p w:rsidR="00AF6A5D" w:rsidRDefault="00AF6A5D" w:rsidP="00AF6A5D">
      <w:pPr>
        <w:pStyle w:val="NoSpacing"/>
        <w:jc w:val="center"/>
      </w:pPr>
      <w:r>
        <w:t>LIST OF FIGURES</w:t>
      </w:r>
    </w:p>
    <w:p w:rsidR="00AF6A5D" w:rsidRDefault="00AF6A5D" w:rsidP="00AF6A5D">
      <w:pPr>
        <w:pStyle w:val="NoSpacing"/>
      </w:pPr>
    </w:p>
    <w:p w:rsidR="00244DD4" w:rsidRDefault="00244DD4" w:rsidP="00244DD4">
      <w:pPr>
        <w:pStyle w:val="NoSpacing"/>
        <w:tabs>
          <w:tab w:val="left" w:leader="dot" w:pos="8280"/>
        </w:tabs>
      </w:pPr>
    </w:p>
    <w:p w:rsidR="00244DD4" w:rsidRDefault="00244DD4" w:rsidP="00244DD4">
      <w:pPr>
        <w:pStyle w:val="NoSpacing"/>
        <w:tabs>
          <w:tab w:val="left" w:leader="dot" w:pos="8280"/>
        </w:tabs>
      </w:pPr>
    </w:p>
    <w:p w:rsidR="00244DD4" w:rsidRDefault="00244DD4" w:rsidP="00244DD4">
      <w:pPr>
        <w:pStyle w:val="NoSpacing"/>
        <w:tabs>
          <w:tab w:val="left" w:leader="dot" w:pos="8280"/>
        </w:tabs>
      </w:pPr>
      <w:r>
        <w:t>Figure 2.1 Theoretical Framework</w:t>
      </w:r>
      <w:r>
        <w:tab/>
        <w:t>23</w:t>
      </w:r>
    </w:p>
    <w:p w:rsidR="00244DD4" w:rsidRDefault="00244DD4" w:rsidP="00244DD4">
      <w:pPr>
        <w:pStyle w:val="NoSpacing"/>
        <w:tabs>
          <w:tab w:val="left" w:leader="dot" w:pos="8280"/>
        </w:tabs>
      </w:pPr>
      <w:r>
        <w:t>Figure 2.2 Antecedents and Outcomes of Firm’s Supply Chain Resilience</w:t>
      </w:r>
      <w:r>
        <w:tab/>
        <w:t>50</w:t>
      </w:r>
    </w:p>
    <w:p w:rsidR="00244DD4" w:rsidRDefault="00244DD4" w:rsidP="00244DD4">
      <w:pPr>
        <w:pStyle w:val="NoSpacing"/>
        <w:tabs>
          <w:tab w:val="left" w:leader="dot" w:pos="8280"/>
        </w:tabs>
      </w:pPr>
      <w:r>
        <w:t xml:space="preserve">Figure 3.1 Operationalization of Supply Chain Orientation </w:t>
      </w:r>
      <w:r>
        <w:tab/>
        <w:t>61</w:t>
      </w:r>
    </w:p>
    <w:p w:rsidR="00244DD4" w:rsidRPr="001A5C2B" w:rsidRDefault="00244DD4" w:rsidP="00244DD4">
      <w:pPr>
        <w:pStyle w:val="NoSpacing"/>
        <w:tabs>
          <w:tab w:val="left" w:leader="dot" w:pos="8280"/>
        </w:tabs>
      </w:pPr>
      <w:r w:rsidRPr="001A5C2B">
        <w:t>Figure 4.1 CFA Model</w:t>
      </w:r>
      <w:r>
        <w:t xml:space="preserve"> Measurement Model</w:t>
      </w:r>
      <w:r>
        <w:tab/>
        <w:t>88</w:t>
      </w:r>
    </w:p>
    <w:p w:rsidR="00244DD4" w:rsidRPr="001A5C2B" w:rsidRDefault="00244DD4" w:rsidP="00244DD4">
      <w:pPr>
        <w:pStyle w:val="NoSpacing"/>
        <w:tabs>
          <w:tab w:val="left" w:leader="dot" w:pos="8280"/>
        </w:tabs>
      </w:pPr>
      <w:r>
        <w:t>Figure 4.2</w:t>
      </w:r>
      <w:r w:rsidRPr="001A5C2B">
        <w:t xml:space="preserve"> </w:t>
      </w:r>
      <w:r>
        <w:t xml:space="preserve">Structural </w:t>
      </w:r>
      <w:r w:rsidRPr="001A5C2B">
        <w:t>Model</w:t>
      </w:r>
      <w:r>
        <w:t xml:space="preserve"> Tested</w:t>
      </w:r>
      <w:r>
        <w:tab/>
        <w:t>98</w:t>
      </w:r>
    </w:p>
    <w:p w:rsidR="00244DD4" w:rsidRPr="001A5C2B" w:rsidRDefault="00244DD4" w:rsidP="00244DD4">
      <w:pPr>
        <w:pStyle w:val="NoSpacing"/>
        <w:tabs>
          <w:tab w:val="left" w:leader="dot" w:pos="8280"/>
        </w:tabs>
      </w:pPr>
      <w:r>
        <w:t>Figure 4.2</w:t>
      </w:r>
      <w:r w:rsidRPr="001A5C2B">
        <w:t xml:space="preserve"> </w:t>
      </w:r>
      <w:r>
        <w:t xml:space="preserve">Alternate </w:t>
      </w:r>
      <w:r w:rsidRPr="001A5C2B">
        <w:t>Model</w:t>
      </w:r>
      <w:r>
        <w:t xml:space="preserve"> Tested</w:t>
      </w:r>
      <w:r>
        <w:tab/>
        <w:t>105</w:t>
      </w:r>
    </w:p>
    <w:p w:rsidR="00244DD4" w:rsidRPr="001A5C2B" w:rsidRDefault="00244DD4" w:rsidP="00244DD4">
      <w:pPr>
        <w:pStyle w:val="NoSpacing"/>
        <w:tabs>
          <w:tab w:val="left" w:leader="dot" w:pos="8280"/>
        </w:tabs>
      </w:pPr>
      <w:r>
        <w:t>Figure 5.1</w:t>
      </w:r>
      <w:r w:rsidRPr="001A5C2B">
        <w:t xml:space="preserve"> </w:t>
      </w:r>
      <w:r>
        <w:t xml:space="preserve">Main Test </w:t>
      </w:r>
      <w:r w:rsidRPr="001A5C2B">
        <w:t>Model</w:t>
      </w:r>
      <w:r>
        <w:t xml:space="preserve"> Results</w:t>
      </w:r>
      <w:r>
        <w:tab/>
        <w:t>113</w:t>
      </w:r>
    </w:p>
    <w:p w:rsidR="00244DD4" w:rsidRPr="001A5C2B" w:rsidRDefault="00244DD4" w:rsidP="00244DD4">
      <w:pPr>
        <w:pStyle w:val="NoSpacing"/>
        <w:tabs>
          <w:tab w:val="left" w:leader="dot" w:pos="8280"/>
        </w:tabs>
      </w:pPr>
      <w:r>
        <w:t>Figure 5.2</w:t>
      </w:r>
      <w:r w:rsidRPr="001A5C2B">
        <w:t xml:space="preserve"> </w:t>
      </w:r>
      <w:r>
        <w:t xml:space="preserve">Alternate </w:t>
      </w:r>
      <w:r w:rsidRPr="001A5C2B">
        <w:t>Model</w:t>
      </w:r>
      <w:r>
        <w:t xml:space="preserve"> Results</w:t>
      </w:r>
      <w:r>
        <w:tab/>
        <w:t>115</w:t>
      </w: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AF6A5D" w:rsidRDefault="00AF6A5D" w:rsidP="00AF6A5D">
      <w:pPr>
        <w:pStyle w:val="NoSpacing"/>
        <w:rPr>
          <w:b/>
          <w:sz w:val="26"/>
          <w:szCs w:val="26"/>
        </w:rPr>
      </w:pPr>
    </w:p>
    <w:p w:rsidR="009D6931" w:rsidRDefault="00AF6A5D" w:rsidP="009D6931">
      <w:pPr>
        <w:pStyle w:val="NoSpacing"/>
        <w:jc w:val="center"/>
        <w:rPr>
          <w:b/>
          <w:sz w:val="26"/>
          <w:szCs w:val="26"/>
        </w:rPr>
      </w:pPr>
      <w:r>
        <w:rPr>
          <w:b/>
          <w:sz w:val="26"/>
          <w:szCs w:val="26"/>
        </w:rPr>
        <w:br w:type="page"/>
      </w:r>
    </w:p>
    <w:p w:rsidR="00F40EFC" w:rsidRDefault="00F40EFC">
      <w:pPr>
        <w:spacing w:after="0" w:line="240" w:lineRule="auto"/>
        <w:rPr>
          <w:b/>
          <w:sz w:val="26"/>
          <w:szCs w:val="26"/>
        </w:rPr>
        <w:sectPr w:rsidR="00F40EFC" w:rsidSect="00F40EFC">
          <w:footerReference w:type="default" r:id="rId9"/>
          <w:pgSz w:w="12240" w:h="15840"/>
          <w:pgMar w:top="1440" w:right="1440" w:bottom="1440" w:left="1440" w:header="720" w:footer="630" w:gutter="0"/>
          <w:pgNumType w:fmt="lowerRoman" w:start="2"/>
          <w:cols w:space="720"/>
          <w:docGrid w:linePitch="360"/>
        </w:sectPr>
      </w:pPr>
    </w:p>
    <w:p w:rsidR="00BD3A38" w:rsidRPr="00E72F4F" w:rsidRDefault="00BD3A38" w:rsidP="00DB292C">
      <w:pPr>
        <w:spacing w:after="0" w:line="480" w:lineRule="auto"/>
        <w:jc w:val="center"/>
        <w:rPr>
          <w:b/>
        </w:rPr>
      </w:pPr>
      <w:bookmarkStart w:id="0" w:name="_CHAPTER_1_–"/>
      <w:bookmarkEnd w:id="0"/>
      <w:r w:rsidRPr="00E72F4F">
        <w:rPr>
          <w:b/>
        </w:rPr>
        <w:lastRenderedPageBreak/>
        <w:t>CHAPTER 1 – INTRODUCTION</w:t>
      </w:r>
    </w:p>
    <w:p w:rsidR="008D3B29" w:rsidRDefault="008D3B29" w:rsidP="00DB292C">
      <w:pPr>
        <w:spacing w:after="0" w:line="480" w:lineRule="auto"/>
      </w:pPr>
    </w:p>
    <w:p w:rsidR="00BD3A38" w:rsidRDefault="00BD3A38" w:rsidP="00DB292C">
      <w:pPr>
        <w:spacing w:after="0" w:line="480" w:lineRule="auto"/>
      </w:pPr>
      <w:r>
        <w:t>SUPPLY CHAIN MANAGEMENT</w:t>
      </w:r>
    </w:p>
    <w:p w:rsidR="00BD3A38" w:rsidRDefault="00BD3A38" w:rsidP="00DB292C">
      <w:pPr>
        <w:spacing w:after="0" w:line="480" w:lineRule="auto"/>
      </w:pPr>
      <w:r>
        <w:tab/>
        <w:t>Supply chain management (SCM) is a phenomenon that touches nearly all functional business areas (</w:t>
      </w:r>
      <w:proofErr w:type="spellStart"/>
      <w:r>
        <w:t>Mentzer</w:t>
      </w:r>
      <w:proofErr w:type="spellEnd"/>
      <w:r>
        <w:t xml:space="preserve"> et al. 2008).  Today there is no one commonly accepted view of the SCM. Some ambiguity still exists in terms of clearly defining the domain of SCM and </w:t>
      </w:r>
      <w:proofErr w:type="spellStart"/>
      <w:r>
        <w:t>it’s</w:t>
      </w:r>
      <w:proofErr w:type="spellEnd"/>
      <w:r>
        <w:t xml:space="preserve"> relationships with other disciplines (as evidenced by </w:t>
      </w:r>
      <w:proofErr w:type="spellStart"/>
      <w:r>
        <w:t>Mentzer</w:t>
      </w:r>
      <w:proofErr w:type="spellEnd"/>
      <w:r>
        <w:t xml:space="preserve"> et al. 2001, </w:t>
      </w:r>
      <w:proofErr w:type="spellStart"/>
      <w:r>
        <w:t>Mentzer</w:t>
      </w:r>
      <w:proofErr w:type="spellEnd"/>
      <w:r>
        <w:t xml:space="preserve"> 2001, 2004; </w:t>
      </w:r>
      <w:proofErr w:type="spellStart"/>
      <w:r>
        <w:t>Mentzer</w:t>
      </w:r>
      <w:proofErr w:type="spellEnd"/>
      <w:r>
        <w:t xml:space="preserve"> et al. 2008; Cooper et al. 1997; Gibson et al. 2005; Frankel et al. 2008).</w:t>
      </w:r>
      <w:r w:rsidRPr="006952B4">
        <w:t xml:space="preserve"> </w:t>
      </w:r>
      <w:r>
        <w:t>According to the official Council of Supply Chain Management Professionals (CSCMP) definition (cf. Frankel et al. 2008):</w:t>
      </w:r>
    </w:p>
    <w:p w:rsidR="00BD3A38" w:rsidRDefault="00BD3A38" w:rsidP="00BD3A38">
      <w:pPr>
        <w:ind w:left="720"/>
      </w:pPr>
      <w:r>
        <w:t>“</w:t>
      </w:r>
      <w:r w:rsidRPr="00020AD1">
        <w:rPr>
          <w:i/>
        </w:rPr>
        <w:t>Supply Chain Management encompasses the planning and management of all activities involved in sourcing and procurement, conversion, and all logistics management activities. Importantly, it also includes coordination and collaboration with channel partners, which can be suppliers, intermediaries, third-party service providers, and customers. In essence, supply chain management integrates supply and demand management within and across companies</w:t>
      </w:r>
      <w:r>
        <w:t xml:space="preserve">.”  </w:t>
      </w:r>
    </w:p>
    <w:p w:rsidR="001B6825" w:rsidRDefault="001B6825" w:rsidP="001B6825">
      <w:pPr>
        <w:spacing w:after="0" w:line="480" w:lineRule="auto"/>
      </w:pPr>
    </w:p>
    <w:p w:rsidR="00BD3A38" w:rsidRDefault="00BD3A38" w:rsidP="00DB292C">
      <w:pPr>
        <w:spacing w:after="0" w:line="480" w:lineRule="auto"/>
      </w:pPr>
      <w:r>
        <w:tab/>
        <w:t>Naturally, planning and execution of multiple management activities, such as sourcing and procurement or logistics management, is a challenging task that requires efficient and effective coordination of physical, relational, informational, and financial flows that cross organizational boundaries (</w:t>
      </w:r>
      <w:proofErr w:type="spellStart"/>
      <w:r>
        <w:t>Mentzer</w:t>
      </w:r>
      <w:proofErr w:type="spellEnd"/>
      <w:r>
        <w:t xml:space="preserve"> et al. 2008). There are inherent risks and vulnerabilities associated with each of the business processes. These risks make the task of coordination even more challenging, therefore proactive studying and managing such risks and the ways to address them becomes increasingly important, opening and reinforcing a new venue of business research. </w:t>
      </w:r>
    </w:p>
    <w:p w:rsidR="00247411" w:rsidRDefault="00247411" w:rsidP="00DB292C">
      <w:pPr>
        <w:spacing w:after="0" w:line="480" w:lineRule="auto"/>
      </w:pPr>
    </w:p>
    <w:p w:rsidR="00247411" w:rsidRDefault="00247411" w:rsidP="00DB292C">
      <w:pPr>
        <w:spacing w:after="0" w:line="480" w:lineRule="auto"/>
      </w:pPr>
    </w:p>
    <w:p w:rsidR="00BD3A38" w:rsidRDefault="00BD3A38" w:rsidP="00DB292C">
      <w:pPr>
        <w:spacing w:after="0" w:line="480" w:lineRule="auto"/>
      </w:pPr>
      <w:r>
        <w:t>SUPPLY CHAIN RISKS AND VULNERABILITIES</w:t>
      </w:r>
    </w:p>
    <w:p w:rsidR="00BD3A38" w:rsidRPr="00DB43D5" w:rsidRDefault="00BD3A38" w:rsidP="00DB43D5">
      <w:pPr>
        <w:spacing w:after="0" w:line="480" w:lineRule="auto"/>
        <w:ind w:firstLine="720"/>
      </w:pPr>
      <w:r>
        <w:t>Every firm’s supply chain is to some degree vulnerable and affected by a diverse set of risks (</w:t>
      </w:r>
      <w:proofErr w:type="spellStart"/>
      <w:r>
        <w:t>Knemeyer</w:t>
      </w:r>
      <w:proofErr w:type="spellEnd"/>
      <w:r>
        <w:t xml:space="preserve"> et al. 2009). Risks to the supply chain consist of anything that might interrupt the smooth flow of materials. </w:t>
      </w:r>
      <w:r w:rsidRPr="00676061">
        <w:t>Supply chain risk has been defined as any risk to the information, material and product flow from original suppliers to the delivery of the f</w:t>
      </w:r>
      <w:r>
        <w:t>inal product (Christopher et al.</w:t>
      </w:r>
      <w:r w:rsidRPr="00676061">
        <w:t xml:space="preserve"> 2003).</w:t>
      </w:r>
      <w:r>
        <w:t xml:space="preserve"> Many </w:t>
      </w:r>
      <w:r>
        <w:rPr>
          <w:bCs/>
        </w:rPr>
        <w:t xml:space="preserve">recent research publications deal with classifying all the supply chain risks, threats and disruptions defined as manifestations of risks. For example, </w:t>
      </w:r>
      <w:proofErr w:type="spellStart"/>
      <w:r>
        <w:rPr>
          <w:bCs/>
        </w:rPr>
        <w:t>Manuj</w:t>
      </w:r>
      <w:proofErr w:type="spellEnd"/>
      <w:r>
        <w:rPr>
          <w:bCs/>
        </w:rPr>
        <w:t xml:space="preserve"> and </w:t>
      </w:r>
      <w:proofErr w:type="spellStart"/>
      <w:r>
        <w:rPr>
          <w:bCs/>
        </w:rPr>
        <w:t>Mentzer</w:t>
      </w:r>
      <w:proofErr w:type="spellEnd"/>
      <w:r>
        <w:rPr>
          <w:bCs/>
        </w:rPr>
        <w:t xml:space="preserve"> (2007) classified risks into four categories: supply, operational, demand, and security risks. </w:t>
      </w:r>
      <w:proofErr w:type="spellStart"/>
      <w:r>
        <w:rPr>
          <w:bCs/>
        </w:rPr>
        <w:t>Zsidisin</w:t>
      </w:r>
      <w:proofErr w:type="spellEnd"/>
      <w:r>
        <w:rPr>
          <w:bCs/>
        </w:rPr>
        <w:t xml:space="preserve"> (2004) offered an analysis of supply risk</w:t>
      </w:r>
      <w:r w:rsidR="00DB43D5">
        <w:rPr>
          <w:bCs/>
        </w:rPr>
        <w:t xml:space="preserve"> assessment techniques and linked</w:t>
      </w:r>
      <w:r>
        <w:rPr>
          <w:bCs/>
        </w:rPr>
        <w:t xml:space="preserve"> risk assessment to agency theory.  </w:t>
      </w:r>
    </w:p>
    <w:p w:rsidR="00BD3A38" w:rsidRDefault="00BD3A38" w:rsidP="00DB292C">
      <w:pPr>
        <w:spacing w:after="0" w:line="480" w:lineRule="auto"/>
        <w:ind w:firstLine="720"/>
        <w:rPr>
          <w:bCs/>
        </w:rPr>
      </w:pPr>
      <w:r>
        <w:rPr>
          <w:bCs/>
        </w:rPr>
        <w:t xml:space="preserve">In general, two basic approaches to analyzing supply chain risk could be found in the literature. The first approach is purely qualitative, dealing with such categories as nature of the risk, qualitative view of possible consequences in terms of potential losses or gains, currently employed methods of risk management, and suggestions for improvement to risk management and new policies. It is presented mainly by descriptive case studies reviewed later in this paper.  Such detailed views could be useful for describing the nature of risks and understanding related effects and consequences. They could serve as a good basis for discussion, but are limited in terms of not providing any empirical measures.  </w:t>
      </w:r>
    </w:p>
    <w:p w:rsidR="00BD3A38" w:rsidRDefault="00BD3A38" w:rsidP="00DB292C">
      <w:pPr>
        <w:spacing w:after="0" w:line="480" w:lineRule="auto"/>
        <w:ind w:firstLine="720"/>
        <w:rPr>
          <w:bCs/>
        </w:rPr>
      </w:pPr>
      <w:r>
        <w:rPr>
          <w:bCs/>
        </w:rPr>
        <w:t xml:space="preserve">Qualitative supply chain risk research could be supplemented by quantitative approaches to analysis that are based on more specific empirical measures and calculation of expected values. While the specific studies vary, two factors are usually taken into account to assess risks empirically: (1) the likelihood of occurrence of the risky event; (2) the consequences in case of </w:t>
      </w:r>
      <w:r>
        <w:rPr>
          <w:bCs/>
        </w:rPr>
        <w:lastRenderedPageBreak/>
        <w:t>event occurrence. Multiplication of these two factors results in expected value that could be used in ranking various risks (</w:t>
      </w:r>
      <w:proofErr w:type="spellStart"/>
      <w:r>
        <w:rPr>
          <w:bCs/>
        </w:rPr>
        <w:t>Manuj</w:t>
      </w:r>
      <w:proofErr w:type="spellEnd"/>
      <w:r>
        <w:rPr>
          <w:bCs/>
        </w:rPr>
        <w:t xml:space="preserve"> and </w:t>
      </w:r>
      <w:proofErr w:type="spellStart"/>
      <w:r>
        <w:rPr>
          <w:bCs/>
        </w:rPr>
        <w:t>Mentzer</w:t>
      </w:r>
      <w:proofErr w:type="spellEnd"/>
      <w:r>
        <w:rPr>
          <w:bCs/>
        </w:rPr>
        <w:t xml:space="preserve"> 2008). This approach also has its weaknesses. For example, according to </w:t>
      </w:r>
      <w:proofErr w:type="spellStart"/>
      <w:r>
        <w:rPr>
          <w:bCs/>
        </w:rPr>
        <w:t>Kunreuther</w:t>
      </w:r>
      <w:proofErr w:type="spellEnd"/>
      <w:r>
        <w:rPr>
          <w:bCs/>
        </w:rPr>
        <w:t xml:space="preserve"> (2006), inability to adequately characterize low-probability high-consequence events is the greatest weakness of risk management. Also, the traditional risk management approach often fails to respond adequately to unforeseeable events (Pettit et al. 2010). Similarly, Mitchell (1995) suggests risks contain different types of losses, and any particular type could be calculated by multiplying the probability of that loss by its significance. </w:t>
      </w:r>
      <w:r>
        <w:t>Other authors explore the connection between vulnerabilities and risks. Until the last decade</w:t>
      </w:r>
      <w:r w:rsidRPr="005432F7">
        <w:t>, the concept of vulnerability ha</w:t>
      </w:r>
      <w:r>
        <w:t>d</w:t>
      </w:r>
      <w:r w:rsidRPr="005432F7">
        <w:t xml:space="preserve"> been relatively unexplored (</w:t>
      </w:r>
      <w:proofErr w:type="spellStart"/>
      <w:r w:rsidRPr="005432F7">
        <w:t>Svensson</w:t>
      </w:r>
      <w:proofErr w:type="spellEnd"/>
      <w:r w:rsidRPr="005432F7">
        <w:t xml:space="preserve"> 2000). </w:t>
      </w:r>
      <w:r>
        <w:t xml:space="preserve"> </w:t>
      </w:r>
      <w:proofErr w:type="spellStart"/>
      <w:r w:rsidRPr="005432F7">
        <w:t>Svens</w:t>
      </w:r>
      <w:r>
        <w:t>son</w:t>
      </w:r>
      <w:proofErr w:type="spellEnd"/>
      <w:r>
        <w:t xml:space="preserve"> (2002) defines </w:t>
      </w:r>
      <w:r w:rsidRPr="005432F7">
        <w:t>vulnerability as unexpected deviations from the norm and their negative consequences</w:t>
      </w:r>
      <w:r>
        <w:t xml:space="preserve"> and proposes the model that links the sources of vulnerabilities and risks.</w:t>
      </w:r>
      <w:r w:rsidRPr="00876F01">
        <w:rPr>
          <w:bCs/>
        </w:rPr>
        <w:t xml:space="preserve"> </w:t>
      </w:r>
      <w:proofErr w:type="spellStart"/>
      <w:r>
        <w:rPr>
          <w:bCs/>
        </w:rPr>
        <w:t>Sheffi</w:t>
      </w:r>
      <w:proofErr w:type="spellEnd"/>
      <w:r>
        <w:rPr>
          <w:bCs/>
        </w:rPr>
        <w:t xml:space="preserve"> and Rice (2005) extend this approach by assessing vulnerabilities and disruptions, and proposing a supply chain view of a resilient enterprise. Although, understanding and classifying supply chain-related risks and vulnerabilities is extremely important for supply chain scholars and business practitioners, it is just a first step in the process of supply chain risk management. </w:t>
      </w:r>
    </w:p>
    <w:p w:rsidR="00247411" w:rsidRDefault="00247411" w:rsidP="00DB292C">
      <w:pPr>
        <w:spacing w:after="0" w:line="480" w:lineRule="auto"/>
      </w:pPr>
    </w:p>
    <w:p w:rsidR="00BD3A38" w:rsidRDefault="00BD3A38" w:rsidP="00DB292C">
      <w:pPr>
        <w:spacing w:after="0" w:line="480" w:lineRule="auto"/>
      </w:pPr>
      <w:r>
        <w:t>SUPPLY CHAIN RISK MANAGEMENT</w:t>
      </w:r>
    </w:p>
    <w:p w:rsidR="00BD3A38" w:rsidRDefault="00BD3A38" w:rsidP="00DB292C">
      <w:pPr>
        <w:spacing w:after="0" w:line="480" w:lineRule="auto"/>
        <w:ind w:firstLine="720"/>
      </w:pPr>
      <w:r>
        <w:t>S</w:t>
      </w:r>
      <w:r w:rsidRPr="0014311E">
        <w:t>u</w:t>
      </w:r>
      <w:r>
        <w:t>pply chain risk management</w:t>
      </w:r>
      <w:r w:rsidRPr="0014311E">
        <w:t xml:space="preserve"> i</w:t>
      </w:r>
      <w:r>
        <w:t xml:space="preserve">s an emerging area of supply chain research that is being developed </w:t>
      </w:r>
      <w:r w:rsidRPr="0014311E">
        <w:t>at the intersection of supply chain management and risk management (Christophe</w:t>
      </w:r>
      <w:r>
        <w:t xml:space="preserve">r and Lee 2004; </w:t>
      </w:r>
      <w:proofErr w:type="spellStart"/>
      <w:r>
        <w:t>Jüttner</w:t>
      </w:r>
      <w:proofErr w:type="spellEnd"/>
      <w:r>
        <w:t xml:space="preserve"> 2005). </w:t>
      </w:r>
      <w:r w:rsidRPr="0014311E">
        <w:t xml:space="preserve">A number of major trends have contributed to the increased importance of supply chain risk management during the last decade.  Among them are </w:t>
      </w:r>
      <w:r>
        <w:t xml:space="preserve">globalization, outsourcing, </w:t>
      </w:r>
      <w:r w:rsidRPr="0014311E">
        <w:t xml:space="preserve">transition to lean operations, </w:t>
      </w:r>
      <w:r>
        <w:t xml:space="preserve">and </w:t>
      </w:r>
      <w:r w:rsidRPr="0014311E">
        <w:t>infrastructure</w:t>
      </w:r>
      <w:r>
        <w:t>-related</w:t>
      </w:r>
      <w:r w:rsidRPr="0014311E">
        <w:t xml:space="preserve"> issues</w:t>
      </w:r>
      <w:r>
        <w:t xml:space="preserve"> (</w:t>
      </w:r>
      <w:proofErr w:type="spellStart"/>
      <w:r>
        <w:t>Manuj</w:t>
      </w:r>
      <w:proofErr w:type="spellEnd"/>
      <w:r>
        <w:t xml:space="preserve"> and </w:t>
      </w:r>
      <w:proofErr w:type="spellStart"/>
      <w:r>
        <w:t>Mentzer</w:t>
      </w:r>
      <w:proofErr w:type="spellEnd"/>
      <w:r>
        <w:t>, 2008)</w:t>
      </w:r>
      <w:r w:rsidRPr="0014311E">
        <w:t xml:space="preserve">.  Supply chain and logistics managers face a number </w:t>
      </w:r>
      <w:r>
        <w:t xml:space="preserve">of challenges </w:t>
      </w:r>
      <w:r w:rsidRPr="0014311E">
        <w:t xml:space="preserve">on a daily </w:t>
      </w:r>
      <w:r w:rsidRPr="0014311E">
        <w:lastRenderedPageBreak/>
        <w:t>basis as they deal with uncertainties in demand and supply, shorter product life cycles, and changing customer requirements.  Nevertheless,</w:t>
      </w:r>
      <w:r>
        <w:t xml:space="preserve"> an</w:t>
      </w:r>
      <w:r w:rsidRPr="0014311E">
        <w:t xml:space="preserve"> element of risk and its structural complexity</w:t>
      </w:r>
      <w:r>
        <w:t xml:space="preserve"> is often undervalued or not taken seriously (</w:t>
      </w:r>
      <w:proofErr w:type="spellStart"/>
      <w:r>
        <w:t>Jüttner</w:t>
      </w:r>
      <w:proofErr w:type="spellEnd"/>
      <w:r>
        <w:t xml:space="preserve"> 2005).  W</w:t>
      </w:r>
      <w:r w:rsidRPr="0014311E">
        <w:t>hen crises in a supply chain occur, managers tend to handle</w:t>
      </w:r>
      <w:r>
        <w:t xml:space="preserve"> them as one-</w:t>
      </w:r>
      <w:r w:rsidRPr="0014311E">
        <w:t>time events (Levy 1995). As a result, only between 5% and 25% of Fortune 500 companies are prepared to handle supply chain disruptions due to risk situations (</w:t>
      </w:r>
      <w:proofErr w:type="spellStart"/>
      <w:r w:rsidRPr="0014311E">
        <w:t>Mitroff</w:t>
      </w:r>
      <w:proofErr w:type="spellEnd"/>
      <w:r w:rsidRPr="0014311E">
        <w:t xml:space="preserve"> and </w:t>
      </w:r>
      <w:proofErr w:type="spellStart"/>
      <w:r w:rsidRPr="0014311E">
        <w:t>Alpasan</w:t>
      </w:r>
      <w:proofErr w:type="spellEnd"/>
      <w:r w:rsidRPr="0014311E">
        <w:t xml:space="preserve"> 2003).  </w:t>
      </w:r>
      <w:r w:rsidRPr="00564091">
        <w:t>The importance of effectively managing supply chain disruptions on a continuous basis</w:t>
      </w:r>
      <w:r w:rsidRPr="0014311E">
        <w:t xml:space="preserve"> as well as the lack of preparedness of most companies has drawn some attention in both academia and industry (Wu et.al. 2007). </w:t>
      </w:r>
    </w:p>
    <w:p w:rsidR="00BD3A38" w:rsidRDefault="00BD3A38" w:rsidP="00DB292C">
      <w:pPr>
        <w:spacing w:after="0" w:line="480" w:lineRule="auto"/>
        <w:ind w:firstLine="720"/>
        <w:rPr>
          <w:bCs/>
        </w:rPr>
      </w:pPr>
      <w:r w:rsidRPr="00676061">
        <w:rPr>
          <w:bCs/>
        </w:rPr>
        <w:t xml:space="preserve">Today there is no generally agreed </w:t>
      </w:r>
      <w:r>
        <w:rPr>
          <w:bCs/>
        </w:rPr>
        <w:t xml:space="preserve">upon </w:t>
      </w:r>
      <w:r w:rsidRPr="00676061">
        <w:rPr>
          <w:bCs/>
        </w:rPr>
        <w:t>definition of supply chain risk management. One definition suggested by Norma</w:t>
      </w:r>
      <w:r>
        <w:rPr>
          <w:bCs/>
        </w:rPr>
        <w:t xml:space="preserve">n and </w:t>
      </w:r>
      <w:proofErr w:type="spellStart"/>
      <w:r>
        <w:rPr>
          <w:bCs/>
        </w:rPr>
        <w:t>Lindroth</w:t>
      </w:r>
      <w:proofErr w:type="spellEnd"/>
      <w:r>
        <w:rPr>
          <w:bCs/>
        </w:rPr>
        <w:t xml:space="preserve"> (2002, p.7) is: </w:t>
      </w:r>
    </w:p>
    <w:p w:rsidR="00BD3A38" w:rsidRDefault="00BD3A38" w:rsidP="00BD3A38">
      <w:pPr>
        <w:autoSpaceDE w:val="0"/>
        <w:autoSpaceDN w:val="0"/>
        <w:adjustRightInd w:val="0"/>
        <w:ind w:left="720"/>
        <w:rPr>
          <w:bCs/>
        </w:rPr>
      </w:pPr>
      <w:r>
        <w:rPr>
          <w:bCs/>
        </w:rPr>
        <w:t xml:space="preserve"> “</w:t>
      </w:r>
      <w:r w:rsidRPr="0063158B">
        <w:rPr>
          <w:bCs/>
          <w:i/>
        </w:rPr>
        <w:t>Supply chain risk management is applying risk management process tools collaboratively with supply chain partners to deal with risks and uncertainties caused by, or impacting on, logistics related activities or resources</w:t>
      </w:r>
      <w:r>
        <w:rPr>
          <w:bCs/>
        </w:rPr>
        <w:t>”</w:t>
      </w:r>
      <w:r w:rsidRPr="00676061">
        <w:rPr>
          <w:bCs/>
        </w:rPr>
        <w:t xml:space="preserve">.  </w:t>
      </w:r>
    </w:p>
    <w:p w:rsidR="00BD3A38" w:rsidRDefault="00BD3A38" w:rsidP="00DB292C">
      <w:pPr>
        <w:autoSpaceDE w:val="0"/>
        <w:autoSpaceDN w:val="0"/>
        <w:adjustRightInd w:val="0"/>
        <w:spacing w:after="0" w:line="480" w:lineRule="auto"/>
        <w:ind w:firstLine="720"/>
        <w:rPr>
          <w:i/>
        </w:rPr>
      </w:pPr>
      <w:r w:rsidRPr="00676061">
        <w:rPr>
          <w:bCs/>
        </w:rPr>
        <w:t xml:space="preserve">While this definition is not very precise it brings some important aspects, such as collaboration, </w:t>
      </w:r>
      <w:r>
        <w:rPr>
          <w:bCs/>
        </w:rPr>
        <w:t xml:space="preserve">a </w:t>
      </w:r>
      <w:r w:rsidRPr="00676061">
        <w:rPr>
          <w:bCs/>
        </w:rPr>
        <w:t xml:space="preserve">process-based view and </w:t>
      </w:r>
      <w:r>
        <w:rPr>
          <w:bCs/>
        </w:rPr>
        <w:t xml:space="preserve">the </w:t>
      </w:r>
      <w:r w:rsidRPr="00676061">
        <w:rPr>
          <w:bCs/>
        </w:rPr>
        <w:t>importance of logistics element</w:t>
      </w:r>
      <w:r>
        <w:rPr>
          <w:bCs/>
        </w:rPr>
        <w:t>s into the domain</w:t>
      </w:r>
      <w:r w:rsidRPr="00676061">
        <w:rPr>
          <w:bCs/>
        </w:rPr>
        <w:t xml:space="preserve"> of supply chain risk management.</w:t>
      </w:r>
      <w:r w:rsidRPr="00676061">
        <w:t xml:space="preserve"> </w:t>
      </w:r>
      <w:r>
        <w:t xml:space="preserve">A more widely accepted definition proposed by </w:t>
      </w:r>
      <w:proofErr w:type="spellStart"/>
      <w:r>
        <w:t>Jüttner</w:t>
      </w:r>
      <w:proofErr w:type="spellEnd"/>
      <w:r>
        <w:t>, Peck and Christopher (2003),</w:t>
      </w:r>
      <w:r w:rsidRPr="00953ECB">
        <w:t xml:space="preserve"> </w:t>
      </w:r>
      <w:r>
        <w:t>and subsequently used by</w:t>
      </w:r>
      <w:r w:rsidRPr="00A44718">
        <w:t xml:space="preserve"> </w:t>
      </w:r>
      <w:proofErr w:type="spellStart"/>
      <w:r>
        <w:t>Manuj</w:t>
      </w:r>
      <w:proofErr w:type="spellEnd"/>
      <w:r>
        <w:t xml:space="preserve"> and </w:t>
      </w:r>
      <w:proofErr w:type="spellStart"/>
      <w:r>
        <w:t>Mentzer</w:t>
      </w:r>
      <w:proofErr w:type="spellEnd"/>
      <w:r>
        <w:t xml:space="preserve"> (2008), provides greater specification: </w:t>
      </w:r>
    </w:p>
    <w:p w:rsidR="00BD3A38" w:rsidRDefault="00BD3A38" w:rsidP="00BD3A38">
      <w:pPr>
        <w:autoSpaceDE w:val="0"/>
        <w:autoSpaceDN w:val="0"/>
        <w:adjustRightInd w:val="0"/>
        <w:ind w:left="720"/>
      </w:pPr>
      <w:r w:rsidRPr="00A73F5E">
        <w:rPr>
          <w:i/>
        </w:rPr>
        <w:t>“</w:t>
      </w:r>
      <w:r>
        <w:rPr>
          <w:i/>
        </w:rPr>
        <w:t xml:space="preserve">… [supply chain risk management is] </w:t>
      </w:r>
      <w:r w:rsidRPr="00A73F5E">
        <w:rPr>
          <w:i/>
        </w:rPr>
        <w:t>the identification</w:t>
      </w:r>
      <w:r w:rsidRPr="00953ECB">
        <w:rPr>
          <w:i/>
        </w:rPr>
        <w:t xml:space="preserve"> of potential sources of risk and implementation of appropriate strategies through a coordinated approach among supply chain members, to reduce supply chain vulnerability.”</w:t>
      </w:r>
      <w:r>
        <w:t xml:space="preserve"> </w:t>
      </w:r>
    </w:p>
    <w:p w:rsidR="00BD3A38" w:rsidRDefault="00BD3A38" w:rsidP="00BD3A38">
      <w:pPr>
        <w:autoSpaceDE w:val="0"/>
        <w:autoSpaceDN w:val="0"/>
        <w:adjustRightInd w:val="0"/>
        <w:ind w:left="720"/>
      </w:pPr>
    </w:p>
    <w:p w:rsidR="00BD3A38" w:rsidRDefault="00BD3A38" w:rsidP="00DB292C">
      <w:pPr>
        <w:spacing w:after="0" w:line="480" w:lineRule="auto"/>
        <w:ind w:firstLine="720"/>
      </w:pPr>
      <w:r>
        <w:t xml:space="preserve">Subsequently, </w:t>
      </w:r>
      <w:proofErr w:type="spellStart"/>
      <w:r>
        <w:rPr>
          <w:bCs/>
        </w:rPr>
        <w:t>Manuj</w:t>
      </w:r>
      <w:proofErr w:type="spellEnd"/>
      <w:r>
        <w:rPr>
          <w:bCs/>
        </w:rPr>
        <w:t xml:space="preserve"> and </w:t>
      </w:r>
      <w:proofErr w:type="spellStart"/>
      <w:r>
        <w:rPr>
          <w:bCs/>
        </w:rPr>
        <w:t>Mentzer</w:t>
      </w:r>
      <w:proofErr w:type="spellEnd"/>
      <w:r>
        <w:rPr>
          <w:bCs/>
        </w:rPr>
        <w:t xml:space="preserve"> (2008) summarized the existing literature from supply chain and related disciplines to suggest a five-step model for global supply chain risk management. Those five steps included risk identification, risk assessment and evaluation, </w:t>
      </w:r>
      <w:r>
        <w:rPr>
          <w:bCs/>
        </w:rPr>
        <w:lastRenderedPageBreak/>
        <w:t xml:space="preserve">selection of appropriate risk management strategies, strategy implementation, and mitigation of supply chain risks. </w:t>
      </w:r>
    </w:p>
    <w:p w:rsidR="00BD3A38" w:rsidRPr="00263D99" w:rsidRDefault="00BD3A38" w:rsidP="00DB292C">
      <w:pPr>
        <w:spacing w:after="0" w:line="480" w:lineRule="auto"/>
        <w:ind w:firstLine="720"/>
        <w:rPr>
          <w:bCs/>
        </w:rPr>
      </w:pPr>
      <w:r>
        <w:rPr>
          <w:bCs/>
        </w:rPr>
        <w:t xml:space="preserve">After reviewing a few hundred unique articles on supply chain and risk management, </w:t>
      </w:r>
      <w:proofErr w:type="spellStart"/>
      <w:r>
        <w:rPr>
          <w:bCs/>
        </w:rPr>
        <w:t>Paulsson</w:t>
      </w:r>
      <w:proofErr w:type="spellEnd"/>
      <w:r>
        <w:rPr>
          <w:bCs/>
        </w:rPr>
        <w:t xml:space="preserve"> (2004) concluded that the area of supply chain risk management has many sub-elements that have one thing in common: managing flow-related risks in the supply chain. Richie and </w:t>
      </w:r>
      <w:proofErr w:type="spellStart"/>
      <w:r>
        <w:rPr>
          <w:bCs/>
        </w:rPr>
        <w:t>Brindley</w:t>
      </w:r>
      <w:proofErr w:type="spellEnd"/>
      <w:r>
        <w:rPr>
          <w:bCs/>
        </w:rPr>
        <w:t xml:space="preserve"> (2004) add that there are many differing definitions of risk, supply chains and risk management. Examining existing research in more detail, however, demonstrates that the differences are primarily marginal and are simply based on different perspectives taken. These differences, in fact, contribute to the richness and depth of the research, which helps to establish risk management in supply chains as a valid and valuable emerging field of study. </w:t>
      </w:r>
    </w:p>
    <w:p w:rsidR="00BD3A38" w:rsidRDefault="00BD3A38" w:rsidP="00DB292C">
      <w:pPr>
        <w:spacing w:after="0" w:line="480" w:lineRule="auto"/>
        <w:ind w:firstLine="720"/>
      </w:pPr>
      <w:r>
        <w:t>In order to effectively manage supply chain risks and vulnerabilities, there is a need to go beyond risk classification.  While risk identification and assessment are very important first steps, many authors go further to propose and analyze appropriate mitigation strategies (</w:t>
      </w:r>
      <w:proofErr w:type="spellStart"/>
      <w:r>
        <w:t>Manuj</w:t>
      </w:r>
      <w:proofErr w:type="spellEnd"/>
      <w:r>
        <w:t xml:space="preserve"> and </w:t>
      </w:r>
      <w:proofErr w:type="spellStart"/>
      <w:r>
        <w:t>Mentzer</w:t>
      </w:r>
      <w:proofErr w:type="spellEnd"/>
      <w:r>
        <w:t xml:space="preserve"> 2008, </w:t>
      </w:r>
      <w:proofErr w:type="spellStart"/>
      <w:r>
        <w:t>Svensson</w:t>
      </w:r>
      <w:proofErr w:type="spellEnd"/>
      <w:r>
        <w:t xml:space="preserve"> 2000, Milliken 1987, </w:t>
      </w:r>
      <w:proofErr w:type="spellStart"/>
      <w:r>
        <w:t>Kogut</w:t>
      </w:r>
      <w:proofErr w:type="spellEnd"/>
      <w:r>
        <w:t xml:space="preserve"> 2005). </w:t>
      </w:r>
      <w:proofErr w:type="spellStart"/>
      <w:r>
        <w:t>Knemeyer</w:t>
      </w:r>
      <w:proofErr w:type="spellEnd"/>
      <w:r>
        <w:t xml:space="preserve"> et al. (2009), for example, describe a proactive process for effectively planning for catastrophic supply chain events.  Risk mitigation focuses on reducing the consequences of risk manifestations (</w:t>
      </w:r>
      <w:proofErr w:type="spellStart"/>
      <w:r>
        <w:t>Norrman</w:t>
      </w:r>
      <w:proofErr w:type="spellEnd"/>
      <w:r>
        <w:t xml:space="preserve"> and </w:t>
      </w:r>
      <w:proofErr w:type="spellStart"/>
      <w:r>
        <w:t>Jansson</w:t>
      </w:r>
      <w:proofErr w:type="spellEnd"/>
      <w:r>
        <w:t xml:space="preserve"> 2004) through developing risk management strategies (</w:t>
      </w:r>
      <w:proofErr w:type="spellStart"/>
      <w:r>
        <w:t>Manuj</w:t>
      </w:r>
      <w:proofErr w:type="spellEnd"/>
      <w:r>
        <w:t xml:space="preserve"> and </w:t>
      </w:r>
      <w:proofErr w:type="spellStart"/>
      <w:r>
        <w:t>Mentzer</w:t>
      </w:r>
      <w:proofErr w:type="spellEnd"/>
      <w:r>
        <w:t xml:space="preserve"> 2008). Seven main categories of risk mitigation strategies could be derived from the literature. These categories include: postponement, avoidance, hedging, control, sharing/transferring, and security (</w:t>
      </w:r>
      <w:proofErr w:type="spellStart"/>
      <w:r>
        <w:t>Juttner</w:t>
      </w:r>
      <w:proofErr w:type="spellEnd"/>
      <w:r>
        <w:t xml:space="preserve"> et al. 2003, Miller 1992, </w:t>
      </w:r>
      <w:proofErr w:type="spellStart"/>
      <w:r>
        <w:t>Manuj</w:t>
      </w:r>
      <w:proofErr w:type="spellEnd"/>
      <w:r>
        <w:t xml:space="preserve"> and </w:t>
      </w:r>
      <w:proofErr w:type="spellStart"/>
      <w:r>
        <w:t>Mentzer</w:t>
      </w:r>
      <w:proofErr w:type="spellEnd"/>
      <w:r>
        <w:t xml:space="preserve"> 2008). </w:t>
      </w:r>
      <w:proofErr w:type="spellStart"/>
      <w:r>
        <w:t>Braunscheidel</w:t>
      </w:r>
      <w:proofErr w:type="spellEnd"/>
      <w:r>
        <w:t xml:space="preserve"> and Suresh (2009) additionally link supply chain agility to risk mitigation strategies. Similarly, Tomlin (2006) investigates the role of flexibility in the selection of countermeasures to mitigate risks by modeling the relationship of the firm with two suppliers: one reliable and one unreliable. The </w:t>
      </w:r>
      <w:r>
        <w:lastRenderedPageBreak/>
        <w:t xml:space="preserve">output of this model is based on the frequency and duration of disruptions, the firm’s level of risk aversion and supplier slack capacity. </w:t>
      </w:r>
      <w:proofErr w:type="spellStart"/>
      <w:r>
        <w:t>Sheffi</w:t>
      </w:r>
      <w:proofErr w:type="spellEnd"/>
      <w:r>
        <w:t xml:space="preserve"> and Rice (2005) investigate five aspects of flexibility and emphasize the role of developing a corporate culture that enables a firm to respond to disruptions quickly and effectively. </w:t>
      </w:r>
    </w:p>
    <w:p w:rsidR="00BD3A38" w:rsidRDefault="00BD3A38" w:rsidP="00DB292C">
      <w:pPr>
        <w:spacing w:after="0" w:line="480" w:lineRule="auto"/>
      </w:pPr>
      <w:r>
        <w:tab/>
        <w:t xml:space="preserve">There is little empirical evidence to judge the effectiveness of risk mitigation strategies used in dealing with supply chain disruptions. Much of the justification is based on case studies and analytical models. As one of the few notable exceptions, Hendricks et al. (1999) analyzed the stock market reaction to supply chain disruptions based on a sample of 307 supply chain disruptions announced by publicly traded firms during 1987-1998. They further investigated whether operational slack, business and geographic diversification, and vertical relatedness influence the stock market reaction to supply chain disruptions. Additional studies analyze the tradeoffs between the costs of risk mitigation investments, including the costs of management systems, and the expected costs of potential disruptions. Such an approach is emphasized for example by </w:t>
      </w:r>
      <w:proofErr w:type="spellStart"/>
      <w:r>
        <w:t>Kleindorfer</w:t>
      </w:r>
      <w:proofErr w:type="spellEnd"/>
      <w:r>
        <w:t xml:space="preserve"> and </w:t>
      </w:r>
      <w:proofErr w:type="spellStart"/>
      <w:r>
        <w:t>Saad</w:t>
      </w:r>
      <w:proofErr w:type="spellEnd"/>
      <w:r>
        <w:t xml:space="preserve"> (2005) who based their formulation on the risk mitigation framework originally proposed by </w:t>
      </w:r>
      <w:proofErr w:type="spellStart"/>
      <w:r>
        <w:t>Shavell</w:t>
      </w:r>
      <w:proofErr w:type="spellEnd"/>
      <w:r>
        <w:t xml:space="preserve"> (1984).  At the same time, not all risks could be properly assessed and mitigated. One way to address this problem would be to develop the set of capabilities that prepare the company to adequately respond to a wide array of unexpected events and disruptions. That is where resilience comes into play.</w:t>
      </w:r>
    </w:p>
    <w:p w:rsidR="00247411" w:rsidRDefault="00247411" w:rsidP="00DB292C">
      <w:pPr>
        <w:spacing w:after="0" w:line="480" w:lineRule="auto"/>
      </w:pPr>
    </w:p>
    <w:p w:rsidR="00BD3A38" w:rsidRDefault="00BD3A38" w:rsidP="00DB292C">
      <w:pPr>
        <w:spacing w:after="0" w:line="480" w:lineRule="auto"/>
      </w:pPr>
      <w:r>
        <w:t>SUPPLY CHAIN RESILIENCE</w:t>
      </w:r>
    </w:p>
    <w:p w:rsidR="00BD3A38" w:rsidRDefault="00BD3A38" w:rsidP="00DB292C">
      <w:pPr>
        <w:autoSpaceDE w:val="0"/>
        <w:autoSpaceDN w:val="0"/>
        <w:adjustRightInd w:val="0"/>
        <w:spacing w:after="0" w:line="480" w:lineRule="auto"/>
        <w:ind w:firstLine="720"/>
      </w:pPr>
      <w:r>
        <w:t xml:space="preserve">Supply chain resilience is a comparatively unexplored area of supply chain research. This area is related to risk management, but at the same time differs from traditional risk management approaches (Pettit et al. 2010, </w:t>
      </w:r>
      <w:proofErr w:type="spellStart"/>
      <w:r>
        <w:t>Ponomarov</w:t>
      </w:r>
      <w:proofErr w:type="spellEnd"/>
      <w:r>
        <w:t xml:space="preserve"> and Holcomb 2009) in that it focuses on firms’</w:t>
      </w:r>
      <w:r w:rsidRPr="005354E1">
        <w:t xml:space="preserve"> ability </w:t>
      </w:r>
      <w:r w:rsidRPr="005354E1">
        <w:lastRenderedPageBreak/>
        <w:t>to absorb disruptions or enables the supply network to return to stable conditions faster (</w:t>
      </w:r>
      <w:proofErr w:type="spellStart"/>
      <w:r w:rsidRPr="005354E1">
        <w:t>Sheffi</w:t>
      </w:r>
      <w:proofErr w:type="spellEnd"/>
      <w:r w:rsidRPr="005354E1">
        <w:t xml:space="preserve"> and Rice 2005). </w:t>
      </w:r>
      <w:r>
        <w:t>The concept of resilience is multidimensional and multidisciplinary. The study of resilience has its origins in development theory of social psychology and is an emerging theory in its own right.  The concept of resilience is directly related to important issues such as ecological and social vulnerability, the politics and psychology of disaster recovery, and risk management under increasing threats.  While there are commonly used definitions in each of these areas, those definitions are discipline-specific</w:t>
      </w:r>
      <w:r w:rsidRPr="0098367F">
        <w:t xml:space="preserve"> </w:t>
      </w:r>
      <w:r>
        <w:t>(</w:t>
      </w:r>
      <w:proofErr w:type="spellStart"/>
      <w:r>
        <w:t>Ponomarov</w:t>
      </w:r>
      <w:proofErr w:type="spellEnd"/>
      <w:r>
        <w:t xml:space="preserve"> and Holcomb 2009). In many cases the domain covered by the resilience construct lacks clarity.  Thus, in order to understand the phenomena of resilience, we need to first consider different perspectives and approaches from the various streams of literature. Several different interdisciplinary perspectives inform this research adding to our understanding of supply chain resilience. Specifically, ecological, psychological, economic, and organizational perspectives were identified as the most related and appropriate for the understanding of the phenomena of resilience. These perspectives are reviewed in Chapter 2, followed by the definition and characteristics of supply chain resilience from the firm’s perspective.</w:t>
      </w:r>
      <w:r w:rsidRPr="00687D55">
        <w:t xml:space="preserve"> </w:t>
      </w:r>
      <w:r>
        <w:t xml:space="preserve">Specifically, for the purposes of this research a firm’s supply chain resilience is defined as: </w:t>
      </w:r>
    </w:p>
    <w:p w:rsidR="00BD3A38" w:rsidRPr="009E3BC5" w:rsidRDefault="00BD3A38" w:rsidP="00BD3A38">
      <w:pPr>
        <w:autoSpaceDE w:val="0"/>
        <w:autoSpaceDN w:val="0"/>
        <w:adjustRightInd w:val="0"/>
        <w:ind w:left="720"/>
        <w:rPr>
          <w:i/>
        </w:rPr>
      </w:pPr>
      <w:r>
        <w:rPr>
          <w:i/>
        </w:rPr>
        <w:t>“[supply chain resilience is]…t</w:t>
      </w:r>
      <w:r w:rsidRPr="009E3BC5">
        <w:rPr>
          <w:i/>
        </w:rPr>
        <w:t>he adaptive capability of</w:t>
      </w:r>
      <w:r>
        <w:rPr>
          <w:i/>
        </w:rPr>
        <w:t xml:space="preserve"> a</w:t>
      </w:r>
      <w:r w:rsidRPr="009E3BC5">
        <w:rPr>
          <w:i/>
        </w:rPr>
        <w:t xml:space="preserve"> firm’s supply chain to prepare for unexpected events, respond to disruptions, and recover from them </w:t>
      </w:r>
      <w:r>
        <w:rPr>
          <w:i/>
        </w:rPr>
        <w:t xml:space="preserve">in a timely manner </w:t>
      </w:r>
      <w:r w:rsidRPr="009E3BC5">
        <w:rPr>
          <w:i/>
        </w:rPr>
        <w:t>by maintaining continuity of operations at the desired level of connectedness and control over structure and function.</w:t>
      </w:r>
      <w:r>
        <w:rPr>
          <w:i/>
        </w:rPr>
        <w:t>”</w:t>
      </w:r>
    </w:p>
    <w:p w:rsidR="00BD3A38" w:rsidRDefault="00BD3A38" w:rsidP="001B6825">
      <w:pPr>
        <w:autoSpaceDE w:val="0"/>
        <w:autoSpaceDN w:val="0"/>
        <w:adjustRightInd w:val="0"/>
        <w:spacing w:after="0" w:line="480" w:lineRule="auto"/>
      </w:pPr>
      <w:r>
        <w:t xml:space="preserve">The details on how this definition was derived from the literature are also provided in Chapter 2 of this dissertation. </w:t>
      </w:r>
    </w:p>
    <w:p w:rsidR="00247411" w:rsidRDefault="00247411" w:rsidP="001B6825">
      <w:pPr>
        <w:spacing w:after="0" w:line="480" w:lineRule="auto"/>
      </w:pPr>
    </w:p>
    <w:p w:rsidR="00247411" w:rsidRDefault="00247411" w:rsidP="001B6825">
      <w:pPr>
        <w:spacing w:after="0" w:line="480" w:lineRule="auto"/>
      </w:pPr>
    </w:p>
    <w:p w:rsidR="00BD3A38" w:rsidRDefault="00BD3A38" w:rsidP="00DB292C">
      <w:pPr>
        <w:spacing w:after="0" w:line="480" w:lineRule="auto"/>
      </w:pPr>
      <w:r>
        <w:lastRenderedPageBreak/>
        <w:t>THEORETICAL FOUNDATIONS</w:t>
      </w:r>
    </w:p>
    <w:p w:rsidR="00BD3A38" w:rsidRPr="00344C1F" w:rsidRDefault="00BD3A38" w:rsidP="00DB292C">
      <w:pPr>
        <w:spacing w:after="0" w:line="480" w:lineRule="auto"/>
        <w:ind w:firstLine="720"/>
      </w:pPr>
      <w:r w:rsidRPr="00344C1F">
        <w:t xml:space="preserve">There are a number of theoretical approaches that inform this research. Among the most important are: </w:t>
      </w:r>
      <w:r>
        <w:t xml:space="preserve">the resource-based view (RBV), </w:t>
      </w:r>
      <w:r w:rsidRPr="00344C1F">
        <w:t>the resource-dependence theory</w:t>
      </w:r>
      <w:r>
        <w:t xml:space="preserve"> (RBT)</w:t>
      </w:r>
      <w:r w:rsidRPr="00344C1F">
        <w:t>,</w:t>
      </w:r>
      <w:r>
        <w:t xml:space="preserve"> the strategic choice theory and other related theoretical perspectives. </w:t>
      </w:r>
      <w:r w:rsidRPr="00344C1F">
        <w:t>The combination of the above approaches is used in this dissertation; therefore, it is important to review all the streams of related literature.</w:t>
      </w:r>
    </w:p>
    <w:p w:rsidR="00BD3A38" w:rsidRPr="00344C1F" w:rsidRDefault="00BD3A38" w:rsidP="00DB292C">
      <w:pPr>
        <w:autoSpaceDE w:val="0"/>
        <w:autoSpaceDN w:val="0"/>
        <w:adjustRightInd w:val="0"/>
        <w:spacing w:after="0" w:line="480" w:lineRule="auto"/>
        <w:ind w:firstLine="720"/>
      </w:pPr>
      <w:r w:rsidRPr="00344C1F">
        <w:t>The fundamental question in the field of strategic management is how companies achieve and sustain competitive advantage (</w:t>
      </w:r>
      <w:proofErr w:type="spellStart"/>
      <w:r w:rsidRPr="00344C1F">
        <w:t>Teece</w:t>
      </w:r>
      <w:proofErr w:type="spellEnd"/>
      <w:r w:rsidRPr="00344C1F">
        <w:t xml:space="preserve">, Pisano and </w:t>
      </w:r>
      <w:proofErr w:type="spellStart"/>
      <w:r w:rsidRPr="00344C1F">
        <w:t>Shuen</w:t>
      </w:r>
      <w:proofErr w:type="spellEnd"/>
      <w:r w:rsidRPr="00344C1F">
        <w:t xml:space="preserve"> 1997).  The resource-based view (RBV) provides important insights for understanding how competitive advantage within firms is created and how such advantage is sustained over time (the concept of sustainable competitive advantage). The RBV is an influential theoretical framework widely discussed in the strategic and organizational academic literature. Briefly, the resource-based view states that firms obtain competitive advantage by accumulating internal resources and capabilities that are rare, valuable, and difficult to imitate (Barney 1991). The relational view is similar to RBV, but differs in a sense that a firm’s critical resources and capabilities extend beyond the firm’s boundaries. It could be manifested, for example, in buyer-supplier relationships. </w:t>
      </w:r>
    </w:p>
    <w:p w:rsidR="00BD3A38" w:rsidRDefault="00BD3A38" w:rsidP="00DB292C">
      <w:pPr>
        <w:autoSpaceDE w:val="0"/>
        <w:autoSpaceDN w:val="0"/>
        <w:adjustRightInd w:val="0"/>
        <w:spacing w:after="0" w:line="480" w:lineRule="auto"/>
        <w:ind w:firstLine="720"/>
      </w:pPr>
      <w:r>
        <w:t xml:space="preserve">A closely related </w:t>
      </w:r>
      <w:r w:rsidRPr="00344C1F">
        <w:t xml:space="preserve">resource dependence theory </w:t>
      </w:r>
      <w:r>
        <w:t xml:space="preserve">(RBT) </w:t>
      </w:r>
      <w:r w:rsidRPr="00344C1F">
        <w:t xml:space="preserve">views </w:t>
      </w:r>
      <w:proofErr w:type="spellStart"/>
      <w:r w:rsidRPr="00344C1F">
        <w:t>interfirm</w:t>
      </w:r>
      <w:proofErr w:type="spellEnd"/>
      <w:r w:rsidRPr="00344C1F">
        <w:t xml:space="preserve"> governance as a strategic response to conditions of uncertainty and dependence (</w:t>
      </w:r>
      <w:proofErr w:type="spellStart"/>
      <w:r w:rsidRPr="00344C1F">
        <w:t>Pfeffer</w:t>
      </w:r>
      <w:proofErr w:type="spellEnd"/>
      <w:r w:rsidRPr="00344C1F">
        <w:t xml:space="preserve"> and </w:t>
      </w:r>
      <w:proofErr w:type="spellStart"/>
      <w:r w:rsidRPr="00344C1F">
        <w:t>Salancik</w:t>
      </w:r>
      <w:proofErr w:type="spellEnd"/>
      <w:r w:rsidRPr="00344C1F">
        <w:t xml:space="preserve"> 1978)</w:t>
      </w:r>
      <w:r>
        <w:t>, b</w:t>
      </w:r>
      <w:r w:rsidRPr="00344C1F">
        <w:t xml:space="preserve">uilding on early work in social exchange theory (e.g. Emerson 1962; </w:t>
      </w:r>
      <w:proofErr w:type="spellStart"/>
      <w:r>
        <w:t>Thibaut</w:t>
      </w:r>
      <w:proofErr w:type="spellEnd"/>
      <w:r>
        <w:t xml:space="preserve"> and Kelly 1959)</w:t>
      </w:r>
      <w:r w:rsidRPr="00344C1F">
        <w:t xml:space="preserve">. </w:t>
      </w:r>
      <w:r>
        <w:t xml:space="preserve">This theory has its focus on environmental uncertainty and dependence as key antecedents for engaging in </w:t>
      </w:r>
      <w:proofErr w:type="spellStart"/>
      <w:r>
        <w:t>iterorganizational</w:t>
      </w:r>
      <w:proofErr w:type="spellEnd"/>
      <w:r>
        <w:t xml:space="preserve"> relationships. </w:t>
      </w:r>
      <w:r w:rsidRPr="00344C1F">
        <w:t xml:space="preserve">The main premise of resource dependence theory is that firms will seek to reduce uncertainty and manage dependence by purposely structuring their </w:t>
      </w:r>
      <w:r w:rsidRPr="00344C1F">
        <w:lastRenderedPageBreak/>
        <w:t>exchange relationships (e.g. buyer-supplier relationships) by means of establishing formal or semiformal links with other firms (</w:t>
      </w:r>
      <w:proofErr w:type="spellStart"/>
      <w:r w:rsidRPr="00344C1F">
        <w:t>Pennings</w:t>
      </w:r>
      <w:proofErr w:type="spellEnd"/>
      <w:r w:rsidRPr="00344C1F">
        <w:t>, 1981; Ulrich and Barney, 1984).</w:t>
      </w:r>
      <w:r>
        <w:t xml:space="preserve">  </w:t>
      </w:r>
    </w:p>
    <w:p w:rsidR="00BD3A38" w:rsidRDefault="00BD3A38" w:rsidP="00DB292C">
      <w:pPr>
        <w:spacing w:after="0" w:line="480" w:lineRule="auto"/>
        <w:ind w:firstLine="720"/>
      </w:pPr>
      <w:r>
        <w:t>A strategic choice theory offers important additional insights that inform the formulation of proposed research framework. It was developed as an extension of a contingency theory in contrast to externally focused approaches such as institutional theory. Strategic choice theory emphasizes the role of managerial strategic decisions in organizational success or failure (Child 1972). A foundational assumption is that firms can actively shape their environment by making appropriate strategic choices (</w:t>
      </w:r>
      <w:proofErr w:type="spellStart"/>
      <w:r>
        <w:t>Ketchen</w:t>
      </w:r>
      <w:proofErr w:type="spellEnd"/>
      <w:r>
        <w:t xml:space="preserve"> and </w:t>
      </w:r>
      <w:proofErr w:type="spellStart"/>
      <w:r>
        <w:t>Hult</w:t>
      </w:r>
      <w:proofErr w:type="spellEnd"/>
      <w:r>
        <w:t xml:space="preserve"> 2007, Miles and Snow 1978). This dissertation uses a combination of the above approaches to develop the conceptual framework.</w:t>
      </w:r>
    </w:p>
    <w:p w:rsidR="00247411" w:rsidRDefault="00247411" w:rsidP="00DB292C">
      <w:pPr>
        <w:spacing w:after="0" w:line="480" w:lineRule="auto"/>
      </w:pPr>
    </w:p>
    <w:p w:rsidR="00BD3A38" w:rsidRDefault="00BD3A38" w:rsidP="00DB292C">
      <w:pPr>
        <w:spacing w:after="0" w:line="480" w:lineRule="auto"/>
      </w:pPr>
      <w:r>
        <w:t>STATEMENT OF PURPOSE</w:t>
      </w:r>
    </w:p>
    <w:p w:rsidR="00BD3A38" w:rsidRDefault="00BD3A38" w:rsidP="00DB292C">
      <w:pPr>
        <w:spacing w:after="0" w:line="480" w:lineRule="auto"/>
        <w:ind w:firstLine="720"/>
      </w:pPr>
      <w:r>
        <w:t>Most of the related research to this point has dealt with defining the concept of resilience, emphasizing its importance, and identifying certain characteristics and components of resilient supply chains and organizations. The key elements of supply chain resilience and the relationships among them are still poorly understood. Furthermore, there are a limited number of studies that focus on analyzing antecedents and outcomes of resilience from the organizational perspective.  Little theoretical justification exists for current supply chain resilience models, and the topic is currently evolving from the emerging state. Some of the obvious gaps are the failure to conceptualize the complexity of cause-effect relationships between related constructs, and to analyze the interactions between antecedents and consequences. Additionally, there is a definite need for empirical testing of the proposed conceptual models. Based on the previous discussion, a better understanding of a firm’s supply chain resilience, its major antecedents and consequences is warranted.</w:t>
      </w:r>
    </w:p>
    <w:p w:rsidR="00BD3A38" w:rsidRDefault="00BD3A38" w:rsidP="00DB292C">
      <w:pPr>
        <w:spacing w:after="0" w:line="480" w:lineRule="auto"/>
        <w:ind w:firstLine="720"/>
      </w:pPr>
      <w:r>
        <w:lastRenderedPageBreak/>
        <w:t>The purpose of this dissertation is to contribute to such research efforts by proposing and empirically testing a comprehensive model that combines major hypothesized antecedents and consequences of supply chain resilience at the firm level of analysis. Answering the following research questions will contribute to the holistic understanding of the phenomena in question, its antecedents and consequences:</w:t>
      </w:r>
    </w:p>
    <w:p w:rsidR="00BD3A38" w:rsidRDefault="00BD3A38" w:rsidP="007743FB">
      <w:pPr>
        <w:numPr>
          <w:ilvl w:val="0"/>
          <w:numId w:val="41"/>
        </w:numPr>
        <w:autoSpaceDE w:val="0"/>
        <w:autoSpaceDN w:val="0"/>
        <w:adjustRightInd w:val="0"/>
        <w:spacing w:after="0" w:line="480" w:lineRule="auto"/>
      </w:pPr>
      <w:r w:rsidRPr="00F46B68">
        <w:t xml:space="preserve">What are the antecedents of </w:t>
      </w:r>
      <w:r>
        <w:t xml:space="preserve">a firm’s </w:t>
      </w:r>
      <w:r w:rsidRPr="00F46B68">
        <w:t>supply cha</w:t>
      </w:r>
      <w:r>
        <w:t>in resilience from the organizational</w:t>
      </w:r>
      <w:r w:rsidRPr="00F46B68">
        <w:t xml:space="preserve"> perspective? </w:t>
      </w:r>
    </w:p>
    <w:p w:rsidR="00BD3A38" w:rsidRPr="00F46B68" w:rsidRDefault="00BD3A38" w:rsidP="007743FB">
      <w:pPr>
        <w:numPr>
          <w:ilvl w:val="0"/>
          <w:numId w:val="41"/>
        </w:numPr>
        <w:autoSpaceDE w:val="0"/>
        <w:autoSpaceDN w:val="0"/>
        <w:adjustRightInd w:val="0"/>
        <w:spacing w:after="0" w:line="480" w:lineRule="auto"/>
      </w:pPr>
      <w:r>
        <w:t xml:space="preserve">What is the relative importance of specific </w:t>
      </w:r>
      <w:r w:rsidRPr="00F46B68">
        <w:t>capabilities</w:t>
      </w:r>
      <w:r>
        <w:t xml:space="preserve"> for building resilient organizations</w:t>
      </w:r>
      <w:r w:rsidRPr="00F46B68">
        <w:t>?</w:t>
      </w:r>
    </w:p>
    <w:p w:rsidR="00BD3A38" w:rsidRDefault="00BD3A38" w:rsidP="007743FB">
      <w:pPr>
        <w:numPr>
          <w:ilvl w:val="0"/>
          <w:numId w:val="41"/>
        </w:numPr>
        <w:autoSpaceDE w:val="0"/>
        <w:autoSpaceDN w:val="0"/>
        <w:adjustRightInd w:val="0"/>
        <w:spacing w:after="0" w:line="480" w:lineRule="auto"/>
      </w:pPr>
      <w:r w:rsidRPr="00F46B68">
        <w:t>What are some of the outcomes of supply</w:t>
      </w:r>
      <w:r>
        <w:t xml:space="preserve"> chain resilience? </w:t>
      </w:r>
    </w:p>
    <w:p w:rsidR="00BD3A38" w:rsidRDefault="00BD3A38" w:rsidP="007743FB">
      <w:pPr>
        <w:numPr>
          <w:ilvl w:val="0"/>
          <w:numId w:val="41"/>
        </w:numPr>
        <w:autoSpaceDE w:val="0"/>
        <w:autoSpaceDN w:val="0"/>
        <w:adjustRightInd w:val="0"/>
        <w:spacing w:after="0" w:line="480" w:lineRule="auto"/>
      </w:pPr>
      <w:r>
        <w:t xml:space="preserve">What are the ways to measure supply chain resilience, </w:t>
      </w:r>
      <w:proofErr w:type="gramStart"/>
      <w:r>
        <w:t>it’s</w:t>
      </w:r>
      <w:proofErr w:type="gramEnd"/>
      <w:r>
        <w:t xml:space="preserve"> main antecedents and outcomes?</w:t>
      </w:r>
    </w:p>
    <w:p w:rsidR="00BD3A38" w:rsidRDefault="00BD3A38" w:rsidP="00DB292C">
      <w:pPr>
        <w:spacing w:after="0" w:line="480" w:lineRule="auto"/>
      </w:pPr>
    </w:p>
    <w:p w:rsidR="00BD3A38" w:rsidRDefault="00BD3A38" w:rsidP="00DB292C">
      <w:pPr>
        <w:spacing w:after="0" w:line="480" w:lineRule="auto"/>
      </w:pPr>
      <w:r>
        <w:t>CONTRIBUTIONS OF THIS DISSERTATION</w:t>
      </w:r>
    </w:p>
    <w:p w:rsidR="00BD3A38" w:rsidRDefault="00BD3A38" w:rsidP="00DB292C">
      <w:pPr>
        <w:spacing w:after="0" w:line="480" w:lineRule="auto"/>
      </w:pPr>
      <w:r>
        <w:tab/>
        <w:t xml:space="preserve">This dissertation has several potential theoretical and practical contributions. It contributes in terms of proposing and testing the conceptual model linking antecedents and consequences of a firm’s supply chain resilience.  A proposed conceptualization of resilience as a dynamic organizational capability is theoretically justified expanding the application of the resource-dependence theory and other related perspectives. Furthermore, a specific functional focus linking logistics capabilities and supply chain resilience is proposed and empirically tested. The strategic role of organizational orientations such as risk management and supply chain orientation is emphasized. Consequently, on the outcomes side of a conceptual model, organizational resilience is viewed as an antecedent to supply chain value creation and linked to </w:t>
      </w:r>
      <w:r>
        <w:lastRenderedPageBreak/>
        <w:t>such important constructs as</w:t>
      </w:r>
      <w:r w:rsidRPr="00C079BB">
        <w:t xml:space="preserve"> </w:t>
      </w:r>
      <w:r>
        <w:t xml:space="preserve">supply chain process variability and supply chain capital. Additionally, specific measures are developed for the theoretical constructs of firm’s supply chain resilience, risk management orientation, supply chain orientation, supply chain process variability, and supply chain capital.  The contributions will be analyzed in more detail in Chapter 5 of this dissertation. </w:t>
      </w:r>
    </w:p>
    <w:p w:rsidR="00247411" w:rsidRDefault="00247411" w:rsidP="00DB292C">
      <w:pPr>
        <w:spacing w:after="0" w:line="480" w:lineRule="auto"/>
      </w:pPr>
    </w:p>
    <w:p w:rsidR="00BD3A38" w:rsidRDefault="00BD3A38" w:rsidP="00DB292C">
      <w:pPr>
        <w:spacing w:after="0" w:line="480" w:lineRule="auto"/>
      </w:pPr>
      <w:r>
        <w:t>DISSERTATION ORGANIZATION</w:t>
      </w:r>
    </w:p>
    <w:p w:rsidR="00BD3A38" w:rsidRDefault="00BD3A38" w:rsidP="00DB292C">
      <w:pPr>
        <w:spacing w:after="0" w:line="480" w:lineRule="auto"/>
      </w:pPr>
      <w:r>
        <w:tab/>
        <w:t xml:space="preserve">This dissertation is organized in five chapters. Chapter 1 provides the foundation for studying firm’s supply chain resilience. In this chapter, the basic overview of concepts, existing gaps, and possible theoretical antecedents is provided followed by the statement of purpose and an outline of the organization of this dissertation.  Chapter 2 presents the theoretical foundation for the supply chain resilience model.  This chapter will develop and justify definitions of, and the interrelationships among the constructs of interest such as logistics capabilities, supply chain resilience, risk management orientation, and supply chain capital. The proposed model is accompanied by the literature review of the various components of the model as well as related research hypotheses. Chapter 3 contains a discussion of the research methodology used to test the proposed conceptual model and associated hypotheses. More specifically, it includes the discussions of the research design, sampling, measurement development and purification, pretest procedures and designs, and data analysis procedures. Chapter 4 provides an evaluation of the model and the results of hypotheses testing. Chapter 5 presents the conclusions based on the results of the hypotheses tests and structural equation modeling process.  Theoretical and managerial implications and the directions for future research are provided. </w:t>
      </w:r>
    </w:p>
    <w:p w:rsidR="001B6825" w:rsidRPr="001B6825" w:rsidRDefault="001B6825" w:rsidP="001B6825"/>
    <w:p w:rsidR="001B6825" w:rsidRPr="00E72F4F" w:rsidRDefault="001B6825" w:rsidP="00DB292C">
      <w:pPr>
        <w:spacing w:after="0" w:line="480" w:lineRule="auto"/>
        <w:jc w:val="center"/>
        <w:rPr>
          <w:b/>
        </w:rPr>
      </w:pPr>
      <w:r>
        <w:rPr>
          <w:b/>
        </w:rPr>
        <w:lastRenderedPageBreak/>
        <w:t>CHAPTER 2 – THEORY BUILDING</w:t>
      </w:r>
    </w:p>
    <w:p w:rsidR="008D3B29" w:rsidRDefault="008D3B29" w:rsidP="00DB292C">
      <w:pPr>
        <w:autoSpaceDE w:val="0"/>
        <w:autoSpaceDN w:val="0"/>
        <w:adjustRightInd w:val="0"/>
        <w:spacing w:after="0" w:line="480" w:lineRule="auto"/>
      </w:pPr>
    </w:p>
    <w:p w:rsidR="001B6825" w:rsidRDefault="001B6825" w:rsidP="00DB292C">
      <w:pPr>
        <w:autoSpaceDE w:val="0"/>
        <w:autoSpaceDN w:val="0"/>
        <w:adjustRightInd w:val="0"/>
        <w:spacing w:after="0" w:line="480" w:lineRule="auto"/>
      </w:pPr>
      <w:r>
        <w:t>ORGANIZING FRAMEWORK FOR THEORY BUILDING</w:t>
      </w:r>
    </w:p>
    <w:p w:rsidR="001B6825" w:rsidRDefault="001B6825" w:rsidP="00DB292C">
      <w:pPr>
        <w:spacing w:after="0" w:line="480" w:lineRule="auto"/>
        <w:ind w:firstLine="720"/>
      </w:pPr>
      <w:r>
        <w:t>Chapter 2 provides a comprehensive literature review which is further used to develop the theory of firm’s supply chain resilience and justify the hypotheses for this research. This literature review illustrates the important ideas from various streams of previous research that could help in building the body of knowledge related to the topic of resilience in a systematic and organized manner (Creswell 2003). First, a general theoretical framework is proposed. Based on this framework, a resource-based view combined with dynamic capabilities perspective form a foundation for current research. Second, the theoretical framework is contextualized within logistic and supply chain management domains. Third, an interdisciplinary approach is taken to support and ground the conceptualization of supply chain resilience. Next, major relevant constructs related to the antecedents and outcomes of supply chain resilience are identified, conceptually defined, and analyzed through the theoretical lenses of resource-based view, resource-dependence theory, and strategic choice theory. Subsequently, important relationships among the constructs of interest are hypothesized and a conceptual model is proposed for testing.</w:t>
      </w:r>
    </w:p>
    <w:p w:rsidR="001B6825" w:rsidRDefault="001B6825" w:rsidP="00DB292C">
      <w:pPr>
        <w:autoSpaceDE w:val="0"/>
        <w:autoSpaceDN w:val="0"/>
        <w:adjustRightInd w:val="0"/>
        <w:spacing w:after="0" w:line="480" w:lineRule="auto"/>
      </w:pPr>
    </w:p>
    <w:p w:rsidR="001B6825" w:rsidRDefault="001B6825" w:rsidP="00DB292C">
      <w:pPr>
        <w:autoSpaceDE w:val="0"/>
        <w:autoSpaceDN w:val="0"/>
        <w:adjustRightInd w:val="0"/>
        <w:spacing w:after="0" w:line="480" w:lineRule="auto"/>
      </w:pPr>
      <w:r>
        <w:t>THEORETICAL FRAMEWORK</w:t>
      </w:r>
    </w:p>
    <w:p w:rsidR="001B6825" w:rsidRDefault="001B6825" w:rsidP="00DB292C">
      <w:pPr>
        <w:autoSpaceDE w:val="0"/>
        <w:autoSpaceDN w:val="0"/>
        <w:adjustRightInd w:val="0"/>
        <w:spacing w:after="0" w:line="480" w:lineRule="auto"/>
        <w:rPr>
          <w:b/>
        </w:rPr>
      </w:pPr>
      <w:r>
        <w:rPr>
          <w:b/>
        </w:rPr>
        <w:t>Theoretical Lenses</w:t>
      </w:r>
    </w:p>
    <w:p w:rsidR="001B6825" w:rsidRDefault="001B6825" w:rsidP="00DB292C">
      <w:pPr>
        <w:autoSpaceDE w:val="0"/>
        <w:autoSpaceDN w:val="0"/>
        <w:adjustRightInd w:val="0"/>
        <w:spacing w:after="0" w:line="480" w:lineRule="auto"/>
      </w:pPr>
      <w:r>
        <w:rPr>
          <w:b/>
        </w:rPr>
        <w:tab/>
      </w:r>
      <w:r w:rsidRPr="0050727D">
        <w:t xml:space="preserve">A combination of theoretical lenses is used in this research to guide and support the development of a research model and its subsequent empirical investigation. </w:t>
      </w:r>
      <w:r>
        <w:t xml:space="preserve">Specifically, the following theoretical perspectives serve as the underpinning rationales behind the proposed research framework for a firm’s supply chain resilience. First, the resource-based view and </w:t>
      </w:r>
      <w:r>
        <w:lastRenderedPageBreak/>
        <w:t xml:space="preserve">related dynamic capabilities perspective serve as the major theoretical frameworks that inform current research. To a lesser degree this research is influenced by the resource dependence theory, strategic choice theory, and other related perspectives. Selected theoretical approaches are discussed in the following paragraphs. </w:t>
      </w:r>
    </w:p>
    <w:p w:rsidR="001B6825" w:rsidRPr="007340BE" w:rsidRDefault="001B6825" w:rsidP="00DB292C">
      <w:pPr>
        <w:autoSpaceDE w:val="0"/>
        <w:autoSpaceDN w:val="0"/>
        <w:adjustRightInd w:val="0"/>
        <w:spacing w:after="0" w:line="480" w:lineRule="auto"/>
        <w:rPr>
          <w:i/>
        </w:rPr>
      </w:pPr>
      <w:r>
        <w:rPr>
          <w:i/>
        </w:rPr>
        <w:t>Resource-Based View</w:t>
      </w:r>
    </w:p>
    <w:p w:rsidR="001B6825" w:rsidRDefault="001B6825" w:rsidP="00DB292C">
      <w:pPr>
        <w:autoSpaceDE w:val="0"/>
        <w:autoSpaceDN w:val="0"/>
        <w:adjustRightInd w:val="0"/>
        <w:spacing w:after="0" w:line="480" w:lineRule="auto"/>
        <w:ind w:firstLine="720"/>
      </w:pPr>
      <w:r>
        <w:t xml:space="preserve">The resource-based view (RBV), also referred to by some researchers as the resource-based theory (RBT) of the firm (Barney 1991, 1996, Conner 1991, </w:t>
      </w:r>
      <w:proofErr w:type="spellStart"/>
      <w:r>
        <w:t>Kogut</w:t>
      </w:r>
      <w:proofErr w:type="spellEnd"/>
      <w:r>
        <w:t xml:space="preserve"> and </w:t>
      </w:r>
      <w:proofErr w:type="spellStart"/>
      <w:r>
        <w:t>Zander</w:t>
      </w:r>
      <w:proofErr w:type="spellEnd"/>
      <w:r>
        <w:t xml:space="preserve"> 1992,</w:t>
      </w:r>
      <w:r w:rsidRPr="0010712D">
        <w:t xml:space="preserve"> </w:t>
      </w:r>
      <w:r>
        <w:t xml:space="preserve">Barratt and </w:t>
      </w:r>
      <w:proofErr w:type="spellStart"/>
      <w:r>
        <w:t>Oke</w:t>
      </w:r>
      <w:proofErr w:type="spellEnd"/>
      <w:r>
        <w:t xml:space="preserve"> 2007), was originally developed as a complement to the industrial organization (IO) view established by the works of Bain (1968) and Porter (1979, 1985). Focusing on the structure-conduct-performance paradigm, the IO researchers searched for determinants of firm performance outside the firm, specifically in its industry structure. In contrast, the RBV explicitly looks for the internal sources of sustainable competitive advantage (SCA) and aims to explain why firms in the same industry might differ in terms of performance (</w:t>
      </w:r>
      <w:proofErr w:type="spellStart"/>
      <w:r>
        <w:t>Kraaijenbrink</w:t>
      </w:r>
      <w:proofErr w:type="spellEnd"/>
      <w:r>
        <w:t xml:space="preserve"> et al. 2010). </w:t>
      </w:r>
    </w:p>
    <w:p w:rsidR="001B6825" w:rsidRPr="0050727D" w:rsidRDefault="001B6825" w:rsidP="00DB292C">
      <w:pPr>
        <w:autoSpaceDE w:val="0"/>
        <w:autoSpaceDN w:val="0"/>
        <w:adjustRightInd w:val="0"/>
        <w:spacing w:after="0" w:line="480" w:lineRule="auto"/>
        <w:ind w:firstLine="720"/>
      </w:pPr>
      <w:r>
        <w:t xml:space="preserve">In his original work Barney (1991) argued that sustained competitive advantage could be derived from the resources and capabilities the firm controls. These resources have been characterized as rare, valuable, not substitutable, and difficult to imitate. In addition, such resources and capabilities can be viewed as bundles of tangible and intangible assets that include a firm’s management skills, its organizational processes and routines, and the information and knowledge it controls (Barney et al. 2001).       </w:t>
      </w:r>
    </w:p>
    <w:p w:rsidR="006053CD" w:rsidRPr="006053CD" w:rsidRDefault="001B6825" w:rsidP="00DB292C">
      <w:pPr>
        <w:autoSpaceDE w:val="0"/>
        <w:autoSpaceDN w:val="0"/>
        <w:adjustRightInd w:val="0"/>
        <w:spacing w:after="0" w:line="480" w:lineRule="auto"/>
        <w:ind w:firstLine="720"/>
      </w:pPr>
      <w:r>
        <w:t xml:space="preserve">The RBV is currently one of the most influential frameworks for understanding strategic management and related disciplines (Barney et al. 2001). It was introduced almost twenty years ago, and subsequently developed through extensive theoretical development and empirical </w:t>
      </w:r>
      <w:r>
        <w:lastRenderedPageBreak/>
        <w:t xml:space="preserve">testing. The RBV’s principal development occurred between 1984 and the mid-1990’s. Following </w:t>
      </w:r>
      <w:proofErr w:type="spellStart"/>
      <w:r>
        <w:t>Wernerfelt’s</w:t>
      </w:r>
      <w:proofErr w:type="spellEnd"/>
      <w:r>
        <w:t xml:space="preserve"> (1984) initial study, many scholars offered valuable contributions to this view. Among the most significant of them are the contributions of Barney (1986, 1991), </w:t>
      </w:r>
      <w:proofErr w:type="spellStart"/>
      <w:r>
        <w:t>Rumelt</w:t>
      </w:r>
      <w:proofErr w:type="spellEnd"/>
      <w:r>
        <w:t xml:space="preserve"> (1984, 1987), </w:t>
      </w:r>
      <w:proofErr w:type="spellStart"/>
      <w:r>
        <w:t>Dierickx</w:t>
      </w:r>
      <w:proofErr w:type="spellEnd"/>
      <w:r>
        <w:t xml:space="preserve"> and Cool (1989), Conner (1991), </w:t>
      </w:r>
      <w:proofErr w:type="spellStart"/>
      <w:r>
        <w:t>Peteraf</w:t>
      </w:r>
      <w:proofErr w:type="spellEnd"/>
      <w:r>
        <w:t xml:space="preserve"> (1993), Conner and </w:t>
      </w:r>
      <w:proofErr w:type="spellStart"/>
      <w:r>
        <w:t>Prahalad</w:t>
      </w:r>
      <w:proofErr w:type="spellEnd"/>
      <w:r>
        <w:t xml:space="preserve"> (1996), </w:t>
      </w:r>
      <w:proofErr w:type="spellStart"/>
      <w:r>
        <w:t>Kogut</w:t>
      </w:r>
      <w:proofErr w:type="spellEnd"/>
      <w:r>
        <w:t xml:space="preserve"> and </w:t>
      </w:r>
      <w:proofErr w:type="spellStart"/>
      <w:r>
        <w:t>Zander</w:t>
      </w:r>
      <w:proofErr w:type="spellEnd"/>
      <w:r>
        <w:t xml:space="preserve"> (1992), and </w:t>
      </w:r>
      <w:proofErr w:type="spellStart"/>
      <w:r>
        <w:t>Teece</w:t>
      </w:r>
      <w:proofErr w:type="spellEnd"/>
      <w:r>
        <w:t xml:space="preserve"> et al. (1997) to name a few. Table 2.1 presents a summary of</w:t>
      </w:r>
      <w:r w:rsidR="006053CD">
        <w:t xml:space="preserve"> major contributions to the RBV </w:t>
      </w:r>
      <w:r w:rsidR="006053CD" w:rsidRPr="006053CD">
        <w:t xml:space="preserve">(based on </w:t>
      </w:r>
      <w:proofErr w:type="spellStart"/>
      <w:r w:rsidR="006053CD" w:rsidRPr="006053CD">
        <w:t>Olavarrieta</w:t>
      </w:r>
      <w:proofErr w:type="spellEnd"/>
      <w:r w:rsidR="006053CD" w:rsidRPr="006053CD">
        <w:t xml:space="preserve"> and </w:t>
      </w:r>
      <w:proofErr w:type="spellStart"/>
      <w:r w:rsidR="006053CD" w:rsidRPr="006053CD">
        <w:t>Ellinger</w:t>
      </w:r>
      <w:proofErr w:type="spellEnd"/>
      <w:r w:rsidR="006053CD" w:rsidRPr="006053CD">
        <w:t xml:space="preserve"> 1997, Barney et al. 2001, </w:t>
      </w:r>
      <w:proofErr w:type="spellStart"/>
      <w:r w:rsidR="006053CD" w:rsidRPr="006053CD">
        <w:t>Kraaijenbrink</w:t>
      </w:r>
      <w:proofErr w:type="spellEnd"/>
      <w:r w:rsidR="006053CD" w:rsidRPr="006053CD">
        <w:t xml:space="preserve"> et al. 2010).</w:t>
      </w:r>
    </w:p>
    <w:p w:rsidR="00F328A4" w:rsidRDefault="00F328A4" w:rsidP="001B6825">
      <w:pPr>
        <w:autoSpaceDE w:val="0"/>
        <w:autoSpaceDN w:val="0"/>
        <w:adjustRightInd w:val="0"/>
        <w:spacing w:line="240" w:lineRule="auto"/>
        <w:jc w:val="center"/>
        <w:rPr>
          <w:b/>
        </w:rPr>
      </w:pPr>
    </w:p>
    <w:p w:rsidR="001B6825" w:rsidRDefault="00DB292C" w:rsidP="00DA3321">
      <w:pPr>
        <w:autoSpaceDE w:val="0"/>
        <w:autoSpaceDN w:val="0"/>
        <w:adjustRightInd w:val="0"/>
        <w:spacing w:after="0" w:line="240" w:lineRule="auto"/>
        <w:jc w:val="center"/>
        <w:rPr>
          <w:b/>
        </w:rPr>
      </w:pPr>
      <w:r>
        <w:rPr>
          <w:b/>
        </w:rPr>
        <w:t>Table 2.1 Key C</w:t>
      </w:r>
      <w:r w:rsidR="001B6825" w:rsidRPr="00792F4C">
        <w:rPr>
          <w:b/>
        </w:rPr>
        <w:t>ontributions to the RBV</w:t>
      </w:r>
    </w:p>
    <w:p w:rsidR="00F328A4" w:rsidRPr="001B6825" w:rsidRDefault="00F328A4" w:rsidP="00DA3321">
      <w:pPr>
        <w:autoSpaceDE w:val="0"/>
        <w:autoSpaceDN w:val="0"/>
        <w:adjustRightInd w:val="0"/>
        <w:spacing w:after="0" w:line="240" w:lineRule="auto"/>
        <w:jc w:val="center"/>
        <w:rPr>
          <w:sz w:val="22"/>
        </w:rPr>
      </w:pPr>
    </w:p>
    <w:tbl>
      <w:tblPr>
        <w:tblW w:w="0" w:type="auto"/>
        <w:tblBorders>
          <w:top w:val="single" w:sz="4" w:space="0" w:color="auto"/>
          <w:bottom w:val="single" w:sz="4" w:space="0" w:color="auto"/>
        </w:tblBorders>
        <w:tblLook w:val="01E0"/>
      </w:tblPr>
      <w:tblGrid>
        <w:gridCol w:w="2352"/>
        <w:gridCol w:w="6864"/>
      </w:tblGrid>
      <w:tr w:rsidR="001B6825" w:rsidTr="00007EA8">
        <w:tc>
          <w:tcPr>
            <w:tcW w:w="2352" w:type="dxa"/>
            <w:tcBorders>
              <w:top w:val="single" w:sz="4" w:space="0" w:color="auto"/>
              <w:bottom w:val="single" w:sz="4" w:space="0" w:color="auto"/>
            </w:tcBorders>
          </w:tcPr>
          <w:p w:rsidR="001B6825" w:rsidRPr="00B47803" w:rsidRDefault="001B6825" w:rsidP="00DA3321">
            <w:pPr>
              <w:autoSpaceDE w:val="0"/>
              <w:autoSpaceDN w:val="0"/>
              <w:adjustRightInd w:val="0"/>
              <w:spacing w:after="0" w:line="240" w:lineRule="auto"/>
              <w:jc w:val="center"/>
              <w:rPr>
                <w:b/>
              </w:rPr>
            </w:pPr>
            <w:r w:rsidRPr="00B47803">
              <w:rPr>
                <w:b/>
              </w:rPr>
              <w:t>Authors (year)</w:t>
            </w:r>
          </w:p>
        </w:tc>
        <w:tc>
          <w:tcPr>
            <w:tcW w:w="6864" w:type="dxa"/>
            <w:tcBorders>
              <w:top w:val="single" w:sz="4" w:space="0" w:color="auto"/>
              <w:bottom w:val="single" w:sz="4" w:space="0" w:color="auto"/>
            </w:tcBorders>
          </w:tcPr>
          <w:p w:rsidR="001B6825" w:rsidRDefault="001B6825" w:rsidP="00DA3321">
            <w:pPr>
              <w:autoSpaceDE w:val="0"/>
              <w:autoSpaceDN w:val="0"/>
              <w:adjustRightInd w:val="0"/>
              <w:spacing w:after="0" w:line="240" w:lineRule="auto"/>
              <w:jc w:val="center"/>
              <w:rPr>
                <w:b/>
              </w:rPr>
            </w:pPr>
            <w:r w:rsidRPr="00B47803">
              <w:rPr>
                <w:b/>
              </w:rPr>
              <w:t>Major contribution</w:t>
            </w:r>
          </w:p>
          <w:p w:rsidR="00DA3321" w:rsidRPr="00B47803" w:rsidRDefault="00DA3321" w:rsidP="00DA3321">
            <w:pPr>
              <w:autoSpaceDE w:val="0"/>
              <w:autoSpaceDN w:val="0"/>
              <w:adjustRightInd w:val="0"/>
              <w:spacing w:after="0" w:line="240" w:lineRule="auto"/>
              <w:jc w:val="center"/>
              <w:rPr>
                <w:b/>
              </w:rPr>
            </w:pPr>
          </w:p>
        </w:tc>
      </w:tr>
      <w:tr w:rsidR="001B6825" w:rsidTr="00007EA8">
        <w:tc>
          <w:tcPr>
            <w:tcW w:w="2352" w:type="dxa"/>
            <w:tcBorders>
              <w:top w:val="single" w:sz="4" w:space="0" w:color="auto"/>
            </w:tcBorders>
          </w:tcPr>
          <w:p w:rsidR="00DA3321" w:rsidRDefault="00DA3321" w:rsidP="00DA3321">
            <w:pPr>
              <w:autoSpaceDE w:val="0"/>
              <w:autoSpaceDN w:val="0"/>
              <w:adjustRightInd w:val="0"/>
              <w:spacing w:after="0" w:line="240" w:lineRule="auto"/>
            </w:pPr>
          </w:p>
          <w:p w:rsidR="001B6825" w:rsidRDefault="001B6825" w:rsidP="00DA3321">
            <w:pPr>
              <w:autoSpaceDE w:val="0"/>
              <w:autoSpaceDN w:val="0"/>
              <w:adjustRightInd w:val="0"/>
              <w:spacing w:after="0" w:line="240" w:lineRule="auto"/>
            </w:pPr>
            <w:r>
              <w:t xml:space="preserve">Penrose (1959) </w:t>
            </w:r>
          </w:p>
        </w:tc>
        <w:tc>
          <w:tcPr>
            <w:tcW w:w="6864" w:type="dxa"/>
            <w:tcBorders>
              <w:top w:val="single" w:sz="4" w:space="0" w:color="auto"/>
            </w:tcBorders>
          </w:tcPr>
          <w:p w:rsidR="00DA3321" w:rsidRDefault="00DA3321" w:rsidP="00DA3321">
            <w:pPr>
              <w:autoSpaceDE w:val="0"/>
              <w:autoSpaceDN w:val="0"/>
              <w:adjustRightInd w:val="0"/>
              <w:spacing w:after="0" w:line="240" w:lineRule="auto"/>
            </w:pPr>
          </w:p>
          <w:p w:rsidR="001B6825" w:rsidRDefault="001B6825" w:rsidP="00DA3321">
            <w:pPr>
              <w:autoSpaceDE w:val="0"/>
              <w:autoSpaceDN w:val="0"/>
              <w:adjustRightInd w:val="0"/>
              <w:spacing w:after="0" w:line="240" w:lineRule="auto"/>
            </w:pPr>
            <w:r>
              <w:t>Firms as bundle of resources, firm’s growth is based on firm’s resources and is limited by managerial resources.</w:t>
            </w:r>
          </w:p>
          <w:p w:rsidR="001B6825" w:rsidRDefault="001B6825" w:rsidP="00DA3321">
            <w:pPr>
              <w:autoSpaceDE w:val="0"/>
              <w:autoSpaceDN w:val="0"/>
              <w:adjustRightInd w:val="0"/>
              <w:spacing w:after="0" w:line="240" w:lineRule="auto"/>
            </w:pPr>
          </w:p>
        </w:tc>
      </w:tr>
      <w:tr w:rsidR="001B6825" w:rsidTr="00007EA8">
        <w:tc>
          <w:tcPr>
            <w:tcW w:w="2352" w:type="dxa"/>
          </w:tcPr>
          <w:p w:rsidR="001B6825" w:rsidRDefault="001B6825" w:rsidP="00DA3321">
            <w:pPr>
              <w:autoSpaceDE w:val="0"/>
              <w:autoSpaceDN w:val="0"/>
              <w:adjustRightInd w:val="0"/>
              <w:spacing w:after="0" w:line="240" w:lineRule="auto"/>
            </w:pPr>
            <w:proofErr w:type="spellStart"/>
            <w:r>
              <w:t>Wernerfelt</w:t>
            </w:r>
            <w:proofErr w:type="spellEnd"/>
            <w:r>
              <w:t xml:space="preserve"> (1984)</w:t>
            </w:r>
          </w:p>
        </w:tc>
        <w:tc>
          <w:tcPr>
            <w:tcW w:w="6864" w:type="dxa"/>
          </w:tcPr>
          <w:p w:rsidR="001B6825" w:rsidRDefault="001B6825" w:rsidP="00DA3321">
            <w:pPr>
              <w:autoSpaceDE w:val="0"/>
              <w:autoSpaceDN w:val="0"/>
              <w:adjustRightInd w:val="0"/>
              <w:spacing w:after="0" w:line="240" w:lineRule="auto"/>
            </w:pPr>
            <w:r>
              <w:t>Views firms as bundles of resources.</w:t>
            </w:r>
          </w:p>
          <w:p w:rsidR="001B6825" w:rsidRDefault="001B6825" w:rsidP="00DA3321">
            <w:pPr>
              <w:autoSpaceDE w:val="0"/>
              <w:autoSpaceDN w:val="0"/>
              <w:adjustRightInd w:val="0"/>
              <w:spacing w:after="0" w:line="240" w:lineRule="auto"/>
            </w:pPr>
          </w:p>
        </w:tc>
      </w:tr>
      <w:tr w:rsidR="001B6825" w:rsidTr="00007EA8">
        <w:tc>
          <w:tcPr>
            <w:tcW w:w="2352" w:type="dxa"/>
          </w:tcPr>
          <w:p w:rsidR="001B6825" w:rsidRDefault="001B6825" w:rsidP="00DA3321">
            <w:pPr>
              <w:autoSpaceDE w:val="0"/>
              <w:autoSpaceDN w:val="0"/>
              <w:adjustRightInd w:val="0"/>
              <w:spacing w:after="0" w:line="240" w:lineRule="auto"/>
            </w:pPr>
            <w:proofErr w:type="spellStart"/>
            <w:r>
              <w:t>Rumelt</w:t>
            </w:r>
            <w:proofErr w:type="spellEnd"/>
            <w:r>
              <w:t xml:space="preserve"> (1984)</w:t>
            </w:r>
          </w:p>
        </w:tc>
        <w:tc>
          <w:tcPr>
            <w:tcW w:w="6864" w:type="dxa"/>
          </w:tcPr>
          <w:p w:rsidR="001B6825" w:rsidRDefault="001B6825" w:rsidP="00DA3321">
            <w:pPr>
              <w:autoSpaceDE w:val="0"/>
              <w:autoSpaceDN w:val="0"/>
              <w:adjustRightInd w:val="0"/>
              <w:spacing w:after="0" w:line="240" w:lineRule="auto"/>
            </w:pPr>
            <w:r>
              <w:t>Offers a strategic theory of the firm based on the idea of firms as resource bundles.</w:t>
            </w:r>
          </w:p>
          <w:p w:rsidR="001B6825" w:rsidRDefault="001B6825" w:rsidP="00DA3321">
            <w:pPr>
              <w:autoSpaceDE w:val="0"/>
              <w:autoSpaceDN w:val="0"/>
              <w:adjustRightInd w:val="0"/>
              <w:spacing w:after="0" w:line="240" w:lineRule="auto"/>
            </w:pPr>
          </w:p>
        </w:tc>
      </w:tr>
      <w:tr w:rsidR="001B6825" w:rsidTr="00007EA8">
        <w:tc>
          <w:tcPr>
            <w:tcW w:w="2352" w:type="dxa"/>
          </w:tcPr>
          <w:p w:rsidR="001B6825" w:rsidRDefault="001B6825" w:rsidP="00DA3321">
            <w:pPr>
              <w:autoSpaceDE w:val="0"/>
              <w:autoSpaceDN w:val="0"/>
              <w:adjustRightInd w:val="0"/>
              <w:spacing w:after="0" w:line="240" w:lineRule="auto"/>
            </w:pPr>
            <w:proofErr w:type="spellStart"/>
            <w:r>
              <w:t>Rumelt</w:t>
            </w:r>
            <w:proofErr w:type="spellEnd"/>
            <w:r>
              <w:t xml:space="preserve"> (1987)</w:t>
            </w:r>
          </w:p>
        </w:tc>
        <w:tc>
          <w:tcPr>
            <w:tcW w:w="6864" w:type="dxa"/>
          </w:tcPr>
          <w:p w:rsidR="001B6825" w:rsidRDefault="001B6825" w:rsidP="00DA3321">
            <w:pPr>
              <w:autoSpaceDE w:val="0"/>
              <w:autoSpaceDN w:val="0"/>
              <w:adjustRightInd w:val="0"/>
              <w:spacing w:after="0" w:line="240" w:lineRule="auto"/>
            </w:pPr>
            <w:r>
              <w:t>Views firms as rent-seekers. The importance of isolating mechanisms to earn rents is emphasized.</w:t>
            </w:r>
          </w:p>
          <w:p w:rsidR="001B6825" w:rsidRDefault="001B6825" w:rsidP="00DA3321">
            <w:pPr>
              <w:autoSpaceDE w:val="0"/>
              <w:autoSpaceDN w:val="0"/>
              <w:adjustRightInd w:val="0"/>
              <w:spacing w:after="0" w:line="240" w:lineRule="auto"/>
            </w:pPr>
          </w:p>
        </w:tc>
      </w:tr>
      <w:tr w:rsidR="001B6825" w:rsidTr="00007EA8">
        <w:tc>
          <w:tcPr>
            <w:tcW w:w="2352" w:type="dxa"/>
          </w:tcPr>
          <w:p w:rsidR="001B6825" w:rsidRDefault="001B6825" w:rsidP="00DA3321">
            <w:pPr>
              <w:autoSpaceDE w:val="0"/>
              <w:autoSpaceDN w:val="0"/>
              <w:adjustRightInd w:val="0"/>
              <w:spacing w:after="0" w:line="240" w:lineRule="auto"/>
            </w:pPr>
            <w:r>
              <w:t xml:space="preserve">Day and </w:t>
            </w:r>
            <w:proofErr w:type="spellStart"/>
            <w:r>
              <w:t>Wensley</w:t>
            </w:r>
            <w:proofErr w:type="spellEnd"/>
            <w:r>
              <w:t xml:space="preserve"> (1988), </w:t>
            </w:r>
            <w:proofErr w:type="spellStart"/>
            <w:r>
              <w:t>Aaker</w:t>
            </w:r>
            <w:proofErr w:type="spellEnd"/>
            <w:r>
              <w:t xml:space="preserve"> (1989), Grant (1991), </w:t>
            </w:r>
            <w:proofErr w:type="spellStart"/>
            <w:r>
              <w:t>Wernerfelt</w:t>
            </w:r>
            <w:proofErr w:type="spellEnd"/>
            <w:r>
              <w:t xml:space="preserve"> (1989)</w:t>
            </w:r>
          </w:p>
          <w:p w:rsidR="001B6825" w:rsidRDefault="001B6825" w:rsidP="00DA3321">
            <w:pPr>
              <w:autoSpaceDE w:val="0"/>
              <w:autoSpaceDN w:val="0"/>
              <w:adjustRightInd w:val="0"/>
              <w:spacing w:after="0" w:line="240" w:lineRule="auto"/>
            </w:pPr>
          </w:p>
        </w:tc>
        <w:tc>
          <w:tcPr>
            <w:tcW w:w="6864" w:type="dxa"/>
          </w:tcPr>
          <w:p w:rsidR="001B6825" w:rsidRDefault="001B6825" w:rsidP="00DA3321">
            <w:pPr>
              <w:autoSpaceDE w:val="0"/>
              <w:autoSpaceDN w:val="0"/>
              <w:adjustRightInd w:val="0"/>
              <w:spacing w:after="0" w:line="240" w:lineRule="auto"/>
            </w:pPr>
            <w:r>
              <w:t xml:space="preserve">Strategic formulation models that have firm resource as the central concept and as the sources of sustainable competitive advantage (SCA) </w:t>
            </w:r>
          </w:p>
        </w:tc>
      </w:tr>
      <w:tr w:rsidR="001B6825" w:rsidTr="00007EA8">
        <w:tc>
          <w:tcPr>
            <w:tcW w:w="2352" w:type="dxa"/>
          </w:tcPr>
          <w:p w:rsidR="001B6825" w:rsidRDefault="001B6825" w:rsidP="00DA3321">
            <w:pPr>
              <w:autoSpaceDE w:val="0"/>
              <w:autoSpaceDN w:val="0"/>
              <w:adjustRightInd w:val="0"/>
              <w:spacing w:after="0" w:line="240" w:lineRule="auto"/>
            </w:pPr>
            <w:proofErr w:type="spellStart"/>
            <w:r w:rsidRPr="00283718">
              <w:t>Dierickx</w:t>
            </w:r>
            <w:proofErr w:type="spellEnd"/>
            <w:r w:rsidRPr="00283718">
              <w:t xml:space="preserve"> and Cool </w:t>
            </w:r>
            <w:r>
              <w:t>(1989)</w:t>
            </w:r>
          </w:p>
        </w:tc>
        <w:tc>
          <w:tcPr>
            <w:tcW w:w="6864" w:type="dxa"/>
          </w:tcPr>
          <w:p w:rsidR="001B6825" w:rsidRDefault="001B6825" w:rsidP="00DA3321">
            <w:pPr>
              <w:autoSpaceDE w:val="0"/>
              <w:autoSpaceDN w:val="0"/>
              <w:adjustRightInd w:val="0"/>
              <w:spacing w:after="0" w:line="240" w:lineRule="auto"/>
            </w:pPr>
            <w:r>
              <w:t>Established a link between specific firm assets and</w:t>
            </w:r>
            <w:r w:rsidRPr="00283718">
              <w:t xml:space="preserve"> successful implementation of a </w:t>
            </w:r>
            <w:r>
              <w:t xml:space="preserve">firm’s </w:t>
            </w:r>
            <w:r w:rsidRPr="00283718">
              <w:t>strategy</w:t>
            </w:r>
            <w:r>
              <w:t>.</w:t>
            </w:r>
          </w:p>
          <w:p w:rsidR="001B6825" w:rsidRDefault="001B6825" w:rsidP="00DA3321">
            <w:pPr>
              <w:autoSpaceDE w:val="0"/>
              <w:autoSpaceDN w:val="0"/>
              <w:adjustRightInd w:val="0"/>
              <w:spacing w:after="0" w:line="240" w:lineRule="auto"/>
            </w:pPr>
          </w:p>
        </w:tc>
      </w:tr>
      <w:tr w:rsidR="001B6825" w:rsidTr="00007EA8">
        <w:tc>
          <w:tcPr>
            <w:tcW w:w="2352" w:type="dxa"/>
          </w:tcPr>
          <w:p w:rsidR="001B6825" w:rsidRDefault="001B6825" w:rsidP="00DA3321">
            <w:pPr>
              <w:autoSpaceDE w:val="0"/>
              <w:autoSpaceDN w:val="0"/>
              <w:adjustRightInd w:val="0"/>
              <w:spacing w:after="0" w:line="240" w:lineRule="auto"/>
            </w:pPr>
            <w:proofErr w:type="spellStart"/>
            <w:r>
              <w:t>Prahalad</w:t>
            </w:r>
            <w:proofErr w:type="spellEnd"/>
            <w:r>
              <w:t xml:space="preserve"> and Hamel (1990)</w:t>
            </w:r>
          </w:p>
        </w:tc>
        <w:tc>
          <w:tcPr>
            <w:tcW w:w="6864" w:type="dxa"/>
          </w:tcPr>
          <w:p w:rsidR="001B6825" w:rsidRDefault="001B6825" w:rsidP="00DA3321">
            <w:pPr>
              <w:autoSpaceDE w:val="0"/>
              <w:autoSpaceDN w:val="0"/>
              <w:adjustRightInd w:val="0"/>
              <w:spacing w:after="0" w:line="240" w:lineRule="auto"/>
            </w:pPr>
            <w:r>
              <w:t xml:space="preserve">Core competences are viewed as the drivers of corporate strategy and diversification. Businesses should exploit and leverage core competences. </w:t>
            </w:r>
          </w:p>
          <w:p w:rsidR="001B6825" w:rsidRDefault="001B6825" w:rsidP="00DA3321">
            <w:pPr>
              <w:autoSpaceDE w:val="0"/>
              <w:autoSpaceDN w:val="0"/>
              <w:adjustRightInd w:val="0"/>
              <w:spacing w:after="0" w:line="240" w:lineRule="auto"/>
            </w:pPr>
          </w:p>
        </w:tc>
      </w:tr>
    </w:tbl>
    <w:p w:rsidR="001B6825" w:rsidRDefault="001B6825" w:rsidP="00DA3321">
      <w:pPr>
        <w:autoSpaceDE w:val="0"/>
        <w:autoSpaceDN w:val="0"/>
        <w:adjustRightInd w:val="0"/>
        <w:spacing w:after="0" w:line="240" w:lineRule="auto"/>
      </w:pPr>
    </w:p>
    <w:p w:rsidR="001B6825" w:rsidRDefault="001B6825" w:rsidP="001B6825">
      <w:pPr>
        <w:autoSpaceDE w:val="0"/>
        <w:autoSpaceDN w:val="0"/>
        <w:adjustRightInd w:val="0"/>
        <w:ind w:firstLine="720"/>
      </w:pPr>
    </w:p>
    <w:p w:rsidR="006053CD" w:rsidRDefault="006053CD" w:rsidP="006053CD">
      <w:pPr>
        <w:pStyle w:val="Heading3"/>
        <w:jc w:val="center"/>
        <w:rPr>
          <w:rFonts w:ascii="Times New Roman" w:eastAsia="Calibri" w:hAnsi="Times New Roman" w:cs="Times New Roman"/>
          <w:bCs w:val="0"/>
          <w:color w:val="auto"/>
        </w:rPr>
      </w:pPr>
      <w:proofErr w:type="gramStart"/>
      <w:r>
        <w:rPr>
          <w:rFonts w:ascii="Times New Roman" w:eastAsia="Calibri" w:hAnsi="Times New Roman" w:cs="Times New Roman"/>
          <w:bCs w:val="0"/>
          <w:color w:val="auto"/>
        </w:rPr>
        <w:lastRenderedPageBreak/>
        <w:t>Table 2</w:t>
      </w:r>
      <w:r w:rsidRPr="006053CD">
        <w:rPr>
          <w:rFonts w:ascii="Times New Roman" w:eastAsia="Calibri" w:hAnsi="Times New Roman" w:cs="Times New Roman"/>
          <w:bCs w:val="0"/>
          <w:color w:val="auto"/>
        </w:rPr>
        <w:t>.1.</w:t>
      </w:r>
      <w:proofErr w:type="gramEnd"/>
      <w:r w:rsidRPr="006053CD">
        <w:rPr>
          <w:rFonts w:ascii="Times New Roman" w:eastAsia="Calibri" w:hAnsi="Times New Roman" w:cs="Times New Roman"/>
          <w:bCs w:val="0"/>
          <w:color w:val="auto"/>
        </w:rPr>
        <w:t xml:space="preserve"> Continued</w:t>
      </w:r>
    </w:p>
    <w:tbl>
      <w:tblPr>
        <w:tblW w:w="0" w:type="auto"/>
        <w:tblBorders>
          <w:top w:val="single" w:sz="4" w:space="0" w:color="auto"/>
          <w:bottom w:val="single" w:sz="4" w:space="0" w:color="auto"/>
        </w:tblBorders>
        <w:tblLook w:val="01E0"/>
      </w:tblPr>
      <w:tblGrid>
        <w:gridCol w:w="2352"/>
        <w:gridCol w:w="6864"/>
      </w:tblGrid>
      <w:tr w:rsidR="006053CD" w:rsidTr="00007EA8">
        <w:tc>
          <w:tcPr>
            <w:tcW w:w="2352" w:type="dxa"/>
            <w:tcBorders>
              <w:top w:val="single" w:sz="4" w:space="0" w:color="auto"/>
              <w:bottom w:val="single" w:sz="4" w:space="0" w:color="auto"/>
            </w:tcBorders>
          </w:tcPr>
          <w:p w:rsidR="006053CD" w:rsidRPr="00B47803" w:rsidRDefault="006053CD" w:rsidP="00007EA8">
            <w:pPr>
              <w:autoSpaceDE w:val="0"/>
              <w:autoSpaceDN w:val="0"/>
              <w:adjustRightInd w:val="0"/>
              <w:spacing w:after="0" w:line="240" w:lineRule="auto"/>
              <w:jc w:val="center"/>
              <w:rPr>
                <w:b/>
              </w:rPr>
            </w:pPr>
            <w:r w:rsidRPr="00B47803">
              <w:rPr>
                <w:b/>
              </w:rPr>
              <w:t>Authors (year)</w:t>
            </w:r>
          </w:p>
        </w:tc>
        <w:tc>
          <w:tcPr>
            <w:tcW w:w="6864" w:type="dxa"/>
            <w:tcBorders>
              <w:top w:val="single" w:sz="4" w:space="0" w:color="auto"/>
              <w:bottom w:val="single" w:sz="4" w:space="0" w:color="auto"/>
            </w:tcBorders>
          </w:tcPr>
          <w:p w:rsidR="006053CD" w:rsidRDefault="006053CD" w:rsidP="00007EA8">
            <w:pPr>
              <w:autoSpaceDE w:val="0"/>
              <w:autoSpaceDN w:val="0"/>
              <w:adjustRightInd w:val="0"/>
              <w:spacing w:after="0" w:line="240" w:lineRule="auto"/>
              <w:jc w:val="center"/>
              <w:rPr>
                <w:b/>
              </w:rPr>
            </w:pPr>
            <w:r w:rsidRPr="00B47803">
              <w:rPr>
                <w:b/>
              </w:rPr>
              <w:t>Major contribution</w:t>
            </w:r>
          </w:p>
          <w:p w:rsidR="006053CD" w:rsidRPr="00B47803" w:rsidRDefault="006053CD" w:rsidP="00007EA8">
            <w:pPr>
              <w:autoSpaceDE w:val="0"/>
              <w:autoSpaceDN w:val="0"/>
              <w:adjustRightInd w:val="0"/>
              <w:spacing w:after="0" w:line="240" w:lineRule="auto"/>
              <w:jc w:val="center"/>
              <w:rPr>
                <w:b/>
              </w:rPr>
            </w:pPr>
          </w:p>
        </w:tc>
      </w:tr>
      <w:tr w:rsidR="006053CD" w:rsidTr="00007EA8">
        <w:tc>
          <w:tcPr>
            <w:tcW w:w="2352" w:type="dxa"/>
          </w:tcPr>
          <w:p w:rsidR="006053CD" w:rsidRDefault="006053CD" w:rsidP="00007EA8">
            <w:pPr>
              <w:autoSpaceDE w:val="0"/>
              <w:autoSpaceDN w:val="0"/>
              <w:adjustRightInd w:val="0"/>
              <w:spacing w:after="0" w:line="240" w:lineRule="auto"/>
            </w:pPr>
          </w:p>
          <w:p w:rsidR="006053CD" w:rsidRDefault="006053CD" w:rsidP="00007EA8">
            <w:pPr>
              <w:autoSpaceDE w:val="0"/>
              <w:autoSpaceDN w:val="0"/>
              <w:adjustRightInd w:val="0"/>
              <w:spacing w:after="0" w:line="240" w:lineRule="auto"/>
            </w:pPr>
            <w:r>
              <w:t xml:space="preserve">Hansen and </w:t>
            </w:r>
            <w:proofErr w:type="spellStart"/>
            <w:r>
              <w:t>Wernerfelt</w:t>
            </w:r>
            <w:proofErr w:type="spellEnd"/>
            <w:r>
              <w:t xml:space="preserve"> (1989), </w:t>
            </w:r>
            <w:proofErr w:type="spellStart"/>
            <w:r>
              <w:t>Rumelt</w:t>
            </w:r>
            <w:proofErr w:type="spellEnd"/>
            <w:r>
              <w:t xml:space="preserve"> (1991)</w:t>
            </w:r>
          </w:p>
        </w:tc>
        <w:tc>
          <w:tcPr>
            <w:tcW w:w="6864" w:type="dxa"/>
          </w:tcPr>
          <w:p w:rsidR="006053CD" w:rsidRDefault="006053CD" w:rsidP="00007EA8">
            <w:pPr>
              <w:autoSpaceDE w:val="0"/>
              <w:autoSpaceDN w:val="0"/>
              <w:adjustRightInd w:val="0"/>
              <w:spacing w:after="0" w:line="240" w:lineRule="auto"/>
            </w:pPr>
          </w:p>
          <w:p w:rsidR="006053CD" w:rsidRDefault="006053CD" w:rsidP="00007EA8">
            <w:pPr>
              <w:autoSpaceDE w:val="0"/>
              <w:autoSpaceDN w:val="0"/>
              <w:adjustRightInd w:val="0"/>
              <w:spacing w:after="0" w:line="240" w:lineRule="auto"/>
            </w:pPr>
            <w:r>
              <w:t>Empirical support for the hypotheses comparing firm-specific resources or organizational factors to industry factors and concluding that firm-specific resources are more important for explaining firm superior performance.</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r>
              <w:t>Barney (1991)</w:t>
            </w:r>
          </w:p>
        </w:tc>
        <w:tc>
          <w:tcPr>
            <w:tcW w:w="6864" w:type="dxa"/>
          </w:tcPr>
          <w:p w:rsidR="006053CD" w:rsidRDefault="006053CD" w:rsidP="00007EA8">
            <w:pPr>
              <w:autoSpaceDE w:val="0"/>
              <w:autoSpaceDN w:val="0"/>
              <w:adjustRightInd w:val="0"/>
              <w:spacing w:after="0" w:line="240" w:lineRule="auto"/>
            </w:pPr>
            <w:r>
              <w:t>Key strategic resources can be sources of SCA if they are valuable, scarce, non-substitutable, and difficult to imitate.</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r>
              <w:t>Conner (1991)</w:t>
            </w:r>
          </w:p>
        </w:tc>
        <w:tc>
          <w:tcPr>
            <w:tcW w:w="6864" w:type="dxa"/>
          </w:tcPr>
          <w:p w:rsidR="006053CD" w:rsidRDefault="006053CD" w:rsidP="00007EA8">
            <w:pPr>
              <w:autoSpaceDE w:val="0"/>
              <w:autoSpaceDN w:val="0"/>
              <w:adjustRightInd w:val="0"/>
              <w:spacing w:after="0" w:line="240" w:lineRule="auto"/>
            </w:pPr>
            <w:r>
              <w:t>Compares the resource-based theory with other strategy approaches derived from economics and offers a clarification of assumptions of the resource-based theory and its implications for rent-earning strategies.</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proofErr w:type="spellStart"/>
            <w:r>
              <w:t>Peteraf</w:t>
            </w:r>
            <w:proofErr w:type="spellEnd"/>
            <w:r>
              <w:t xml:space="preserve"> (1993)</w:t>
            </w:r>
          </w:p>
        </w:tc>
        <w:tc>
          <w:tcPr>
            <w:tcW w:w="6864" w:type="dxa"/>
          </w:tcPr>
          <w:p w:rsidR="006053CD" w:rsidRDefault="006053CD" w:rsidP="00007EA8">
            <w:pPr>
              <w:autoSpaceDE w:val="0"/>
              <w:autoSpaceDN w:val="0"/>
              <w:adjustRightInd w:val="0"/>
              <w:spacing w:after="0" w:line="240" w:lineRule="auto"/>
            </w:pPr>
            <w:r>
              <w:t>Offers an integrative resource-based framework of SCA proposing that firms obtain superior performance by earning rents from scarce and efficient resources and from market power in the product markets.</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r>
              <w:t xml:space="preserve">Day (1994) </w:t>
            </w:r>
          </w:p>
        </w:tc>
        <w:tc>
          <w:tcPr>
            <w:tcW w:w="6864" w:type="dxa"/>
          </w:tcPr>
          <w:p w:rsidR="006053CD" w:rsidRDefault="006053CD" w:rsidP="00007EA8">
            <w:pPr>
              <w:autoSpaceDE w:val="0"/>
              <w:autoSpaceDN w:val="0"/>
              <w:adjustRightInd w:val="0"/>
              <w:spacing w:after="0" w:line="240" w:lineRule="auto"/>
            </w:pPr>
            <w:r>
              <w:t>Offers a capabilities framework of SCA, distinguishing between outside-in, spanning and inside-out capabilities. Logistics and customer-order fulfillment capabilities were included in the framework.</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proofErr w:type="spellStart"/>
            <w:r>
              <w:t>Teece</w:t>
            </w:r>
            <w:proofErr w:type="spellEnd"/>
            <w:r>
              <w:t xml:space="preserve"> et al. (1997), </w:t>
            </w:r>
            <w:proofErr w:type="spellStart"/>
            <w:r>
              <w:t>Teece</w:t>
            </w:r>
            <w:proofErr w:type="spellEnd"/>
            <w:r>
              <w:t xml:space="preserve"> (2007)</w:t>
            </w:r>
          </w:p>
          <w:p w:rsidR="006053CD" w:rsidRDefault="006053CD" w:rsidP="00007EA8">
            <w:pPr>
              <w:autoSpaceDE w:val="0"/>
              <w:autoSpaceDN w:val="0"/>
              <w:adjustRightInd w:val="0"/>
              <w:spacing w:after="0" w:line="240" w:lineRule="auto"/>
            </w:pPr>
          </w:p>
        </w:tc>
        <w:tc>
          <w:tcPr>
            <w:tcW w:w="6864" w:type="dxa"/>
          </w:tcPr>
          <w:p w:rsidR="006053CD" w:rsidRDefault="006053CD" w:rsidP="00007EA8">
            <w:pPr>
              <w:autoSpaceDE w:val="0"/>
              <w:autoSpaceDN w:val="0"/>
              <w:adjustRightInd w:val="0"/>
              <w:spacing w:after="0" w:line="240" w:lineRule="auto"/>
            </w:pPr>
            <w:r>
              <w:t>Propose and develop a dynamic capabilities perspective.</w:t>
            </w:r>
          </w:p>
        </w:tc>
      </w:tr>
      <w:tr w:rsidR="006053CD" w:rsidTr="00007EA8">
        <w:tc>
          <w:tcPr>
            <w:tcW w:w="2352" w:type="dxa"/>
          </w:tcPr>
          <w:p w:rsidR="006053CD" w:rsidRDefault="006053CD" w:rsidP="00007EA8">
            <w:pPr>
              <w:autoSpaceDE w:val="0"/>
              <w:autoSpaceDN w:val="0"/>
              <w:adjustRightInd w:val="0"/>
              <w:spacing w:after="0" w:line="240" w:lineRule="auto"/>
            </w:pPr>
            <w:proofErr w:type="spellStart"/>
            <w:r>
              <w:t>Eisenhardt</w:t>
            </w:r>
            <w:proofErr w:type="spellEnd"/>
            <w:r>
              <w:t xml:space="preserve"> and Martin (2000)</w:t>
            </w:r>
          </w:p>
          <w:p w:rsidR="006053CD" w:rsidRDefault="006053CD" w:rsidP="00007EA8">
            <w:pPr>
              <w:autoSpaceDE w:val="0"/>
              <w:autoSpaceDN w:val="0"/>
              <w:adjustRightInd w:val="0"/>
              <w:spacing w:after="0" w:line="240" w:lineRule="auto"/>
            </w:pPr>
          </w:p>
        </w:tc>
        <w:tc>
          <w:tcPr>
            <w:tcW w:w="6864" w:type="dxa"/>
          </w:tcPr>
          <w:p w:rsidR="006053CD" w:rsidRDefault="006053CD" w:rsidP="00007EA8">
            <w:pPr>
              <w:autoSpaceDE w:val="0"/>
              <w:autoSpaceDN w:val="0"/>
              <w:adjustRightInd w:val="0"/>
              <w:spacing w:after="0" w:line="240" w:lineRule="auto"/>
            </w:pPr>
            <w:r>
              <w:t>Provide additional support for a dynamic capabilities perspective.</w:t>
            </w:r>
          </w:p>
        </w:tc>
      </w:tr>
      <w:tr w:rsidR="006053CD" w:rsidTr="00007EA8">
        <w:tc>
          <w:tcPr>
            <w:tcW w:w="2352" w:type="dxa"/>
          </w:tcPr>
          <w:p w:rsidR="006053CD" w:rsidRDefault="006053CD" w:rsidP="00007EA8">
            <w:pPr>
              <w:autoSpaceDE w:val="0"/>
              <w:autoSpaceDN w:val="0"/>
              <w:adjustRightInd w:val="0"/>
              <w:spacing w:after="0" w:line="240" w:lineRule="auto"/>
            </w:pPr>
            <w:r>
              <w:t>Mahoney (2001)</w:t>
            </w:r>
          </w:p>
        </w:tc>
        <w:tc>
          <w:tcPr>
            <w:tcW w:w="6864" w:type="dxa"/>
          </w:tcPr>
          <w:p w:rsidR="006053CD" w:rsidRDefault="006053CD" w:rsidP="00007EA8">
            <w:pPr>
              <w:autoSpaceDE w:val="0"/>
              <w:autoSpaceDN w:val="0"/>
              <w:adjustRightInd w:val="0"/>
              <w:spacing w:after="0" w:line="240" w:lineRule="auto"/>
            </w:pPr>
            <w:r>
              <w:t>Offers an alternative perspective on the similarities and distinctions between the RBV and transaction cost economics (TCE).</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r>
              <w:t>Barney (2001)</w:t>
            </w:r>
          </w:p>
        </w:tc>
        <w:tc>
          <w:tcPr>
            <w:tcW w:w="6864" w:type="dxa"/>
          </w:tcPr>
          <w:p w:rsidR="006053CD" w:rsidRDefault="006053CD" w:rsidP="00007EA8">
            <w:pPr>
              <w:autoSpaceDE w:val="0"/>
              <w:autoSpaceDN w:val="0"/>
              <w:adjustRightInd w:val="0"/>
              <w:spacing w:after="0" w:line="240" w:lineRule="auto"/>
            </w:pPr>
            <w:r>
              <w:t>Discusses the implications of linking the RBV to the neoclassical microeconomics and evolutionary economics literatures.</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r>
              <w:t>Barney et al. (2001)</w:t>
            </w:r>
          </w:p>
        </w:tc>
        <w:tc>
          <w:tcPr>
            <w:tcW w:w="6864" w:type="dxa"/>
          </w:tcPr>
          <w:p w:rsidR="006053CD" w:rsidRDefault="006053CD" w:rsidP="00007EA8">
            <w:pPr>
              <w:autoSpaceDE w:val="0"/>
              <w:autoSpaceDN w:val="0"/>
              <w:adjustRightInd w:val="0"/>
              <w:spacing w:after="0" w:line="240" w:lineRule="auto"/>
            </w:pPr>
            <w:r>
              <w:t>Review up to date RBV research and offer a further research agenda.</w:t>
            </w:r>
          </w:p>
          <w:p w:rsidR="006053CD" w:rsidRDefault="006053CD" w:rsidP="00007EA8">
            <w:pPr>
              <w:autoSpaceDE w:val="0"/>
              <w:autoSpaceDN w:val="0"/>
              <w:adjustRightInd w:val="0"/>
              <w:spacing w:after="0" w:line="240" w:lineRule="auto"/>
            </w:pPr>
          </w:p>
        </w:tc>
      </w:tr>
      <w:tr w:rsidR="006053CD" w:rsidTr="00007EA8">
        <w:tc>
          <w:tcPr>
            <w:tcW w:w="2352" w:type="dxa"/>
          </w:tcPr>
          <w:p w:rsidR="006053CD" w:rsidRDefault="006053CD" w:rsidP="00007EA8">
            <w:pPr>
              <w:autoSpaceDE w:val="0"/>
              <w:autoSpaceDN w:val="0"/>
              <w:adjustRightInd w:val="0"/>
              <w:spacing w:after="0" w:line="240" w:lineRule="auto"/>
            </w:pPr>
            <w:proofErr w:type="spellStart"/>
            <w:r>
              <w:t>Kraaijenbrink</w:t>
            </w:r>
            <w:proofErr w:type="spellEnd"/>
            <w:r>
              <w:t xml:space="preserve"> et al. (2010)</w:t>
            </w:r>
          </w:p>
        </w:tc>
        <w:tc>
          <w:tcPr>
            <w:tcW w:w="6864" w:type="dxa"/>
          </w:tcPr>
          <w:p w:rsidR="006053CD" w:rsidRDefault="006053CD" w:rsidP="00007EA8">
            <w:pPr>
              <w:autoSpaceDE w:val="0"/>
              <w:autoSpaceDN w:val="0"/>
              <w:adjustRightInd w:val="0"/>
              <w:spacing w:after="0" w:line="240" w:lineRule="auto"/>
            </w:pPr>
            <w:r>
              <w:t>Offer a comprehensive review and assessment of key critiques related to the RBV, and offer additional suggestions for its future development.</w:t>
            </w:r>
          </w:p>
        </w:tc>
      </w:tr>
    </w:tbl>
    <w:p w:rsidR="001B6825" w:rsidRDefault="001B6825" w:rsidP="00DB292C">
      <w:pPr>
        <w:autoSpaceDE w:val="0"/>
        <w:autoSpaceDN w:val="0"/>
        <w:adjustRightInd w:val="0"/>
        <w:spacing w:after="0" w:line="480" w:lineRule="auto"/>
        <w:ind w:firstLine="720"/>
      </w:pPr>
      <w:r>
        <w:lastRenderedPageBreak/>
        <w:t xml:space="preserve">Additionally, the theoretical and empirical development of the RBV has been reviewed and summarized by a number of researchers, including Barney et al. (2001), </w:t>
      </w:r>
      <w:proofErr w:type="spellStart"/>
      <w:r>
        <w:t>Acedo</w:t>
      </w:r>
      <w:proofErr w:type="spellEnd"/>
      <w:r>
        <w:t xml:space="preserve"> et al. (2006), Armstrong and </w:t>
      </w:r>
      <w:smartTag w:uri="urn:schemas-microsoft-com:office:smarttags" w:element="place">
        <w:smartTag w:uri="urn:schemas-microsoft-com:office:smarttags" w:element="City">
          <w:r>
            <w:t>Shimizu</w:t>
          </w:r>
        </w:smartTag>
      </w:smartTag>
      <w:r>
        <w:t xml:space="preserve"> (2007), </w:t>
      </w:r>
      <w:proofErr w:type="spellStart"/>
      <w:r>
        <w:t>Newbert</w:t>
      </w:r>
      <w:proofErr w:type="spellEnd"/>
      <w:r>
        <w:t xml:space="preserve"> (2007), and </w:t>
      </w:r>
      <w:proofErr w:type="spellStart"/>
      <w:r>
        <w:t>Kraaijenbrink</w:t>
      </w:r>
      <w:proofErr w:type="spellEnd"/>
      <w:r>
        <w:t xml:space="preserve"> et al. (2010). The RBV has been applied to a number of research phenomena</w:t>
      </w:r>
      <w:r w:rsidRPr="0010712D">
        <w:t xml:space="preserve"> </w:t>
      </w:r>
      <w:r>
        <w:t xml:space="preserve">from several business disciplines. For example, it has made significant contributions to the areas of strategic human resource management (Wright et al. 2001), corporate governance (Lockett and Thompson 2001), entrepreneurship (Alvarez and </w:t>
      </w:r>
      <w:proofErr w:type="spellStart"/>
      <w:r>
        <w:t>Busenitz</w:t>
      </w:r>
      <w:proofErr w:type="spellEnd"/>
      <w:r>
        <w:t xml:space="preserve"> 2001), international business (</w:t>
      </w:r>
      <w:proofErr w:type="spellStart"/>
      <w:r>
        <w:t>Peng</w:t>
      </w:r>
      <w:proofErr w:type="spellEnd"/>
      <w:r>
        <w:t xml:space="preserve"> 2001), logistics (</w:t>
      </w:r>
      <w:proofErr w:type="spellStart"/>
      <w:r>
        <w:t>Olavarrieta</w:t>
      </w:r>
      <w:proofErr w:type="spellEnd"/>
      <w:r>
        <w:t xml:space="preserve"> and </w:t>
      </w:r>
      <w:proofErr w:type="spellStart"/>
      <w:r>
        <w:t>Ellinger</w:t>
      </w:r>
      <w:proofErr w:type="spellEnd"/>
      <w:r>
        <w:t xml:space="preserve"> 1997) and supply chain management (</w:t>
      </w:r>
      <w:proofErr w:type="spellStart"/>
      <w:r>
        <w:t>Ketchen</w:t>
      </w:r>
      <w:proofErr w:type="spellEnd"/>
      <w:r>
        <w:t xml:space="preserve"> and </w:t>
      </w:r>
      <w:proofErr w:type="spellStart"/>
      <w:r>
        <w:t>Hult</w:t>
      </w:r>
      <w:proofErr w:type="spellEnd"/>
      <w:r>
        <w:t xml:space="preserve"> 2006, Barratt and </w:t>
      </w:r>
      <w:proofErr w:type="spellStart"/>
      <w:r>
        <w:t>Oke</w:t>
      </w:r>
      <w:proofErr w:type="spellEnd"/>
      <w:r>
        <w:t xml:space="preserve"> 2007).     </w:t>
      </w:r>
    </w:p>
    <w:p w:rsidR="008572FA" w:rsidRDefault="001B6825" w:rsidP="00DB292C">
      <w:pPr>
        <w:autoSpaceDE w:val="0"/>
        <w:autoSpaceDN w:val="0"/>
        <w:adjustRightInd w:val="0"/>
        <w:spacing w:after="0" w:line="480" w:lineRule="auto"/>
        <w:ind w:firstLine="720"/>
      </w:pPr>
      <w:r>
        <w:t xml:space="preserve">In the process of its development, the RBV has also been extensively criticized. After conducting an extensive analysis of the related literature, </w:t>
      </w:r>
      <w:proofErr w:type="spellStart"/>
      <w:r>
        <w:t>Kraaijenbrink</w:t>
      </w:r>
      <w:proofErr w:type="spellEnd"/>
      <w:r>
        <w:t xml:space="preserve"> et al. (2010) concluded that the critiques of the RBV could be summarized into several major categories. The most important and relevant to the current research categories of critiques are summarized in Table 2.2 along with an original assessment of such critiques and</w:t>
      </w:r>
      <w:r w:rsidR="008572FA">
        <w:t xml:space="preserve"> applicability to this research </w:t>
      </w:r>
      <w:r w:rsidR="008572FA" w:rsidRPr="008572FA">
        <w:t xml:space="preserve">(adapted from </w:t>
      </w:r>
      <w:proofErr w:type="spellStart"/>
      <w:r w:rsidR="008572FA" w:rsidRPr="008572FA">
        <w:t>Kraaijenbrink</w:t>
      </w:r>
      <w:proofErr w:type="spellEnd"/>
      <w:r w:rsidR="008572FA" w:rsidRPr="008572FA">
        <w:t xml:space="preserve"> et al. (2010).</w:t>
      </w:r>
    </w:p>
    <w:p w:rsidR="008572FA" w:rsidRDefault="001B6825" w:rsidP="008572FA">
      <w:pPr>
        <w:autoSpaceDE w:val="0"/>
        <w:autoSpaceDN w:val="0"/>
        <w:adjustRightInd w:val="0"/>
        <w:spacing w:after="0" w:line="240" w:lineRule="auto"/>
        <w:jc w:val="center"/>
        <w:rPr>
          <w:b/>
        </w:rPr>
      </w:pPr>
      <w:r>
        <w:rPr>
          <w:b/>
        </w:rPr>
        <w:t>Table 2.2</w:t>
      </w:r>
      <w:r w:rsidRPr="00D42017">
        <w:rPr>
          <w:b/>
        </w:rPr>
        <w:t xml:space="preserve"> Assessment of Selected Critiq</w:t>
      </w:r>
      <w:r w:rsidR="00491242">
        <w:rPr>
          <w:b/>
        </w:rPr>
        <w:t>ues to the RBV</w:t>
      </w:r>
      <w:r w:rsidRPr="00D42017">
        <w:rPr>
          <w:b/>
        </w:rPr>
        <w:t xml:space="preserve"> </w:t>
      </w:r>
    </w:p>
    <w:p w:rsidR="008572FA" w:rsidRDefault="008572FA" w:rsidP="008572FA">
      <w:pPr>
        <w:autoSpaceDE w:val="0"/>
        <w:autoSpaceDN w:val="0"/>
        <w:adjustRightInd w:val="0"/>
        <w:spacing w:after="0" w:line="240" w:lineRule="auto"/>
      </w:pPr>
    </w:p>
    <w:tbl>
      <w:tblPr>
        <w:tblW w:w="0" w:type="auto"/>
        <w:tblBorders>
          <w:top w:val="single" w:sz="4" w:space="0" w:color="auto"/>
          <w:bottom w:val="single" w:sz="4" w:space="0" w:color="auto"/>
          <w:insideH w:val="single" w:sz="4" w:space="0" w:color="auto"/>
        </w:tblBorders>
        <w:tblLook w:val="01E0"/>
      </w:tblPr>
      <w:tblGrid>
        <w:gridCol w:w="2352"/>
        <w:gridCol w:w="3516"/>
        <w:gridCol w:w="3348"/>
      </w:tblGrid>
      <w:tr w:rsidR="001B6825" w:rsidTr="008572FA">
        <w:tc>
          <w:tcPr>
            <w:tcW w:w="2352" w:type="dxa"/>
            <w:tcBorders>
              <w:bottom w:val="single" w:sz="4" w:space="0" w:color="auto"/>
            </w:tcBorders>
          </w:tcPr>
          <w:p w:rsidR="001B6825" w:rsidRPr="008572FA" w:rsidRDefault="001B6825" w:rsidP="008572FA">
            <w:pPr>
              <w:autoSpaceDE w:val="0"/>
              <w:autoSpaceDN w:val="0"/>
              <w:adjustRightInd w:val="0"/>
              <w:spacing w:after="0" w:line="240" w:lineRule="auto"/>
              <w:rPr>
                <w:b/>
              </w:rPr>
            </w:pPr>
            <w:r w:rsidRPr="008572FA">
              <w:rPr>
                <w:b/>
              </w:rPr>
              <w:t xml:space="preserve"> Critique and authors</w:t>
            </w:r>
          </w:p>
        </w:tc>
        <w:tc>
          <w:tcPr>
            <w:tcW w:w="3516" w:type="dxa"/>
            <w:tcBorders>
              <w:bottom w:val="single" w:sz="4" w:space="0" w:color="auto"/>
            </w:tcBorders>
          </w:tcPr>
          <w:p w:rsidR="001B6825" w:rsidRPr="008572FA" w:rsidRDefault="001B6825" w:rsidP="008572FA">
            <w:pPr>
              <w:autoSpaceDE w:val="0"/>
              <w:autoSpaceDN w:val="0"/>
              <w:adjustRightInd w:val="0"/>
              <w:spacing w:after="0" w:line="240" w:lineRule="auto"/>
              <w:rPr>
                <w:b/>
              </w:rPr>
            </w:pPr>
            <w:r w:rsidRPr="008572FA">
              <w:rPr>
                <w:b/>
              </w:rPr>
              <w:t>Assessment</w:t>
            </w:r>
          </w:p>
        </w:tc>
        <w:tc>
          <w:tcPr>
            <w:tcW w:w="3348" w:type="dxa"/>
            <w:tcBorders>
              <w:bottom w:val="single" w:sz="4" w:space="0" w:color="auto"/>
            </w:tcBorders>
          </w:tcPr>
          <w:p w:rsidR="001B6825" w:rsidRPr="008572FA" w:rsidRDefault="001B6825" w:rsidP="008572FA">
            <w:pPr>
              <w:autoSpaceDE w:val="0"/>
              <w:autoSpaceDN w:val="0"/>
              <w:adjustRightInd w:val="0"/>
              <w:spacing w:after="0" w:line="240" w:lineRule="auto"/>
              <w:rPr>
                <w:b/>
              </w:rPr>
            </w:pPr>
            <w:r w:rsidRPr="008572FA">
              <w:rPr>
                <w:b/>
              </w:rPr>
              <w:t>Relevance to this research</w:t>
            </w:r>
          </w:p>
          <w:p w:rsidR="008572FA" w:rsidRPr="008572FA" w:rsidRDefault="008572FA" w:rsidP="008572FA">
            <w:pPr>
              <w:autoSpaceDE w:val="0"/>
              <w:autoSpaceDN w:val="0"/>
              <w:adjustRightInd w:val="0"/>
              <w:spacing w:after="0" w:line="240" w:lineRule="auto"/>
              <w:rPr>
                <w:b/>
              </w:rPr>
            </w:pPr>
          </w:p>
        </w:tc>
      </w:tr>
      <w:tr w:rsidR="001B6825" w:rsidTr="008572FA">
        <w:tc>
          <w:tcPr>
            <w:tcW w:w="2352" w:type="dxa"/>
            <w:tcBorders>
              <w:bottom w:val="nil"/>
            </w:tcBorders>
          </w:tcPr>
          <w:p w:rsidR="008572FA" w:rsidRDefault="008572FA" w:rsidP="008572FA">
            <w:pPr>
              <w:autoSpaceDE w:val="0"/>
              <w:autoSpaceDN w:val="0"/>
              <w:adjustRightInd w:val="0"/>
              <w:spacing w:after="0" w:line="240" w:lineRule="auto"/>
            </w:pPr>
          </w:p>
          <w:p w:rsidR="001B6825" w:rsidRDefault="001B6825" w:rsidP="008572FA">
            <w:pPr>
              <w:autoSpaceDE w:val="0"/>
              <w:autoSpaceDN w:val="0"/>
              <w:adjustRightInd w:val="0"/>
              <w:spacing w:after="0" w:line="240" w:lineRule="auto"/>
            </w:pPr>
            <w:r>
              <w:t>1. The RBV has no managerial implications (</w:t>
            </w:r>
            <w:proofErr w:type="spellStart"/>
            <w:r>
              <w:t>Priem</w:t>
            </w:r>
            <w:proofErr w:type="spellEnd"/>
            <w:r>
              <w:t xml:space="preserve"> and Butler 2001).</w:t>
            </w:r>
          </w:p>
        </w:tc>
        <w:tc>
          <w:tcPr>
            <w:tcW w:w="3516" w:type="dxa"/>
            <w:tcBorders>
              <w:bottom w:val="nil"/>
            </w:tcBorders>
          </w:tcPr>
          <w:p w:rsidR="008572FA" w:rsidRDefault="008572FA" w:rsidP="008572FA">
            <w:pPr>
              <w:autoSpaceDE w:val="0"/>
              <w:autoSpaceDN w:val="0"/>
              <w:adjustRightInd w:val="0"/>
              <w:spacing w:after="0" w:line="240" w:lineRule="auto"/>
            </w:pPr>
          </w:p>
          <w:p w:rsidR="001B6825" w:rsidRDefault="001B6825" w:rsidP="008572FA">
            <w:pPr>
              <w:autoSpaceDE w:val="0"/>
              <w:autoSpaceDN w:val="0"/>
              <w:adjustRightInd w:val="0"/>
              <w:spacing w:after="0" w:line="240" w:lineRule="auto"/>
            </w:pPr>
            <w:r>
              <w:t>Not all theories should have direct managerial implications. Through its wide dissemination, the RBV has evident impact.</w:t>
            </w:r>
          </w:p>
        </w:tc>
        <w:tc>
          <w:tcPr>
            <w:tcW w:w="3348" w:type="dxa"/>
            <w:tcBorders>
              <w:bottom w:val="nil"/>
            </w:tcBorders>
          </w:tcPr>
          <w:p w:rsidR="008572FA" w:rsidRDefault="008572FA" w:rsidP="008572FA">
            <w:pPr>
              <w:autoSpaceDE w:val="0"/>
              <w:autoSpaceDN w:val="0"/>
              <w:adjustRightInd w:val="0"/>
              <w:spacing w:after="0" w:line="240" w:lineRule="auto"/>
            </w:pPr>
          </w:p>
          <w:p w:rsidR="001B6825" w:rsidRDefault="001B6825" w:rsidP="008572FA">
            <w:pPr>
              <w:autoSpaceDE w:val="0"/>
              <w:autoSpaceDN w:val="0"/>
              <w:adjustRightInd w:val="0"/>
              <w:spacing w:after="0" w:line="240" w:lineRule="auto"/>
            </w:pPr>
            <w:r>
              <w:t>A combination of the RBV and other theoretical approaches used in this research results in conceptual framework that has both theoretical and managerial implications.</w:t>
            </w:r>
          </w:p>
          <w:p w:rsidR="001B6825" w:rsidRDefault="001B6825" w:rsidP="008572FA">
            <w:pPr>
              <w:autoSpaceDE w:val="0"/>
              <w:autoSpaceDN w:val="0"/>
              <w:adjustRightInd w:val="0"/>
              <w:spacing w:after="0" w:line="240" w:lineRule="auto"/>
            </w:pPr>
          </w:p>
        </w:tc>
      </w:tr>
      <w:tr w:rsidR="001B6825" w:rsidTr="0014436B">
        <w:tc>
          <w:tcPr>
            <w:tcW w:w="2352" w:type="dxa"/>
            <w:tcBorders>
              <w:top w:val="nil"/>
              <w:bottom w:val="single" w:sz="4" w:space="0" w:color="auto"/>
            </w:tcBorders>
          </w:tcPr>
          <w:p w:rsidR="001B6825" w:rsidRDefault="001B6825" w:rsidP="008572FA">
            <w:pPr>
              <w:autoSpaceDE w:val="0"/>
              <w:autoSpaceDN w:val="0"/>
              <w:adjustRightInd w:val="0"/>
              <w:spacing w:after="0" w:line="240" w:lineRule="auto"/>
            </w:pPr>
            <w:r>
              <w:t>2. The RBV’s applicability is too limited (Miller 2003, Barney 2002).</w:t>
            </w:r>
          </w:p>
        </w:tc>
        <w:tc>
          <w:tcPr>
            <w:tcW w:w="3516" w:type="dxa"/>
            <w:tcBorders>
              <w:top w:val="nil"/>
              <w:bottom w:val="single" w:sz="4" w:space="0" w:color="auto"/>
            </w:tcBorders>
          </w:tcPr>
          <w:p w:rsidR="001B6825" w:rsidRDefault="001B6825" w:rsidP="008572FA">
            <w:pPr>
              <w:autoSpaceDE w:val="0"/>
              <w:autoSpaceDN w:val="0"/>
              <w:adjustRightInd w:val="0"/>
              <w:spacing w:after="0" w:line="240" w:lineRule="auto"/>
            </w:pPr>
            <w:r>
              <w:t xml:space="preserve">The RBV applies only to firms in predictable environments. </w:t>
            </w:r>
          </w:p>
        </w:tc>
        <w:tc>
          <w:tcPr>
            <w:tcW w:w="3348" w:type="dxa"/>
            <w:tcBorders>
              <w:top w:val="nil"/>
              <w:bottom w:val="single" w:sz="4" w:space="0" w:color="auto"/>
            </w:tcBorders>
          </w:tcPr>
          <w:p w:rsidR="001B6825" w:rsidRDefault="001B6825" w:rsidP="008572FA">
            <w:pPr>
              <w:autoSpaceDE w:val="0"/>
              <w:autoSpaceDN w:val="0"/>
              <w:adjustRightInd w:val="0"/>
              <w:spacing w:after="0" w:line="240" w:lineRule="auto"/>
            </w:pPr>
            <w:r>
              <w:t>A dynamic capabilities extension of the RBV could be successfully applied in the context of current research.</w:t>
            </w:r>
          </w:p>
        </w:tc>
      </w:tr>
    </w:tbl>
    <w:p w:rsidR="00DB292C" w:rsidRDefault="00DB292C" w:rsidP="008572FA">
      <w:pPr>
        <w:autoSpaceDE w:val="0"/>
        <w:autoSpaceDN w:val="0"/>
        <w:adjustRightInd w:val="0"/>
        <w:spacing w:after="0" w:line="240" w:lineRule="auto"/>
        <w:jc w:val="center"/>
        <w:rPr>
          <w:b/>
        </w:rPr>
      </w:pPr>
    </w:p>
    <w:p w:rsidR="00DB292C" w:rsidRDefault="00DB292C" w:rsidP="008572FA">
      <w:pPr>
        <w:autoSpaceDE w:val="0"/>
        <w:autoSpaceDN w:val="0"/>
        <w:adjustRightInd w:val="0"/>
        <w:spacing w:after="0" w:line="240" w:lineRule="auto"/>
        <w:jc w:val="center"/>
        <w:rPr>
          <w:b/>
        </w:rPr>
      </w:pPr>
    </w:p>
    <w:p w:rsidR="008572FA" w:rsidRDefault="008572FA" w:rsidP="008572FA">
      <w:pPr>
        <w:autoSpaceDE w:val="0"/>
        <w:autoSpaceDN w:val="0"/>
        <w:adjustRightInd w:val="0"/>
        <w:spacing w:after="0" w:line="240" w:lineRule="auto"/>
        <w:jc w:val="center"/>
        <w:rPr>
          <w:b/>
        </w:rPr>
      </w:pPr>
      <w:proofErr w:type="gramStart"/>
      <w:r>
        <w:rPr>
          <w:b/>
        </w:rPr>
        <w:t>Table 2.2.</w:t>
      </w:r>
      <w:proofErr w:type="gramEnd"/>
      <w:r>
        <w:rPr>
          <w:b/>
        </w:rPr>
        <w:t xml:space="preserve"> Continued</w:t>
      </w:r>
    </w:p>
    <w:p w:rsidR="008572FA" w:rsidRDefault="008572FA" w:rsidP="008572FA">
      <w:pPr>
        <w:autoSpaceDE w:val="0"/>
        <w:autoSpaceDN w:val="0"/>
        <w:adjustRightInd w:val="0"/>
        <w:spacing w:after="0" w:line="240" w:lineRule="auto"/>
      </w:pPr>
    </w:p>
    <w:tbl>
      <w:tblPr>
        <w:tblW w:w="0" w:type="auto"/>
        <w:tblBorders>
          <w:top w:val="single" w:sz="4" w:space="0" w:color="auto"/>
          <w:bottom w:val="single" w:sz="4" w:space="0" w:color="auto"/>
          <w:insideH w:val="single" w:sz="4" w:space="0" w:color="auto"/>
        </w:tblBorders>
        <w:tblLook w:val="01E0"/>
      </w:tblPr>
      <w:tblGrid>
        <w:gridCol w:w="2352"/>
        <w:gridCol w:w="3516"/>
        <w:gridCol w:w="224"/>
        <w:gridCol w:w="3124"/>
      </w:tblGrid>
      <w:tr w:rsidR="008572FA" w:rsidTr="00007EA8">
        <w:tc>
          <w:tcPr>
            <w:tcW w:w="2352" w:type="dxa"/>
            <w:tcBorders>
              <w:bottom w:val="single" w:sz="4" w:space="0" w:color="auto"/>
            </w:tcBorders>
          </w:tcPr>
          <w:p w:rsidR="008572FA" w:rsidRPr="008572FA" w:rsidRDefault="008572FA" w:rsidP="00007EA8">
            <w:pPr>
              <w:autoSpaceDE w:val="0"/>
              <w:autoSpaceDN w:val="0"/>
              <w:adjustRightInd w:val="0"/>
              <w:spacing w:after="0" w:line="240" w:lineRule="auto"/>
              <w:rPr>
                <w:b/>
              </w:rPr>
            </w:pPr>
            <w:r w:rsidRPr="008572FA">
              <w:rPr>
                <w:b/>
              </w:rPr>
              <w:t xml:space="preserve"> Critique and authors</w:t>
            </w:r>
          </w:p>
        </w:tc>
        <w:tc>
          <w:tcPr>
            <w:tcW w:w="3516" w:type="dxa"/>
            <w:tcBorders>
              <w:bottom w:val="single" w:sz="4" w:space="0" w:color="auto"/>
            </w:tcBorders>
          </w:tcPr>
          <w:p w:rsidR="008572FA" w:rsidRPr="008572FA" w:rsidRDefault="008572FA" w:rsidP="00007EA8">
            <w:pPr>
              <w:autoSpaceDE w:val="0"/>
              <w:autoSpaceDN w:val="0"/>
              <w:adjustRightInd w:val="0"/>
              <w:spacing w:after="0" w:line="240" w:lineRule="auto"/>
              <w:rPr>
                <w:b/>
              </w:rPr>
            </w:pPr>
            <w:r w:rsidRPr="008572FA">
              <w:rPr>
                <w:b/>
              </w:rPr>
              <w:t>Assessment</w:t>
            </w:r>
          </w:p>
        </w:tc>
        <w:tc>
          <w:tcPr>
            <w:tcW w:w="3348" w:type="dxa"/>
            <w:gridSpan w:val="2"/>
            <w:tcBorders>
              <w:bottom w:val="single" w:sz="4" w:space="0" w:color="auto"/>
            </w:tcBorders>
          </w:tcPr>
          <w:p w:rsidR="008572FA" w:rsidRPr="008572FA" w:rsidRDefault="008572FA" w:rsidP="00007EA8">
            <w:pPr>
              <w:autoSpaceDE w:val="0"/>
              <w:autoSpaceDN w:val="0"/>
              <w:adjustRightInd w:val="0"/>
              <w:spacing w:after="0" w:line="240" w:lineRule="auto"/>
              <w:rPr>
                <w:b/>
              </w:rPr>
            </w:pPr>
            <w:r w:rsidRPr="008572FA">
              <w:rPr>
                <w:b/>
              </w:rPr>
              <w:t>Relevance to this research</w:t>
            </w:r>
          </w:p>
          <w:p w:rsidR="008572FA" w:rsidRPr="008572FA" w:rsidRDefault="008572FA" w:rsidP="00007EA8">
            <w:pPr>
              <w:autoSpaceDE w:val="0"/>
              <w:autoSpaceDN w:val="0"/>
              <w:adjustRightInd w:val="0"/>
              <w:spacing w:after="0" w:line="240" w:lineRule="auto"/>
              <w:rPr>
                <w:b/>
              </w:rPr>
            </w:pPr>
          </w:p>
        </w:tc>
      </w:tr>
      <w:tr w:rsidR="008572FA" w:rsidTr="00007EA8">
        <w:tc>
          <w:tcPr>
            <w:tcW w:w="2352" w:type="dxa"/>
            <w:tcBorders>
              <w:top w:val="nil"/>
              <w:bottom w:val="nil"/>
            </w:tcBorders>
          </w:tcPr>
          <w:p w:rsidR="0014436B" w:rsidRDefault="0014436B" w:rsidP="00007EA8">
            <w:pPr>
              <w:autoSpaceDE w:val="0"/>
              <w:autoSpaceDN w:val="0"/>
              <w:adjustRightInd w:val="0"/>
              <w:spacing w:after="0" w:line="240" w:lineRule="auto"/>
            </w:pPr>
          </w:p>
          <w:p w:rsidR="008572FA" w:rsidRDefault="008572FA" w:rsidP="00007EA8">
            <w:pPr>
              <w:autoSpaceDE w:val="0"/>
              <w:autoSpaceDN w:val="0"/>
              <w:adjustRightInd w:val="0"/>
              <w:spacing w:after="0" w:line="240" w:lineRule="auto"/>
            </w:pPr>
            <w:r>
              <w:t>3. SCA is not achievable (</w:t>
            </w:r>
            <w:proofErr w:type="spellStart"/>
            <w:r>
              <w:t>Fiol</w:t>
            </w:r>
            <w:proofErr w:type="spellEnd"/>
            <w:r>
              <w:t xml:space="preserve"> 2001, </w:t>
            </w:r>
            <w:proofErr w:type="spellStart"/>
            <w:r>
              <w:t>Eisenhardt</w:t>
            </w:r>
            <w:proofErr w:type="spellEnd"/>
            <w:r>
              <w:t xml:space="preserve"> and Martin 2000). </w:t>
            </w:r>
          </w:p>
        </w:tc>
        <w:tc>
          <w:tcPr>
            <w:tcW w:w="3740" w:type="dxa"/>
            <w:gridSpan w:val="2"/>
            <w:tcBorders>
              <w:top w:val="nil"/>
              <w:bottom w:val="nil"/>
            </w:tcBorders>
          </w:tcPr>
          <w:p w:rsidR="0014436B" w:rsidRDefault="0014436B" w:rsidP="00007EA8">
            <w:pPr>
              <w:autoSpaceDE w:val="0"/>
              <w:autoSpaceDN w:val="0"/>
              <w:adjustRightInd w:val="0"/>
              <w:spacing w:after="0" w:line="240" w:lineRule="auto"/>
            </w:pPr>
          </w:p>
          <w:p w:rsidR="008572FA" w:rsidRDefault="008572FA" w:rsidP="00007EA8">
            <w:pPr>
              <w:autoSpaceDE w:val="0"/>
              <w:autoSpaceDN w:val="0"/>
              <w:adjustRightInd w:val="0"/>
              <w:spacing w:after="0" w:line="240" w:lineRule="auto"/>
            </w:pPr>
            <w:r>
              <w:t>By including dynamic capabilities, the RBV is not purely static, though it only explains ex post, not ex ante, sources of SCA. Although no CA can last forever, a focus on SCA can still provide useful insights.</w:t>
            </w:r>
          </w:p>
          <w:p w:rsidR="008572FA" w:rsidRDefault="008572FA" w:rsidP="00007EA8">
            <w:pPr>
              <w:autoSpaceDE w:val="0"/>
              <w:autoSpaceDN w:val="0"/>
              <w:adjustRightInd w:val="0"/>
              <w:spacing w:after="0" w:line="240" w:lineRule="auto"/>
            </w:pPr>
          </w:p>
        </w:tc>
        <w:tc>
          <w:tcPr>
            <w:tcW w:w="3124" w:type="dxa"/>
            <w:tcBorders>
              <w:top w:val="nil"/>
              <w:bottom w:val="nil"/>
            </w:tcBorders>
          </w:tcPr>
          <w:p w:rsidR="0014436B" w:rsidRDefault="0014436B" w:rsidP="00007EA8">
            <w:pPr>
              <w:autoSpaceDE w:val="0"/>
              <w:autoSpaceDN w:val="0"/>
              <w:adjustRightInd w:val="0"/>
              <w:spacing w:after="0" w:line="240" w:lineRule="auto"/>
            </w:pPr>
          </w:p>
          <w:p w:rsidR="008572FA" w:rsidRDefault="008572FA" w:rsidP="00007EA8">
            <w:pPr>
              <w:autoSpaceDE w:val="0"/>
              <w:autoSpaceDN w:val="0"/>
              <w:adjustRightInd w:val="0"/>
              <w:spacing w:after="0" w:line="240" w:lineRule="auto"/>
            </w:pPr>
            <w:r>
              <w:t xml:space="preserve">SCA is not directly measured in this research. Alternative value-based performance outcomes are researched instead. </w:t>
            </w:r>
          </w:p>
        </w:tc>
      </w:tr>
      <w:tr w:rsidR="008572FA" w:rsidTr="00007EA8">
        <w:tc>
          <w:tcPr>
            <w:tcW w:w="2352" w:type="dxa"/>
            <w:tcBorders>
              <w:top w:val="nil"/>
              <w:bottom w:val="nil"/>
            </w:tcBorders>
          </w:tcPr>
          <w:p w:rsidR="008572FA" w:rsidRDefault="008572FA" w:rsidP="00007EA8">
            <w:pPr>
              <w:autoSpaceDE w:val="0"/>
              <w:autoSpaceDN w:val="0"/>
              <w:adjustRightInd w:val="0"/>
              <w:spacing w:after="0" w:line="240" w:lineRule="auto"/>
            </w:pPr>
            <w:r>
              <w:t>4. The RBV is not a theory of the firm (Foss 1996).</w:t>
            </w:r>
          </w:p>
        </w:tc>
        <w:tc>
          <w:tcPr>
            <w:tcW w:w="3740" w:type="dxa"/>
            <w:gridSpan w:val="2"/>
            <w:tcBorders>
              <w:top w:val="nil"/>
              <w:bottom w:val="nil"/>
            </w:tcBorders>
          </w:tcPr>
          <w:p w:rsidR="008572FA" w:rsidRDefault="008572FA" w:rsidP="00007EA8">
            <w:pPr>
              <w:autoSpaceDE w:val="0"/>
              <w:autoSpaceDN w:val="0"/>
              <w:adjustRightInd w:val="0"/>
              <w:spacing w:after="0" w:line="240" w:lineRule="auto"/>
            </w:pPr>
            <w:r>
              <w:t>The RBV does not sufficiently explain why firms exist, but it could offer some useful insights that should be used in combination with other theoretical approaches, such as TCE.</w:t>
            </w:r>
          </w:p>
          <w:p w:rsidR="008572FA" w:rsidRDefault="008572FA" w:rsidP="00007EA8">
            <w:pPr>
              <w:autoSpaceDE w:val="0"/>
              <w:autoSpaceDN w:val="0"/>
              <w:adjustRightInd w:val="0"/>
              <w:spacing w:after="0" w:line="240" w:lineRule="auto"/>
            </w:pPr>
          </w:p>
        </w:tc>
        <w:tc>
          <w:tcPr>
            <w:tcW w:w="3124" w:type="dxa"/>
            <w:tcBorders>
              <w:top w:val="nil"/>
              <w:bottom w:val="nil"/>
            </w:tcBorders>
          </w:tcPr>
          <w:p w:rsidR="008572FA" w:rsidRDefault="008572FA" w:rsidP="00007EA8">
            <w:pPr>
              <w:autoSpaceDE w:val="0"/>
              <w:autoSpaceDN w:val="0"/>
              <w:adjustRightInd w:val="0"/>
              <w:spacing w:after="0" w:line="240" w:lineRule="auto"/>
            </w:pPr>
            <w:r>
              <w:t>It is not a focus of current research. The RBV is used in combination with other theoretical frameworks to inform this research.</w:t>
            </w:r>
          </w:p>
          <w:p w:rsidR="008572FA" w:rsidRDefault="008572FA" w:rsidP="00007EA8">
            <w:pPr>
              <w:autoSpaceDE w:val="0"/>
              <w:autoSpaceDN w:val="0"/>
              <w:adjustRightInd w:val="0"/>
              <w:spacing w:after="0" w:line="240" w:lineRule="auto"/>
            </w:pPr>
          </w:p>
        </w:tc>
      </w:tr>
      <w:tr w:rsidR="008572FA" w:rsidTr="00007EA8">
        <w:tc>
          <w:tcPr>
            <w:tcW w:w="2352" w:type="dxa"/>
            <w:tcBorders>
              <w:top w:val="nil"/>
              <w:bottom w:val="nil"/>
            </w:tcBorders>
          </w:tcPr>
          <w:p w:rsidR="008572FA" w:rsidRDefault="008572FA" w:rsidP="00007EA8">
            <w:pPr>
              <w:autoSpaceDE w:val="0"/>
              <w:autoSpaceDN w:val="0"/>
              <w:adjustRightInd w:val="0"/>
              <w:spacing w:after="0" w:line="240" w:lineRule="auto"/>
            </w:pPr>
            <w:r>
              <w:t xml:space="preserve">5. VRIN/O is neither necessary nor sufficient for SCA (Armstrong and Shimizu 2007, </w:t>
            </w:r>
            <w:proofErr w:type="spellStart"/>
            <w:r>
              <w:t>Newbert</w:t>
            </w:r>
            <w:proofErr w:type="spellEnd"/>
            <w:r>
              <w:t xml:space="preserve"> 2007).</w:t>
            </w:r>
          </w:p>
        </w:tc>
        <w:tc>
          <w:tcPr>
            <w:tcW w:w="3740" w:type="dxa"/>
            <w:gridSpan w:val="2"/>
            <w:tcBorders>
              <w:top w:val="nil"/>
              <w:bottom w:val="nil"/>
            </w:tcBorders>
          </w:tcPr>
          <w:p w:rsidR="008572FA" w:rsidRDefault="008572FA" w:rsidP="00007EA8">
            <w:pPr>
              <w:autoSpaceDE w:val="0"/>
              <w:autoSpaceDN w:val="0"/>
              <w:adjustRightInd w:val="0"/>
              <w:spacing w:after="0" w:line="240" w:lineRule="auto"/>
            </w:pPr>
            <w:r>
              <w:t>The VRIN/O criteria are not always necessary and not always sufficient to explain a firm’s SCA. The RBV does not sufficiently consider the synergy within resource bundles as a source of SCA.</w:t>
            </w:r>
          </w:p>
        </w:tc>
        <w:tc>
          <w:tcPr>
            <w:tcW w:w="3124" w:type="dxa"/>
            <w:tcBorders>
              <w:top w:val="nil"/>
              <w:bottom w:val="nil"/>
            </w:tcBorders>
          </w:tcPr>
          <w:p w:rsidR="008572FA" w:rsidRDefault="008572FA" w:rsidP="00007EA8">
            <w:pPr>
              <w:autoSpaceDE w:val="0"/>
              <w:autoSpaceDN w:val="0"/>
              <w:adjustRightInd w:val="0"/>
              <w:spacing w:after="0" w:line="240" w:lineRule="auto"/>
            </w:pPr>
            <w:r>
              <w:t>SCA is not directly measured in this research. Alternative value-based performance outcomes are researched instead. A dynamic capabilities extension of the RBV applied in this research to some degree addresses the issue of synergy.</w:t>
            </w:r>
          </w:p>
        </w:tc>
      </w:tr>
      <w:tr w:rsidR="008572FA" w:rsidTr="00007EA8">
        <w:tc>
          <w:tcPr>
            <w:tcW w:w="2352" w:type="dxa"/>
            <w:tcBorders>
              <w:top w:val="nil"/>
              <w:bottom w:val="nil"/>
            </w:tcBorders>
          </w:tcPr>
          <w:p w:rsidR="008572FA" w:rsidRDefault="008572FA" w:rsidP="00007EA8">
            <w:pPr>
              <w:autoSpaceDE w:val="0"/>
              <w:autoSpaceDN w:val="0"/>
              <w:adjustRightInd w:val="0"/>
              <w:spacing w:after="0" w:line="240" w:lineRule="auto"/>
            </w:pPr>
          </w:p>
        </w:tc>
        <w:tc>
          <w:tcPr>
            <w:tcW w:w="3740" w:type="dxa"/>
            <w:gridSpan w:val="2"/>
            <w:tcBorders>
              <w:top w:val="nil"/>
              <w:bottom w:val="nil"/>
            </w:tcBorders>
          </w:tcPr>
          <w:p w:rsidR="008572FA" w:rsidRDefault="008572FA" w:rsidP="00007EA8">
            <w:pPr>
              <w:autoSpaceDE w:val="0"/>
              <w:autoSpaceDN w:val="0"/>
              <w:adjustRightInd w:val="0"/>
              <w:spacing w:after="0" w:line="240" w:lineRule="auto"/>
            </w:pPr>
          </w:p>
        </w:tc>
        <w:tc>
          <w:tcPr>
            <w:tcW w:w="3124" w:type="dxa"/>
            <w:tcBorders>
              <w:top w:val="nil"/>
              <w:bottom w:val="nil"/>
            </w:tcBorders>
          </w:tcPr>
          <w:p w:rsidR="008572FA" w:rsidRDefault="008572FA" w:rsidP="00007EA8">
            <w:pPr>
              <w:autoSpaceDE w:val="0"/>
              <w:autoSpaceDN w:val="0"/>
              <w:adjustRightInd w:val="0"/>
              <w:spacing w:after="0" w:line="240" w:lineRule="auto"/>
            </w:pPr>
          </w:p>
        </w:tc>
      </w:tr>
      <w:tr w:rsidR="008572FA" w:rsidTr="00007EA8">
        <w:trPr>
          <w:trHeight w:val="536"/>
        </w:trPr>
        <w:tc>
          <w:tcPr>
            <w:tcW w:w="9216" w:type="dxa"/>
            <w:gridSpan w:val="4"/>
            <w:tcBorders>
              <w:top w:val="nil"/>
            </w:tcBorders>
          </w:tcPr>
          <w:p w:rsidR="00E422BF" w:rsidRDefault="00E422BF" w:rsidP="00007EA8">
            <w:pPr>
              <w:autoSpaceDE w:val="0"/>
              <w:autoSpaceDN w:val="0"/>
              <w:adjustRightInd w:val="0"/>
              <w:spacing w:after="0" w:line="240" w:lineRule="auto"/>
            </w:pPr>
          </w:p>
          <w:p w:rsidR="008572FA" w:rsidRDefault="008572FA" w:rsidP="00007EA8">
            <w:pPr>
              <w:autoSpaceDE w:val="0"/>
              <w:autoSpaceDN w:val="0"/>
              <w:adjustRightInd w:val="0"/>
              <w:spacing w:after="0" w:line="240" w:lineRule="auto"/>
            </w:pPr>
            <w:r>
              <w:t>Note: SCA = sustained competitive advantage; TCE = transaction cost economics; VRIN/O = valuable, rare, inimitable, and non-substitutable resources and capabilities plus organization.</w:t>
            </w:r>
          </w:p>
        </w:tc>
      </w:tr>
    </w:tbl>
    <w:p w:rsidR="008572FA" w:rsidRDefault="008572FA" w:rsidP="008572FA">
      <w:pPr>
        <w:autoSpaceDE w:val="0"/>
        <w:autoSpaceDN w:val="0"/>
        <w:adjustRightInd w:val="0"/>
      </w:pPr>
    </w:p>
    <w:p w:rsidR="001B6825" w:rsidRDefault="001B6825" w:rsidP="00DB292C">
      <w:pPr>
        <w:autoSpaceDE w:val="0"/>
        <w:autoSpaceDN w:val="0"/>
        <w:adjustRightInd w:val="0"/>
        <w:spacing w:after="0" w:line="480" w:lineRule="auto"/>
        <w:ind w:firstLine="720"/>
      </w:pPr>
      <w:proofErr w:type="spellStart"/>
      <w:r>
        <w:t>Kraaijenbrink</w:t>
      </w:r>
      <w:proofErr w:type="spellEnd"/>
      <w:r>
        <w:t xml:space="preserve"> et al. (2010) also offered some valuable suggestions for future development of the RBV. Perhaps, the most relevant to the context of present research is the suggestion related to the need for a more dynamic version of RBV. It is consistent with the recent developments in the streams of research on entrepreneurship (</w:t>
      </w:r>
      <w:proofErr w:type="spellStart"/>
      <w:r>
        <w:t>Langlois</w:t>
      </w:r>
      <w:proofErr w:type="spellEnd"/>
      <w:r>
        <w:t xml:space="preserve"> 2007, </w:t>
      </w:r>
      <w:proofErr w:type="spellStart"/>
      <w:r>
        <w:t>Sarasvathy</w:t>
      </w:r>
      <w:proofErr w:type="spellEnd"/>
      <w:r>
        <w:t xml:space="preserve"> and Dew 2005), dynamic capabilities (</w:t>
      </w:r>
      <w:proofErr w:type="spellStart"/>
      <w:r>
        <w:t>Teece</w:t>
      </w:r>
      <w:proofErr w:type="spellEnd"/>
      <w:r>
        <w:t xml:space="preserve"> et al. 1997, </w:t>
      </w:r>
      <w:proofErr w:type="spellStart"/>
      <w:r>
        <w:t>Teece</w:t>
      </w:r>
      <w:proofErr w:type="spellEnd"/>
      <w:r>
        <w:t xml:space="preserve"> 2007), and Austrian economics </w:t>
      </w:r>
      <w:r>
        <w:lastRenderedPageBreak/>
        <w:t>(Foss 2007, Foss and Ishikawa 2007). Specifically, a dynamic capabilities perspective is applied in this research. It is described in the following subsections of this Chapter.</w:t>
      </w:r>
    </w:p>
    <w:p w:rsidR="00C668CC" w:rsidRDefault="00C668CC" w:rsidP="00DB292C">
      <w:pPr>
        <w:autoSpaceDE w:val="0"/>
        <w:autoSpaceDN w:val="0"/>
        <w:adjustRightInd w:val="0"/>
        <w:spacing w:after="0" w:line="480" w:lineRule="auto"/>
        <w:rPr>
          <w:i/>
        </w:rPr>
      </w:pPr>
    </w:p>
    <w:p w:rsidR="001B6825" w:rsidRDefault="001B6825" w:rsidP="00DB292C">
      <w:pPr>
        <w:autoSpaceDE w:val="0"/>
        <w:autoSpaceDN w:val="0"/>
        <w:adjustRightInd w:val="0"/>
        <w:spacing w:after="0" w:line="480" w:lineRule="auto"/>
        <w:rPr>
          <w:i/>
        </w:rPr>
      </w:pPr>
      <w:r w:rsidRPr="007340BE">
        <w:rPr>
          <w:i/>
        </w:rPr>
        <w:t>Resource Dependence Theory</w:t>
      </w:r>
    </w:p>
    <w:p w:rsidR="001B6825" w:rsidRPr="009C5886" w:rsidRDefault="001B6825" w:rsidP="00DB292C">
      <w:pPr>
        <w:autoSpaceDE w:val="0"/>
        <w:autoSpaceDN w:val="0"/>
        <w:adjustRightInd w:val="0"/>
        <w:spacing w:after="0" w:line="480" w:lineRule="auto"/>
      </w:pPr>
      <w:r w:rsidRPr="009C5886">
        <w:tab/>
        <w:t xml:space="preserve">Resource </w:t>
      </w:r>
      <w:r>
        <w:t>dependence theory (RDT) presents inter-firm governance as a strategic response to conditions of uncertainty and dependence between exchange partners (</w:t>
      </w:r>
      <w:proofErr w:type="spellStart"/>
      <w:r>
        <w:t>Pfeffer</w:t>
      </w:r>
      <w:proofErr w:type="spellEnd"/>
      <w:r>
        <w:t xml:space="preserve"> and </w:t>
      </w:r>
      <w:proofErr w:type="spellStart"/>
      <w:r>
        <w:t>Salanchik</w:t>
      </w:r>
      <w:proofErr w:type="spellEnd"/>
      <w:r>
        <w:t xml:space="preserve"> 1978, </w:t>
      </w:r>
      <w:proofErr w:type="spellStart"/>
      <w:r>
        <w:t>Heide</w:t>
      </w:r>
      <w:proofErr w:type="spellEnd"/>
      <w:r>
        <w:t xml:space="preserve"> 1994), building on social exchange theoretical perspective (Emerson 1962, </w:t>
      </w:r>
      <w:proofErr w:type="spellStart"/>
      <w:r>
        <w:t>Thibaut</w:t>
      </w:r>
      <w:proofErr w:type="spellEnd"/>
      <w:r>
        <w:t xml:space="preserve"> and Kelly 1959), RDT focuses on how some firms become reliant on others for needed resources such as goods and materials, and how firms can effectively manage such relationships (</w:t>
      </w:r>
      <w:proofErr w:type="spellStart"/>
      <w:r>
        <w:t>Pfeffer</w:t>
      </w:r>
      <w:proofErr w:type="spellEnd"/>
      <w:r>
        <w:t xml:space="preserve"> and </w:t>
      </w:r>
      <w:proofErr w:type="spellStart"/>
      <w:r>
        <w:t>Salanchik</w:t>
      </w:r>
      <w:proofErr w:type="spellEnd"/>
      <w:r>
        <w:t xml:space="preserve"> 1978). The asymmetric interdependence that is present in such relationships is often considered critical for reduction of environmental uncertainty (</w:t>
      </w:r>
      <w:proofErr w:type="spellStart"/>
      <w:r>
        <w:t>Ketchen</w:t>
      </w:r>
      <w:proofErr w:type="spellEnd"/>
      <w:r>
        <w:t xml:space="preserve"> and </w:t>
      </w:r>
      <w:proofErr w:type="spellStart"/>
      <w:r>
        <w:t>Hult</w:t>
      </w:r>
      <w:proofErr w:type="spellEnd"/>
      <w:r>
        <w:t xml:space="preserve"> 2007). In the supply chain context, supply chain members often work closely together to achieve common goals and become increasingly dependent on each other, thus, RBT offers a strong explanatory power in this context. Several authors discuss implications of this theory for key aspects of supply chain management (Crook and Combs 2007, </w:t>
      </w:r>
      <w:smartTag w:uri="urn:schemas-microsoft-com:office:smarttags" w:element="country-region">
        <w:smartTag w:uri="urn:schemas-microsoft-com:office:smarttags" w:element="place">
          <w:r>
            <w:t>Ireland</w:t>
          </w:r>
        </w:smartTag>
      </w:smartTag>
      <w:r>
        <w:t xml:space="preserve"> and Webb 2007). In summary, RDT complements the RBV in that it views the organization as seeking to exploit and recombine unique and inimitable resources that may be outside the realm of the organization and where strategic orientation towards the relationships could lead to the appropriation of these resources (</w:t>
      </w:r>
      <w:proofErr w:type="spellStart"/>
      <w:r>
        <w:t>Fynes</w:t>
      </w:r>
      <w:proofErr w:type="spellEnd"/>
      <w:r>
        <w:t xml:space="preserve"> et al. 2004).</w:t>
      </w:r>
    </w:p>
    <w:p w:rsidR="00C668CC" w:rsidRDefault="00C668CC" w:rsidP="00DB292C">
      <w:pPr>
        <w:autoSpaceDE w:val="0"/>
        <w:autoSpaceDN w:val="0"/>
        <w:adjustRightInd w:val="0"/>
        <w:spacing w:after="0" w:line="480" w:lineRule="auto"/>
        <w:rPr>
          <w:i/>
        </w:rPr>
      </w:pPr>
    </w:p>
    <w:p w:rsidR="001B6825" w:rsidRDefault="001B6825" w:rsidP="00DB292C">
      <w:pPr>
        <w:autoSpaceDE w:val="0"/>
        <w:autoSpaceDN w:val="0"/>
        <w:adjustRightInd w:val="0"/>
        <w:spacing w:after="0" w:line="480" w:lineRule="auto"/>
        <w:rPr>
          <w:i/>
        </w:rPr>
      </w:pPr>
      <w:r>
        <w:rPr>
          <w:i/>
        </w:rPr>
        <w:t>Strategic Choice Theory</w:t>
      </w:r>
      <w:r w:rsidRPr="00AD1BA9">
        <w:rPr>
          <w:i/>
        </w:rPr>
        <w:t xml:space="preserve"> </w:t>
      </w:r>
    </w:p>
    <w:p w:rsidR="001B6825" w:rsidRPr="00AD1BA9" w:rsidRDefault="001B6825" w:rsidP="00DB292C">
      <w:pPr>
        <w:autoSpaceDE w:val="0"/>
        <w:autoSpaceDN w:val="0"/>
        <w:adjustRightInd w:val="0"/>
        <w:spacing w:after="0" w:line="480" w:lineRule="auto"/>
      </w:pPr>
      <w:r>
        <w:rPr>
          <w:b/>
        </w:rPr>
        <w:tab/>
      </w:r>
      <w:r w:rsidRPr="00AD1BA9">
        <w:t>A strategic choice theory was originally propose</w:t>
      </w:r>
      <w:r>
        <w:t>d</w:t>
      </w:r>
      <w:r w:rsidRPr="00AD1BA9">
        <w:t xml:space="preserve"> by </w:t>
      </w:r>
      <w:r>
        <w:t xml:space="preserve">Child (1972) as a corrective extension to the classic contingency theory built on the basic assumption that it is possible to </w:t>
      </w:r>
      <w:r>
        <w:lastRenderedPageBreak/>
        <w:t xml:space="preserve">achieve high organizational efficiency and performance through proper consideration of the context in which strategy is formulated and implemented (Wagner and Bode 2008). From the contingency theory perspective, strategies are viewed as merely necessary responses to the changes in the environment. The strategic choice perspective was developed as an alternative to the pure deterministic function between context and organizational structure. Child (1972) argued that organizations have strategic choice when designing their structure and processes, and while strategic decision-makers are to some degree constrained by contextual factors, they still have some room for strategic maneuvering (Wagner and Bode 2008). From a strategic choice perspective, matching or aligning organizational resources with the organization’s context could be viewed as a major task for strategic decision-makers who should constantly evaluate environmental threats and opportunities and evaluate alternative strategic choices in order to achieve a strategic fit with the constantly changing environment (Miles and Snow 1978, </w:t>
      </w:r>
      <w:proofErr w:type="spellStart"/>
      <w:r>
        <w:t>Venkatraman</w:t>
      </w:r>
      <w:proofErr w:type="spellEnd"/>
      <w:r>
        <w:t xml:space="preserve"> and Camillus 1984). Thus, strategic renewal and repositioning are the central issues in strategic choice theory (</w:t>
      </w:r>
      <w:proofErr w:type="spellStart"/>
      <w:r>
        <w:t>Ketchen</w:t>
      </w:r>
      <w:proofErr w:type="spellEnd"/>
      <w:r>
        <w:t xml:space="preserve"> and </w:t>
      </w:r>
      <w:proofErr w:type="spellStart"/>
      <w:r>
        <w:t>Hult</w:t>
      </w:r>
      <w:proofErr w:type="spellEnd"/>
      <w:r>
        <w:t xml:space="preserve"> 2007). By choosing appropriate strategic alternatives, companies could increase their adaptability, while enacting and actively shaping their organizational environment. It could be manifested in the choice of strategic orientations.</w:t>
      </w:r>
    </w:p>
    <w:p w:rsidR="00515894" w:rsidRDefault="00515894" w:rsidP="00DB292C">
      <w:pPr>
        <w:autoSpaceDE w:val="0"/>
        <w:autoSpaceDN w:val="0"/>
        <w:adjustRightInd w:val="0"/>
        <w:spacing w:after="0" w:line="480" w:lineRule="auto"/>
        <w:rPr>
          <w:b/>
        </w:rPr>
      </w:pPr>
    </w:p>
    <w:p w:rsidR="00515894" w:rsidRDefault="00515894" w:rsidP="00DB292C">
      <w:pPr>
        <w:autoSpaceDE w:val="0"/>
        <w:autoSpaceDN w:val="0"/>
        <w:adjustRightInd w:val="0"/>
        <w:spacing w:after="0" w:line="480" w:lineRule="auto"/>
        <w:rPr>
          <w:b/>
        </w:rPr>
      </w:pPr>
      <w:r>
        <w:rPr>
          <w:b/>
        </w:rPr>
        <w:t>Managing Firm Resources in Dynamic Environments</w:t>
      </w:r>
    </w:p>
    <w:p w:rsidR="00515894" w:rsidRDefault="00515894" w:rsidP="00DB292C">
      <w:pPr>
        <w:autoSpaceDE w:val="0"/>
        <w:autoSpaceDN w:val="0"/>
        <w:adjustRightInd w:val="0"/>
        <w:spacing w:after="0" w:line="480" w:lineRule="auto"/>
      </w:pPr>
      <w:r w:rsidRPr="00563495">
        <w:tab/>
      </w:r>
      <w:r>
        <w:t>Value creation is regarded as a generally accepted purpose of a firm’s existence. According to the RBV logic, possessing valuable and rare resources provides the basis for value creation (</w:t>
      </w:r>
      <w:proofErr w:type="spellStart"/>
      <w:r>
        <w:t>Sirmon</w:t>
      </w:r>
      <w:proofErr w:type="spellEnd"/>
      <w:r>
        <w:t xml:space="preserve"> et al. 2007). However firms</w:t>
      </w:r>
      <w:r w:rsidRPr="00563495">
        <w:t xml:space="preserve"> do not function in a vacuum. </w:t>
      </w:r>
      <w:r>
        <w:t xml:space="preserve">There are inherent threats and opportunities presented by the surrounding environment. Firm resources are valuable </w:t>
      </w:r>
      <w:r>
        <w:lastRenderedPageBreak/>
        <w:t xml:space="preserve">only when they are organized in a way to exploit opportunities and neutralize threats (Barney 1995).   </w:t>
      </w:r>
    </w:p>
    <w:p w:rsidR="00515894" w:rsidRDefault="00515894" w:rsidP="00DB292C">
      <w:pPr>
        <w:autoSpaceDE w:val="0"/>
        <w:autoSpaceDN w:val="0"/>
        <w:adjustRightInd w:val="0"/>
        <w:spacing w:after="0" w:line="480" w:lineRule="auto"/>
        <w:ind w:firstLine="720"/>
      </w:pPr>
      <w:r>
        <w:t>A firm’s external environment could be characterized in terms of constant change and uncertainty. For example, customer needs and expectations are continuously shifting, new technologies are developed, and new government regulations are introduced. Several authors have discussed the increasing complexity and velocity of change in organizational environments (</w:t>
      </w:r>
      <w:proofErr w:type="spellStart"/>
      <w:r>
        <w:t>Eisenhardt</w:t>
      </w:r>
      <w:proofErr w:type="spellEnd"/>
      <w:r>
        <w:t xml:space="preserve"> 1989, </w:t>
      </w:r>
      <w:proofErr w:type="spellStart"/>
      <w:r>
        <w:t>D’Aveni</w:t>
      </w:r>
      <w:proofErr w:type="spellEnd"/>
      <w:r>
        <w:t xml:space="preserve"> 1994). </w:t>
      </w:r>
    </w:p>
    <w:p w:rsidR="00515894" w:rsidRDefault="00515894" w:rsidP="00DB292C">
      <w:pPr>
        <w:autoSpaceDE w:val="0"/>
        <w:autoSpaceDN w:val="0"/>
        <w:adjustRightInd w:val="0"/>
        <w:spacing w:after="0" w:line="480" w:lineRule="auto"/>
        <w:ind w:firstLine="720"/>
      </w:pPr>
      <w:r>
        <w:t>Various determinants of environmental uncertainty have been discussed in the academic literature (</w:t>
      </w:r>
      <w:proofErr w:type="spellStart"/>
      <w:r>
        <w:t>Achrol</w:t>
      </w:r>
      <w:proofErr w:type="spellEnd"/>
      <w:r>
        <w:t xml:space="preserve"> and Stern 1988, Aldrich 1979). In particular, environmental dynamism has been shown to be the strongest determinant of environmental uncertainty (Joshi and Campbell 2003, Bourgeois 1980, Duncan 1972). Environments that are frequently changing or shifting are described as dynamic (Aldrich 1979, </w:t>
      </w:r>
      <w:proofErr w:type="spellStart"/>
      <w:r>
        <w:t>Achrol</w:t>
      </w:r>
      <w:proofErr w:type="spellEnd"/>
      <w:r>
        <w:t xml:space="preserve"> and Stern 1988). Environmental dynamism generally refers to three sectors of a typical firm’s external environment, including customer, competitor, and technology sectors (</w:t>
      </w:r>
      <w:proofErr w:type="spellStart"/>
      <w:r>
        <w:t>Jaworski</w:t>
      </w:r>
      <w:proofErr w:type="spellEnd"/>
      <w:r>
        <w:t xml:space="preserve"> and </w:t>
      </w:r>
      <w:proofErr w:type="spellStart"/>
      <w:r>
        <w:t>Kohli</w:t>
      </w:r>
      <w:proofErr w:type="spellEnd"/>
      <w:r>
        <w:t xml:space="preserve"> 1993). Thus, t</w:t>
      </w:r>
      <w:r w:rsidRPr="00F80D88">
        <w:t xml:space="preserve">he business environmental dynamism has been </w:t>
      </w:r>
      <w:r>
        <w:t xml:space="preserve">typically </w:t>
      </w:r>
      <w:r w:rsidRPr="00F80D88">
        <w:t>defined</w:t>
      </w:r>
      <w:r>
        <w:t xml:space="preserve"> in terms of unpredictable changes in products, technologies and market demand patterns (Zhou and Benton 2007, Miller and </w:t>
      </w:r>
      <w:proofErr w:type="spellStart"/>
      <w:r>
        <w:t>Freisen</w:t>
      </w:r>
      <w:proofErr w:type="spellEnd"/>
      <w:r>
        <w:t xml:space="preserve"> 1983). </w:t>
      </w:r>
    </w:p>
    <w:p w:rsidR="00515894" w:rsidRDefault="00515894" w:rsidP="00DB292C">
      <w:pPr>
        <w:autoSpaceDE w:val="0"/>
        <w:autoSpaceDN w:val="0"/>
        <w:adjustRightInd w:val="0"/>
        <w:spacing w:after="0" w:line="480" w:lineRule="auto"/>
      </w:pPr>
      <w:r>
        <w:t xml:space="preserve">From an organizational perspective, adaptation problems could be viewed as a result of environmental dynamism. It is especially challenging in the case of abrupt and unexpected changes such as supply, demand or operational disruptions. Under such circumstances the organizations need to adapt and reorganize quickly in order not only survive but also efficiently and effectively respond to a wide variety of environmental challenges. It could be done through strategic actions towards the development of dynamic capabilities.   </w:t>
      </w:r>
    </w:p>
    <w:p w:rsidR="00515894" w:rsidRDefault="00515894" w:rsidP="00DB292C">
      <w:pPr>
        <w:autoSpaceDE w:val="0"/>
        <w:autoSpaceDN w:val="0"/>
        <w:adjustRightInd w:val="0"/>
        <w:spacing w:after="0" w:line="480" w:lineRule="auto"/>
        <w:rPr>
          <w:b/>
        </w:rPr>
      </w:pPr>
    </w:p>
    <w:p w:rsidR="00515894" w:rsidRDefault="00515894" w:rsidP="00DB292C">
      <w:pPr>
        <w:autoSpaceDE w:val="0"/>
        <w:autoSpaceDN w:val="0"/>
        <w:adjustRightInd w:val="0"/>
        <w:spacing w:after="0" w:line="480" w:lineRule="auto"/>
        <w:rPr>
          <w:b/>
        </w:rPr>
      </w:pPr>
      <w:r>
        <w:rPr>
          <w:b/>
        </w:rPr>
        <w:lastRenderedPageBreak/>
        <w:t>Dynamic Capabilities</w:t>
      </w:r>
      <w:r w:rsidRPr="00531A33">
        <w:rPr>
          <w:b/>
        </w:rPr>
        <w:t xml:space="preserve"> </w:t>
      </w:r>
      <w:r>
        <w:rPr>
          <w:b/>
        </w:rPr>
        <w:t>within the Resource-Based Framework</w:t>
      </w:r>
    </w:p>
    <w:p w:rsidR="00515894" w:rsidRPr="00283718" w:rsidRDefault="00515894" w:rsidP="00DB292C">
      <w:pPr>
        <w:autoSpaceDE w:val="0"/>
        <w:autoSpaceDN w:val="0"/>
        <w:adjustRightInd w:val="0"/>
        <w:spacing w:after="0" w:line="480" w:lineRule="auto"/>
        <w:ind w:firstLine="720"/>
      </w:pPr>
      <w:r w:rsidRPr="00283718">
        <w:t>The term ‘capabilities’ reflects the major role of strategic management in adapting, integrating and reconfiguring resources, organizational skills and functional competencies to respond to the challenges of the external env</w:t>
      </w:r>
      <w:r>
        <w:t xml:space="preserve">ironment. </w:t>
      </w:r>
      <w:r w:rsidRPr="00283718">
        <w:t>Capabilities determine a company’s capacity of g</w:t>
      </w:r>
      <w:r>
        <w:t xml:space="preserve">eneral efficiency and ability. </w:t>
      </w:r>
      <w:r w:rsidRPr="00283718">
        <w:t>Capabilities or distinctive competencies consist of those attributes, abilities, organizational processes, knowledge, and skills that allow a firm to achieve superio</w:t>
      </w:r>
      <w:r>
        <w:t xml:space="preserve">r performance. </w:t>
      </w:r>
      <w:r w:rsidRPr="00283718">
        <w:t>Barney (1986) stated that firms that do not exploit internal resources they already control can only expect to obtain “normal” returns</w:t>
      </w:r>
      <w:r>
        <w:t xml:space="preserve"> from their strategic efforts. </w:t>
      </w:r>
      <w:r w:rsidRPr="00283718">
        <w:t xml:space="preserve">This idea was advanced by </w:t>
      </w:r>
      <w:proofErr w:type="spellStart"/>
      <w:r w:rsidRPr="00283718">
        <w:t>Dierickx</w:t>
      </w:r>
      <w:proofErr w:type="spellEnd"/>
      <w:r w:rsidRPr="00283718">
        <w:t xml:space="preserve"> and Cool </w:t>
      </w:r>
      <w:r>
        <w:t xml:space="preserve">(1989) </w:t>
      </w:r>
      <w:r w:rsidRPr="00283718">
        <w:t>who noted that successful implementation of a strategy often requi</w:t>
      </w:r>
      <w:r>
        <w:t>res specific firm assets.  The organizational capability perspective views the firm as a bundle of relatively static and transferable resources, which are transformed into capabilities through dynamic and interactive firm-specific processes (</w:t>
      </w:r>
      <w:proofErr w:type="spellStart"/>
      <w:r>
        <w:t>Amit</w:t>
      </w:r>
      <w:proofErr w:type="spellEnd"/>
      <w:r>
        <w:t xml:space="preserve"> and </w:t>
      </w:r>
      <w:proofErr w:type="spellStart"/>
      <w:r>
        <w:t>Schoemaker</w:t>
      </w:r>
      <w:proofErr w:type="spellEnd"/>
      <w:r>
        <w:t xml:space="preserve"> 1993).</w:t>
      </w:r>
    </w:p>
    <w:p w:rsidR="00515894" w:rsidRDefault="00515894" w:rsidP="00DB292C">
      <w:pPr>
        <w:autoSpaceDE w:val="0"/>
        <w:autoSpaceDN w:val="0"/>
        <w:adjustRightInd w:val="0"/>
        <w:spacing w:after="0" w:line="480" w:lineRule="auto"/>
        <w:ind w:firstLine="720"/>
      </w:pPr>
      <w:r w:rsidRPr="00283718">
        <w:t>Due to their dynamics and complexity, however, capabilities are often difficult to identify.  In additio</w:t>
      </w:r>
      <w:r>
        <w:t xml:space="preserve">n, capabilities often span </w:t>
      </w:r>
      <w:r w:rsidRPr="00283718">
        <w:t>seve</w:t>
      </w:r>
      <w:r>
        <w:t>ral functional areas making</w:t>
      </w:r>
      <w:r w:rsidRPr="00283718">
        <w:t xml:space="preserve"> it even more challenging.  Grant (199</w:t>
      </w:r>
      <w:r>
        <w:t>6</w:t>
      </w:r>
      <w:r w:rsidRPr="00283718">
        <w:t xml:space="preserve">) argues that while some capabilities can be identified using the standard functional approach, the most important capabilities often arise from an integration of </w:t>
      </w:r>
      <w:r>
        <w:t>individual functional capabilities</w:t>
      </w:r>
      <w:r w:rsidRPr="00283718">
        <w:t>.  Thus, integration and coordination of resources are the key characteristics of capab</w:t>
      </w:r>
      <w:r>
        <w:t>ilities</w:t>
      </w:r>
      <w:r w:rsidRPr="00283718">
        <w:t xml:space="preserve">.  </w:t>
      </w:r>
    </w:p>
    <w:p w:rsidR="00515894" w:rsidRDefault="00515894" w:rsidP="00DB292C">
      <w:pPr>
        <w:autoSpaceDE w:val="0"/>
        <w:autoSpaceDN w:val="0"/>
        <w:adjustRightInd w:val="0"/>
        <w:spacing w:after="0" w:line="480" w:lineRule="auto"/>
        <w:ind w:firstLine="720"/>
      </w:pPr>
      <w:proofErr w:type="spellStart"/>
      <w:r>
        <w:t>Teece</w:t>
      </w:r>
      <w:proofErr w:type="spellEnd"/>
      <w:r>
        <w:t xml:space="preserve">, Pisano and </w:t>
      </w:r>
      <w:proofErr w:type="spellStart"/>
      <w:r>
        <w:t>Shuen</w:t>
      </w:r>
      <w:proofErr w:type="spellEnd"/>
      <w:r>
        <w:t xml:space="preserve"> (1997) develop the RBV approach one step further by formulating the dynamic capabilities perspective. According to their study, the term ‘dynamic’ refers to the capacity to renew competences so as to achieve congruence with the changing environment. The term ‘capabilities’ reflects the major role of strategic management in adapting, </w:t>
      </w:r>
      <w:r>
        <w:lastRenderedPageBreak/>
        <w:t xml:space="preserve">integrating and reconfiguring of resources, organizational skills and functional competencies to respond to the challenges of the external environment. Thus, according to </w:t>
      </w:r>
      <w:proofErr w:type="spellStart"/>
      <w:r>
        <w:t>Teece</w:t>
      </w:r>
      <w:proofErr w:type="spellEnd"/>
      <w:r>
        <w:t xml:space="preserve">, Pisano and </w:t>
      </w:r>
      <w:proofErr w:type="spellStart"/>
      <w:r>
        <w:t>Shuen</w:t>
      </w:r>
      <w:proofErr w:type="spellEnd"/>
      <w:r>
        <w:t xml:space="preserve"> (1997) dynamic capabilities could be defined as: </w:t>
      </w:r>
    </w:p>
    <w:p w:rsidR="00515894" w:rsidRPr="008D29B4" w:rsidRDefault="00515894" w:rsidP="00515894">
      <w:pPr>
        <w:autoSpaceDE w:val="0"/>
        <w:autoSpaceDN w:val="0"/>
        <w:adjustRightInd w:val="0"/>
        <w:spacing w:after="0" w:line="480" w:lineRule="auto"/>
        <w:ind w:left="720"/>
        <w:rPr>
          <w:i/>
        </w:rPr>
      </w:pPr>
      <w:proofErr w:type="gramStart"/>
      <w:r w:rsidRPr="008D29B4">
        <w:rPr>
          <w:i/>
        </w:rPr>
        <w:t>“ [</w:t>
      </w:r>
      <w:proofErr w:type="gramEnd"/>
      <w:r w:rsidRPr="008D29B4">
        <w:rPr>
          <w:i/>
        </w:rPr>
        <w:t>dynamic capabilities are]…the firm’s ability to integrate, build, and reconfigure internal and external competences to address rapidly changing environments</w:t>
      </w:r>
      <w:r>
        <w:rPr>
          <w:i/>
        </w:rPr>
        <w:t>.</w:t>
      </w:r>
      <w:r w:rsidRPr="008D29B4">
        <w:rPr>
          <w:i/>
        </w:rPr>
        <w:t>”</w:t>
      </w:r>
    </w:p>
    <w:p w:rsidR="00515894" w:rsidRDefault="00515894" w:rsidP="00DB292C">
      <w:pPr>
        <w:autoSpaceDE w:val="0"/>
        <w:autoSpaceDN w:val="0"/>
        <w:adjustRightInd w:val="0"/>
        <w:spacing w:after="0" w:line="480" w:lineRule="auto"/>
        <w:ind w:firstLine="720"/>
      </w:pPr>
    </w:p>
    <w:p w:rsidR="00515894" w:rsidRPr="003F13E1" w:rsidRDefault="00515894" w:rsidP="00DB292C">
      <w:pPr>
        <w:autoSpaceDE w:val="0"/>
        <w:autoSpaceDN w:val="0"/>
        <w:adjustRightInd w:val="0"/>
        <w:spacing w:after="0" w:line="480" w:lineRule="auto"/>
        <w:ind w:firstLine="720"/>
      </w:pPr>
      <w:proofErr w:type="spellStart"/>
      <w:r>
        <w:t>Eisenhardt</w:t>
      </w:r>
      <w:proofErr w:type="spellEnd"/>
      <w:r>
        <w:t xml:space="preserve"> and Martin (</w:t>
      </w:r>
      <w:r w:rsidRPr="003F13E1">
        <w:t>2000</w:t>
      </w:r>
      <w:r>
        <w:t>) view dynamic capabilities as the antecedent organizational and strategic routines by which managers are acquiring, integrating, and recombining strategic resources in order to generate new value-creating strategies (Grant 1996, Pisano 1994</w:t>
      </w:r>
      <w:r w:rsidRPr="003F13E1">
        <w:t>)</w:t>
      </w:r>
      <w:r>
        <w:t>. They expand the definition of dynamic capabilities to include the firm’s processes that use resources. Specifically, the processes to integrate, reconfigure, gain and release resources in order to create or match market changes are considered. According to this extended view, dynamic capabilities include well-known organizational and strategic processes that are valued for their ability to manipulate resources into value-creating strategies (</w:t>
      </w:r>
      <w:proofErr w:type="spellStart"/>
      <w:r>
        <w:t>Eisenhardt</w:t>
      </w:r>
      <w:proofErr w:type="spellEnd"/>
      <w:r>
        <w:t xml:space="preserve"> and Martin </w:t>
      </w:r>
      <w:r w:rsidRPr="003F13E1">
        <w:t>2000</w:t>
      </w:r>
      <w:r>
        <w:t xml:space="preserve">). </w:t>
      </w:r>
    </w:p>
    <w:p w:rsidR="00515894" w:rsidRDefault="00515894" w:rsidP="00DB292C">
      <w:pPr>
        <w:autoSpaceDE w:val="0"/>
        <w:autoSpaceDN w:val="0"/>
        <w:adjustRightInd w:val="0"/>
        <w:spacing w:after="0" w:line="480" w:lineRule="auto"/>
        <w:rPr>
          <w:b/>
        </w:rPr>
      </w:pPr>
    </w:p>
    <w:p w:rsidR="00515894" w:rsidRDefault="00515894" w:rsidP="00DB292C">
      <w:pPr>
        <w:autoSpaceDE w:val="0"/>
        <w:autoSpaceDN w:val="0"/>
        <w:adjustRightInd w:val="0"/>
        <w:spacing w:after="0" w:line="480" w:lineRule="auto"/>
        <w:rPr>
          <w:b/>
        </w:rPr>
      </w:pPr>
      <w:r>
        <w:rPr>
          <w:b/>
        </w:rPr>
        <w:t>Performance Outcomes</w:t>
      </w:r>
    </w:p>
    <w:p w:rsidR="00515894" w:rsidRDefault="00515894" w:rsidP="00DB292C">
      <w:pPr>
        <w:autoSpaceDE w:val="0"/>
        <w:autoSpaceDN w:val="0"/>
        <w:adjustRightInd w:val="0"/>
        <w:spacing w:after="0" w:line="480" w:lineRule="auto"/>
        <w:ind w:firstLine="720"/>
      </w:pPr>
      <w:r>
        <w:t xml:space="preserve">In contrast to traditional RBV approach, a dynamic capabilities perspective does not view dynamic capabilities as a source of sustained competitive advantage. RBV logic suggests that sustained competitive could be achieved when capabilities are valuable, rare, inimitable, immobile, and </w:t>
      </w:r>
      <w:proofErr w:type="spellStart"/>
      <w:r>
        <w:t>nonsubstitutable</w:t>
      </w:r>
      <w:proofErr w:type="spellEnd"/>
      <w:r>
        <w:t xml:space="preserve"> (</w:t>
      </w:r>
      <w:proofErr w:type="spellStart"/>
      <w:r>
        <w:t>Eisenhardt</w:t>
      </w:r>
      <w:proofErr w:type="spellEnd"/>
      <w:r>
        <w:t xml:space="preserve"> and Martin </w:t>
      </w:r>
      <w:r w:rsidRPr="003F13E1">
        <w:t>2000</w:t>
      </w:r>
      <w:r>
        <w:t>). Dynamic capabilities are typically valuable and rare as they are not possessed by all the competitors equally, however the other conditions do not always hold. Thus, dynamic capabilities could be a source of competitive advantage, but there is usually not enough evidence to confirm sustainability. Moreover, long-</w:t>
      </w:r>
      <w:r>
        <w:lastRenderedPageBreak/>
        <w:t xml:space="preserve">term competitive advantage is infrequently achieved in dynamic markets with high levels of environmental uncertainty. Therefore, it is necessary to consider some other possible </w:t>
      </w:r>
      <w:r w:rsidR="00AC637F">
        <w:t xml:space="preserve">value-based </w:t>
      </w:r>
      <w:r>
        <w:t>performance outcom</w:t>
      </w:r>
      <w:r w:rsidR="00AC637F">
        <w:t>es</w:t>
      </w:r>
      <w:r>
        <w:t>.</w:t>
      </w:r>
    </w:p>
    <w:p w:rsidR="00515894" w:rsidRDefault="00515894" w:rsidP="00DB292C">
      <w:pPr>
        <w:autoSpaceDE w:val="0"/>
        <w:autoSpaceDN w:val="0"/>
        <w:adjustRightInd w:val="0"/>
        <w:spacing w:after="0" w:line="480" w:lineRule="auto"/>
      </w:pPr>
      <w:r>
        <w:tab/>
        <w:t xml:space="preserve">To summarize the above discussion, firms create value through the use of valuable and rare resources that are transformed into capabilities and could lead to positive performance outcomes. Dynamic capabilities evolve from individual firm capabilities as an adaptive response to the conditions of environmental uncertainty. A corresponding theoretical framework is presented in Figure </w:t>
      </w:r>
      <w:r w:rsidR="000A4FE0">
        <w:t>2.</w:t>
      </w:r>
      <w:r>
        <w:t>1.</w:t>
      </w:r>
    </w:p>
    <w:p w:rsidR="00124FEE" w:rsidRDefault="00A7040E" w:rsidP="00124FEE">
      <w:pPr>
        <w:autoSpaceDE w:val="0"/>
        <w:autoSpaceDN w:val="0"/>
        <w:adjustRightInd w:val="0"/>
        <w:spacing w:line="480" w:lineRule="auto"/>
        <w:rPr>
          <w:b/>
        </w:rPr>
      </w:pPr>
      <w:r>
        <w:rPr>
          <w:b/>
        </w:rPr>
      </w:r>
      <w:r>
        <w:rPr>
          <w:b/>
        </w:rPr>
        <w:pict>
          <v:group id="_x0000_s1131" editas="canvas" style="width:439.45pt;height:180.65pt;mso-position-horizontal-relative:char;mso-position-vertical-relative:line" coordorigin="2460,2468" coordsize="6958,289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2" type="#_x0000_t75" style="position:absolute;left:2460;top:2468;width:6958;height:2891" o:preferrelative="f">
              <v:fill o:detectmouseclick="t"/>
              <v:path o:extrusionok="t" o:connecttype="none"/>
              <o:lock v:ext="edit" text="t"/>
            </v:shape>
            <v:rect id="_x0000_s1133" style="position:absolute;left:2460;top:3188;width:6958;height:1872"/>
            <v:shapetype id="_x0000_t202" coordsize="21600,21600" o:spt="202" path="m,l,21600r21600,l21600,xe">
              <v:stroke joinstyle="miter"/>
              <v:path gradientshapeok="t" o:connecttype="rect"/>
            </v:shapetype>
            <v:shape id="_x0000_s1134" type="#_x0000_t202" style="position:absolute;left:3496;top:3908;width:1777;height:720">
              <v:textbox style="mso-next-textbox:#_x0000_s1134">
                <w:txbxContent>
                  <w:p w:rsidR="004D5499" w:rsidRDefault="004D5499" w:rsidP="00124FEE">
                    <w:r>
                      <w:t>CAPABILITIES</w:t>
                    </w:r>
                  </w:p>
                  <w:p w:rsidR="004D5499" w:rsidRPr="00E61AE6" w:rsidRDefault="004D5499" w:rsidP="00124FEE">
                    <w:pPr>
                      <w:rPr>
                        <w:sz w:val="22"/>
                      </w:rPr>
                    </w:pPr>
                    <w:r w:rsidRPr="00E61AE6">
                      <w:rPr>
                        <w:sz w:val="22"/>
                      </w:rPr>
                      <w:t>(Static, independent)</w:t>
                    </w:r>
                  </w:p>
                </w:txbxContent>
              </v:textbox>
            </v:shap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135" type="#_x0000_t94" style="position:absolute;left:2756;top:4196;width:592;height:288"/>
            <v:shape id="_x0000_s1136" type="#_x0000_t202" style="position:absolute;left:5717;top:3764;width:1925;height:864">
              <v:textbox style="mso-next-textbox:#_x0000_s1136">
                <w:txbxContent>
                  <w:p w:rsidR="004D5499" w:rsidRDefault="004D5499" w:rsidP="00124FEE">
                    <w:pPr>
                      <w:jc w:val="center"/>
                    </w:pPr>
                    <w:r>
                      <w:t>Integrated Dynamic</w:t>
                    </w:r>
                  </w:p>
                  <w:p w:rsidR="004D5499" w:rsidRDefault="004D5499" w:rsidP="00124FEE">
                    <w:pPr>
                      <w:jc w:val="center"/>
                    </w:pPr>
                    <w:r>
                      <w:t>CAPABILITIES</w:t>
                    </w:r>
                  </w:p>
                </w:txbxContent>
              </v:textbox>
            </v:shape>
            <v:shape id="_x0000_s1137" type="#_x0000_t202" style="position:absolute;left:2460;top:3908;width:888;height:288" stroked="f">
              <v:textbox style="mso-next-textbox:#_x0000_s1137">
                <w:txbxContent>
                  <w:p w:rsidR="004D5499" w:rsidRPr="0026144B" w:rsidRDefault="004D5499" w:rsidP="00124FEE">
                    <w:pPr>
                      <w:rPr>
                        <w:i/>
                        <w:sz w:val="20"/>
                        <w:szCs w:val="20"/>
                      </w:rPr>
                    </w:pPr>
                    <w:r w:rsidRPr="0026144B">
                      <w:rPr>
                        <w:i/>
                        <w:sz w:val="20"/>
                        <w:szCs w:val="20"/>
                      </w:rPr>
                      <w:t>Resources</w:t>
                    </w:r>
                  </w:p>
                </w:txbxContent>
              </v:textbox>
            </v:shape>
            <v:shape id="_x0000_s1138" type="#_x0000_t202" style="position:absolute;left:7938;top:3908;width:1331;height:720">
              <v:textbox style="mso-next-textbox:#_x0000_s1138">
                <w:txbxContent>
                  <w:p w:rsidR="004D5499" w:rsidRDefault="004D5499" w:rsidP="00124FEE">
                    <w:r>
                      <w:t>Performance Outcomes</w:t>
                    </w:r>
                  </w:p>
                </w:txbxContent>
              </v:textbox>
            </v:shape>
            <v:shape id="_x0000_s1139" type="#_x0000_t202" style="position:absolute;left:4082;top:2612;width:2671;height:432" stroked="f">
              <v:textbox style="mso-next-textbox:#_x0000_s1139">
                <w:txbxContent>
                  <w:p w:rsidR="004D5499" w:rsidRPr="0026144B" w:rsidRDefault="004D5499" w:rsidP="00124FEE">
                    <w:pPr>
                      <w:rPr>
                        <w:i/>
                      </w:rPr>
                    </w:pPr>
                    <w:r w:rsidRPr="0026144B">
                      <w:rPr>
                        <w:i/>
                      </w:rPr>
                      <w:t>Environmental Uncertainty</w:t>
                    </w:r>
                  </w:p>
                </w:txbxContent>
              </v:textbox>
            </v:shape>
            <v:line id="_x0000_s1140" style="position:absolute" from="5569,3044" to="5570,4052">
              <v:stroke endarrow="block"/>
            </v:line>
            <v:line id="_x0000_s1141" style="position:absolute" from="5273,4196" to="5717,4197">
              <v:stroke endarrow="block"/>
            </v:line>
            <v:line id="_x0000_s1142" style="position:absolute" from="7641,4196" to="7938,4196">
              <v:stroke endarrow="block"/>
            </v:line>
            <v:shape id="_x0000_s1143" type="#_x0000_t202" style="position:absolute;left:3644;top:3332;width:1629;height:432" stroked="f">
              <v:textbox style="mso-next-textbox:#_x0000_s1143">
                <w:txbxContent>
                  <w:p w:rsidR="004D5499" w:rsidRPr="0026144B" w:rsidRDefault="004D5499" w:rsidP="00124FEE">
                    <w:pPr>
                      <w:rPr>
                        <w:sz w:val="22"/>
                      </w:rPr>
                    </w:pPr>
                    <w:r w:rsidRPr="0026144B">
                      <w:rPr>
                        <w:sz w:val="22"/>
                      </w:rPr>
                      <w:t>Corporate Strategy</w:t>
                    </w:r>
                  </w:p>
                </w:txbxContent>
              </v:textbox>
            </v:shape>
            <v:line id="_x0000_s1144" style="position:absolute" from="4385,3620" to="4386,3908">
              <v:stroke endarrow="block"/>
            </v:line>
            <v:line id="_x0000_s1145" style="position:absolute" from="5125,3476" to="5421,3476"/>
            <v:line id="_x0000_s1146" style="position:absolute" from="5421,3476" to="5421,4052">
              <v:stroke endarrow="block"/>
            </v:line>
            <v:line id="_x0000_s1147" style="position:absolute;flip:x" from="3348,3466" to="3638,3476"/>
            <v:line id="_x0000_s1148" style="position:absolute" from="3348,3476" to="3349,4052">
              <v:stroke endarrow="block"/>
            </v:line>
            <w10:wrap type="none"/>
            <w10:anchorlock/>
          </v:group>
        </w:pict>
      </w:r>
    </w:p>
    <w:p w:rsidR="00124FEE" w:rsidRDefault="00124FEE" w:rsidP="00124FEE">
      <w:pPr>
        <w:autoSpaceDE w:val="0"/>
        <w:autoSpaceDN w:val="0"/>
        <w:adjustRightInd w:val="0"/>
        <w:spacing w:after="0" w:line="240" w:lineRule="auto"/>
        <w:jc w:val="center"/>
        <w:rPr>
          <w:b/>
        </w:rPr>
      </w:pPr>
      <w:r>
        <w:rPr>
          <w:b/>
        </w:rPr>
        <w:t>Figure 2.1</w:t>
      </w:r>
    </w:p>
    <w:p w:rsidR="00124FEE" w:rsidRDefault="00124FEE" w:rsidP="00124FEE">
      <w:pPr>
        <w:autoSpaceDE w:val="0"/>
        <w:autoSpaceDN w:val="0"/>
        <w:adjustRightInd w:val="0"/>
        <w:spacing w:after="0" w:line="240" w:lineRule="auto"/>
        <w:jc w:val="center"/>
        <w:rPr>
          <w:b/>
        </w:rPr>
      </w:pPr>
      <w:r>
        <w:rPr>
          <w:b/>
        </w:rPr>
        <w:t>Theoretical Framework</w:t>
      </w:r>
    </w:p>
    <w:p w:rsidR="00DB292C" w:rsidRDefault="00DB292C" w:rsidP="00835110">
      <w:pPr>
        <w:tabs>
          <w:tab w:val="left" w:pos="3200"/>
        </w:tabs>
        <w:autoSpaceDE w:val="0"/>
        <w:autoSpaceDN w:val="0"/>
        <w:adjustRightInd w:val="0"/>
        <w:spacing w:after="0" w:line="480" w:lineRule="auto"/>
        <w:rPr>
          <w:b/>
        </w:rPr>
      </w:pPr>
    </w:p>
    <w:p w:rsidR="00124FEE" w:rsidRDefault="00124FEE" w:rsidP="00CF525E">
      <w:pPr>
        <w:tabs>
          <w:tab w:val="left" w:pos="3200"/>
        </w:tabs>
        <w:autoSpaceDE w:val="0"/>
        <w:autoSpaceDN w:val="0"/>
        <w:adjustRightInd w:val="0"/>
        <w:spacing w:after="0" w:line="480" w:lineRule="auto"/>
      </w:pPr>
      <w:r>
        <w:t>CONTEXTUALIZATION OF THE THEORETICAL FRAMEWORK</w:t>
      </w:r>
    </w:p>
    <w:p w:rsidR="00124FEE" w:rsidRPr="0060126B" w:rsidRDefault="00124FEE" w:rsidP="00835110">
      <w:pPr>
        <w:autoSpaceDE w:val="0"/>
        <w:autoSpaceDN w:val="0"/>
        <w:adjustRightInd w:val="0"/>
        <w:spacing w:after="0" w:line="480" w:lineRule="auto"/>
        <w:rPr>
          <w:b/>
        </w:rPr>
      </w:pPr>
      <w:r w:rsidRPr="0060126B">
        <w:rPr>
          <w:b/>
        </w:rPr>
        <w:t>Supply Chain Management Perspective</w:t>
      </w:r>
    </w:p>
    <w:p w:rsidR="00124FEE" w:rsidRDefault="00124FEE" w:rsidP="00835110">
      <w:pPr>
        <w:autoSpaceDE w:val="0"/>
        <w:autoSpaceDN w:val="0"/>
        <w:adjustRightInd w:val="0"/>
        <w:spacing w:after="0" w:line="480" w:lineRule="auto"/>
      </w:pPr>
      <w:r>
        <w:tab/>
        <w:t xml:space="preserve">This research is purposefully conducted within a supply chain management domain. Effective supply chain management is essential for survival and success of any company. As mentioned earlier, this domain integrates planning and execution of multiple management </w:t>
      </w:r>
      <w:r>
        <w:lastRenderedPageBreak/>
        <w:t>activities, such as sourcing, procurement, and logistics management. This challenging task requires efficient and effective coordination of physical, relational, informational, and financial flows that cross organizational boundaries in order to face the challenges presented by environmental uncertainty (</w:t>
      </w:r>
      <w:proofErr w:type="spellStart"/>
      <w:r>
        <w:t>Mentzer</w:t>
      </w:r>
      <w:proofErr w:type="spellEnd"/>
      <w:r>
        <w:t xml:space="preserve"> et al. 2008). Specifically, three different sources of uncertainty should be taken into account in the supply chain context. These include: supply uncertainty, demand uncertainty, and technological uncertainty (</w:t>
      </w:r>
      <w:proofErr w:type="spellStart"/>
      <w:r>
        <w:t>Fynes</w:t>
      </w:r>
      <w:proofErr w:type="spellEnd"/>
      <w:r>
        <w:t xml:space="preserve"> et al. 2004, Davis 1993). Supply uncertainty refers to the unpredictable nature of the quantity of timing and supply which could occur as a result of manufacturing downtime, quality and yield problems, forecast inaccuracies or logistical malfunctioning (Davis 1993, Walker and Weber 1987). Demand uncertainty is similar to supply uncertainty in that it relates to the unpredictable variations in the quantity and timing of demand as experienced in a supply chain. It is often </w:t>
      </w:r>
      <w:proofErr w:type="spellStart"/>
      <w:r>
        <w:t>operationalized</w:t>
      </w:r>
      <w:proofErr w:type="spellEnd"/>
      <w:r>
        <w:t xml:space="preserve"> as an amount of forecast error. </w:t>
      </w:r>
      <w:proofErr w:type="spellStart"/>
      <w:r>
        <w:t>Fynes</w:t>
      </w:r>
      <w:proofErr w:type="spellEnd"/>
      <w:r>
        <w:t xml:space="preserve"> et al. (2004) state that such factors as quantity and timing uncertainty could influence forecast accuracy and lead to either access inventory or shortages, and such problems could be further amplified by the bullwhip effect and additional demand distortion. Technological uncertainty refers to the rate of technological change, which could negatively affect the companies that are lacking appropriate capabilities. </w:t>
      </w:r>
    </w:p>
    <w:p w:rsidR="00124FEE" w:rsidRDefault="00124FEE" w:rsidP="00835110">
      <w:pPr>
        <w:autoSpaceDE w:val="0"/>
        <w:autoSpaceDN w:val="0"/>
        <w:adjustRightInd w:val="0"/>
        <w:spacing w:after="0" w:line="480" w:lineRule="auto"/>
        <w:ind w:firstLine="720"/>
      </w:pPr>
      <w:r>
        <w:t>There are inherent risks and vulnerabilities associated with each of the business processes. They are often manifested as supply chain disruptions that come in a variety of forms including transportation delays, port stoppages, accidents and natural disasters, quality and operational issues, and acts of terrorism to name just a few (</w:t>
      </w:r>
      <w:proofErr w:type="spellStart"/>
      <w:r>
        <w:t>Blackhurst</w:t>
      </w:r>
      <w:proofErr w:type="spellEnd"/>
      <w:r>
        <w:t xml:space="preserve"> et al. 2005, </w:t>
      </w:r>
      <w:proofErr w:type="spellStart"/>
      <w:r>
        <w:t>Mitroff</w:t>
      </w:r>
      <w:proofErr w:type="spellEnd"/>
      <w:r>
        <w:t xml:space="preserve"> and </w:t>
      </w:r>
      <w:proofErr w:type="spellStart"/>
      <w:r>
        <w:t>Alpaslan</w:t>
      </w:r>
      <w:proofErr w:type="spellEnd"/>
      <w:r>
        <w:t xml:space="preserve"> 2003, Chapman et al. 2002). Rice and </w:t>
      </w:r>
      <w:proofErr w:type="spellStart"/>
      <w:r>
        <w:t>Caniato</w:t>
      </w:r>
      <w:proofErr w:type="spellEnd"/>
      <w:r>
        <w:t xml:space="preserve"> (2003) state the fact that the supply chain is inherently vulnerable to disruptions, emphasizing that the failure of any one element of the supply network could cause the whole network to fail. Such failures could be extremely </w:t>
      </w:r>
      <w:r>
        <w:lastRenderedPageBreak/>
        <w:t>costly, and if handled poorly could results in significant supply chain delays triggering stock-outs, inability to meet obligations, increases in costs, and decreases in shareholder value (</w:t>
      </w:r>
      <w:proofErr w:type="spellStart"/>
      <w:r>
        <w:t>Blackhurst</w:t>
      </w:r>
      <w:proofErr w:type="spellEnd"/>
      <w:r>
        <w:t xml:space="preserve"> et al. 2005, Hendricks and </w:t>
      </w:r>
      <w:proofErr w:type="spellStart"/>
      <w:r>
        <w:t>Singhal</w:t>
      </w:r>
      <w:proofErr w:type="spellEnd"/>
      <w:r>
        <w:t xml:space="preserve"> 2003, Knight and Pretty 1996). For example, Knight and Pretty (1996) found that a shareholder wealth could sharply decrease</w:t>
      </w:r>
      <w:r w:rsidRPr="00E23909">
        <w:t xml:space="preserve"> </w:t>
      </w:r>
      <w:r>
        <w:t xml:space="preserve">(by almost 8%) from the impact of publicly-announced supply-related disruptions. Similarly, based on the analysis of 519 public announcements related to supply chain glitches or disruptions, Hendricks and </w:t>
      </w:r>
      <w:proofErr w:type="spellStart"/>
      <w:r>
        <w:t>Singhal</w:t>
      </w:r>
      <w:proofErr w:type="spellEnd"/>
      <w:r>
        <w:t xml:space="preserve"> (2003) estimated a resulting 10.28% decrease in shareholder value.  In a different study, Rice and </w:t>
      </w:r>
      <w:proofErr w:type="spellStart"/>
      <w:r>
        <w:t>Caniato</w:t>
      </w:r>
      <w:proofErr w:type="spellEnd"/>
      <w:r>
        <w:t xml:space="preserve"> (2003) utilized a survey methodology to estimate an average $50-100 million cost impact per day of supply chain disruption. Additional examples of quantifiable supply chain disruptions could be found in </w:t>
      </w:r>
      <w:proofErr w:type="spellStart"/>
      <w:r>
        <w:t>Radjou</w:t>
      </w:r>
      <w:proofErr w:type="spellEnd"/>
      <w:r>
        <w:t xml:space="preserve"> (2003) and other related studies. The bottom line is that disruptions could have severe negative consequences, potentially devastating to the whole supply chain. Therefore, it is important to proactively address supply chain risks and vulnerabilities at the strategic and operational levels. </w:t>
      </w:r>
    </w:p>
    <w:p w:rsidR="00124FEE" w:rsidRDefault="00124FEE" w:rsidP="00835110">
      <w:pPr>
        <w:autoSpaceDE w:val="0"/>
        <w:autoSpaceDN w:val="0"/>
        <w:adjustRightInd w:val="0"/>
        <w:spacing w:after="0" w:line="480" w:lineRule="auto"/>
        <w:ind w:firstLine="720"/>
      </w:pPr>
      <w:r>
        <w:t>Addressing such risks and vulnerabilities is an essence of organizational resilience. Thus, the choice of supply chain management domain as the main domain for this research is logical and theoretically sound. In a situation of increasing supply chain vulnerability, adopting a risk and uncertainty perspective to developing strategic capabilities becomes of paramount importance (Barry 2004). This approach is further narrowed down to focus on the effects of logistics capabilities discussed hereafter.</w:t>
      </w:r>
    </w:p>
    <w:p w:rsidR="00835110" w:rsidRDefault="00835110" w:rsidP="00835110">
      <w:pPr>
        <w:autoSpaceDE w:val="0"/>
        <w:autoSpaceDN w:val="0"/>
        <w:adjustRightInd w:val="0"/>
        <w:spacing w:after="0" w:line="480" w:lineRule="auto"/>
        <w:rPr>
          <w:b/>
        </w:rPr>
      </w:pPr>
    </w:p>
    <w:p w:rsidR="00124FEE" w:rsidRPr="0060126B" w:rsidRDefault="00124FEE" w:rsidP="00835110">
      <w:pPr>
        <w:autoSpaceDE w:val="0"/>
        <w:autoSpaceDN w:val="0"/>
        <w:adjustRightInd w:val="0"/>
        <w:spacing w:after="0" w:line="480" w:lineRule="auto"/>
        <w:rPr>
          <w:b/>
        </w:rPr>
      </w:pPr>
      <w:r w:rsidRPr="0060126B">
        <w:rPr>
          <w:b/>
        </w:rPr>
        <w:t>Focus on Logistics Capabilities</w:t>
      </w:r>
    </w:p>
    <w:p w:rsidR="00124FEE" w:rsidRDefault="00124FEE" w:rsidP="00835110">
      <w:pPr>
        <w:spacing w:after="0" w:line="480" w:lineRule="auto"/>
      </w:pPr>
      <w:r>
        <w:tab/>
        <w:t>Logistics is often considered as an increasingly important area of strategic concern for firms (</w:t>
      </w:r>
      <w:proofErr w:type="spellStart"/>
      <w:r>
        <w:t>Bowersox</w:t>
      </w:r>
      <w:proofErr w:type="spellEnd"/>
      <w:r>
        <w:t xml:space="preserve"> et al. 1989, 1999, Lynch et al. 2000, </w:t>
      </w:r>
      <w:proofErr w:type="spellStart"/>
      <w:r>
        <w:t>Mentzer</w:t>
      </w:r>
      <w:proofErr w:type="spellEnd"/>
      <w:r>
        <w:t xml:space="preserve"> et al 2001, 2008). The boundary-</w:t>
      </w:r>
      <w:r>
        <w:lastRenderedPageBreak/>
        <w:t>spanning capabilities of logistics lie at the center of supply chain management (</w:t>
      </w:r>
      <w:proofErr w:type="spellStart"/>
      <w:r>
        <w:t>Mentzer</w:t>
      </w:r>
      <w:proofErr w:type="spellEnd"/>
      <w:r>
        <w:t xml:space="preserve"> et al. 2001). </w:t>
      </w:r>
      <w:r w:rsidRPr="00BE27F6">
        <w:t xml:space="preserve">Logistics includes managing transportation, inventory, </w:t>
      </w:r>
      <w:proofErr w:type="gramStart"/>
      <w:r w:rsidRPr="00BE27F6">
        <w:t>facilities,</w:t>
      </w:r>
      <w:proofErr w:type="gramEnd"/>
      <w:r w:rsidRPr="00BE27F6">
        <w:t xml:space="preserve"> materials order fulfillment, communication, third party providers and information within the firm in a way that contributes to customer value (</w:t>
      </w:r>
      <w:proofErr w:type="spellStart"/>
      <w:r w:rsidRPr="00BE27F6">
        <w:t>Novack</w:t>
      </w:r>
      <w:proofErr w:type="spellEnd"/>
      <w:r w:rsidRPr="00BE27F6">
        <w:t xml:space="preserve"> et al. 1992). Caputo and </w:t>
      </w:r>
      <w:proofErr w:type="spellStart"/>
      <w:r w:rsidRPr="00BE27F6">
        <w:t>Mininno</w:t>
      </w:r>
      <w:proofErr w:type="spellEnd"/>
      <w:r w:rsidRPr="00BE27F6">
        <w:t xml:space="preserve"> (1998) also emphasize that logistics is dealing with time and space utilities and generally refers to the inbound and outbound flow and storage of goods, services and information within and between organizations. CSCMP (formerly known as Council of Logistics Management (CLM) provides the following definition of Logistics Management (LM</w:t>
      </w:r>
      <w:proofErr w:type="gramStart"/>
      <w:r w:rsidRPr="00BE27F6">
        <w:t>):</w:t>
      </w:r>
      <w:proofErr w:type="gramEnd"/>
      <w:r w:rsidRPr="00BE27F6">
        <w:t xml:space="preserve"> </w:t>
      </w:r>
    </w:p>
    <w:p w:rsidR="00124FEE" w:rsidRDefault="00124FEE" w:rsidP="00835110">
      <w:pPr>
        <w:spacing w:after="0" w:line="480" w:lineRule="auto"/>
        <w:ind w:left="720"/>
      </w:pPr>
      <w:r w:rsidRPr="00BE27F6">
        <w:t>“</w:t>
      </w:r>
      <w:r w:rsidRPr="005A05CD">
        <w:rPr>
          <w:i/>
        </w:rPr>
        <w:t>LM is that part of SCM that plans, implements, and controls the efficient, effective forward and reverse flow and storage of goods, services and related information between the point of origin and the point of consumption in order to meet customer requirements</w:t>
      </w:r>
      <w:r w:rsidRPr="00BE27F6">
        <w:t xml:space="preserve">” (cited from </w:t>
      </w:r>
      <w:proofErr w:type="spellStart"/>
      <w:r w:rsidRPr="00BE27F6">
        <w:t>Mentzer</w:t>
      </w:r>
      <w:proofErr w:type="spellEnd"/>
      <w:r w:rsidRPr="00BE27F6">
        <w:t xml:space="preserve">, Stank, and </w:t>
      </w:r>
      <w:proofErr w:type="spellStart"/>
      <w:r w:rsidRPr="00BE27F6">
        <w:t>Esper</w:t>
      </w:r>
      <w:proofErr w:type="spellEnd"/>
      <w:r w:rsidRPr="00BE27F6">
        <w:t xml:space="preserve"> 2008). </w:t>
      </w:r>
    </w:p>
    <w:p w:rsidR="00835110" w:rsidRDefault="00835110" w:rsidP="00835110">
      <w:pPr>
        <w:autoSpaceDE w:val="0"/>
        <w:autoSpaceDN w:val="0"/>
        <w:adjustRightInd w:val="0"/>
        <w:spacing w:after="0" w:line="480" w:lineRule="auto"/>
        <w:ind w:firstLine="720"/>
      </w:pPr>
    </w:p>
    <w:p w:rsidR="00124FEE" w:rsidRDefault="00124FEE" w:rsidP="00835110">
      <w:pPr>
        <w:autoSpaceDE w:val="0"/>
        <w:autoSpaceDN w:val="0"/>
        <w:adjustRightInd w:val="0"/>
        <w:spacing w:after="0" w:line="480" w:lineRule="auto"/>
        <w:ind w:firstLine="720"/>
      </w:pPr>
      <w:r>
        <w:t>Internal logistics strategies and goals should be aligned with corporate strategy, functional structure and integrated logistics processes in order to improve logistics and firm performance (</w:t>
      </w:r>
      <w:proofErr w:type="spellStart"/>
      <w:r>
        <w:t>Defee</w:t>
      </w:r>
      <w:proofErr w:type="spellEnd"/>
      <w:r>
        <w:t xml:space="preserve"> and Stank 2005). Logistics enables firms to become efficient and effective via developing certain capabilities that are unique to that firm. Logistics capabilities could be viewed as valuable, scarce and difficult to imitate strategic resources that could explain differences in performance among firms (</w:t>
      </w:r>
      <w:proofErr w:type="spellStart"/>
      <w:r>
        <w:t>Olavarrieta</w:t>
      </w:r>
      <w:proofErr w:type="spellEnd"/>
      <w:r>
        <w:t xml:space="preserve"> and </w:t>
      </w:r>
      <w:proofErr w:type="spellStart"/>
      <w:r>
        <w:t>Ellinger</w:t>
      </w:r>
      <w:proofErr w:type="spellEnd"/>
      <w:r>
        <w:t xml:space="preserve"> 1997).</w:t>
      </w:r>
      <w:r w:rsidRPr="006E1C2C">
        <w:t xml:space="preserve"> </w:t>
      </w:r>
      <w:r>
        <w:t xml:space="preserve">Supply chain design, viewed as a formation of relevant capabilities into a unified supply chain, has been considered as the most fundamental competence of an organization, and the specific role of logistics capabilities in supply chain management could be explain with the help of resource-based and other relevant models (Fine 1998, </w:t>
      </w:r>
      <w:proofErr w:type="spellStart"/>
      <w:r>
        <w:t>Mentzer</w:t>
      </w:r>
      <w:proofErr w:type="spellEnd"/>
      <w:r>
        <w:t xml:space="preserve"> et al. 2001).</w:t>
      </w:r>
    </w:p>
    <w:p w:rsidR="00124FEE" w:rsidRDefault="00124FEE" w:rsidP="00835110">
      <w:pPr>
        <w:autoSpaceDE w:val="0"/>
        <w:autoSpaceDN w:val="0"/>
        <w:adjustRightInd w:val="0"/>
        <w:spacing w:after="0" w:line="480" w:lineRule="auto"/>
        <w:ind w:firstLine="720"/>
      </w:pPr>
      <w:r>
        <w:lastRenderedPageBreak/>
        <w:t>Studying and emphasizing the specific role of logistics capabilities in the development of firm’s supply chain resilience is the focus of this research. Logistics capabilities are classified and further reviewed in the following sections of this chapter.</w:t>
      </w:r>
    </w:p>
    <w:p w:rsidR="00CF525E" w:rsidRDefault="00CF525E" w:rsidP="00835110">
      <w:pPr>
        <w:autoSpaceDE w:val="0"/>
        <w:autoSpaceDN w:val="0"/>
        <w:adjustRightInd w:val="0"/>
        <w:spacing w:after="0" w:line="480" w:lineRule="auto"/>
        <w:rPr>
          <w:b/>
        </w:rPr>
      </w:pPr>
    </w:p>
    <w:p w:rsidR="00124FEE" w:rsidRPr="0060126B" w:rsidRDefault="00124FEE" w:rsidP="00835110">
      <w:pPr>
        <w:autoSpaceDE w:val="0"/>
        <w:autoSpaceDN w:val="0"/>
        <w:adjustRightInd w:val="0"/>
        <w:spacing w:after="0" w:line="480" w:lineRule="auto"/>
        <w:rPr>
          <w:b/>
        </w:rPr>
      </w:pPr>
      <w:r w:rsidRPr="0060126B">
        <w:rPr>
          <w:b/>
        </w:rPr>
        <w:t>Resilience from the resource-based perspective</w:t>
      </w:r>
    </w:p>
    <w:p w:rsidR="00124FEE" w:rsidRDefault="00124FEE" w:rsidP="00835110">
      <w:pPr>
        <w:autoSpaceDE w:val="0"/>
        <w:autoSpaceDN w:val="0"/>
        <w:adjustRightInd w:val="0"/>
        <w:spacing w:after="0" w:line="480" w:lineRule="auto"/>
        <w:ind w:firstLine="720"/>
      </w:pPr>
      <w:r>
        <w:t>Bridging together two substantial streams of academic research, namely a strategic RBV theory and risk management perspective, in this research we propose to focus on a firm’s supply chain resilience as a dynamic capability leading to several positive performance outcomes. In order to better understand the phenomenon of resilience, we need to first consider different perspectives and approaches from the various streams of literature. The following section of this research identifies and reviews significant contributions from different perspectives. Specifically, ecological, psychological, socio-economic, and organizational perspectives were identified as the most appropriate for understanding of the phenomenon of resilience.</w:t>
      </w:r>
    </w:p>
    <w:p w:rsidR="00835110" w:rsidRDefault="00835110" w:rsidP="00835110">
      <w:pPr>
        <w:autoSpaceDE w:val="0"/>
        <w:autoSpaceDN w:val="0"/>
        <w:adjustRightInd w:val="0"/>
        <w:spacing w:after="0" w:line="480" w:lineRule="auto"/>
      </w:pPr>
    </w:p>
    <w:p w:rsidR="00124FEE" w:rsidRDefault="00124FEE" w:rsidP="00835110">
      <w:pPr>
        <w:autoSpaceDE w:val="0"/>
        <w:autoSpaceDN w:val="0"/>
        <w:adjustRightInd w:val="0"/>
        <w:spacing w:after="0" w:line="480" w:lineRule="auto"/>
      </w:pPr>
      <w:r>
        <w:t>THE CONCEPTUALIZATION OF SUPPLY CHAIN RESILIENCE</w:t>
      </w:r>
    </w:p>
    <w:p w:rsidR="00124FEE" w:rsidRPr="007C6A0A" w:rsidRDefault="00124FEE" w:rsidP="00835110">
      <w:pPr>
        <w:autoSpaceDE w:val="0"/>
        <w:autoSpaceDN w:val="0"/>
        <w:adjustRightInd w:val="0"/>
        <w:spacing w:after="0" w:line="480" w:lineRule="auto"/>
        <w:rPr>
          <w:b/>
        </w:rPr>
      </w:pPr>
      <w:r w:rsidRPr="007C6A0A">
        <w:rPr>
          <w:b/>
        </w:rPr>
        <w:t>Con</w:t>
      </w:r>
      <w:r>
        <w:rPr>
          <w:b/>
        </w:rPr>
        <w:t xml:space="preserve">tributions based on </w:t>
      </w:r>
      <w:r w:rsidRPr="007C6A0A">
        <w:rPr>
          <w:b/>
        </w:rPr>
        <w:t xml:space="preserve">the </w:t>
      </w:r>
      <w:r>
        <w:rPr>
          <w:b/>
        </w:rPr>
        <w:t>Ecological</w:t>
      </w:r>
      <w:r w:rsidRPr="007C6A0A">
        <w:rPr>
          <w:b/>
        </w:rPr>
        <w:t xml:space="preserve"> Perspective</w:t>
      </w:r>
    </w:p>
    <w:p w:rsidR="00124FEE" w:rsidRDefault="00124FEE" w:rsidP="00835110">
      <w:pPr>
        <w:autoSpaceDE w:val="0"/>
        <w:autoSpaceDN w:val="0"/>
        <w:adjustRightInd w:val="0"/>
        <w:spacing w:after="0" w:line="480" w:lineRule="auto"/>
        <w:ind w:firstLine="720"/>
      </w:pPr>
      <w:r w:rsidRPr="00CC5C29">
        <w:t xml:space="preserve">The Canadian ecologist C. S. </w:t>
      </w:r>
      <w:proofErr w:type="spellStart"/>
      <w:r w:rsidRPr="00CC5C29">
        <w:t>Holling</w:t>
      </w:r>
      <w:proofErr w:type="spellEnd"/>
      <w:r w:rsidRPr="00CC5C29">
        <w:t xml:space="preserve"> was one of the first researchers to note that systems have two distinct propert</w:t>
      </w:r>
      <w:r>
        <w:t xml:space="preserve">ies: resilience and stability. </w:t>
      </w:r>
      <w:proofErr w:type="spellStart"/>
      <w:r w:rsidRPr="00CC5C29">
        <w:t>Ho</w:t>
      </w:r>
      <w:r>
        <w:t>l</w:t>
      </w:r>
      <w:r w:rsidRPr="00CC5C29">
        <w:t>ling</w:t>
      </w:r>
      <w:proofErr w:type="spellEnd"/>
      <w:r w:rsidRPr="00CC5C29">
        <w:t xml:space="preserve"> (1973)</w:t>
      </w:r>
      <w:r>
        <w:t xml:space="preserve"> </w:t>
      </w:r>
      <w:r w:rsidRPr="00CC5C29">
        <w:t xml:space="preserve">defined resilience as a system’s ability to absorb changes, and stability as the capacity of a system to return to an equilibrium state </w:t>
      </w:r>
      <w:r>
        <w:t xml:space="preserve">after a temporary disturbance. </w:t>
      </w:r>
      <w:r w:rsidRPr="00CC5C29">
        <w:t>The definition of resilience was expanded to include other elements such as the degree, manner, and pace of restoration of the initial ecosystem structure and functi</w:t>
      </w:r>
      <w:r>
        <w:t>on after a disturbance (</w:t>
      </w:r>
      <w:proofErr w:type="spellStart"/>
      <w:r>
        <w:t>Clapham</w:t>
      </w:r>
      <w:proofErr w:type="spellEnd"/>
      <w:r>
        <w:t xml:space="preserve"> 1971; </w:t>
      </w:r>
      <w:proofErr w:type="spellStart"/>
      <w:r>
        <w:t>Westman</w:t>
      </w:r>
      <w:proofErr w:type="spellEnd"/>
      <w:r w:rsidRPr="00CC5C29">
        <w:t xml:space="preserve"> 1978).  </w:t>
      </w:r>
      <w:r>
        <w:t>T</w:t>
      </w:r>
      <w:r w:rsidRPr="00423F93">
        <w:t xml:space="preserve">he </w:t>
      </w:r>
      <w:r w:rsidRPr="00423F93">
        <w:lastRenderedPageBreak/>
        <w:t xml:space="preserve">ability of an ecosystem to return to its original state after disturbance </w:t>
      </w:r>
      <w:r>
        <w:t xml:space="preserve">was specifically emphasized by </w:t>
      </w:r>
      <w:proofErr w:type="spellStart"/>
      <w:r w:rsidRPr="00423F93">
        <w:t>Westman</w:t>
      </w:r>
      <w:proofErr w:type="spellEnd"/>
      <w:r w:rsidRPr="00423F93">
        <w:t xml:space="preserve"> </w:t>
      </w:r>
      <w:r>
        <w:t>(</w:t>
      </w:r>
      <w:r w:rsidRPr="00423F93">
        <w:t>1978).</w:t>
      </w:r>
      <w:r>
        <w:t xml:space="preserve"> </w:t>
      </w:r>
    </w:p>
    <w:p w:rsidR="00124FEE" w:rsidRDefault="00124FEE" w:rsidP="00835110">
      <w:pPr>
        <w:autoSpaceDE w:val="0"/>
        <w:autoSpaceDN w:val="0"/>
        <w:adjustRightInd w:val="0"/>
        <w:spacing w:after="0" w:line="480" w:lineRule="auto"/>
        <w:ind w:firstLine="720"/>
      </w:pPr>
      <w:r w:rsidRPr="00CC5C29">
        <w:t>Various r</w:t>
      </w:r>
      <w:r>
        <w:t>esearch articles have identified</w:t>
      </w:r>
      <w:r w:rsidRPr="00CC5C29">
        <w:t xml:space="preserve"> several important dimensions of resilience that are important to this research including elasticity, malleability, and damping.</w:t>
      </w:r>
      <w:r>
        <w:t xml:space="preserve"> </w:t>
      </w:r>
      <w:r w:rsidRPr="00283718">
        <w:t xml:space="preserve">The speed at which a system restores itself to a stable state following a disturbance is a measure of its elasticity </w:t>
      </w:r>
      <w:r>
        <w:t>(</w:t>
      </w:r>
      <w:proofErr w:type="spellStart"/>
      <w:r>
        <w:t>Orians</w:t>
      </w:r>
      <w:proofErr w:type="spellEnd"/>
      <w:r>
        <w:t xml:space="preserve"> 1975, </w:t>
      </w:r>
      <w:proofErr w:type="spellStart"/>
      <w:r>
        <w:t>Westman</w:t>
      </w:r>
      <w:proofErr w:type="spellEnd"/>
      <w:r>
        <w:t xml:space="preserve"> 1978). </w:t>
      </w:r>
      <w:r w:rsidRPr="00283718">
        <w:t xml:space="preserve">The degree to which the steady (or stable) state after a disturbance differs from the original steady state was noted by </w:t>
      </w:r>
      <w:proofErr w:type="spellStart"/>
      <w:r w:rsidRPr="00283718">
        <w:t>Westman</w:t>
      </w:r>
      <w:proofErr w:type="spellEnd"/>
      <w:r w:rsidRPr="00283718">
        <w:t xml:space="preserve"> (1978) as</w:t>
      </w:r>
      <w:r>
        <w:t xml:space="preserve"> the property of malleability. Amplitude is defined as a zone of deformation from which the system should recover (</w:t>
      </w:r>
      <w:proofErr w:type="spellStart"/>
      <w:r>
        <w:t>Orians</w:t>
      </w:r>
      <w:proofErr w:type="spellEnd"/>
      <w:r>
        <w:t xml:space="preserve"> 1975, </w:t>
      </w:r>
      <w:proofErr w:type="spellStart"/>
      <w:r>
        <w:t>Westman</w:t>
      </w:r>
      <w:proofErr w:type="spellEnd"/>
      <w:r>
        <w:t xml:space="preserve"> 1978). </w:t>
      </w:r>
      <w:proofErr w:type="spellStart"/>
      <w:r w:rsidRPr="00283718">
        <w:t>Clapham</w:t>
      </w:r>
      <w:proofErr w:type="spellEnd"/>
      <w:r w:rsidRPr="00283718">
        <w:t xml:space="preserve"> (1971) recognized that damping occurs after a disturbance when a system begi</w:t>
      </w:r>
      <w:r>
        <w:t>ns the process of restoration. Hysteresis compares the differences between the paths of distortion and</w:t>
      </w:r>
      <w:r w:rsidR="00860D0F">
        <w:t xml:space="preserve"> restoration (</w:t>
      </w:r>
      <w:proofErr w:type="spellStart"/>
      <w:r w:rsidR="00860D0F">
        <w:t>Westman</w:t>
      </w:r>
      <w:proofErr w:type="spellEnd"/>
      <w:r w:rsidR="00860D0F">
        <w:t xml:space="preserve"> 1978, 1986</w:t>
      </w:r>
      <w:r>
        <w:t xml:space="preserve">).  Additional forces are present that alter </w:t>
      </w:r>
      <w:r w:rsidRPr="00283718">
        <w:t>the degree and manner of restoration.</w:t>
      </w:r>
      <w:r w:rsidRPr="00CC5C29">
        <w:t xml:space="preserve"> </w:t>
      </w:r>
      <w:r w:rsidRPr="00423F93">
        <w:t xml:space="preserve">The widely-accepted definitions of the resilience and its components from the ecological perspective are </w:t>
      </w:r>
      <w:r>
        <w:t>summarized</w:t>
      </w:r>
      <w:r w:rsidRPr="00423F93">
        <w:t xml:space="preserve"> in the following table (adopted from </w:t>
      </w:r>
      <w:proofErr w:type="spellStart"/>
      <w:r w:rsidRPr="00423F93">
        <w:t>Westman</w:t>
      </w:r>
      <w:proofErr w:type="spellEnd"/>
      <w:r w:rsidRPr="00423F93">
        <w:t xml:space="preserve"> 1986):</w:t>
      </w:r>
    </w:p>
    <w:p w:rsidR="00286E89" w:rsidRPr="00423F93" w:rsidRDefault="00286E89" w:rsidP="00835110">
      <w:pPr>
        <w:autoSpaceDE w:val="0"/>
        <w:autoSpaceDN w:val="0"/>
        <w:adjustRightInd w:val="0"/>
        <w:spacing w:after="0" w:line="480" w:lineRule="auto"/>
        <w:ind w:firstLine="720"/>
      </w:pPr>
    </w:p>
    <w:p w:rsidR="00124FEE" w:rsidRDefault="00124FEE" w:rsidP="00286E89">
      <w:pPr>
        <w:autoSpaceDE w:val="0"/>
        <w:autoSpaceDN w:val="0"/>
        <w:adjustRightInd w:val="0"/>
        <w:jc w:val="center"/>
        <w:rPr>
          <w:b/>
        </w:rPr>
      </w:pPr>
      <w:r w:rsidRPr="00835110">
        <w:rPr>
          <w:b/>
        </w:rPr>
        <w:t>Table 2.3 Compone</w:t>
      </w:r>
      <w:r w:rsidR="00835110">
        <w:rPr>
          <w:b/>
        </w:rPr>
        <w:t xml:space="preserve">nts of Resilience </w:t>
      </w:r>
      <w:r w:rsidR="00C61792">
        <w:rPr>
          <w:b/>
        </w:rPr>
        <w:t>f</w:t>
      </w:r>
      <w:r w:rsidR="00835110">
        <w:rPr>
          <w:b/>
        </w:rPr>
        <w:t>rom the E</w:t>
      </w:r>
      <w:r w:rsidRPr="00835110">
        <w:rPr>
          <w:b/>
        </w:rPr>
        <w:t>col</w:t>
      </w:r>
      <w:r w:rsidR="00835110">
        <w:rPr>
          <w:b/>
        </w:rPr>
        <w:t>ogical P</w:t>
      </w:r>
      <w:r w:rsidRPr="00835110">
        <w:rPr>
          <w:b/>
        </w:rPr>
        <w:t>erspective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8"/>
        <w:gridCol w:w="5618"/>
      </w:tblGrid>
      <w:tr w:rsidR="00286E89" w:rsidRPr="00423F93" w:rsidTr="00286E89">
        <w:tc>
          <w:tcPr>
            <w:tcW w:w="2718" w:type="dxa"/>
          </w:tcPr>
          <w:p w:rsidR="00286E89" w:rsidRPr="00286E89" w:rsidRDefault="00286E89" w:rsidP="00286E89">
            <w:pPr>
              <w:autoSpaceDE w:val="0"/>
              <w:autoSpaceDN w:val="0"/>
              <w:adjustRightInd w:val="0"/>
              <w:jc w:val="center"/>
              <w:rPr>
                <w:b/>
              </w:rPr>
            </w:pPr>
            <w:r w:rsidRPr="00286E89">
              <w:rPr>
                <w:b/>
              </w:rPr>
              <w:t xml:space="preserve">Resilience and </w:t>
            </w:r>
            <w:r>
              <w:rPr>
                <w:b/>
              </w:rPr>
              <w:t xml:space="preserve">its </w:t>
            </w:r>
            <w:r w:rsidRPr="00286E89">
              <w:rPr>
                <w:b/>
              </w:rPr>
              <w:t>Components</w:t>
            </w:r>
          </w:p>
        </w:tc>
        <w:tc>
          <w:tcPr>
            <w:tcW w:w="5618" w:type="dxa"/>
          </w:tcPr>
          <w:p w:rsidR="00286E89" w:rsidRPr="00286E89" w:rsidRDefault="00286E89" w:rsidP="00286E89">
            <w:pPr>
              <w:autoSpaceDE w:val="0"/>
              <w:autoSpaceDN w:val="0"/>
              <w:adjustRightInd w:val="0"/>
              <w:jc w:val="center"/>
              <w:rPr>
                <w:b/>
              </w:rPr>
            </w:pPr>
            <w:r w:rsidRPr="00286E89">
              <w:rPr>
                <w:b/>
              </w:rPr>
              <w:t>Definitions</w:t>
            </w:r>
          </w:p>
        </w:tc>
      </w:tr>
      <w:tr w:rsidR="00286E89" w:rsidRPr="00423F93" w:rsidTr="00286E89">
        <w:tc>
          <w:tcPr>
            <w:tcW w:w="2718" w:type="dxa"/>
          </w:tcPr>
          <w:p w:rsidR="00286E89" w:rsidRPr="00423F93" w:rsidRDefault="00286E89" w:rsidP="00007EA8">
            <w:pPr>
              <w:autoSpaceDE w:val="0"/>
              <w:autoSpaceDN w:val="0"/>
              <w:adjustRightInd w:val="0"/>
            </w:pPr>
            <w:r w:rsidRPr="00423F93">
              <w:t>Resilience</w:t>
            </w:r>
          </w:p>
        </w:tc>
        <w:tc>
          <w:tcPr>
            <w:tcW w:w="5618" w:type="dxa"/>
          </w:tcPr>
          <w:p w:rsidR="00286E89" w:rsidRPr="00423F93" w:rsidRDefault="00286E89" w:rsidP="00007EA8">
            <w:pPr>
              <w:autoSpaceDE w:val="0"/>
              <w:autoSpaceDN w:val="0"/>
              <w:adjustRightInd w:val="0"/>
            </w:pPr>
            <w:r w:rsidRPr="00423F93">
              <w:t>Degree, manner, and pace of restoration of initial structure and function in an ecosystem after disturbance (</w:t>
            </w:r>
            <w:proofErr w:type="spellStart"/>
            <w:r w:rsidRPr="00423F93">
              <w:t>Westman</w:t>
            </w:r>
            <w:proofErr w:type="spellEnd"/>
            <w:r w:rsidRPr="00423F93">
              <w:t xml:space="preserve"> 1978; cf. </w:t>
            </w:r>
            <w:proofErr w:type="spellStart"/>
            <w:r w:rsidRPr="00423F93">
              <w:t>Clapham</w:t>
            </w:r>
            <w:proofErr w:type="spellEnd"/>
            <w:r w:rsidRPr="00423F93">
              <w:t xml:space="preserve"> 1971)</w:t>
            </w:r>
          </w:p>
        </w:tc>
      </w:tr>
      <w:tr w:rsidR="00286E89" w:rsidRPr="00423F93" w:rsidTr="00286E89">
        <w:tc>
          <w:tcPr>
            <w:tcW w:w="2718" w:type="dxa"/>
          </w:tcPr>
          <w:p w:rsidR="00286E89" w:rsidRPr="00423F93" w:rsidRDefault="00286E89" w:rsidP="00007EA8">
            <w:pPr>
              <w:autoSpaceDE w:val="0"/>
              <w:autoSpaceDN w:val="0"/>
              <w:adjustRightInd w:val="0"/>
            </w:pPr>
            <w:r w:rsidRPr="00423F93">
              <w:t>Elasticity</w:t>
            </w:r>
          </w:p>
        </w:tc>
        <w:tc>
          <w:tcPr>
            <w:tcW w:w="5618" w:type="dxa"/>
          </w:tcPr>
          <w:p w:rsidR="00286E89" w:rsidRDefault="00286E89" w:rsidP="00007EA8">
            <w:pPr>
              <w:autoSpaceDE w:val="0"/>
              <w:autoSpaceDN w:val="0"/>
              <w:adjustRightInd w:val="0"/>
            </w:pPr>
            <w:r>
              <w:t>R</w:t>
            </w:r>
            <w:r w:rsidRPr="00423F93">
              <w:t>apidity of restoration of a stable state following disturbance (</w:t>
            </w:r>
            <w:proofErr w:type="spellStart"/>
            <w:r w:rsidRPr="00423F93">
              <w:t>Orians</w:t>
            </w:r>
            <w:proofErr w:type="spellEnd"/>
            <w:r w:rsidRPr="00423F93">
              <w:t xml:space="preserve"> 1975; </w:t>
            </w:r>
            <w:proofErr w:type="spellStart"/>
            <w:r w:rsidRPr="00423F93">
              <w:t>Westman</w:t>
            </w:r>
            <w:proofErr w:type="spellEnd"/>
            <w:r w:rsidRPr="00423F93">
              <w:t xml:space="preserve"> 1978)</w:t>
            </w:r>
          </w:p>
          <w:p w:rsidR="00286E89" w:rsidRPr="00423F93" w:rsidRDefault="00286E89" w:rsidP="00007EA8">
            <w:pPr>
              <w:autoSpaceDE w:val="0"/>
              <w:autoSpaceDN w:val="0"/>
              <w:adjustRightInd w:val="0"/>
            </w:pPr>
          </w:p>
        </w:tc>
      </w:tr>
    </w:tbl>
    <w:p w:rsidR="00DB292C" w:rsidRDefault="00DB292C" w:rsidP="00286E89">
      <w:pPr>
        <w:autoSpaceDE w:val="0"/>
        <w:autoSpaceDN w:val="0"/>
        <w:adjustRightInd w:val="0"/>
        <w:jc w:val="center"/>
        <w:rPr>
          <w:b/>
        </w:rPr>
      </w:pPr>
    </w:p>
    <w:p w:rsidR="00DB292C" w:rsidRDefault="00DB292C" w:rsidP="00286E89">
      <w:pPr>
        <w:autoSpaceDE w:val="0"/>
        <w:autoSpaceDN w:val="0"/>
        <w:adjustRightInd w:val="0"/>
        <w:jc w:val="center"/>
        <w:rPr>
          <w:b/>
        </w:rPr>
      </w:pPr>
    </w:p>
    <w:p w:rsidR="00286E89" w:rsidRDefault="00286E89" w:rsidP="00286E89">
      <w:pPr>
        <w:autoSpaceDE w:val="0"/>
        <w:autoSpaceDN w:val="0"/>
        <w:adjustRightInd w:val="0"/>
        <w:jc w:val="center"/>
        <w:rPr>
          <w:b/>
        </w:rPr>
      </w:pPr>
      <w:r w:rsidRPr="00835110">
        <w:rPr>
          <w:b/>
        </w:rPr>
        <w:t>Table 2.3</w:t>
      </w:r>
      <w:r>
        <w:rPr>
          <w:b/>
        </w:rPr>
        <w:t xml:space="preserv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18"/>
        <w:gridCol w:w="5618"/>
      </w:tblGrid>
      <w:tr w:rsidR="00286E89" w:rsidRPr="00423F93" w:rsidTr="00007EA8">
        <w:tc>
          <w:tcPr>
            <w:tcW w:w="2718" w:type="dxa"/>
          </w:tcPr>
          <w:p w:rsidR="00286E89" w:rsidRPr="00286E89" w:rsidRDefault="00286E89" w:rsidP="00007EA8">
            <w:pPr>
              <w:autoSpaceDE w:val="0"/>
              <w:autoSpaceDN w:val="0"/>
              <w:adjustRightInd w:val="0"/>
              <w:jc w:val="center"/>
              <w:rPr>
                <w:b/>
              </w:rPr>
            </w:pPr>
            <w:r w:rsidRPr="00286E89">
              <w:rPr>
                <w:b/>
              </w:rPr>
              <w:t xml:space="preserve">Resilience and </w:t>
            </w:r>
            <w:r>
              <w:rPr>
                <w:b/>
              </w:rPr>
              <w:t xml:space="preserve">its </w:t>
            </w:r>
            <w:r w:rsidRPr="00286E89">
              <w:rPr>
                <w:b/>
              </w:rPr>
              <w:t>Components</w:t>
            </w:r>
          </w:p>
        </w:tc>
        <w:tc>
          <w:tcPr>
            <w:tcW w:w="5618" w:type="dxa"/>
          </w:tcPr>
          <w:p w:rsidR="00286E89" w:rsidRPr="00286E89" w:rsidRDefault="00286E89" w:rsidP="00007EA8">
            <w:pPr>
              <w:autoSpaceDE w:val="0"/>
              <w:autoSpaceDN w:val="0"/>
              <w:adjustRightInd w:val="0"/>
              <w:jc w:val="center"/>
              <w:rPr>
                <w:b/>
              </w:rPr>
            </w:pPr>
            <w:r w:rsidRPr="00286E89">
              <w:rPr>
                <w:b/>
              </w:rPr>
              <w:t>Definitions</w:t>
            </w:r>
          </w:p>
        </w:tc>
      </w:tr>
      <w:tr w:rsidR="00286E89" w:rsidRPr="00423F93" w:rsidTr="00007EA8">
        <w:tc>
          <w:tcPr>
            <w:tcW w:w="2718" w:type="dxa"/>
          </w:tcPr>
          <w:p w:rsidR="00286E89" w:rsidRPr="00423F93" w:rsidRDefault="00286E89" w:rsidP="00007EA8">
            <w:pPr>
              <w:autoSpaceDE w:val="0"/>
              <w:autoSpaceDN w:val="0"/>
              <w:adjustRightInd w:val="0"/>
            </w:pPr>
            <w:r w:rsidRPr="00423F93">
              <w:t>Amplitude</w:t>
            </w:r>
          </w:p>
        </w:tc>
        <w:tc>
          <w:tcPr>
            <w:tcW w:w="5618" w:type="dxa"/>
          </w:tcPr>
          <w:p w:rsidR="00286E89" w:rsidRPr="00423F93" w:rsidRDefault="00286E89" w:rsidP="00007EA8">
            <w:pPr>
              <w:autoSpaceDE w:val="0"/>
              <w:autoSpaceDN w:val="0"/>
              <w:adjustRightInd w:val="0"/>
            </w:pPr>
            <w:r w:rsidRPr="00423F93">
              <w:t>The zone of deformation from which the system will return to its initial state (</w:t>
            </w:r>
            <w:proofErr w:type="spellStart"/>
            <w:r w:rsidRPr="00423F93">
              <w:t>Orians</w:t>
            </w:r>
            <w:proofErr w:type="spellEnd"/>
            <w:r w:rsidRPr="00423F93">
              <w:t xml:space="preserve"> 1975; </w:t>
            </w:r>
            <w:proofErr w:type="spellStart"/>
            <w:r w:rsidRPr="00423F93">
              <w:t>Westman</w:t>
            </w:r>
            <w:proofErr w:type="spellEnd"/>
            <w:r w:rsidRPr="00423F93">
              <w:t xml:space="preserve"> 1978)</w:t>
            </w:r>
          </w:p>
        </w:tc>
      </w:tr>
      <w:tr w:rsidR="00286E89" w:rsidRPr="00423F93" w:rsidTr="00007EA8">
        <w:tc>
          <w:tcPr>
            <w:tcW w:w="2718" w:type="dxa"/>
          </w:tcPr>
          <w:p w:rsidR="00286E89" w:rsidRPr="00423F93" w:rsidRDefault="00286E89" w:rsidP="00007EA8">
            <w:pPr>
              <w:autoSpaceDE w:val="0"/>
              <w:autoSpaceDN w:val="0"/>
              <w:adjustRightInd w:val="0"/>
            </w:pPr>
            <w:r w:rsidRPr="00423F93">
              <w:t>Hysteresis</w:t>
            </w:r>
          </w:p>
        </w:tc>
        <w:tc>
          <w:tcPr>
            <w:tcW w:w="5618" w:type="dxa"/>
          </w:tcPr>
          <w:p w:rsidR="00286E89" w:rsidRPr="00423F93" w:rsidRDefault="00286E89" w:rsidP="00007EA8">
            <w:pPr>
              <w:autoSpaceDE w:val="0"/>
              <w:autoSpaceDN w:val="0"/>
              <w:adjustRightInd w:val="0"/>
            </w:pPr>
            <w:r w:rsidRPr="00423F93">
              <w:t>The extent to which the path of degradation under chronic disturbance, and a recovery when disturbance ceases, are not mirror-images of each other (</w:t>
            </w:r>
            <w:proofErr w:type="spellStart"/>
            <w:r w:rsidRPr="00423F93">
              <w:t>Westman</w:t>
            </w:r>
            <w:proofErr w:type="spellEnd"/>
            <w:r w:rsidRPr="00423F93">
              <w:t xml:space="preserve"> 1978, 1985) </w:t>
            </w:r>
          </w:p>
        </w:tc>
      </w:tr>
      <w:tr w:rsidR="00286E89" w:rsidRPr="00423F93" w:rsidTr="00007EA8">
        <w:tc>
          <w:tcPr>
            <w:tcW w:w="2718" w:type="dxa"/>
          </w:tcPr>
          <w:p w:rsidR="00286E89" w:rsidRPr="00423F93" w:rsidRDefault="00286E89" w:rsidP="00007EA8">
            <w:pPr>
              <w:autoSpaceDE w:val="0"/>
              <w:autoSpaceDN w:val="0"/>
              <w:adjustRightInd w:val="0"/>
            </w:pPr>
            <w:r w:rsidRPr="00423F93">
              <w:t>Malleability</w:t>
            </w:r>
          </w:p>
        </w:tc>
        <w:tc>
          <w:tcPr>
            <w:tcW w:w="5618" w:type="dxa"/>
          </w:tcPr>
          <w:p w:rsidR="00286E89" w:rsidRPr="00423F93" w:rsidRDefault="00286E89" w:rsidP="00007EA8">
            <w:pPr>
              <w:autoSpaceDE w:val="0"/>
              <w:autoSpaceDN w:val="0"/>
              <w:adjustRightInd w:val="0"/>
            </w:pPr>
            <w:r w:rsidRPr="00423F93">
              <w:t>Degree to which the steady state established after disturbance differs from the original steady-state (</w:t>
            </w:r>
            <w:proofErr w:type="spellStart"/>
            <w:r w:rsidRPr="00423F93">
              <w:t>Westman</w:t>
            </w:r>
            <w:proofErr w:type="spellEnd"/>
            <w:r w:rsidRPr="00423F93">
              <w:t xml:space="preserve"> 1978)</w:t>
            </w:r>
          </w:p>
        </w:tc>
      </w:tr>
      <w:tr w:rsidR="00286E89" w:rsidRPr="00423F93" w:rsidTr="00007EA8">
        <w:tc>
          <w:tcPr>
            <w:tcW w:w="2718" w:type="dxa"/>
          </w:tcPr>
          <w:p w:rsidR="00286E89" w:rsidRPr="00423F93" w:rsidRDefault="00286E89" w:rsidP="00007EA8">
            <w:pPr>
              <w:autoSpaceDE w:val="0"/>
              <w:autoSpaceDN w:val="0"/>
              <w:adjustRightInd w:val="0"/>
            </w:pPr>
            <w:r w:rsidRPr="00423F93">
              <w:t>Damping</w:t>
            </w:r>
          </w:p>
          <w:p w:rsidR="00286E89" w:rsidRPr="00423F93" w:rsidRDefault="00286E89" w:rsidP="00007EA8">
            <w:pPr>
              <w:autoSpaceDE w:val="0"/>
              <w:autoSpaceDN w:val="0"/>
              <w:adjustRightInd w:val="0"/>
            </w:pPr>
          </w:p>
        </w:tc>
        <w:tc>
          <w:tcPr>
            <w:tcW w:w="5618" w:type="dxa"/>
          </w:tcPr>
          <w:p w:rsidR="00286E89" w:rsidRPr="00423F93" w:rsidRDefault="00286E89" w:rsidP="00007EA8">
            <w:pPr>
              <w:autoSpaceDE w:val="0"/>
              <w:autoSpaceDN w:val="0"/>
              <w:adjustRightInd w:val="0"/>
            </w:pPr>
            <w:r w:rsidRPr="00423F93">
              <w:t>The degree and manner by which the path of restoration is altered by any forces that change the normal restoring for</w:t>
            </w:r>
            <w:r>
              <w:t>ce (</w:t>
            </w:r>
            <w:proofErr w:type="spellStart"/>
            <w:r>
              <w:t>Clapham</w:t>
            </w:r>
            <w:proofErr w:type="spellEnd"/>
            <w:r>
              <w:t xml:space="preserve"> 1971</w:t>
            </w:r>
            <w:r w:rsidRPr="00423F93">
              <w:t>)</w:t>
            </w:r>
          </w:p>
        </w:tc>
      </w:tr>
    </w:tbl>
    <w:p w:rsidR="00286E89" w:rsidRDefault="00286E89" w:rsidP="00286E89">
      <w:pPr>
        <w:autoSpaceDE w:val="0"/>
        <w:autoSpaceDN w:val="0"/>
        <w:adjustRightInd w:val="0"/>
        <w:jc w:val="center"/>
        <w:rPr>
          <w:b/>
        </w:rPr>
      </w:pPr>
    </w:p>
    <w:p w:rsidR="00124FEE" w:rsidRDefault="00124FEE" w:rsidP="00860D0F">
      <w:pPr>
        <w:autoSpaceDE w:val="0"/>
        <w:autoSpaceDN w:val="0"/>
        <w:adjustRightInd w:val="0"/>
        <w:spacing w:after="0" w:line="480" w:lineRule="auto"/>
        <w:ind w:firstLine="720"/>
      </w:pPr>
      <w:r w:rsidRPr="00283718">
        <w:t>Throughout the ecological research there is an implicit assumption of stability in the system.  Without stability there would be no presumed return to the pre-disturbance state, but rather an adjustment to some new equilibrium level that could be better or worse than the previous state (</w:t>
      </w:r>
      <w:proofErr w:type="spellStart"/>
      <w:r w:rsidRPr="00283718">
        <w:t>Cl</w:t>
      </w:r>
      <w:r>
        <w:t>apham</w:t>
      </w:r>
      <w:proofErr w:type="spellEnd"/>
      <w:r>
        <w:t xml:space="preserve"> 1971).  </w:t>
      </w:r>
      <w:r w:rsidRPr="00283718">
        <w:t>Carpenter et al. (2001) examined the magnitude of disturbance that a system could tolerate before it fundamentally changes into a different region with a different set of controls.  They expanded the concept of resilience through the introduction of the notion of the adaptive cycle.  According to adaptive cycle theory dynamic systems do not tend towards a stable or equilibrium state.  Instead they evolve through four states – rapid growth and exploitation, conservation, creative destruction, and renewal or reorganization – adapting to the disturbance(s).</w:t>
      </w:r>
    </w:p>
    <w:p w:rsidR="00124FEE" w:rsidRPr="00423F93" w:rsidRDefault="00124FEE" w:rsidP="00124FEE">
      <w:pPr>
        <w:autoSpaceDE w:val="0"/>
        <w:autoSpaceDN w:val="0"/>
        <w:adjustRightInd w:val="0"/>
        <w:spacing w:line="480" w:lineRule="auto"/>
        <w:ind w:firstLine="720"/>
      </w:pPr>
      <w:r w:rsidRPr="00423F93">
        <w:lastRenderedPageBreak/>
        <w:t xml:space="preserve">The ecological perspective also </w:t>
      </w:r>
      <w:r>
        <w:t>presented</w:t>
      </w:r>
      <w:r w:rsidRPr="00423F93">
        <w:t xml:space="preserve"> a nondeterministic v</w:t>
      </w:r>
      <w:r>
        <w:t xml:space="preserve">iew of human behavior, according to which </w:t>
      </w:r>
      <w:r w:rsidRPr="00423F93">
        <w:t>behavior is not considered the outcome of a single cause but the result of multiple, complex person-environment exc</w:t>
      </w:r>
      <w:r>
        <w:t>hanges over time (Gunderson 2000). This point of view presents</w:t>
      </w:r>
      <w:r w:rsidRPr="00423F93">
        <w:t xml:space="preserve"> a holistic picture of life processes, </w:t>
      </w:r>
      <w:r>
        <w:t xml:space="preserve">thus </w:t>
      </w:r>
      <w:r w:rsidRPr="00423F93">
        <w:t xml:space="preserve">ecological concepts are often used in conjunction with a resilience approach in social sciences.  </w:t>
      </w:r>
    </w:p>
    <w:p w:rsidR="00124FEE" w:rsidRPr="007C6A0A" w:rsidRDefault="00124FEE" w:rsidP="00124FEE">
      <w:pPr>
        <w:autoSpaceDE w:val="0"/>
        <w:autoSpaceDN w:val="0"/>
        <w:adjustRightInd w:val="0"/>
        <w:spacing w:line="480" w:lineRule="auto"/>
        <w:rPr>
          <w:b/>
        </w:rPr>
      </w:pPr>
      <w:r w:rsidRPr="007C6A0A">
        <w:rPr>
          <w:b/>
        </w:rPr>
        <w:t>Con</w:t>
      </w:r>
      <w:r>
        <w:rPr>
          <w:b/>
        </w:rPr>
        <w:t xml:space="preserve">tributions based on </w:t>
      </w:r>
      <w:r w:rsidRPr="007C6A0A">
        <w:rPr>
          <w:b/>
        </w:rPr>
        <w:t xml:space="preserve">the </w:t>
      </w:r>
      <w:r>
        <w:rPr>
          <w:b/>
        </w:rPr>
        <w:t>Psychological</w:t>
      </w:r>
      <w:r w:rsidRPr="007C6A0A">
        <w:rPr>
          <w:b/>
        </w:rPr>
        <w:t xml:space="preserve"> Perspective</w:t>
      </w:r>
    </w:p>
    <w:p w:rsidR="00124FEE" w:rsidRPr="00283718" w:rsidRDefault="00124FEE" w:rsidP="00860D0F">
      <w:pPr>
        <w:autoSpaceDE w:val="0"/>
        <w:autoSpaceDN w:val="0"/>
        <w:adjustRightInd w:val="0"/>
        <w:spacing w:after="0" w:line="480" w:lineRule="auto"/>
        <w:ind w:firstLine="720"/>
      </w:pPr>
      <w:r w:rsidRPr="00283718">
        <w:t>The psychological perspective on resilience is well researched and widely represented in the literature.  It has its roots in developmental theory that deals with the examination of people’s behavi</w:t>
      </w:r>
      <w:r>
        <w:t xml:space="preserve">or across the life span (Conrad 1999). </w:t>
      </w:r>
      <w:r w:rsidRPr="00283718">
        <w:t>Reich (2006) examined three psychological principles of resilience that occur as a result of natural or human-made disasters: (1) control (direction, regulation and coordination of activities); (2) coherence (enhancing meaning, direction and understanding during the worst times; processes and procedures needed to reduce uncertainty); and (</w:t>
      </w:r>
      <w:r>
        <w:t>3) connectedness (behavior to ba</w:t>
      </w:r>
      <w:r w:rsidRPr="00283718">
        <w:t xml:space="preserve">nd together; systematic coordination of efforts to avoid duplication and wastefulness of services).  Reich concluded that incorporating these key psychological principles of resilience into disaster planning would lead to a more comprehensive response resulting in improved effectiveness. That is, control, coherence and connectedness are key components of resilience’s efficient response. </w:t>
      </w:r>
    </w:p>
    <w:p w:rsidR="00124FEE" w:rsidRPr="00283718" w:rsidRDefault="00124FEE" w:rsidP="00860D0F">
      <w:pPr>
        <w:autoSpaceDE w:val="0"/>
        <w:autoSpaceDN w:val="0"/>
        <w:adjustRightInd w:val="0"/>
        <w:spacing w:after="0" w:line="480" w:lineRule="auto"/>
        <w:ind w:firstLine="720"/>
      </w:pPr>
      <w:r w:rsidRPr="00283718">
        <w:t>These principles were underlying themes in other research as well.  Stewart, Reid, and Mangham (1997) through an extensive literature research discovered several common premises related to psychological aspects of resilience:</w:t>
      </w:r>
    </w:p>
    <w:p w:rsidR="00124FEE" w:rsidRPr="0064104D" w:rsidRDefault="00124FEE" w:rsidP="007743FB">
      <w:pPr>
        <w:pStyle w:val="ListParagraph"/>
        <w:numPr>
          <w:ilvl w:val="0"/>
          <w:numId w:val="43"/>
        </w:numPr>
        <w:autoSpaceDE w:val="0"/>
        <w:autoSpaceDN w:val="0"/>
        <w:adjustRightInd w:val="0"/>
        <w:spacing w:after="0" w:line="480" w:lineRule="auto"/>
        <w:rPr>
          <w:szCs w:val="24"/>
        </w:rPr>
      </w:pPr>
      <w:r w:rsidRPr="0064104D">
        <w:rPr>
          <w:szCs w:val="24"/>
        </w:rPr>
        <w:t>Resilience is a dynamic process that depends on life context.</w:t>
      </w:r>
    </w:p>
    <w:p w:rsidR="00124FEE" w:rsidRPr="0064104D" w:rsidRDefault="00124FEE" w:rsidP="007743FB">
      <w:pPr>
        <w:pStyle w:val="ListParagraph"/>
        <w:numPr>
          <w:ilvl w:val="0"/>
          <w:numId w:val="43"/>
        </w:numPr>
        <w:autoSpaceDE w:val="0"/>
        <w:autoSpaceDN w:val="0"/>
        <w:adjustRightInd w:val="0"/>
        <w:spacing w:after="0" w:line="480" w:lineRule="auto"/>
        <w:rPr>
          <w:szCs w:val="24"/>
        </w:rPr>
      </w:pPr>
      <w:r w:rsidRPr="0064104D">
        <w:rPr>
          <w:szCs w:val="24"/>
        </w:rPr>
        <w:lastRenderedPageBreak/>
        <w:t>Resilience is a complex interplay between certain characteristics of individuals and their broader environments.</w:t>
      </w:r>
    </w:p>
    <w:p w:rsidR="00124FEE" w:rsidRPr="0064104D" w:rsidRDefault="00124FEE" w:rsidP="007743FB">
      <w:pPr>
        <w:pStyle w:val="ListParagraph"/>
        <w:numPr>
          <w:ilvl w:val="0"/>
          <w:numId w:val="43"/>
        </w:numPr>
        <w:autoSpaceDE w:val="0"/>
        <w:autoSpaceDN w:val="0"/>
        <w:adjustRightInd w:val="0"/>
        <w:spacing w:after="0" w:line="480" w:lineRule="auto"/>
        <w:rPr>
          <w:szCs w:val="24"/>
        </w:rPr>
      </w:pPr>
      <w:r w:rsidRPr="0064104D">
        <w:rPr>
          <w:szCs w:val="24"/>
        </w:rPr>
        <w:t>Decreasing negative risk factors increases resilience.</w:t>
      </w:r>
    </w:p>
    <w:p w:rsidR="00124FEE" w:rsidRPr="0064104D" w:rsidRDefault="00124FEE" w:rsidP="007743FB">
      <w:pPr>
        <w:pStyle w:val="ListParagraph"/>
        <w:numPr>
          <w:ilvl w:val="0"/>
          <w:numId w:val="43"/>
        </w:numPr>
        <w:autoSpaceDE w:val="0"/>
        <w:autoSpaceDN w:val="0"/>
        <w:adjustRightInd w:val="0"/>
        <w:spacing w:after="0" w:line="480" w:lineRule="auto"/>
        <w:rPr>
          <w:szCs w:val="24"/>
        </w:rPr>
      </w:pPr>
      <w:r w:rsidRPr="0064104D">
        <w:rPr>
          <w:szCs w:val="24"/>
        </w:rPr>
        <w:t>Resilience is developmental and most important during life transitions.</w:t>
      </w:r>
    </w:p>
    <w:p w:rsidR="00124FEE" w:rsidRPr="00283718" w:rsidRDefault="00124FEE" w:rsidP="00124FEE">
      <w:pPr>
        <w:autoSpaceDE w:val="0"/>
        <w:autoSpaceDN w:val="0"/>
        <w:adjustRightInd w:val="0"/>
        <w:spacing w:line="480" w:lineRule="auto"/>
        <w:ind w:firstLine="720"/>
      </w:pPr>
      <w:proofErr w:type="spellStart"/>
      <w:r w:rsidRPr="00283718">
        <w:t>Grotberg</w:t>
      </w:r>
      <w:proofErr w:type="spellEnd"/>
      <w:r w:rsidRPr="00283718">
        <w:t xml:space="preserve"> (1995) reinforced the idea that the capacity to be resilient is not limited to individuals.  Resilience is a “universal” capacity that spans multiple levels from individuals to communities to plan, respond, and recover from adversity. </w:t>
      </w:r>
    </w:p>
    <w:p w:rsidR="00124FEE" w:rsidRPr="007C6A0A" w:rsidRDefault="00124FEE" w:rsidP="00124FEE">
      <w:pPr>
        <w:autoSpaceDE w:val="0"/>
        <w:autoSpaceDN w:val="0"/>
        <w:adjustRightInd w:val="0"/>
        <w:spacing w:line="480" w:lineRule="auto"/>
        <w:rPr>
          <w:b/>
        </w:rPr>
      </w:pPr>
      <w:r w:rsidRPr="007C6A0A">
        <w:rPr>
          <w:b/>
        </w:rPr>
        <w:t>Con</w:t>
      </w:r>
      <w:r>
        <w:rPr>
          <w:b/>
        </w:rPr>
        <w:t xml:space="preserve">tributions based on </w:t>
      </w:r>
      <w:r w:rsidRPr="007C6A0A">
        <w:rPr>
          <w:b/>
        </w:rPr>
        <w:t xml:space="preserve">the </w:t>
      </w:r>
      <w:r>
        <w:rPr>
          <w:b/>
        </w:rPr>
        <w:t>Economic</w:t>
      </w:r>
      <w:r w:rsidRPr="007C6A0A">
        <w:rPr>
          <w:b/>
        </w:rPr>
        <w:t xml:space="preserve"> Perspective</w:t>
      </w:r>
    </w:p>
    <w:p w:rsidR="00124FEE" w:rsidRPr="00283718" w:rsidRDefault="00124FEE" w:rsidP="00124FEE">
      <w:pPr>
        <w:autoSpaceDE w:val="0"/>
        <w:autoSpaceDN w:val="0"/>
        <w:adjustRightInd w:val="0"/>
        <w:spacing w:line="480" w:lineRule="auto"/>
        <w:ind w:firstLine="720"/>
      </w:pPr>
      <w:r w:rsidRPr="00283718">
        <w:t xml:space="preserve">In general, static economic resilience refers to the ability or capacity of a system to absorb or cushion </w:t>
      </w:r>
      <w:r>
        <w:t>against damage or loss (</w:t>
      </w:r>
      <w:proofErr w:type="spellStart"/>
      <w:r>
        <w:t>Perrings</w:t>
      </w:r>
      <w:proofErr w:type="spellEnd"/>
      <w:r>
        <w:t xml:space="preserve"> 2001). </w:t>
      </w:r>
      <w:r w:rsidRPr="00283718">
        <w:t xml:space="preserve">A more general definition that incorporates dynamic considerations is the ability of a system to recover </w:t>
      </w:r>
      <w:r>
        <w:t xml:space="preserve">from a severe shock or stress. </w:t>
      </w:r>
      <w:r w:rsidRPr="00283718">
        <w:t xml:space="preserve">A systems theory assumption is that systems try to maintain their </w:t>
      </w:r>
      <w:r>
        <w:t xml:space="preserve">stability even as they change. </w:t>
      </w:r>
      <w:r w:rsidRPr="00283718">
        <w:t>Ros</w:t>
      </w:r>
      <w:r>
        <w:t>e</w:t>
      </w:r>
      <w:r w:rsidRPr="00283718">
        <w:t xml:space="preserve"> (2004) distinguishes two types of resilience:</w:t>
      </w:r>
    </w:p>
    <w:p w:rsidR="00124FEE" w:rsidRDefault="00124FEE" w:rsidP="007743FB">
      <w:pPr>
        <w:pStyle w:val="NoSpacing"/>
        <w:numPr>
          <w:ilvl w:val="0"/>
          <w:numId w:val="44"/>
        </w:numPr>
        <w:spacing w:line="480" w:lineRule="auto"/>
        <w:rPr>
          <w:szCs w:val="24"/>
        </w:rPr>
      </w:pPr>
      <w:r w:rsidRPr="008818DC">
        <w:rPr>
          <w:szCs w:val="24"/>
        </w:rPr>
        <w:t>inherent – ability under normal circumstances (e.g. the ability to substitute other</w:t>
      </w:r>
      <w:r>
        <w:rPr>
          <w:szCs w:val="24"/>
        </w:rPr>
        <w:t xml:space="preserve"> </w:t>
      </w:r>
      <w:r w:rsidRPr="008818DC">
        <w:rPr>
          <w:szCs w:val="24"/>
        </w:rPr>
        <w:t>inputs for those damaged by an external shock, or the ability of markets to reallocate</w:t>
      </w:r>
      <w:r>
        <w:rPr>
          <w:szCs w:val="24"/>
        </w:rPr>
        <w:t xml:space="preserve"> </w:t>
      </w:r>
      <w:r w:rsidRPr="008818DC">
        <w:rPr>
          <w:szCs w:val="24"/>
        </w:rPr>
        <w:t xml:space="preserve">resources in response to price signals); and </w:t>
      </w:r>
    </w:p>
    <w:p w:rsidR="00124FEE" w:rsidRPr="007F36D4" w:rsidRDefault="00124FEE" w:rsidP="007743FB">
      <w:pPr>
        <w:pStyle w:val="NoSpacing"/>
        <w:numPr>
          <w:ilvl w:val="0"/>
          <w:numId w:val="44"/>
        </w:numPr>
        <w:spacing w:line="480" w:lineRule="auto"/>
        <w:rPr>
          <w:szCs w:val="24"/>
        </w:rPr>
      </w:pPr>
      <w:proofErr w:type="gramStart"/>
      <w:r w:rsidRPr="007F36D4">
        <w:rPr>
          <w:szCs w:val="24"/>
        </w:rPr>
        <w:t>adaptive</w:t>
      </w:r>
      <w:proofErr w:type="gramEnd"/>
      <w:r w:rsidRPr="007F36D4">
        <w:rPr>
          <w:szCs w:val="24"/>
        </w:rPr>
        <w:t xml:space="preserve"> - ability in crisis situations due to ingenuity or extra effort (e.g.  </w:t>
      </w:r>
      <w:proofErr w:type="gramStart"/>
      <w:r w:rsidRPr="007F36D4">
        <w:rPr>
          <w:szCs w:val="24"/>
        </w:rPr>
        <w:t>increasing</w:t>
      </w:r>
      <w:proofErr w:type="gramEnd"/>
      <w:r w:rsidRPr="007F36D4">
        <w:rPr>
          <w:szCs w:val="24"/>
        </w:rPr>
        <w:t xml:space="preserve"> input substitution possibilities in individual business operations, or  strengthening the market by providing information to match suppliers with  customers).</w:t>
      </w:r>
    </w:p>
    <w:p w:rsidR="00124FEE" w:rsidRDefault="00124FEE" w:rsidP="00860D0F">
      <w:pPr>
        <w:autoSpaceDE w:val="0"/>
        <w:autoSpaceDN w:val="0"/>
        <w:adjustRightInd w:val="0"/>
        <w:spacing w:after="0" w:line="480" w:lineRule="auto"/>
        <w:ind w:firstLine="720"/>
      </w:pPr>
      <w:r>
        <w:t>Rose</w:t>
      </w:r>
      <w:r w:rsidRPr="00283718">
        <w:t xml:space="preserve"> also identified three levels at which resilience can take place – microeconomic (individual); </w:t>
      </w:r>
      <w:proofErr w:type="spellStart"/>
      <w:r w:rsidRPr="00283718">
        <w:t>mesoeconomic</w:t>
      </w:r>
      <w:proofErr w:type="spellEnd"/>
      <w:r w:rsidRPr="00283718">
        <w:t xml:space="preserve"> (sector, market</w:t>
      </w:r>
      <w:r>
        <w:t>, community</w:t>
      </w:r>
      <w:r w:rsidRPr="00283718">
        <w:t xml:space="preserve"> or cooperative group); and </w:t>
      </w:r>
      <w:r w:rsidRPr="00283718">
        <w:lastRenderedPageBreak/>
        <w:t>macroeconomic (all individua</w:t>
      </w:r>
      <w:r>
        <w:t>l units and markets combined). The level of analysis discussion is directly applicable to the supply chain context. For example, resilience could be analyzed at</w:t>
      </w:r>
      <w:r w:rsidRPr="00283718">
        <w:t xml:space="preserve"> the firm</w:t>
      </w:r>
      <w:r>
        <w:t xml:space="preserve">, buyer-supplier dyad, and supply-chain levels. </w:t>
      </w:r>
    </w:p>
    <w:p w:rsidR="00124FEE" w:rsidRPr="00283718" w:rsidRDefault="00124FEE" w:rsidP="00860D0F">
      <w:pPr>
        <w:autoSpaceDE w:val="0"/>
        <w:autoSpaceDN w:val="0"/>
        <w:adjustRightInd w:val="0"/>
        <w:spacing w:after="0" w:line="480" w:lineRule="auto"/>
        <w:ind w:firstLine="720"/>
      </w:pPr>
      <w:r>
        <w:t xml:space="preserve">Important insights could be found at each level of the analysis. For example, at the community level economic perspective is usually supplemented by analysis of socio-economic factors as evidenced by the </w:t>
      </w:r>
      <w:r w:rsidRPr="00283718">
        <w:t>relatively recent disaster recovery stream of emergency ma</w:t>
      </w:r>
      <w:r>
        <w:t xml:space="preserve">nagement research. For example, </w:t>
      </w:r>
      <w:proofErr w:type="spellStart"/>
      <w:r w:rsidRPr="00283718">
        <w:t>Lindell</w:t>
      </w:r>
      <w:proofErr w:type="spellEnd"/>
      <w:r w:rsidRPr="00283718">
        <w:t xml:space="preserve">, Prater and Perry (2007) suggested that a disaster resilient community learns from its experience, supports sustainable development policies, mobilizes the government, and demands that effective policies be implemented. They identified four stages of emergency management, including hazard mitigation, disaster preparedness (readiness), emergency response, and disaster recovery.  The learning perspective was also emphasized by </w:t>
      </w:r>
      <w:proofErr w:type="spellStart"/>
      <w:r w:rsidRPr="00283718">
        <w:t>Lindell</w:t>
      </w:r>
      <w:proofErr w:type="spellEnd"/>
      <w:r w:rsidRPr="00283718">
        <w:t xml:space="preserve">, Prater and Perry. For example, the vulnerability of infrastructure could be decreased during the recovery stage (e.g. a bridge destroyed by an earthquake could be replaced by a new one with a better, more robust design).  One of the most difficult parts of recovery after a disaster is restoring the social routines and economic activities.  The process of recovery </w:t>
      </w:r>
      <w:r>
        <w:t xml:space="preserve">also </w:t>
      </w:r>
      <w:r w:rsidRPr="00283718">
        <w:t>involves restoring people’s psychologi</w:t>
      </w:r>
      <w:r>
        <w:t>cal stability, and</w:t>
      </w:r>
      <w:r w:rsidRPr="00283718">
        <w:t xml:space="preserve"> learning positive lessons from the experience.  </w:t>
      </w:r>
    </w:p>
    <w:p w:rsidR="00124FEE" w:rsidRPr="00283718" w:rsidRDefault="00124FEE" w:rsidP="00124FEE">
      <w:pPr>
        <w:autoSpaceDE w:val="0"/>
        <w:autoSpaceDN w:val="0"/>
        <w:adjustRightInd w:val="0"/>
        <w:spacing w:line="480" w:lineRule="auto"/>
        <w:ind w:firstLine="720"/>
      </w:pPr>
      <w:r w:rsidRPr="00283718">
        <w:t xml:space="preserve">The ultimate goal of resilience according to Hamel and </w:t>
      </w:r>
      <w:proofErr w:type="spellStart"/>
      <w:r w:rsidRPr="00283718">
        <w:t>Valikangas</w:t>
      </w:r>
      <w:proofErr w:type="spellEnd"/>
      <w:r w:rsidRPr="00283718">
        <w:t xml:space="preserve"> (2003) is to create a company that has the capability to quickly evolve without adverse effects to the organization. They also argue that resilience is not just concerned with recovery, flexibility or</w:t>
      </w:r>
      <w:r w:rsidRPr="008818DC">
        <w:t xml:space="preserve"> </w:t>
      </w:r>
      <w:r w:rsidRPr="00283718">
        <w:t xml:space="preserve">crisis preparedness; it implies that there is a capacity for continuous innovation based on an analysis of strengths, weaknesses, opportunities and threats.  In order to build a decisive advantage, however, a company must be faster at generating options and realigning resources than its competitors. </w:t>
      </w:r>
    </w:p>
    <w:p w:rsidR="00124FEE" w:rsidRPr="007C6A0A" w:rsidRDefault="00124FEE" w:rsidP="00860D0F">
      <w:pPr>
        <w:autoSpaceDE w:val="0"/>
        <w:autoSpaceDN w:val="0"/>
        <w:adjustRightInd w:val="0"/>
        <w:spacing w:after="0" w:line="480" w:lineRule="auto"/>
        <w:rPr>
          <w:b/>
        </w:rPr>
      </w:pPr>
      <w:r w:rsidRPr="007C6A0A">
        <w:rPr>
          <w:b/>
        </w:rPr>
        <w:lastRenderedPageBreak/>
        <w:t>Con</w:t>
      </w:r>
      <w:r>
        <w:rPr>
          <w:b/>
        </w:rPr>
        <w:t xml:space="preserve">tributions based on </w:t>
      </w:r>
      <w:r w:rsidRPr="007C6A0A">
        <w:rPr>
          <w:b/>
        </w:rPr>
        <w:t>the Organizational Perspective</w:t>
      </w:r>
    </w:p>
    <w:p w:rsidR="00124FEE" w:rsidRDefault="00124FEE" w:rsidP="00860D0F">
      <w:pPr>
        <w:autoSpaceDE w:val="0"/>
        <w:autoSpaceDN w:val="0"/>
        <w:adjustRightInd w:val="0"/>
        <w:spacing w:after="0" w:line="480" w:lineRule="auto"/>
        <w:ind w:firstLine="720"/>
      </w:pPr>
      <w:r>
        <w:t>From the organizational perspective, resilience has been defined in terms of adjustment to capacities or abilities.  Definitions that are relevant to this research include:</w:t>
      </w:r>
    </w:p>
    <w:p w:rsidR="00124FEE" w:rsidRDefault="00124FEE" w:rsidP="007743FB">
      <w:pPr>
        <w:numPr>
          <w:ilvl w:val="0"/>
          <w:numId w:val="42"/>
        </w:numPr>
        <w:autoSpaceDE w:val="0"/>
        <w:autoSpaceDN w:val="0"/>
        <w:adjustRightInd w:val="0"/>
        <w:spacing w:after="0" w:line="480" w:lineRule="auto"/>
      </w:pPr>
      <w:r>
        <w:t>the capacity to adjust and maintain desirable functions under challenging or straining conditions (</w:t>
      </w:r>
      <w:proofErr w:type="spellStart"/>
      <w:r>
        <w:t>Weick</w:t>
      </w:r>
      <w:proofErr w:type="spellEnd"/>
      <w:r>
        <w:t xml:space="preserve"> et al.,1999; </w:t>
      </w:r>
      <w:proofErr w:type="spellStart"/>
      <w:r>
        <w:t>Bunderson</w:t>
      </w:r>
      <w:proofErr w:type="spellEnd"/>
      <w:r>
        <w:t xml:space="preserve"> and Sutcliffe, 2002; Edmondson, 1999); or</w:t>
      </w:r>
    </w:p>
    <w:p w:rsidR="00124FEE" w:rsidRDefault="00124FEE" w:rsidP="007743FB">
      <w:pPr>
        <w:numPr>
          <w:ilvl w:val="0"/>
          <w:numId w:val="42"/>
        </w:numPr>
        <w:autoSpaceDE w:val="0"/>
        <w:autoSpaceDN w:val="0"/>
        <w:adjustRightInd w:val="0"/>
        <w:spacing w:after="0" w:line="480" w:lineRule="auto"/>
      </w:pPr>
      <w:r>
        <w:t>a dynamic capacity of organizational adaptability that grows and develops over time</w:t>
      </w:r>
    </w:p>
    <w:p w:rsidR="00124FEE" w:rsidRDefault="00124FEE" w:rsidP="00860D0F">
      <w:pPr>
        <w:autoSpaceDE w:val="0"/>
        <w:autoSpaceDN w:val="0"/>
        <w:adjustRightInd w:val="0"/>
        <w:spacing w:after="0" w:line="480" w:lineRule="auto"/>
        <w:ind w:left="360" w:firstLine="360"/>
      </w:pPr>
      <w:r>
        <w:t>(</w:t>
      </w:r>
      <w:proofErr w:type="spellStart"/>
      <w:r>
        <w:t>Wildavsky</w:t>
      </w:r>
      <w:proofErr w:type="spellEnd"/>
      <w:r>
        <w:t>, 1988);</w:t>
      </w:r>
    </w:p>
    <w:p w:rsidR="00124FEE" w:rsidRDefault="00124FEE" w:rsidP="007743FB">
      <w:pPr>
        <w:numPr>
          <w:ilvl w:val="0"/>
          <w:numId w:val="42"/>
        </w:numPr>
        <w:autoSpaceDE w:val="0"/>
        <w:autoSpaceDN w:val="0"/>
        <w:adjustRightInd w:val="0"/>
        <w:spacing w:after="0" w:line="480" w:lineRule="auto"/>
      </w:pPr>
      <w:proofErr w:type="gramStart"/>
      <w:r>
        <w:t>the</w:t>
      </w:r>
      <w:proofErr w:type="gramEnd"/>
      <w:r>
        <w:t xml:space="preserve"> ability to bounce back from disruptive events or hardship (Sutcliffe and </w:t>
      </w:r>
      <w:proofErr w:type="spellStart"/>
      <w:r>
        <w:t>Vogus</w:t>
      </w:r>
      <w:proofErr w:type="spellEnd"/>
      <w:r>
        <w:t>, 2003,</w:t>
      </w:r>
      <w:r w:rsidRPr="00396F0B">
        <w:t xml:space="preserve"> </w:t>
      </w:r>
      <w:proofErr w:type="spellStart"/>
      <w:r>
        <w:t>Mitroff</w:t>
      </w:r>
      <w:proofErr w:type="spellEnd"/>
      <w:r>
        <w:t xml:space="preserve"> and </w:t>
      </w:r>
      <w:proofErr w:type="spellStart"/>
      <w:r>
        <w:t>Alpasan</w:t>
      </w:r>
      <w:proofErr w:type="spellEnd"/>
      <w:r>
        <w:t xml:space="preserve"> 2003).</w:t>
      </w:r>
    </w:p>
    <w:p w:rsidR="00124FEE" w:rsidRDefault="00124FEE" w:rsidP="00860D0F">
      <w:pPr>
        <w:autoSpaceDE w:val="0"/>
        <w:autoSpaceDN w:val="0"/>
        <w:adjustRightInd w:val="0"/>
        <w:spacing w:after="0" w:line="480" w:lineRule="auto"/>
        <w:ind w:firstLine="720"/>
      </w:pPr>
      <w:r>
        <w:t xml:space="preserve">Additionally, </w:t>
      </w:r>
      <w:proofErr w:type="spellStart"/>
      <w:r>
        <w:t>Mitroff</w:t>
      </w:r>
      <w:proofErr w:type="spellEnd"/>
      <w:r>
        <w:t xml:space="preserve"> and </w:t>
      </w:r>
      <w:proofErr w:type="spellStart"/>
      <w:r>
        <w:t>Alpasan</w:t>
      </w:r>
      <w:proofErr w:type="spellEnd"/>
      <w:r>
        <w:t xml:space="preserve"> (2003) stated that resilient organizations are proactive by nature, which allows them to recover from hardship</w:t>
      </w:r>
      <w:r w:rsidRPr="00396F0B">
        <w:t xml:space="preserve"> </w:t>
      </w:r>
      <w:r>
        <w:t xml:space="preserve">better. However, resilience is more than just recovery; it also implies a certain level of flexibility and ability to adapt to both positive and negative influences of the environment. To summarize, the organizational perspective emphasizes important aspects of resilience such as adaptability, flexibility, maintenance and recovery.  </w:t>
      </w:r>
    </w:p>
    <w:p w:rsidR="00124FEE" w:rsidRDefault="00124FEE" w:rsidP="00860D0F">
      <w:pPr>
        <w:autoSpaceDE w:val="0"/>
        <w:autoSpaceDN w:val="0"/>
        <w:adjustRightInd w:val="0"/>
        <w:spacing w:after="0" w:line="480" w:lineRule="auto"/>
        <w:ind w:firstLine="720"/>
      </w:pPr>
      <w:r>
        <w:t xml:space="preserve">Another important aspect discussed in the organizational context is dealing with the outcomes of resilience.  Hamel and </w:t>
      </w:r>
      <w:proofErr w:type="spellStart"/>
      <w:r>
        <w:t>Valikangas</w:t>
      </w:r>
      <w:proofErr w:type="spellEnd"/>
      <w:r>
        <w:t xml:space="preserve"> (2003) stress that resilience is not just concerned with recovery, flexibility or crisis preparedness.  It is also a distinct source of sustainable competitive advantage. Coutu (2002) indicates that resilience is a critical capability for success. Focusing on resilience as a distinctive organizational capability, </w:t>
      </w:r>
      <w:proofErr w:type="spellStart"/>
      <w:r>
        <w:t>Stoltz</w:t>
      </w:r>
      <w:proofErr w:type="spellEnd"/>
      <w:r>
        <w:t xml:space="preserve"> (2004) stated that resilience is the key to developing a strategic plan that is sustainable and capable of producing results that are better than less resilient competitors.</w:t>
      </w:r>
      <w:r>
        <w:rPr>
          <w:i/>
          <w:iCs/>
        </w:rPr>
        <w:t xml:space="preserve"> </w:t>
      </w:r>
      <w:r>
        <w:t xml:space="preserve">All of the above findings are extremely </w:t>
      </w:r>
      <w:r>
        <w:lastRenderedPageBreak/>
        <w:t xml:space="preserve">important for understanding the phenomena of resilience in </w:t>
      </w:r>
      <w:proofErr w:type="gramStart"/>
      <w:r>
        <w:t>general,</w:t>
      </w:r>
      <w:proofErr w:type="gramEnd"/>
      <w:r>
        <w:t xml:space="preserve"> and firm’s supply chain resilience in particular.</w:t>
      </w:r>
    </w:p>
    <w:p w:rsidR="006B2012" w:rsidRDefault="006B2012" w:rsidP="00860D0F">
      <w:pPr>
        <w:autoSpaceDE w:val="0"/>
        <w:autoSpaceDN w:val="0"/>
        <w:adjustRightInd w:val="0"/>
        <w:spacing w:after="0" w:line="480" w:lineRule="auto"/>
        <w:rPr>
          <w:b/>
        </w:rPr>
      </w:pPr>
    </w:p>
    <w:p w:rsidR="00124FEE" w:rsidRPr="00465CD6" w:rsidRDefault="00124FEE" w:rsidP="00860D0F">
      <w:pPr>
        <w:autoSpaceDE w:val="0"/>
        <w:autoSpaceDN w:val="0"/>
        <w:adjustRightInd w:val="0"/>
        <w:spacing w:after="0" w:line="480" w:lineRule="auto"/>
        <w:rPr>
          <w:b/>
        </w:rPr>
      </w:pPr>
      <w:r>
        <w:rPr>
          <w:b/>
        </w:rPr>
        <w:t>Synthesizing</w:t>
      </w:r>
      <w:r w:rsidRPr="00465CD6">
        <w:rPr>
          <w:b/>
        </w:rPr>
        <w:t xml:space="preserve"> </w:t>
      </w:r>
      <w:r>
        <w:rPr>
          <w:b/>
        </w:rPr>
        <w:t>Interdisciplinary Contributions</w:t>
      </w:r>
    </w:p>
    <w:p w:rsidR="00124FEE" w:rsidRDefault="00124FEE" w:rsidP="00860D0F">
      <w:pPr>
        <w:autoSpaceDE w:val="0"/>
        <w:autoSpaceDN w:val="0"/>
        <w:adjustRightInd w:val="0"/>
        <w:spacing w:after="0" w:line="480" w:lineRule="auto"/>
        <w:ind w:firstLine="720"/>
      </w:pPr>
      <w:r>
        <w:t>In earlier supply chain research, resilience has been characterized as</w:t>
      </w:r>
      <w:r w:rsidRPr="002C6F60">
        <w:t xml:space="preserve"> </w:t>
      </w:r>
      <w:r w:rsidRPr="009D5DB0">
        <w:rPr>
          <w:iCs/>
        </w:rPr>
        <w:t xml:space="preserve">the ability </w:t>
      </w:r>
      <w:r>
        <w:rPr>
          <w:iCs/>
        </w:rPr>
        <w:t xml:space="preserve">of a firm’s supply chain </w:t>
      </w:r>
      <w:r w:rsidRPr="009D5DB0">
        <w:rPr>
          <w:iCs/>
        </w:rPr>
        <w:t>to react to unexpected disruption and restore normal supply network operations</w:t>
      </w:r>
      <w:r w:rsidRPr="009D5DB0">
        <w:t xml:space="preserve"> (MIT </w:t>
      </w:r>
      <w:r>
        <w:t>research 2003</w:t>
      </w:r>
      <w:r w:rsidRPr="002C6F60">
        <w:t>)</w:t>
      </w:r>
      <w:r>
        <w:t>.</w:t>
      </w:r>
      <w:r>
        <w:rPr>
          <w:i/>
          <w:iCs/>
        </w:rPr>
        <w:t xml:space="preserve"> </w:t>
      </w:r>
      <w:r w:rsidRPr="002C6F60">
        <w:t xml:space="preserve">Christopher and Peck (2004) </w:t>
      </w:r>
      <w:r>
        <w:t>added additional insights, defining</w:t>
      </w:r>
      <w:r w:rsidRPr="002C6F60">
        <w:t xml:space="preserve"> supply chain resilience as the ability of the supply chain to return to its original state or move to a new, more desirable state after being disturbed.</w:t>
      </w:r>
      <w:r>
        <w:t xml:space="preserve"> Additionally, </w:t>
      </w:r>
      <w:r w:rsidRPr="001409EC">
        <w:t xml:space="preserve">resilience has been linked </w:t>
      </w:r>
      <w:r>
        <w:t xml:space="preserve">to firm performance and sustainable competitive advantage (Christopher and Peck 2004). Although the above definitions capture the essence of supply chain resilience, they are not fully taking into account some important aspects that could be derived from the abovementioned interdisciplinary perspectives. </w:t>
      </w:r>
    </w:p>
    <w:p w:rsidR="00124FEE" w:rsidRDefault="00124FEE" w:rsidP="00860D0F">
      <w:pPr>
        <w:autoSpaceDE w:val="0"/>
        <w:autoSpaceDN w:val="0"/>
        <w:adjustRightInd w:val="0"/>
        <w:spacing w:after="0" w:line="480" w:lineRule="auto"/>
        <w:ind w:firstLine="720"/>
      </w:pPr>
      <w:r>
        <w:t xml:space="preserve">Alternatively, </w:t>
      </w:r>
      <w:proofErr w:type="spellStart"/>
      <w:r>
        <w:t>Ponomarov</w:t>
      </w:r>
      <w:proofErr w:type="spellEnd"/>
      <w:r>
        <w:t xml:space="preserve"> and Holcomb (2009) made an original attempt to synthesize several interdisciplinary approaches to resilience with existing risk management research. They developed a definition of supply chain resilience using a multidisciplinary perspective. Following a similar approach, we propose a</w:t>
      </w:r>
      <w:r w:rsidRPr="00283718">
        <w:t xml:space="preserve"> definition </w:t>
      </w:r>
      <w:r>
        <w:t>that incorporates multiple perspectives and is based on a comprehensive literature review. For example, Christopher (2005) stated</w:t>
      </w:r>
      <w:r w:rsidRPr="00FD1924">
        <w:t xml:space="preserve"> that resilient processes are flexible and agile and are able to change quickly.  Therefore, a valid definition of supply chain resilience must include the premises that the supply chain is able to change quickly in the face of shi</w:t>
      </w:r>
      <w:r>
        <w:t xml:space="preserve">fting externalities. </w:t>
      </w:r>
      <w:r w:rsidRPr="00FD1924">
        <w:t>Similarly, Reich (2006) examines three psychological principles of resilience that occur as a result of na</w:t>
      </w:r>
      <w:r>
        <w:t xml:space="preserve">tural or human-made disasters. </w:t>
      </w:r>
      <w:r w:rsidRPr="00FD1924">
        <w:t xml:space="preserve">One of these notions, connectedness, is particularly salient for supply chain managers, given </w:t>
      </w:r>
      <w:r w:rsidRPr="00FD1924">
        <w:lastRenderedPageBreak/>
        <w:t xml:space="preserve">their </w:t>
      </w:r>
      <w:proofErr w:type="spellStart"/>
      <w:r w:rsidRPr="00FD1924">
        <w:t>interorganizational</w:t>
      </w:r>
      <w:proofErr w:type="spellEnd"/>
      <w:r w:rsidRPr="00FD1924">
        <w:t xml:space="preserve"> responsibility for delivering desirable business outcomes. Therefore, any valid definition</w:t>
      </w:r>
      <w:r>
        <w:t xml:space="preserve"> of supply chain resilience</w:t>
      </w:r>
      <w:r w:rsidRPr="00FD1924">
        <w:t xml:space="preserve"> should also focus on the connectedness of the su</w:t>
      </w:r>
      <w:r>
        <w:t>pply chain network as a whole. Thus, based on the discussed approaches, the following definition of a firm’s supply chain resilience was adapted for the purposes of this dissertation:</w:t>
      </w:r>
    </w:p>
    <w:p w:rsidR="00860D0F" w:rsidRDefault="00860D0F" w:rsidP="00860D0F">
      <w:pPr>
        <w:autoSpaceDE w:val="0"/>
        <w:autoSpaceDN w:val="0"/>
        <w:adjustRightInd w:val="0"/>
        <w:spacing w:after="0" w:line="240" w:lineRule="auto"/>
        <w:ind w:left="720"/>
        <w:rPr>
          <w:i/>
        </w:rPr>
      </w:pPr>
    </w:p>
    <w:p w:rsidR="00124FEE" w:rsidRPr="009E3BC5" w:rsidRDefault="00124FEE" w:rsidP="00860D0F">
      <w:pPr>
        <w:autoSpaceDE w:val="0"/>
        <w:autoSpaceDN w:val="0"/>
        <w:adjustRightInd w:val="0"/>
        <w:spacing w:after="0" w:line="240" w:lineRule="auto"/>
        <w:ind w:left="720"/>
        <w:rPr>
          <w:i/>
        </w:rPr>
      </w:pPr>
      <w:r>
        <w:rPr>
          <w:i/>
        </w:rPr>
        <w:t>“[supply chain resilience is]…t</w:t>
      </w:r>
      <w:r w:rsidRPr="009E3BC5">
        <w:rPr>
          <w:i/>
        </w:rPr>
        <w:t>he adaptive capability of</w:t>
      </w:r>
      <w:r>
        <w:rPr>
          <w:i/>
        </w:rPr>
        <w:t xml:space="preserve"> a</w:t>
      </w:r>
      <w:r w:rsidRPr="009E3BC5">
        <w:rPr>
          <w:i/>
        </w:rPr>
        <w:t xml:space="preserve"> firm’s supply chain to prepare for unexpected events, respond to disruptions, and recover from them </w:t>
      </w:r>
      <w:r>
        <w:rPr>
          <w:i/>
        </w:rPr>
        <w:t xml:space="preserve">in a timely manner </w:t>
      </w:r>
      <w:r w:rsidRPr="009E3BC5">
        <w:rPr>
          <w:i/>
        </w:rPr>
        <w:t>by maintaining continuity of operations at the desired level of connectedness and control over structure and function.</w:t>
      </w:r>
      <w:r>
        <w:rPr>
          <w:i/>
        </w:rPr>
        <w:t>”</w:t>
      </w:r>
    </w:p>
    <w:p w:rsidR="00860D0F" w:rsidRDefault="00860D0F" w:rsidP="00860D0F">
      <w:pPr>
        <w:autoSpaceDE w:val="0"/>
        <w:autoSpaceDN w:val="0"/>
        <w:adjustRightInd w:val="0"/>
        <w:spacing w:after="0" w:line="480" w:lineRule="auto"/>
      </w:pPr>
    </w:p>
    <w:p w:rsidR="00124FEE" w:rsidRPr="00FD1924" w:rsidRDefault="00124FEE" w:rsidP="00860D0F">
      <w:pPr>
        <w:autoSpaceDE w:val="0"/>
        <w:autoSpaceDN w:val="0"/>
        <w:adjustRightInd w:val="0"/>
        <w:spacing w:after="0" w:line="480" w:lineRule="auto"/>
      </w:pPr>
      <w:r w:rsidRPr="00283718">
        <w:t>This definition borrows several key elements from multiple disciplines and reflects the fact that a resilient supply chain must be able to anticipate</w:t>
      </w:r>
      <w:r>
        <w:t xml:space="preserve"> possible disruptions</w:t>
      </w:r>
      <w:r w:rsidRPr="00283718">
        <w:t>, take</w:t>
      </w:r>
      <w:r>
        <w:t xml:space="preserve"> appropriate</w:t>
      </w:r>
      <w:r w:rsidRPr="00283718">
        <w:t xml:space="preserve"> action, and restore operations to the desired state</w:t>
      </w:r>
      <w:r>
        <w:t xml:space="preserve"> within the needed time frame. </w:t>
      </w:r>
    </w:p>
    <w:p w:rsidR="00124FEE" w:rsidRDefault="00124FEE" w:rsidP="00860D0F">
      <w:pPr>
        <w:autoSpaceDE w:val="0"/>
        <w:autoSpaceDN w:val="0"/>
        <w:adjustRightInd w:val="0"/>
        <w:spacing w:after="0" w:line="480" w:lineRule="auto"/>
        <w:ind w:firstLine="720"/>
      </w:pPr>
      <w:proofErr w:type="spellStart"/>
      <w:r>
        <w:t>Ponomarov</w:t>
      </w:r>
      <w:proofErr w:type="spellEnd"/>
      <w:r>
        <w:t xml:space="preserve"> and Holcomb (2009) also proposed a conceptual model linking logistics capabilities to supply chain resilience emphasizing the importance of the logistics perspective. While the proposed model is interesting, it lacks an empirically-based confirmation. Subsequently, Pettit et al. (2010) identified several dimensions of vulnerabilities and capabilities, combining them within a single conceptual framework. Balanced resilience in that case is viewed as a portfolio of capabilities matched to the pattern of vulnerabilities, and the zone of resilience is defined as the desired balance between vulnerabilities and capabilities. Although the proposed conceptual framework was refined through a focus group methodology, an additional empirical investigation was called upon to add a much-needed empirically-based support to theoretically-derived propositions.</w:t>
      </w:r>
    </w:p>
    <w:p w:rsidR="00124FEE" w:rsidRDefault="00124FEE" w:rsidP="00860D0F">
      <w:pPr>
        <w:autoSpaceDE w:val="0"/>
        <w:autoSpaceDN w:val="0"/>
        <w:adjustRightInd w:val="0"/>
        <w:spacing w:after="0" w:line="480" w:lineRule="auto"/>
        <w:ind w:firstLine="720"/>
      </w:pPr>
      <w:r>
        <w:t xml:space="preserve">Overall, the </w:t>
      </w:r>
      <w:r w:rsidRPr="008D24B5">
        <w:t xml:space="preserve">literature related to supply chain resilience is </w:t>
      </w:r>
      <w:r>
        <w:t>sparse. Although existing research is informative, it is</w:t>
      </w:r>
      <w:r w:rsidRPr="008D24B5">
        <w:t xml:space="preserve"> primarily focused on </w:t>
      </w:r>
      <w:r>
        <w:t>presenting several fragmented perspectives</w:t>
      </w:r>
      <w:r w:rsidRPr="008D24B5">
        <w:t xml:space="preserve"> of </w:t>
      </w:r>
      <w:r w:rsidRPr="008D24B5">
        <w:lastRenderedPageBreak/>
        <w:t>the phen</w:t>
      </w:r>
      <w:r>
        <w:t>omenon (</w:t>
      </w:r>
      <w:proofErr w:type="spellStart"/>
      <w:r w:rsidRPr="008D24B5">
        <w:t>Sheff</w:t>
      </w:r>
      <w:r>
        <w:t>i</w:t>
      </w:r>
      <w:proofErr w:type="spellEnd"/>
      <w:r>
        <w:t xml:space="preserve"> 2001; Christopher and Lee 2004; Christopher et al. 2002; </w:t>
      </w:r>
      <w:proofErr w:type="spellStart"/>
      <w:r>
        <w:t>Sheffi</w:t>
      </w:r>
      <w:proofErr w:type="spellEnd"/>
      <w:r>
        <w:t xml:space="preserve"> et al. 2003). These</w:t>
      </w:r>
      <w:r w:rsidRPr="008D24B5">
        <w:t xml:space="preserve"> perspective</w:t>
      </w:r>
      <w:r>
        <w:t>s provide some understanding of the importance of the topic for supply chain research. Several formative elements of resilience, such as flexibility, agility, visibility are also separately discussed. Some of the related perspectives are summarized in the following table:</w:t>
      </w:r>
    </w:p>
    <w:p w:rsidR="00124FEE" w:rsidRDefault="00124FEE" w:rsidP="00124FEE">
      <w:pPr>
        <w:autoSpaceDE w:val="0"/>
        <w:autoSpaceDN w:val="0"/>
        <w:adjustRightInd w:val="0"/>
        <w:rPr>
          <w:b/>
        </w:rPr>
      </w:pPr>
    </w:p>
    <w:p w:rsidR="00124FEE" w:rsidRDefault="00124FEE" w:rsidP="00564E13">
      <w:pPr>
        <w:autoSpaceDE w:val="0"/>
        <w:autoSpaceDN w:val="0"/>
        <w:adjustRightInd w:val="0"/>
        <w:spacing w:line="240" w:lineRule="auto"/>
        <w:jc w:val="center"/>
        <w:rPr>
          <w:b/>
        </w:rPr>
      </w:pPr>
      <w:r>
        <w:rPr>
          <w:b/>
        </w:rPr>
        <w:t>Table 2</w:t>
      </w:r>
      <w:r w:rsidRPr="00D4239A">
        <w:rPr>
          <w:b/>
        </w:rPr>
        <w:t>.</w:t>
      </w:r>
      <w:r>
        <w:rPr>
          <w:b/>
        </w:rPr>
        <w:t>4</w:t>
      </w:r>
      <w:r w:rsidR="00860D0F">
        <w:rPr>
          <w:b/>
        </w:rPr>
        <w:t xml:space="preserve"> Summary of Selected Characteristics and A</w:t>
      </w:r>
      <w:r w:rsidRPr="00D4239A">
        <w:rPr>
          <w:b/>
        </w:rPr>
        <w:t>pproaches</w:t>
      </w:r>
      <w:r w:rsidR="00860D0F">
        <w:rPr>
          <w:b/>
        </w:rPr>
        <w:t xml:space="preserve"> to Supply Chain R</w:t>
      </w:r>
      <w:r>
        <w:rPr>
          <w:b/>
        </w:rPr>
        <w:t>esilience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2753"/>
        <w:gridCol w:w="4549"/>
      </w:tblGrid>
      <w:tr w:rsidR="00124FEE" w:rsidRPr="009A2D89" w:rsidTr="00007EA8">
        <w:tc>
          <w:tcPr>
            <w:tcW w:w="1914" w:type="dxa"/>
            <w:tcBorders>
              <w:left w:val="nil"/>
              <w:bottom w:val="single" w:sz="4" w:space="0" w:color="auto"/>
              <w:right w:val="nil"/>
            </w:tcBorders>
          </w:tcPr>
          <w:p w:rsidR="00124FEE" w:rsidRPr="009A2D89" w:rsidRDefault="00124FEE" w:rsidP="00860D0F">
            <w:pPr>
              <w:autoSpaceDE w:val="0"/>
              <w:autoSpaceDN w:val="0"/>
              <w:adjustRightInd w:val="0"/>
              <w:jc w:val="center"/>
              <w:rPr>
                <w:b/>
              </w:rPr>
            </w:pPr>
            <w:r w:rsidRPr="009A2D89">
              <w:rPr>
                <w:b/>
              </w:rPr>
              <w:t>Reference</w:t>
            </w:r>
          </w:p>
        </w:tc>
        <w:tc>
          <w:tcPr>
            <w:tcW w:w="2753" w:type="dxa"/>
            <w:tcBorders>
              <w:left w:val="nil"/>
              <w:bottom w:val="single" w:sz="4" w:space="0" w:color="auto"/>
              <w:right w:val="nil"/>
            </w:tcBorders>
          </w:tcPr>
          <w:p w:rsidR="00124FEE" w:rsidRPr="009A2D89" w:rsidRDefault="00124FEE" w:rsidP="00860D0F">
            <w:pPr>
              <w:autoSpaceDE w:val="0"/>
              <w:autoSpaceDN w:val="0"/>
              <w:adjustRightInd w:val="0"/>
              <w:jc w:val="center"/>
              <w:rPr>
                <w:b/>
              </w:rPr>
            </w:pPr>
            <w:r>
              <w:rPr>
                <w:b/>
              </w:rPr>
              <w:t>Emphasized</w:t>
            </w:r>
            <w:r w:rsidRPr="009A2D89">
              <w:rPr>
                <w:b/>
              </w:rPr>
              <w:t xml:space="preserve"> Characteristics</w:t>
            </w:r>
          </w:p>
        </w:tc>
        <w:tc>
          <w:tcPr>
            <w:tcW w:w="4549" w:type="dxa"/>
            <w:tcBorders>
              <w:left w:val="nil"/>
              <w:bottom w:val="single" w:sz="4" w:space="0" w:color="auto"/>
              <w:right w:val="nil"/>
            </w:tcBorders>
          </w:tcPr>
          <w:p w:rsidR="00124FEE" w:rsidRPr="009A2D89" w:rsidRDefault="00124FEE" w:rsidP="00007EA8">
            <w:pPr>
              <w:autoSpaceDE w:val="0"/>
              <w:autoSpaceDN w:val="0"/>
              <w:adjustRightInd w:val="0"/>
              <w:jc w:val="center"/>
              <w:rPr>
                <w:b/>
              </w:rPr>
            </w:pPr>
            <w:r w:rsidRPr="009A2D89">
              <w:rPr>
                <w:b/>
              </w:rPr>
              <w:t>Relevant research summary</w:t>
            </w:r>
          </w:p>
        </w:tc>
      </w:tr>
      <w:tr w:rsidR="00124FEE" w:rsidTr="00007EA8">
        <w:tc>
          <w:tcPr>
            <w:tcW w:w="1914" w:type="dxa"/>
            <w:tcBorders>
              <w:left w:val="nil"/>
              <w:bottom w:val="nil"/>
              <w:right w:val="nil"/>
            </w:tcBorders>
          </w:tcPr>
          <w:p w:rsidR="00124FEE" w:rsidRPr="007F36D4" w:rsidRDefault="00124FEE" w:rsidP="00007EA8">
            <w:pPr>
              <w:autoSpaceDE w:val="0"/>
              <w:autoSpaceDN w:val="0"/>
              <w:adjustRightInd w:val="0"/>
            </w:pPr>
            <w:r w:rsidRPr="007F36D4">
              <w:t>Christopher 2004</w:t>
            </w:r>
          </w:p>
        </w:tc>
        <w:tc>
          <w:tcPr>
            <w:tcW w:w="2753" w:type="dxa"/>
            <w:tcBorders>
              <w:left w:val="nil"/>
              <w:bottom w:val="nil"/>
              <w:right w:val="nil"/>
            </w:tcBorders>
          </w:tcPr>
          <w:p w:rsidR="00124FEE" w:rsidRPr="007F36D4" w:rsidRDefault="00124FEE" w:rsidP="00007EA8">
            <w:pPr>
              <w:autoSpaceDE w:val="0"/>
              <w:autoSpaceDN w:val="0"/>
              <w:adjustRightInd w:val="0"/>
            </w:pPr>
            <w:r w:rsidRPr="007F36D4">
              <w:t>Agility, Responsiveness</w:t>
            </w:r>
          </w:p>
        </w:tc>
        <w:tc>
          <w:tcPr>
            <w:tcW w:w="4549" w:type="dxa"/>
            <w:tcBorders>
              <w:left w:val="nil"/>
              <w:bottom w:val="nil"/>
              <w:right w:val="nil"/>
            </w:tcBorders>
          </w:tcPr>
          <w:p w:rsidR="00124FEE" w:rsidRPr="007F36D4" w:rsidRDefault="00124FEE" w:rsidP="00007EA8">
            <w:pPr>
              <w:autoSpaceDE w:val="0"/>
              <w:autoSpaceDN w:val="0"/>
              <w:adjustRightInd w:val="0"/>
            </w:pPr>
            <w:r w:rsidRPr="00AC78D1">
              <w:t>Resilience in the supply chain could be viewed as a more rapid response to change</w:t>
            </w:r>
            <w:r>
              <w:t>d condition</w:t>
            </w:r>
            <w:r w:rsidRPr="00AC78D1">
              <w:t>s</w:t>
            </w:r>
            <w:r>
              <w:t xml:space="preserve"> </w:t>
            </w:r>
            <w:r w:rsidRPr="00AC78D1">
              <w:t>and is closely related to the idea of agility.</w:t>
            </w:r>
          </w:p>
        </w:tc>
      </w:tr>
      <w:tr w:rsidR="00124FEE" w:rsidTr="00007EA8">
        <w:tc>
          <w:tcPr>
            <w:tcW w:w="1914" w:type="dxa"/>
            <w:tcBorders>
              <w:top w:val="nil"/>
              <w:left w:val="nil"/>
              <w:bottom w:val="nil"/>
              <w:right w:val="nil"/>
            </w:tcBorders>
          </w:tcPr>
          <w:p w:rsidR="00124FEE" w:rsidRPr="007F36D4" w:rsidRDefault="00124FEE" w:rsidP="00007EA8">
            <w:pPr>
              <w:autoSpaceDE w:val="0"/>
              <w:autoSpaceDN w:val="0"/>
              <w:adjustRightInd w:val="0"/>
            </w:pPr>
            <w:r w:rsidRPr="007F36D4">
              <w:t xml:space="preserve">Chopra and </w:t>
            </w:r>
            <w:proofErr w:type="spellStart"/>
            <w:r w:rsidRPr="007F36D4">
              <w:t>Sodhi</w:t>
            </w:r>
            <w:proofErr w:type="spellEnd"/>
            <w:r w:rsidRPr="007F36D4">
              <w:t xml:space="preserve"> 2004</w:t>
            </w:r>
          </w:p>
        </w:tc>
        <w:tc>
          <w:tcPr>
            <w:tcW w:w="2753" w:type="dxa"/>
            <w:tcBorders>
              <w:top w:val="nil"/>
              <w:left w:val="nil"/>
              <w:bottom w:val="nil"/>
              <w:right w:val="nil"/>
            </w:tcBorders>
          </w:tcPr>
          <w:p w:rsidR="00124FEE" w:rsidRPr="007F36D4" w:rsidRDefault="00124FEE" w:rsidP="00007EA8">
            <w:pPr>
              <w:autoSpaceDE w:val="0"/>
              <w:autoSpaceDN w:val="0"/>
              <w:adjustRightInd w:val="0"/>
            </w:pPr>
            <w:r w:rsidRPr="007F36D4">
              <w:t>Visibility</w:t>
            </w:r>
          </w:p>
        </w:tc>
        <w:tc>
          <w:tcPr>
            <w:tcW w:w="4549" w:type="dxa"/>
            <w:tcBorders>
              <w:top w:val="nil"/>
              <w:left w:val="nil"/>
              <w:bottom w:val="nil"/>
              <w:right w:val="nil"/>
            </w:tcBorders>
          </w:tcPr>
          <w:p w:rsidR="00124FEE" w:rsidRPr="007F36D4" w:rsidRDefault="00124FEE" w:rsidP="00007EA8">
            <w:pPr>
              <w:autoSpaceDE w:val="0"/>
              <w:autoSpaceDN w:val="0"/>
              <w:adjustRightInd w:val="0"/>
            </w:pPr>
            <w:r w:rsidRPr="007F36D4">
              <w:t xml:space="preserve">Increasing the visibility of demand information across the supply chain reduces the risks. </w:t>
            </w:r>
          </w:p>
        </w:tc>
      </w:tr>
      <w:tr w:rsidR="00124FEE" w:rsidTr="00007EA8">
        <w:tc>
          <w:tcPr>
            <w:tcW w:w="1914" w:type="dxa"/>
            <w:tcBorders>
              <w:top w:val="nil"/>
              <w:left w:val="nil"/>
              <w:bottom w:val="nil"/>
              <w:right w:val="nil"/>
            </w:tcBorders>
          </w:tcPr>
          <w:p w:rsidR="00124FEE" w:rsidRPr="007F36D4" w:rsidRDefault="00124FEE" w:rsidP="00007EA8">
            <w:pPr>
              <w:autoSpaceDE w:val="0"/>
              <w:autoSpaceDN w:val="0"/>
              <w:adjustRightInd w:val="0"/>
            </w:pPr>
            <w:proofErr w:type="spellStart"/>
            <w:r w:rsidRPr="007F36D4">
              <w:t>Swamidass</w:t>
            </w:r>
            <w:proofErr w:type="spellEnd"/>
            <w:r w:rsidRPr="007F36D4">
              <w:t xml:space="preserve"> and Newell 1987</w:t>
            </w:r>
          </w:p>
        </w:tc>
        <w:tc>
          <w:tcPr>
            <w:tcW w:w="2753" w:type="dxa"/>
            <w:tcBorders>
              <w:top w:val="nil"/>
              <w:left w:val="nil"/>
              <w:bottom w:val="nil"/>
              <w:right w:val="nil"/>
            </w:tcBorders>
          </w:tcPr>
          <w:p w:rsidR="00124FEE" w:rsidRPr="007F36D4" w:rsidRDefault="00124FEE" w:rsidP="00007EA8">
            <w:pPr>
              <w:autoSpaceDE w:val="0"/>
              <w:autoSpaceDN w:val="0"/>
              <w:adjustRightInd w:val="0"/>
            </w:pPr>
            <w:r w:rsidRPr="007F36D4">
              <w:t>Flexibility/Redundancy</w:t>
            </w:r>
          </w:p>
        </w:tc>
        <w:tc>
          <w:tcPr>
            <w:tcW w:w="4549" w:type="dxa"/>
            <w:tcBorders>
              <w:top w:val="nil"/>
              <w:left w:val="nil"/>
              <w:bottom w:val="nil"/>
              <w:right w:val="nil"/>
            </w:tcBorders>
          </w:tcPr>
          <w:p w:rsidR="00124FEE" w:rsidRPr="007F36D4" w:rsidRDefault="00124FEE" w:rsidP="00007EA8">
            <w:pPr>
              <w:autoSpaceDE w:val="0"/>
              <w:autoSpaceDN w:val="0"/>
              <w:adjustRightInd w:val="0"/>
            </w:pPr>
            <w:r w:rsidRPr="007F36D4">
              <w:t xml:space="preserve">Flexibility enables a manufacturer to respond quickly and efficiently to dynamic market changes.  </w:t>
            </w:r>
          </w:p>
        </w:tc>
      </w:tr>
      <w:tr w:rsidR="00124FEE" w:rsidTr="00007EA8">
        <w:tc>
          <w:tcPr>
            <w:tcW w:w="1914" w:type="dxa"/>
            <w:tcBorders>
              <w:top w:val="nil"/>
              <w:left w:val="nil"/>
              <w:bottom w:val="nil"/>
              <w:right w:val="nil"/>
            </w:tcBorders>
          </w:tcPr>
          <w:p w:rsidR="00124FEE" w:rsidRPr="007F36D4" w:rsidRDefault="00124FEE" w:rsidP="00007EA8">
            <w:pPr>
              <w:autoSpaceDE w:val="0"/>
              <w:autoSpaceDN w:val="0"/>
              <w:adjustRightInd w:val="0"/>
            </w:pPr>
            <w:r>
              <w:t xml:space="preserve">Rice and </w:t>
            </w:r>
            <w:proofErr w:type="spellStart"/>
            <w:r>
              <w:t>Caniato</w:t>
            </w:r>
            <w:proofErr w:type="spellEnd"/>
            <w:r>
              <w:t xml:space="preserve"> 2003</w:t>
            </w:r>
          </w:p>
        </w:tc>
        <w:tc>
          <w:tcPr>
            <w:tcW w:w="2753" w:type="dxa"/>
            <w:tcBorders>
              <w:top w:val="nil"/>
              <w:left w:val="nil"/>
              <w:bottom w:val="nil"/>
              <w:right w:val="nil"/>
            </w:tcBorders>
          </w:tcPr>
          <w:p w:rsidR="00124FEE" w:rsidRPr="007F36D4" w:rsidRDefault="00124FEE" w:rsidP="00007EA8">
            <w:pPr>
              <w:autoSpaceDE w:val="0"/>
              <w:autoSpaceDN w:val="0"/>
              <w:adjustRightInd w:val="0"/>
            </w:pPr>
            <w:r w:rsidRPr="007F36D4">
              <w:t>Flexibility/Redundancy</w:t>
            </w:r>
          </w:p>
        </w:tc>
        <w:tc>
          <w:tcPr>
            <w:tcW w:w="4549" w:type="dxa"/>
            <w:tcBorders>
              <w:top w:val="nil"/>
              <w:left w:val="nil"/>
              <w:bottom w:val="nil"/>
              <w:right w:val="nil"/>
            </w:tcBorders>
          </w:tcPr>
          <w:p w:rsidR="00124FEE" w:rsidRPr="007F36D4" w:rsidRDefault="00124FEE" w:rsidP="00007EA8">
            <w:pPr>
              <w:autoSpaceDE w:val="0"/>
              <w:autoSpaceDN w:val="0"/>
              <w:adjustRightInd w:val="0"/>
            </w:pPr>
            <w:r w:rsidRPr="007F36D4">
              <w:t>Suggested a hybrid flexibility/ redundancy approach for increasing supply chain resilience.</w:t>
            </w:r>
          </w:p>
        </w:tc>
      </w:tr>
      <w:tr w:rsidR="00124FEE" w:rsidTr="00007EA8">
        <w:tc>
          <w:tcPr>
            <w:tcW w:w="1914" w:type="dxa"/>
            <w:tcBorders>
              <w:top w:val="nil"/>
              <w:left w:val="nil"/>
              <w:bottom w:val="nil"/>
              <w:right w:val="nil"/>
            </w:tcBorders>
          </w:tcPr>
          <w:p w:rsidR="00124FEE" w:rsidRPr="007F36D4" w:rsidRDefault="00124FEE" w:rsidP="00007EA8">
            <w:pPr>
              <w:autoSpaceDE w:val="0"/>
              <w:autoSpaceDN w:val="0"/>
              <w:adjustRightInd w:val="0"/>
            </w:pPr>
            <w:r w:rsidRPr="007F36D4">
              <w:t xml:space="preserve">Hong &amp; </w:t>
            </w:r>
            <w:proofErr w:type="spellStart"/>
            <w:r w:rsidRPr="007F36D4">
              <w:t>Choi</w:t>
            </w:r>
            <w:proofErr w:type="spellEnd"/>
            <w:r w:rsidRPr="007F36D4">
              <w:t xml:space="preserve"> 2002</w:t>
            </w:r>
          </w:p>
        </w:tc>
        <w:tc>
          <w:tcPr>
            <w:tcW w:w="2753" w:type="dxa"/>
            <w:tcBorders>
              <w:top w:val="nil"/>
              <w:left w:val="nil"/>
              <w:bottom w:val="nil"/>
              <w:right w:val="nil"/>
            </w:tcBorders>
          </w:tcPr>
          <w:p w:rsidR="00124FEE" w:rsidRPr="007F36D4" w:rsidRDefault="00124FEE" w:rsidP="00007EA8">
            <w:pPr>
              <w:autoSpaceDE w:val="0"/>
              <w:autoSpaceDN w:val="0"/>
              <w:adjustRightInd w:val="0"/>
            </w:pPr>
            <w:r w:rsidRPr="007F36D4">
              <w:t>Structure and Knowledge</w:t>
            </w:r>
          </w:p>
          <w:p w:rsidR="00124FEE" w:rsidRPr="007F36D4" w:rsidRDefault="00124FEE" w:rsidP="00007EA8">
            <w:pPr>
              <w:autoSpaceDE w:val="0"/>
              <w:autoSpaceDN w:val="0"/>
              <w:adjustRightInd w:val="0"/>
            </w:pPr>
          </w:p>
        </w:tc>
        <w:tc>
          <w:tcPr>
            <w:tcW w:w="4549" w:type="dxa"/>
            <w:tcBorders>
              <w:top w:val="nil"/>
              <w:left w:val="nil"/>
              <w:bottom w:val="nil"/>
              <w:right w:val="nil"/>
            </w:tcBorders>
          </w:tcPr>
          <w:p w:rsidR="00124FEE" w:rsidRPr="007F36D4" w:rsidRDefault="00124FEE" w:rsidP="00007EA8">
            <w:pPr>
              <w:autoSpaceDE w:val="0"/>
              <w:autoSpaceDN w:val="0"/>
              <w:adjustRightInd w:val="0"/>
            </w:pPr>
            <w:r w:rsidRPr="007F36D4">
              <w:t xml:space="preserve">Knowledge and understanding of supply chain structures-both physical and informational-are important elements of supply chain resilience. </w:t>
            </w:r>
          </w:p>
        </w:tc>
      </w:tr>
      <w:tr w:rsidR="00124FEE" w:rsidTr="006B2012">
        <w:tc>
          <w:tcPr>
            <w:tcW w:w="1914" w:type="dxa"/>
            <w:tcBorders>
              <w:top w:val="nil"/>
              <w:left w:val="nil"/>
              <w:bottom w:val="single" w:sz="4" w:space="0" w:color="auto"/>
              <w:right w:val="nil"/>
            </w:tcBorders>
          </w:tcPr>
          <w:p w:rsidR="00124FEE" w:rsidRPr="007F36D4" w:rsidRDefault="00124FEE" w:rsidP="00007EA8">
            <w:pPr>
              <w:autoSpaceDE w:val="0"/>
              <w:autoSpaceDN w:val="0"/>
              <w:adjustRightInd w:val="0"/>
            </w:pPr>
            <w:r w:rsidRPr="007F36D4">
              <w:t xml:space="preserve">Van </w:t>
            </w:r>
            <w:proofErr w:type="spellStart"/>
            <w:r w:rsidRPr="007F36D4">
              <w:t>der</w:t>
            </w:r>
            <w:proofErr w:type="spellEnd"/>
            <w:r w:rsidRPr="007F36D4">
              <w:t xml:space="preserve"> Vorst and </w:t>
            </w:r>
            <w:proofErr w:type="spellStart"/>
            <w:r w:rsidRPr="007F36D4">
              <w:t>Beulens</w:t>
            </w:r>
            <w:proofErr w:type="spellEnd"/>
            <w:r w:rsidRPr="007F36D4">
              <w:t xml:space="preserve"> 2002</w:t>
            </w:r>
          </w:p>
        </w:tc>
        <w:tc>
          <w:tcPr>
            <w:tcW w:w="2753" w:type="dxa"/>
            <w:tcBorders>
              <w:top w:val="nil"/>
              <w:left w:val="nil"/>
              <w:bottom w:val="single" w:sz="4" w:space="0" w:color="auto"/>
              <w:right w:val="nil"/>
            </w:tcBorders>
          </w:tcPr>
          <w:p w:rsidR="00124FEE" w:rsidRPr="007F36D4" w:rsidRDefault="00124FEE" w:rsidP="00007EA8">
            <w:pPr>
              <w:autoSpaceDE w:val="0"/>
              <w:autoSpaceDN w:val="0"/>
              <w:adjustRightInd w:val="0"/>
            </w:pPr>
            <w:r w:rsidRPr="007F36D4">
              <w:t xml:space="preserve">Reduction of Uncertainty </w:t>
            </w:r>
          </w:p>
        </w:tc>
        <w:tc>
          <w:tcPr>
            <w:tcW w:w="4549" w:type="dxa"/>
            <w:tcBorders>
              <w:top w:val="nil"/>
              <w:left w:val="nil"/>
              <w:bottom w:val="single" w:sz="4" w:space="0" w:color="auto"/>
              <w:right w:val="nil"/>
            </w:tcBorders>
          </w:tcPr>
          <w:p w:rsidR="00124FEE" w:rsidRPr="007F36D4" w:rsidRDefault="00124FEE" w:rsidP="00007EA8">
            <w:pPr>
              <w:autoSpaceDE w:val="0"/>
              <w:autoSpaceDN w:val="0"/>
              <w:adjustRightInd w:val="0"/>
            </w:pPr>
            <w:r w:rsidRPr="007F36D4">
              <w:t>View reduction of uncertainty as the way to im</w:t>
            </w:r>
            <w:r w:rsidR="00564E13">
              <w:t xml:space="preserve">prove supply chain resilience. </w:t>
            </w:r>
          </w:p>
        </w:tc>
      </w:tr>
    </w:tbl>
    <w:p w:rsidR="00124FEE" w:rsidRDefault="00124FEE" w:rsidP="00124FEE">
      <w:pPr>
        <w:spacing w:line="480" w:lineRule="auto"/>
      </w:pPr>
    </w:p>
    <w:p w:rsidR="00D15695" w:rsidRDefault="00D15695" w:rsidP="00D15695">
      <w:pPr>
        <w:autoSpaceDE w:val="0"/>
        <w:autoSpaceDN w:val="0"/>
        <w:adjustRightInd w:val="0"/>
        <w:spacing w:line="240" w:lineRule="auto"/>
        <w:jc w:val="center"/>
        <w:rPr>
          <w:b/>
        </w:rPr>
      </w:pPr>
      <w:r>
        <w:rPr>
          <w:b/>
        </w:rPr>
        <w:lastRenderedPageBreak/>
        <w:t>Table 2</w:t>
      </w:r>
      <w:r w:rsidRPr="00D4239A">
        <w:rPr>
          <w:b/>
        </w:rPr>
        <w:t>.</w:t>
      </w:r>
      <w:r>
        <w:rPr>
          <w:b/>
        </w:rPr>
        <w:t>4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4"/>
        <w:gridCol w:w="2753"/>
        <w:gridCol w:w="4549"/>
      </w:tblGrid>
      <w:tr w:rsidR="00D15695" w:rsidRPr="009A2D89" w:rsidTr="00007EA8">
        <w:tc>
          <w:tcPr>
            <w:tcW w:w="1914" w:type="dxa"/>
            <w:tcBorders>
              <w:left w:val="nil"/>
              <w:bottom w:val="single" w:sz="4" w:space="0" w:color="auto"/>
              <w:right w:val="nil"/>
            </w:tcBorders>
          </w:tcPr>
          <w:p w:rsidR="00D15695" w:rsidRPr="009A2D89" w:rsidRDefault="00D15695" w:rsidP="00007EA8">
            <w:pPr>
              <w:autoSpaceDE w:val="0"/>
              <w:autoSpaceDN w:val="0"/>
              <w:adjustRightInd w:val="0"/>
              <w:jc w:val="center"/>
              <w:rPr>
                <w:b/>
              </w:rPr>
            </w:pPr>
            <w:r w:rsidRPr="009A2D89">
              <w:rPr>
                <w:b/>
              </w:rPr>
              <w:t>Reference</w:t>
            </w:r>
          </w:p>
        </w:tc>
        <w:tc>
          <w:tcPr>
            <w:tcW w:w="2753" w:type="dxa"/>
            <w:tcBorders>
              <w:left w:val="nil"/>
              <w:bottom w:val="single" w:sz="4" w:space="0" w:color="auto"/>
              <w:right w:val="nil"/>
            </w:tcBorders>
          </w:tcPr>
          <w:p w:rsidR="00D15695" w:rsidRPr="009A2D89" w:rsidRDefault="00D15695" w:rsidP="00007EA8">
            <w:pPr>
              <w:autoSpaceDE w:val="0"/>
              <w:autoSpaceDN w:val="0"/>
              <w:adjustRightInd w:val="0"/>
              <w:jc w:val="center"/>
              <w:rPr>
                <w:b/>
              </w:rPr>
            </w:pPr>
            <w:r>
              <w:rPr>
                <w:b/>
              </w:rPr>
              <w:t>Emphasized</w:t>
            </w:r>
            <w:r w:rsidRPr="009A2D89">
              <w:rPr>
                <w:b/>
              </w:rPr>
              <w:t xml:space="preserve"> Characteristics</w:t>
            </w:r>
          </w:p>
        </w:tc>
        <w:tc>
          <w:tcPr>
            <w:tcW w:w="4549" w:type="dxa"/>
            <w:tcBorders>
              <w:left w:val="nil"/>
              <w:bottom w:val="single" w:sz="4" w:space="0" w:color="auto"/>
              <w:right w:val="nil"/>
            </w:tcBorders>
          </w:tcPr>
          <w:p w:rsidR="00D15695" w:rsidRPr="009A2D89" w:rsidRDefault="00D15695" w:rsidP="00007EA8">
            <w:pPr>
              <w:autoSpaceDE w:val="0"/>
              <w:autoSpaceDN w:val="0"/>
              <w:adjustRightInd w:val="0"/>
              <w:jc w:val="center"/>
              <w:rPr>
                <w:b/>
              </w:rPr>
            </w:pPr>
            <w:r w:rsidRPr="009A2D89">
              <w:rPr>
                <w:b/>
              </w:rPr>
              <w:t>Relevant research summary</w:t>
            </w:r>
          </w:p>
        </w:tc>
      </w:tr>
      <w:tr w:rsidR="006B2012" w:rsidTr="00007EA8">
        <w:tc>
          <w:tcPr>
            <w:tcW w:w="1914" w:type="dxa"/>
            <w:tcBorders>
              <w:top w:val="nil"/>
              <w:left w:val="nil"/>
              <w:bottom w:val="nil"/>
              <w:right w:val="nil"/>
            </w:tcBorders>
          </w:tcPr>
          <w:p w:rsidR="006B2012" w:rsidRPr="007F36D4" w:rsidRDefault="006B2012" w:rsidP="00007EA8">
            <w:pPr>
              <w:autoSpaceDE w:val="0"/>
              <w:autoSpaceDN w:val="0"/>
              <w:adjustRightInd w:val="0"/>
            </w:pPr>
            <w:r w:rsidRPr="007F36D4">
              <w:t>Christopher 2000</w:t>
            </w:r>
          </w:p>
        </w:tc>
        <w:tc>
          <w:tcPr>
            <w:tcW w:w="2753" w:type="dxa"/>
            <w:tcBorders>
              <w:top w:val="nil"/>
              <w:left w:val="nil"/>
              <w:bottom w:val="nil"/>
              <w:right w:val="nil"/>
            </w:tcBorders>
          </w:tcPr>
          <w:p w:rsidR="006B2012" w:rsidRPr="007F36D4" w:rsidRDefault="006B2012" w:rsidP="00007EA8">
            <w:pPr>
              <w:autoSpaceDE w:val="0"/>
              <w:autoSpaceDN w:val="0"/>
              <w:adjustRightInd w:val="0"/>
            </w:pPr>
            <w:r w:rsidRPr="007F36D4">
              <w:t>Reduction of Complexity, Reengineering</w:t>
            </w:r>
          </w:p>
        </w:tc>
        <w:tc>
          <w:tcPr>
            <w:tcW w:w="4549" w:type="dxa"/>
            <w:tcBorders>
              <w:top w:val="nil"/>
              <w:left w:val="nil"/>
              <w:bottom w:val="nil"/>
              <w:right w:val="nil"/>
            </w:tcBorders>
          </w:tcPr>
          <w:p w:rsidR="006B2012" w:rsidRPr="007F36D4" w:rsidRDefault="006B2012" w:rsidP="00007EA8">
            <w:pPr>
              <w:autoSpaceDE w:val="0"/>
              <w:autoSpaceDN w:val="0"/>
              <w:adjustRightInd w:val="0"/>
            </w:pPr>
            <w:r w:rsidRPr="007F36D4">
              <w:t>Adds reduction of complexity through business pro</w:t>
            </w:r>
            <w:r>
              <w:t>cess reengineering initiatives.</w:t>
            </w:r>
          </w:p>
        </w:tc>
      </w:tr>
      <w:tr w:rsidR="006B2012" w:rsidTr="00007EA8">
        <w:tc>
          <w:tcPr>
            <w:tcW w:w="1914" w:type="dxa"/>
            <w:tcBorders>
              <w:top w:val="nil"/>
              <w:left w:val="nil"/>
              <w:bottom w:val="nil"/>
              <w:right w:val="nil"/>
            </w:tcBorders>
          </w:tcPr>
          <w:p w:rsidR="006B2012" w:rsidRPr="007F36D4" w:rsidRDefault="006B2012" w:rsidP="00007EA8">
            <w:pPr>
              <w:autoSpaceDE w:val="0"/>
              <w:autoSpaceDN w:val="0"/>
              <w:adjustRightInd w:val="0"/>
            </w:pPr>
            <w:proofErr w:type="spellStart"/>
            <w:r w:rsidRPr="007F36D4">
              <w:t>Sinha</w:t>
            </w:r>
            <w:proofErr w:type="spellEnd"/>
            <w:r w:rsidRPr="007F36D4">
              <w:t xml:space="preserve"> et al 2004, Lee 2004</w:t>
            </w:r>
          </w:p>
        </w:tc>
        <w:tc>
          <w:tcPr>
            <w:tcW w:w="2753" w:type="dxa"/>
            <w:tcBorders>
              <w:top w:val="nil"/>
              <w:left w:val="nil"/>
              <w:bottom w:val="nil"/>
              <w:right w:val="nil"/>
            </w:tcBorders>
          </w:tcPr>
          <w:p w:rsidR="006B2012" w:rsidRPr="007F36D4" w:rsidRDefault="006B2012" w:rsidP="00007EA8">
            <w:pPr>
              <w:autoSpaceDE w:val="0"/>
              <w:autoSpaceDN w:val="0"/>
              <w:adjustRightInd w:val="0"/>
            </w:pPr>
            <w:r w:rsidRPr="007F36D4">
              <w:t>Collaboration</w:t>
            </w:r>
          </w:p>
          <w:p w:rsidR="006B2012" w:rsidRPr="007F36D4" w:rsidRDefault="006B2012" w:rsidP="00007EA8">
            <w:pPr>
              <w:autoSpaceDE w:val="0"/>
              <w:autoSpaceDN w:val="0"/>
              <w:adjustRightInd w:val="0"/>
            </w:pPr>
          </w:p>
        </w:tc>
        <w:tc>
          <w:tcPr>
            <w:tcW w:w="4549" w:type="dxa"/>
            <w:tcBorders>
              <w:top w:val="nil"/>
              <w:left w:val="nil"/>
              <w:bottom w:val="nil"/>
              <w:right w:val="nil"/>
            </w:tcBorders>
          </w:tcPr>
          <w:p w:rsidR="006B2012" w:rsidRPr="007F36D4" w:rsidRDefault="006B2012" w:rsidP="00007EA8">
            <w:pPr>
              <w:autoSpaceDE w:val="0"/>
              <w:autoSpaceDN w:val="0"/>
              <w:adjustRightInd w:val="0"/>
            </w:pPr>
            <w:r w:rsidRPr="007F36D4">
              <w:t>Collaborative partnerships he</w:t>
            </w:r>
            <w:r>
              <w:t>lp to manage risks effectively.</w:t>
            </w:r>
          </w:p>
        </w:tc>
      </w:tr>
      <w:tr w:rsidR="006B2012" w:rsidTr="00007EA8">
        <w:tc>
          <w:tcPr>
            <w:tcW w:w="1914" w:type="dxa"/>
            <w:tcBorders>
              <w:top w:val="nil"/>
              <w:left w:val="nil"/>
              <w:right w:val="nil"/>
            </w:tcBorders>
          </w:tcPr>
          <w:p w:rsidR="006B2012" w:rsidRPr="007F36D4" w:rsidRDefault="006B2012" w:rsidP="00007EA8">
            <w:pPr>
              <w:autoSpaceDE w:val="0"/>
              <w:autoSpaceDN w:val="0"/>
              <w:adjustRightInd w:val="0"/>
            </w:pPr>
            <w:r w:rsidRPr="007F36D4">
              <w:t>Smith 2004</w:t>
            </w:r>
          </w:p>
        </w:tc>
        <w:tc>
          <w:tcPr>
            <w:tcW w:w="2753" w:type="dxa"/>
            <w:tcBorders>
              <w:top w:val="nil"/>
              <w:left w:val="nil"/>
              <w:right w:val="nil"/>
            </w:tcBorders>
          </w:tcPr>
          <w:p w:rsidR="006B2012" w:rsidRPr="007F36D4" w:rsidRDefault="006B2012" w:rsidP="00007EA8">
            <w:pPr>
              <w:autoSpaceDE w:val="0"/>
              <w:autoSpaceDN w:val="0"/>
              <w:adjustRightInd w:val="0"/>
            </w:pPr>
            <w:r w:rsidRPr="007F36D4">
              <w:t>Integration, Operational Capabilities, Transparency</w:t>
            </w:r>
          </w:p>
        </w:tc>
        <w:tc>
          <w:tcPr>
            <w:tcW w:w="4549" w:type="dxa"/>
            <w:tcBorders>
              <w:top w:val="nil"/>
              <w:left w:val="nil"/>
              <w:right w:val="nil"/>
            </w:tcBorders>
          </w:tcPr>
          <w:p w:rsidR="006B2012" w:rsidRPr="007F36D4" w:rsidRDefault="006B2012" w:rsidP="00007EA8">
            <w:pPr>
              <w:autoSpaceDE w:val="0"/>
              <w:autoSpaceDN w:val="0"/>
              <w:adjustRightInd w:val="0"/>
            </w:pPr>
            <w:r w:rsidRPr="007F36D4">
              <w:t>In describing the operational capabilities of resilient supply chains, emphasized the importance of integrated environment that provides end-to-end interaction of orders, inventory, transportation and distribution to facilitate supply chain transparency.</w:t>
            </w:r>
          </w:p>
        </w:tc>
      </w:tr>
    </w:tbl>
    <w:p w:rsidR="00D15695" w:rsidRDefault="00D15695" w:rsidP="00D15695">
      <w:pPr>
        <w:spacing w:line="480" w:lineRule="auto"/>
      </w:pPr>
    </w:p>
    <w:p w:rsidR="00124FEE" w:rsidRDefault="00124FEE" w:rsidP="006B5A23">
      <w:pPr>
        <w:spacing w:after="0" w:line="480" w:lineRule="auto"/>
      </w:pPr>
      <w:r>
        <w:t>ANTECEDENTS OF SUPPLY CHAIN RESILIENCE</w:t>
      </w:r>
    </w:p>
    <w:p w:rsidR="00124FEE" w:rsidRDefault="00124FEE" w:rsidP="006B5A23">
      <w:pPr>
        <w:autoSpaceDE w:val="0"/>
        <w:autoSpaceDN w:val="0"/>
        <w:adjustRightInd w:val="0"/>
        <w:spacing w:after="0" w:line="480" w:lineRule="auto"/>
        <w:rPr>
          <w:b/>
        </w:rPr>
      </w:pPr>
      <w:r>
        <w:rPr>
          <w:b/>
        </w:rPr>
        <w:t>Logistics Capabilities</w:t>
      </w:r>
      <w:r w:rsidRPr="00531A33">
        <w:rPr>
          <w:b/>
        </w:rPr>
        <w:t xml:space="preserve"> </w:t>
      </w:r>
      <w:r>
        <w:rPr>
          <w:b/>
        </w:rPr>
        <w:t>within the Resource-Based Framework</w:t>
      </w:r>
    </w:p>
    <w:p w:rsidR="00124FEE" w:rsidRPr="00283718" w:rsidRDefault="00124FEE" w:rsidP="006B5A23">
      <w:pPr>
        <w:autoSpaceDE w:val="0"/>
        <w:autoSpaceDN w:val="0"/>
        <w:adjustRightInd w:val="0"/>
        <w:spacing w:after="0" w:line="480" w:lineRule="auto"/>
        <w:ind w:firstLine="720"/>
      </w:pPr>
      <w:r w:rsidRPr="000722D9">
        <w:t>This research builds on previous studies that view logistics capabilities from the resource-based perspective</w:t>
      </w:r>
      <w:r>
        <w:t xml:space="preserve"> (Lynch et al. 2000; Zhao et al. 2001). </w:t>
      </w:r>
      <w:r w:rsidRPr="00283718">
        <w:t>A number of logistics and supply chain related capabilities leading to improved firm performance and sustainable competitive advantage are discussed in the existing literature (</w:t>
      </w:r>
      <w:proofErr w:type="spellStart"/>
      <w:r w:rsidRPr="00283718">
        <w:t>Olavarrieta</w:t>
      </w:r>
      <w:proofErr w:type="spellEnd"/>
      <w:r w:rsidRPr="00283718">
        <w:t xml:space="preserve"> and </w:t>
      </w:r>
      <w:proofErr w:type="spellStart"/>
      <w:r w:rsidRPr="00283718">
        <w:t>Ellinger</w:t>
      </w:r>
      <w:proofErr w:type="spellEnd"/>
      <w:r w:rsidRPr="00283718">
        <w:t xml:space="preserve"> 1997</w:t>
      </w:r>
      <w:r>
        <w:t xml:space="preserve">; Daugherty, Stank and </w:t>
      </w:r>
      <w:proofErr w:type="spellStart"/>
      <w:r>
        <w:t>Ellinger</w:t>
      </w:r>
      <w:proofErr w:type="spellEnd"/>
      <w:r>
        <w:t xml:space="preserve"> 1998; Lynch, Keller and </w:t>
      </w:r>
      <w:proofErr w:type="spellStart"/>
      <w:r>
        <w:t>Ozment</w:t>
      </w:r>
      <w:proofErr w:type="spellEnd"/>
      <w:r>
        <w:t xml:space="preserve"> 2000; Zhao, </w:t>
      </w:r>
      <w:proofErr w:type="spellStart"/>
      <w:r>
        <w:t>Droge</w:t>
      </w:r>
      <w:proofErr w:type="spellEnd"/>
      <w:r>
        <w:t xml:space="preserve"> and Stank 2001; </w:t>
      </w:r>
      <w:proofErr w:type="spellStart"/>
      <w:r>
        <w:t>Mentzer</w:t>
      </w:r>
      <w:proofErr w:type="spellEnd"/>
      <w:r>
        <w:t xml:space="preserve">, Min and Bobbitt 2004; </w:t>
      </w:r>
      <w:proofErr w:type="spellStart"/>
      <w:r>
        <w:t>Esper</w:t>
      </w:r>
      <w:proofErr w:type="spellEnd"/>
      <w:r>
        <w:t xml:space="preserve"> et al.</w:t>
      </w:r>
      <w:r w:rsidRPr="00283718">
        <w:t xml:space="preserve"> 2007). Logistics capabilities have been categorized into demand-management capabilities, supply-management capabilities, and information managemen</w:t>
      </w:r>
      <w:r>
        <w:t>t capabilities (</w:t>
      </w:r>
      <w:proofErr w:type="spellStart"/>
      <w:r>
        <w:t>Bowersox</w:t>
      </w:r>
      <w:proofErr w:type="spellEnd"/>
      <w:r>
        <w:t xml:space="preserve"> et al. 1999; </w:t>
      </w:r>
      <w:proofErr w:type="spellStart"/>
      <w:r>
        <w:t>Mentzer</w:t>
      </w:r>
      <w:proofErr w:type="spellEnd"/>
      <w:r>
        <w:t>, Min and Bobbitt</w:t>
      </w:r>
      <w:r w:rsidRPr="00283718">
        <w:t xml:space="preserve"> 2004).  This classification has proven to be successful in facilitating further research and practical implementation.  </w:t>
      </w:r>
      <w:proofErr w:type="spellStart"/>
      <w:r w:rsidRPr="00283718">
        <w:t>Esper</w:t>
      </w:r>
      <w:proofErr w:type="spellEnd"/>
      <w:r w:rsidRPr="00283718">
        <w:t xml:space="preserve"> et al. (2007) contributed to the discussion by summarizing the existing views of logistics capabilities </w:t>
      </w:r>
      <w:r w:rsidRPr="00283718">
        <w:lastRenderedPageBreak/>
        <w:t xml:space="preserve">and proposing their own classification.  Their proposed classification includes five components including: </w:t>
      </w:r>
      <w:r>
        <w:t>(1) customer focus capability (</w:t>
      </w:r>
      <w:r w:rsidRPr="00283718">
        <w:t xml:space="preserve">Zhao, </w:t>
      </w:r>
      <w:proofErr w:type="spellStart"/>
      <w:r w:rsidRPr="00283718">
        <w:t>Droge</w:t>
      </w:r>
      <w:proofErr w:type="spellEnd"/>
      <w:r w:rsidRPr="00283718">
        <w:t xml:space="preserve">, and Stank 2001; </w:t>
      </w:r>
      <w:proofErr w:type="spellStart"/>
      <w:r w:rsidRPr="00283718">
        <w:t>Morash</w:t>
      </w:r>
      <w:proofErr w:type="spellEnd"/>
      <w:r w:rsidRPr="00283718">
        <w:t xml:space="preserve">, </w:t>
      </w:r>
      <w:proofErr w:type="spellStart"/>
      <w:r w:rsidRPr="00283718">
        <w:t>Droge</w:t>
      </w:r>
      <w:proofErr w:type="spellEnd"/>
      <w:r w:rsidRPr="00283718">
        <w:t xml:space="preserve">, and Vickery 1996; </w:t>
      </w:r>
      <w:proofErr w:type="spellStart"/>
      <w:r w:rsidRPr="00283718">
        <w:t>Bowersox</w:t>
      </w:r>
      <w:proofErr w:type="spellEnd"/>
      <w:r w:rsidRPr="00283718">
        <w:t xml:space="preserve">, </w:t>
      </w:r>
      <w:proofErr w:type="spellStart"/>
      <w:r w:rsidRPr="00283718">
        <w:t>Closs</w:t>
      </w:r>
      <w:proofErr w:type="spellEnd"/>
      <w:r w:rsidRPr="00283718">
        <w:t xml:space="preserve"> and Stank 1999), (2) supply-management capability (</w:t>
      </w:r>
      <w:proofErr w:type="spellStart"/>
      <w:r w:rsidRPr="00283718">
        <w:t>Morash</w:t>
      </w:r>
      <w:proofErr w:type="spellEnd"/>
      <w:r w:rsidRPr="00283718">
        <w:t xml:space="preserve">, </w:t>
      </w:r>
      <w:proofErr w:type="spellStart"/>
      <w:r w:rsidRPr="00283718">
        <w:t>Droge</w:t>
      </w:r>
      <w:proofErr w:type="spellEnd"/>
      <w:r w:rsidRPr="00283718">
        <w:t xml:space="preserve">, and Vickery 1996; </w:t>
      </w:r>
      <w:proofErr w:type="spellStart"/>
      <w:r w:rsidRPr="00283718">
        <w:t>Mentzer</w:t>
      </w:r>
      <w:proofErr w:type="spellEnd"/>
      <w:r w:rsidRPr="00283718">
        <w:t xml:space="preserve">, Min, and </w:t>
      </w:r>
      <w:proofErr w:type="spellStart"/>
      <w:r w:rsidRPr="00283718">
        <w:t>Zacharia</w:t>
      </w:r>
      <w:proofErr w:type="spellEnd"/>
      <w:r w:rsidRPr="00283718">
        <w:t xml:space="preserve"> 2000), (3) integration capability (Daugherty, Stank, and </w:t>
      </w:r>
      <w:proofErr w:type="spellStart"/>
      <w:r w:rsidRPr="00283718">
        <w:t>Ellinger</w:t>
      </w:r>
      <w:proofErr w:type="spellEnd"/>
      <w:r w:rsidRPr="00283718">
        <w:t xml:space="preserve"> 1998; Stank, Davis and Fugate 2005), (4) measurement capability (Global Logistics Research Team at Michigan State University</w:t>
      </w:r>
      <w:r>
        <w:t xml:space="preserve"> </w:t>
      </w:r>
      <w:r w:rsidRPr="00283718">
        <w:t xml:space="preserve">1995; </w:t>
      </w:r>
      <w:proofErr w:type="spellStart"/>
      <w:r w:rsidRPr="00283718">
        <w:t>Bowersox</w:t>
      </w:r>
      <w:proofErr w:type="spellEnd"/>
      <w:r w:rsidRPr="00283718">
        <w:t xml:space="preserve">, </w:t>
      </w:r>
      <w:proofErr w:type="spellStart"/>
      <w:r w:rsidRPr="00283718">
        <w:t>Closs</w:t>
      </w:r>
      <w:proofErr w:type="spellEnd"/>
      <w:r w:rsidRPr="00283718">
        <w:t xml:space="preserve">, and Stank </w:t>
      </w:r>
      <w:r>
        <w:t>1999)</w:t>
      </w:r>
      <w:r w:rsidRPr="00283718">
        <w:t>, and (5) information exchange capability (Zhao et al.</w:t>
      </w:r>
      <w:r>
        <w:t xml:space="preserve"> </w:t>
      </w:r>
      <w:r w:rsidRPr="00283718">
        <w:t xml:space="preserve">2001; </w:t>
      </w:r>
      <w:proofErr w:type="spellStart"/>
      <w:r w:rsidRPr="00283718">
        <w:t>Mentzer</w:t>
      </w:r>
      <w:proofErr w:type="spellEnd"/>
      <w:r w:rsidRPr="00283718">
        <w:t xml:space="preserve">, Min, and Bobbitt 2004). </w:t>
      </w:r>
    </w:p>
    <w:p w:rsidR="00124FEE" w:rsidRPr="00283718" w:rsidRDefault="00124FEE" w:rsidP="006B5A23">
      <w:pPr>
        <w:autoSpaceDE w:val="0"/>
        <w:autoSpaceDN w:val="0"/>
        <w:adjustRightInd w:val="0"/>
        <w:spacing w:after="0" w:line="480" w:lineRule="auto"/>
        <w:ind w:firstLine="720"/>
      </w:pPr>
      <w:r w:rsidRPr="00283718">
        <w:t xml:space="preserve">Top firms build these types of logistics capabilities to </w:t>
      </w:r>
      <w:r>
        <w:t xml:space="preserve">improve performance and </w:t>
      </w:r>
      <w:r w:rsidRPr="00283718">
        <w:t>sustain competitive advantage.  The research findings by Zhao et al. provided empirical evidence that customer-focused capabilities and information-focused capabilities are significantl</w:t>
      </w:r>
      <w:r>
        <w:t xml:space="preserve">y related to firm performance. </w:t>
      </w:r>
      <w:r w:rsidRPr="00283718">
        <w:t>Customer-focused capabilities are driven by the needs and desires of top customers and they require the firm to assess their own strengths and weaknesses in this area.  Interestingly, the research found that information-focused capabilities alone cannot be considered a distinctive factor directly relating to firm performance.  Instead they must be used to facilitate the creation of other capabilities that are difficult for competitors to imitate.</w:t>
      </w:r>
      <w:r>
        <w:t xml:space="preserve"> Only the proper combination of such capabilities allows a firm’s supply chain to respond adequately to supply chain disruptions and other challenges associated with changes in external environment. In this research logistics capabilities are classified as supply management capabilities and information management capabilities.</w:t>
      </w:r>
    </w:p>
    <w:p w:rsidR="00124FEE" w:rsidRDefault="00124FEE" w:rsidP="006B5A23">
      <w:pPr>
        <w:autoSpaceDE w:val="0"/>
        <w:autoSpaceDN w:val="0"/>
        <w:adjustRightInd w:val="0"/>
        <w:spacing w:after="0" w:line="480" w:lineRule="auto"/>
        <w:ind w:firstLine="720"/>
      </w:pPr>
      <w:r w:rsidRPr="00D56270">
        <w:t>Capabilities, particularly dynamic ones, are often difficult to sustain under the conditions of uncertainty, especially in high-velocity</w:t>
      </w:r>
      <w:r>
        <w:t xml:space="preserve"> markets (</w:t>
      </w:r>
      <w:proofErr w:type="spellStart"/>
      <w:r>
        <w:t>Eisenhardt</w:t>
      </w:r>
      <w:proofErr w:type="spellEnd"/>
      <w:r>
        <w:t xml:space="preserve"> and Martin</w:t>
      </w:r>
      <w:r w:rsidRPr="00D56270">
        <w:t xml:space="preserve"> 2000).  </w:t>
      </w:r>
    </w:p>
    <w:p w:rsidR="00124FEE" w:rsidRDefault="00124FEE" w:rsidP="006B5A23">
      <w:pPr>
        <w:autoSpaceDE w:val="0"/>
        <w:autoSpaceDN w:val="0"/>
        <w:adjustRightInd w:val="0"/>
        <w:spacing w:after="0" w:line="480" w:lineRule="auto"/>
      </w:pPr>
      <w:r>
        <w:lastRenderedPageBreak/>
        <w:t xml:space="preserve">Recognizing the importance of dynamic capabilities, </w:t>
      </w:r>
      <w:proofErr w:type="spellStart"/>
      <w:r>
        <w:t>Eisenhardt</w:t>
      </w:r>
      <w:proofErr w:type="spellEnd"/>
      <w:r>
        <w:t xml:space="preserve"> &amp; Martin (2000) argue that dynamic capabilities themselves are not always sources of long-term competitive advantage. They see the potential for long-term competitive advantage in finding innovative and adaptive ways of using dynamic capabilities. </w:t>
      </w:r>
    </w:p>
    <w:p w:rsidR="00124FEE" w:rsidRPr="00D56270" w:rsidRDefault="00124FEE" w:rsidP="006B5A23">
      <w:pPr>
        <w:autoSpaceDE w:val="0"/>
        <w:autoSpaceDN w:val="0"/>
        <w:adjustRightInd w:val="0"/>
        <w:spacing w:after="0" w:line="480" w:lineRule="auto"/>
        <w:ind w:firstLine="720"/>
      </w:pPr>
      <w:r>
        <w:t xml:space="preserve">The adaptive nature of resilience fits well in this picture. Under the conditions of uncertainty </w:t>
      </w:r>
      <w:r w:rsidRPr="00D56270">
        <w:t>supply chain resilience co</w:t>
      </w:r>
      <w:r>
        <w:t>uld be viewed as an adaptive and dynamic element that integrates individual capabilities creating positive synergetic effects (</w:t>
      </w:r>
      <w:proofErr w:type="spellStart"/>
      <w:r>
        <w:t>Ponomarov</w:t>
      </w:r>
      <w:proofErr w:type="spellEnd"/>
      <w:r>
        <w:t xml:space="preserve"> and Holcomb 2009). </w:t>
      </w:r>
      <w:r w:rsidRPr="00D56270">
        <w:t>The construct of dynamically-integrated logistics capabilities combines two impo</w:t>
      </w:r>
      <w:r>
        <w:t xml:space="preserve">rtant characteristics. </w:t>
      </w:r>
      <w:r w:rsidRPr="00D56270">
        <w:t>First, a dynamic aspect is supported by a fairly extensive research stream on dynamic capabi</w:t>
      </w:r>
      <w:r>
        <w:t>lities (</w:t>
      </w:r>
      <w:proofErr w:type="spellStart"/>
      <w:r>
        <w:t>Teece</w:t>
      </w:r>
      <w:proofErr w:type="spellEnd"/>
      <w:r>
        <w:t xml:space="preserve">, Pisano and </w:t>
      </w:r>
      <w:proofErr w:type="spellStart"/>
      <w:r>
        <w:t>Shuen</w:t>
      </w:r>
      <w:proofErr w:type="spellEnd"/>
      <w:r>
        <w:t xml:space="preserve"> 1997; </w:t>
      </w:r>
      <w:proofErr w:type="spellStart"/>
      <w:r>
        <w:t>Eisenhardt</w:t>
      </w:r>
      <w:proofErr w:type="spellEnd"/>
      <w:r>
        <w:t xml:space="preserve"> and Martin 2000). </w:t>
      </w:r>
      <w:r w:rsidRPr="00D56270">
        <w:t>This aspect is also supported by the nature of supply chain operations under constant change and uncertainty.  Second, an integrative characteristic finds it theoretical justification in the recent stream of literature on demand-suppl</w:t>
      </w:r>
      <w:r>
        <w:t>y integration (</w:t>
      </w:r>
      <w:proofErr w:type="spellStart"/>
      <w:r>
        <w:t>Mentzer</w:t>
      </w:r>
      <w:proofErr w:type="spellEnd"/>
      <w:r>
        <w:t xml:space="preserve"> and Kahn</w:t>
      </w:r>
      <w:r w:rsidRPr="00D56270">
        <w:t xml:space="preserve"> 1996; </w:t>
      </w:r>
      <w:proofErr w:type="spellStart"/>
      <w:r>
        <w:t>Juttner</w:t>
      </w:r>
      <w:proofErr w:type="spellEnd"/>
      <w:r>
        <w:t xml:space="preserve">, Christopher and Baker </w:t>
      </w:r>
      <w:r w:rsidRPr="00D56270">
        <w:t xml:space="preserve">2007; </w:t>
      </w:r>
      <w:proofErr w:type="spellStart"/>
      <w:r w:rsidRPr="00D56270">
        <w:t>Speier</w:t>
      </w:r>
      <w:proofErr w:type="spellEnd"/>
      <w:r w:rsidRPr="00D56270">
        <w:t xml:space="preserve">, </w:t>
      </w:r>
      <w:proofErr w:type="spellStart"/>
      <w:r w:rsidRPr="00D56270">
        <w:t>Mollenkop</w:t>
      </w:r>
      <w:r>
        <w:t>f</w:t>
      </w:r>
      <w:proofErr w:type="spellEnd"/>
      <w:r>
        <w:t xml:space="preserve"> and Stank 2008). </w:t>
      </w:r>
      <w:r w:rsidRPr="00D56270">
        <w:t xml:space="preserve">Logistics capabilities should be classified and integrated in order to make a significant impact on the formation of supply chain resilience.  It is also supported by the fact that no single capability alone, however strong it is, is sufficient.  </w:t>
      </w:r>
    </w:p>
    <w:p w:rsidR="00124FEE" w:rsidRDefault="00124FEE" w:rsidP="006B5A23">
      <w:pPr>
        <w:autoSpaceDE w:val="0"/>
        <w:autoSpaceDN w:val="0"/>
        <w:adjustRightInd w:val="0"/>
        <w:spacing w:after="0" w:line="480" w:lineRule="auto"/>
        <w:rPr>
          <w:b/>
        </w:rPr>
      </w:pPr>
    </w:p>
    <w:p w:rsidR="00124FEE" w:rsidRDefault="00124FEE" w:rsidP="006B5A23">
      <w:pPr>
        <w:autoSpaceDE w:val="0"/>
        <w:autoSpaceDN w:val="0"/>
        <w:adjustRightInd w:val="0"/>
        <w:spacing w:after="0" w:line="480" w:lineRule="auto"/>
        <w:rPr>
          <w:b/>
        </w:rPr>
      </w:pPr>
      <w:r>
        <w:rPr>
          <w:b/>
        </w:rPr>
        <w:t>The Role of Vulnerability and Environmental Uncertainty</w:t>
      </w:r>
    </w:p>
    <w:p w:rsidR="00124FEE" w:rsidRDefault="00124FEE" w:rsidP="006B5A23">
      <w:pPr>
        <w:autoSpaceDE w:val="0"/>
        <w:autoSpaceDN w:val="0"/>
        <w:adjustRightInd w:val="0"/>
        <w:spacing w:after="0" w:line="480" w:lineRule="auto"/>
        <w:ind w:firstLine="720"/>
      </w:pPr>
      <w:r w:rsidRPr="005432F7">
        <w:t>Until</w:t>
      </w:r>
      <w:r>
        <w:t xml:space="preserve"> the last decade</w:t>
      </w:r>
      <w:r w:rsidRPr="005432F7">
        <w:t>, the concept of supply chain vulnerability has been relatively unexplored (</w:t>
      </w:r>
      <w:proofErr w:type="spellStart"/>
      <w:r w:rsidRPr="005432F7">
        <w:t>Svensson</w:t>
      </w:r>
      <w:proofErr w:type="spellEnd"/>
      <w:r w:rsidRPr="005432F7">
        <w:t xml:space="preserve"> 2000). </w:t>
      </w:r>
      <w:r>
        <w:t xml:space="preserve"> </w:t>
      </w:r>
      <w:proofErr w:type="spellStart"/>
      <w:r w:rsidRPr="005432F7">
        <w:t>Svensson</w:t>
      </w:r>
      <w:proofErr w:type="spellEnd"/>
      <w:r w:rsidRPr="005432F7">
        <w:t xml:space="preserve"> (2002) defines supply chain vulnerability as unexpected deviations from the norm and their negative consequences.</w:t>
      </w:r>
      <w:r>
        <w:t xml:space="preserve"> </w:t>
      </w:r>
      <w:r w:rsidRPr="005432F7">
        <w:t>A similar perspective is that vulnerability can be viewed as a combination of the likelihood of an event and its potential severity (</w:t>
      </w:r>
      <w:proofErr w:type="spellStart"/>
      <w:r w:rsidRPr="005432F7">
        <w:t>Sheffi</w:t>
      </w:r>
      <w:proofErr w:type="spellEnd"/>
      <w:r w:rsidRPr="005432F7">
        <w:t xml:space="preserve"> 2005; Craighead et al. 2007).</w:t>
      </w:r>
      <w:r>
        <w:t xml:space="preserve"> These definitions were</w:t>
      </w:r>
      <w:r w:rsidRPr="005432F7">
        <w:t xml:space="preserve"> supported and expanded by </w:t>
      </w:r>
      <w:r w:rsidRPr="005432F7">
        <w:lastRenderedPageBreak/>
        <w:t xml:space="preserve">other authors (Chapman et al. 2002; </w:t>
      </w:r>
      <w:proofErr w:type="spellStart"/>
      <w:r w:rsidRPr="005432F7">
        <w:t>Zsidisin</w:t>
      </w:r>
      <w:proofErr w:type="spellEnd"/>
      <w:r w:rsidRPr="005432F7">
        <w:t xml:space="preserve"> 2003; </w:t>
      </w:r>
      <w:proofErr w:type="spellStart"/>
      <w:r w:rsidRPr="005432F7">
        <w:t>Svensson</w:t>
      </w:r>
      <w:proofErr w:type="spellEnd"/>
      <w:r w:rsidRPr="005432F7">
        <w:t xml:space="preserve"> 2004; Peck 2005).</w:t>
      </w:r>
      <w:r>
        <w:t xml:space="preserve"> </w:t>
      </w:r>
      <w:r w:rsidRPr="005432F7">
        <w:t>Most rece</w:t>
      </w:r>
      <w:r>
        <w:t>ntly, Pettit et al. (2010, p.6) define supply chain vulnerabilities</w:t>
      </w:r>
      <w:r w:rsidRPr="005432F7">
        <w:t xml:space="preserve"> </w:t>
      </w:r>
      <w:r>
        <w:t xml:space="preserve">at the enterprise level </w:t>
      </w:r>
      <w:r w:rsidRPr="005432F7">
        <w:t>as, “fundamental factors that make an enterprise susceptible to disruptions”</w:t>
      </w:r>
      <w:r>
        <w:t>. This definition is used in this research as well.</w:t>
      </w:r>
    </w:p>
    <w:p w:rsidR="00124FEE" w:rsidRPr="00E9654D" w:rsidRDefault="00124FEE" w:rsidP="006B5A23">
      <w:pPr>
        <w:autoSpaceDE w:val="0"/>
        <w:autoSpaceDN w:val="0"/>
        <w:adjustRightInd w:val="0"/>
        <w:spacing w:after="0" w:line="480" w:lineRule="auto"/>
        <w:ind w:firstLine="720"/>
      </w:pPr>
      <w:r>
        <w:t xml:space="preserve">Environmental uncertainty could be viewed as one of the main determinants of vulnerability. </w:t>
      </w:r>
      <w:r w:rsidRPr="00E9654D">
        <w:t>Environmental uncertainty, which firms strive to</w:t>
      </w:r>
      <w:r>
        <w:t xml:space="preserve"> </w:t>
      </w:r>
      <w:r w:rsidRPr="00E9654D">
        <w:t>reduce (Beckman et al., 2004), refers to the difficulty firms have in predicting the future because of</w:t>
      </w:r>
      <w:r>
        <w:t xml:space="preserve"> </w:t>
      </w:r>
      <w:r w:rsidRPr="00E9654D">
        <w:t>incomplete information or changing conditions. Demand and supply unpredictability is viewed as major contributors to o</w:t>
      </w:r>
      <w:r>
        <w:t>verall uncertainty (Davis 1993; Chen et al.</w:t>
      </w:r>
      <w:r w:rsidRPr="00E9654D">
        <w:t xml:space="preserve"> 2000). Supply chain processes need stability and predictability for effective coordination. High levels of </w:t>
      </w:r>
      <w:r>
        <w:t>uncertainty in a buyer-supplier</w:t>
      </w:r>
      <w:r w:rsidRPr="00E9654D">
        <w:t xml:space="preserve"> operating context create a less</w:t>
      </w:r>
      <w:r>
        <w:t xml:space="preserve"> </w:t>
      </w:r>
      <w:r w:rsidRPr="00E9654D">
        <w:t xml:space="preserve">controlled situation. Burns and Stalker (1966) and Lawrence and </w:t>
      </w:r>
      <w:proofErr w:type="spellStart"/>
      <w:r w:rsidRPr="00E9654D">
        <w:t>Lorsch</w:t>
      </w:r>
      <w:proofErr w:type="spellEnd"/>
      <w:r w:rsidRPr="00E9654D">
        <w:t xml:space="preserve"> (1967) </w:t>
      </w:r>
      <w:r>
        <w:t xml:space="preserve">have </w:t>
      </w:r>
      <w:r w:rsidRPr="00E9654D">
        <w:t>related environmental uncertainty to organizational structure and concluded that unpredictable environments require more organic structures while predictable environments require more mechanistic structures. Managing uncertainty through various structural mechanisms has been noted as an essential issue for organizational design (Thompson, 2003;</w:t>
      </w:r>
      <w:r>
        <w:t xml:space="preserve"> Williamson, 1981, </w:t>
      </w:r>
      <w:r w:rsidRPr="00E9654D">
        <w:t>Workman et al., 1998).</w:t>
      </w:r>
    </w:p>
    <w:p w:rsidR="00124FEE" w:rsidRPr="005432F7" w:rsidRDefault="00124FEE" w:rsidP="006B5A23">
      <w:pPr>
        <w:autoSpaceDE w:val="0"/>
        <w:autoSpaceDN w:val="0"/>
        <w:adjustRightInd w:val="0"/>
        <w:spacing w:after="0" w:line="480" w:lineRule="auto"/>
      </w:pPr>
      <w:r>
        <w:tab/>
        <w:t>Patton (2006) proposed a conceptual framework where the duality of vulnerability and resilience is presented. Vulnerability is viewed as the opposite of resilience, and their outcomes (“gains” as a general term for the outcomes of resilience, and “losses” as a general term for the outcomes of vulnerabilities) are at the opposite ends of the spectrum.  Similar conceptualization in the supply chain context is advocated by Pettit et al. (2010). They view supply chain resilience as a balance between capabilities and vulnerabilities.</w:t>
      </w:r>
    </w:p>
    <w:p w:rsidR="00994631" w:rsidRDefault="00994631" w:rsidP="00994631">
      <w:pPr>
        <w:spacing w:line="480" w:lineRule="auto"/>
      </w:pPr>
    </w:p>
    <w:p w:rsidR="00994631" w:rsidRPr="005C145B" w:rsidRDefault="00994631" w:rsidP="00994631">
      <w:pPr>
        <w:spacing w:after="0" w:line="480" w:lineRule="auto"/>
      </w:pPr>
      <w:r w:rsidRPr="005C145B">
        <w:lastRenderedPageBreak/>
        <w:t xml:space="preserve">THE </w:t>
      </w:r>
      <w:r>
        <w:t xml:space="preserve">MODERATING </w:t>
      </w:r>
      <w:r w:rsidRPr="005C145B">
        <w:t>ROLE OF FIRM ORIENTATIONS</w:t>
      </w:r>
    </w:p>
    <w:p w:rsidR="00994631" w:rsidRDefault="00994631" w:rsidP="00994631">
      <w:pPr>
        <w:spacing w:after="0" w:line="480" w:lineRule="auto"/>
        <w:ind w:firstLine="720"/>
      </w:pPr>
      <w:r>
        <w:t xml:space="preserve">Firm orientations play a strategically important role for the success of firm’s operations. </w:t>
      </w:r>
      <w:r w:rsidRPr="00283718">
        <w:t>Throughout the literature on the concept of resilience, there is repeated mention of organization and alignment of resources for the development of capability to respond to external conditions.  Broadly, this defines orientation.</w:t>
      </w:r>
      <w:r>
        <w:t xml:space="preserve"> Several specific orientations were previously researched in the academic literature, including</w:t>
      </w:r>
      <w:r w:rsidRPr="001A7BE1">
        <w:t xml:space="preserve"> market orientation (</w:t>
      </w:r>
      <w:proofErr w:type="spellStart"/>
      <w:r w:rsidRPr="001A7BE1">
        <w:t>Kohli</w:t>
      </w:r>
      <w:proofErr w:type="spellEnd"/>
      <w:r w:rsidRPr="001A7BE1">
        <w:t xml:space="preserve"> and </w:t>
      </w:r>
      <w:proofErr w:type="spellStart"/>
      <w:r w:rsidRPr="001A7BE1">
        <w:t>Jaworski</w:t>
      </w:r>
      <w:proofErr w:type="spellEnd"/>
      <w:r w:rsidRPr="001A7BE1">
        <w:t xml:space="preserve"> 1990; </w:t>
      </w:r>
      <w:proofErr w:type="spellStart"/>
      <w:r w:rsidRPr="001A7BE1">
        <w:t>Deshpande</w:t>
      </w:r>
      <w:proofErr w:type="spellEnd"/>
      <w:r w:rsidRPr="001A7BE1">
        <w:t xml:space="preserve"> et al. 1993; Slater and </w:t>
      </w:r>
      <w:proofErr w:type="spellStart"/>
      <w:r w:rsidRPr="001A7BE1">
        <w:t>Navier</w:t>
      </w:r>
      <w:proofErr w:type="spellEnd"/>
      <w:r w:rsidRPr="001A7BE1">
        <w:t xml:space="preserve"> 1995; </w:t>
      </w:r>
      <w:proofErr w:type="spellStart"/>
      <w:r w:rsidRPr="001A7BE1">
        <w:t>Jaworski</w:t>
      </w:r>
      <w:proofErr w:type="spellEnd"/>
      <w:r w:rsidRPr="001A7BE1">
        <w:t xml:space="preserve"> and </w:t>
      </w:r>
      <w:proofErr w:type="spellStart"/>
      <w:r w:rsidRPr="001A7BE1">
        <w:t>Kohli</w:t>
      </w:r>
      <w:proofErr w:type="spellEnd"/>
      <w:r w:rsidRPr="001A7BE1">
        <w:t xml:space="preserve"> 1996; Hurley and </w:t>
      </w:r>
      <w:proofErr w:type="spellStart"/>
      <w:r w:rsidRPr="001A7BE1">
        <w:t>Hult</w:t>
      </w:r>
      <w:proofErr w:type="spellEnd"/>
      <w:r w:rsidRPr="001A7BE1">
        <w:t xml:space="preserve"> 1998)</w:t>
      </w:r>
      <w:r>
        <w:t xml:space="preserve">, </w:t>
      </w:r>
      <w:r w:rsidRPr="001A7BE1">
        <w:t>supply chain orientation (</w:t>
      </w:r>
      <w:proofErr w:type="spellStart"/>
      <w:r w:rsidRPr="001A7BE1">
        <w:t>Mentzer</w:t>
      </w:r>
      <w:proofErr w:type="spellEnd"/>
      <w:r w:rsidRPr="001A7BE1">
        <w:t xml:space="preserve"> et. al. 2001; Min and </w:t>
      </w:r>
      <w:proofErr w:type="spellStart"/>
      <w:r w:rsidRPr="001A7BE1">
        <w:t>Mentzer</w:t>
      </w:r>
      <w:proofErr w:type="spellEnd"/>
      <w:r w:rsidRPr="001A7BE1">
        <w:t xml:space="preserve"> 2004;</w:t>
      </w:r>
      <w:r>
        <w:t xml:space="preserve"> Min, </w:t>
      </w:r>
      <w:proofErr w:type="spellStart"/>
      <w:r>
        <w:t>Mentzer</w:t>
      </w:r>
      <w:proofErr w:type="spellEnd"/>
      <w:r>
        <w:t xml:space="preserve"> and Ladd 2007), </w:t>
      </w:r>
      <w:r w:rsidRPr="001A7BE1">
        <w:t>learning orientation (</w:t>
      </w:r>
      <w:proofErr w:type="spellStart"/>
      <w:r w:rsidRPr="001A7BE1">
        <w:t>Hult</w:t>
      </w:r>
      <w:proofErr w:type="spellEnd"/>
      <w:r w:rsidRPr="001A7BE1">
        <w:t xml:space="preserve"> et al. 2000), and relationship orientation (</w:t>
      </w:r>
      <w:proofErr w:type="spellStart"/>
      <w:r w:rsidRPr="001A7BE1">
        <w:t>Panayides</w:t>
      </w:r>
      <w:proofErr w:type="spellEnd"/>
      <w:r w:rsidRPr="001A7BE1">
        <w:t xml:space="preserve"> 2007; </w:t>
      </w:r>
      <w:proofErr w:type="spellStart"/>
      <w:r w:rsidRPr="001A7BE1">
        <w:t>Ganesan</w:t>
      </w:r>
      <w:proofErr w:type="spellEnd"/>
      <w:r w:rsidRPr="001A7BE1">
        <w:t xml:space="preserve"> 1994; </w:t>
      </w:r>
      <w:proofErr w:type="spellStart"/>
      <w:r w:rsidRPr="001A7BE1">
        <w:t>Kalwani</w:t>
      </w:r>
      <w:proofErr w:type="spellEnd"/>
      <w:r w:rsidRPr="001A7BE1">
        <w:t xml:space="preserve"> &amp; </w:t>
      </w:r>
      <w:proofErr w:type="spellStart"/>
      <w:r w:rsidRPr="001A7BE1">
        <w:t>Narakesari</w:t>
      </w:r>
      <w:proofErr w:type="spellEnd"/>
      <w:r w:rsidRPr="001A7BE1">
        <w:t xml:space="preserve"> 1995)</w:t>
      </w:r>
      <w:r>
        <w:t xml:space="preserve">. </w:t>
      </w:r>
    </w:p>
    <w:p w:rsidR="00994631" w:rsidRDefault="00994631" w:rsidP="00994631">
      <w:pPr>
        <w:autoSpaceDE w:val="0"/>
        <w:autoSpaceDN w:val="0"/>
        <w:adjustRightInd w:val="0"/>
        <w:spacing w:after="0" w:line="480" w:lineRule="auto"/>
      </w:pPr>
      <w:r w:rsidRPr="00283718">
        <w:t xml:space="preserve">    </w:t>
      </w:r>
      <w:r>
        <w:tab/>
        <w:t xml:space="preserve"> After studying various perspectives, the importance of different orientations to firm’s success becomes evident. Based on the comprehensive review of the related literature, two specific orientations are believed to be the most important and relevant in the context of this</w:t>
      </w:r>
      <w:r w:rsidRPr="003A1707">
        <w:t xml:space="preserve"> research: risk management orientation and </w:t>
      </w:r>
      <w:r>
        <w:t>supply chain</w:t>
      </w:r>
      <w:r w:rsidRPr="003A1707">
        <w:t xml:space="preserve"> orientation.</w:t>
      </w:r>
      <w:r>
        <w:t xml:space="preserve"> The next two subsections provide more details on each of these orientations. </w:t>
      </w:r>
    </w:p>
    <w:p w:rsidR="00994631" w:rsidRDefault="00994631" w:rsidP="00994631">
      <w:pPr>
        <w:spacing w:after="0" w:line="480" w:lineRule="auto"/>
        <w:rPr>
          <w:b/>
        </w:rPr>
      </w:pPr>
    </w:p>
    <w:p w:rsidR="00994631" w:rsidRPr="005C145B" w:rsidRDefault="00994631" w:rsidP="00994631">
      <w:pPr>
        <w:spacing w:after="0" w:line="480" w:lineRule="auto"/>
        <w:rPr>
          <w:b/>
        </w:rPr>
      </w:pPr>
      <w:r w:rsidRPr="005C145B">
        <w:rPr>
          <w:b/>
        </w:rPr>
        <w:t>Supply Chain Orientation</w:t>
      </w:r>
    </w:p>
    <w:p w:rsidR="00994631" w:rsidRDefault="00994631" w:rsidP="00994631">
      <w:pPr>
        <w:spacing w:after="0" w:line="480" w:lineRule="auto"/>
        <w:ind w:firstLine="720"/>
      </w:pPr>
      <w:r>
        <w:t>In order to adequately address the increase of complexity and uncertainty in business environments and gain efficiency and effectiveness, firms increasingly explore collaborative organizational structures and norms (</w:t>
      </w:r>
      <w:proofErr w:type="spellStart"/>
      <w:r>
        <w:t>Achrol</w:t>
      </w:r>
      <w:proofErr w:type="spellEnd"/>
      <w:r>
        <w:t xml:space="preserve"> 1997, Stank et al. 2005). Resource dependence theory suggests that in uncertain times stronger relationships allow the firm to draw the necessary resources from partners in order to leverage resources and sustain performance (</w:t>
      </w:r>
      <w:proofErr w:type="spellStart"/>
      <w:r>
        <w:t>Fynes</w:t>
      </w:r>
      <w:proofErr w:type="spellEnd"/>
      <w:r>
        <w:t xml:space="preserve"> et al. 2004). In the supply chain context, the formation of close long-term relationships with </w:t>
      </w:r>
      <w:r>
        <w:lastRenderedPageBreak/>
        <w:t>supply chain partners, such as key suppliers, could be viewed as the means of creating governance mechanisms to reduce uncertainty and manage dependence. Thus, a strategic supply chain orientation becomes increasingly important.</w:t>
      </w:r>
    </w:p>
    <w:p w:rsidR="00994631" w:rsidRDefault="00994631" w:rsidP="00994631">
      <w:pPr>
        <w:spacing w:after="0" w:line="480" w:lineRule="auto"/>
        <w:ind w:firstLine="720"/>
      </w:pPr>
      <w:r>
        <w:t xml:space="preserve">Supply chain orientation (SCO) is not synonymous to supply chain management. </w:t>
      </w:r>
      <w:proofErr w:type="spellStart"/>
      <w:r w:rsidRPr="00283718">
        <w:t>Mentzer</w:t>
      </w:r>
      <w:proofErr w:type="spellEnd"/>
      <w:r w:rsidRPr="00283718">
        <w:t xml:space="preserve"> et al. (2001) stated that a company has a supply chain orientation when it recognizes the “systematic, strategic implications of the tactical activities involved in managing the various flows in a supply chain.” </w:t>
      </w:r>
      <w:r>
        <w:t xml:space="preserve">SCO naturally resides in a single firm, but assumes the existence of the entire supply chain, from the point of origin to the point of consumption, where individual supply chain members are embedded in the network of complex interrelationships. Similarly, Lambert and Cooper (2000) emphasized the difficulties in managing the entire supply chain that goes beyond the tier one suppliers due to the lack of visibility and control, while </w:t>
      </w:r>
      <w:proofErr w:type="spellStart"/>
      <w:r>
        <w:t>Bowersox</w:t>
      </w:r>
      <w:proofErr w:type="spellEnd"/>
      <w:r>
        <w:t xml:space="preserve"> and Cooper (2000) further confirmed a need to incorporate the entire supply chain into strategic decision-making. Subsequently, the strategic role of SCO as a supply chain coordination mechanism was supported by other researchers (Stank et al. 2005, Fugate et al. 2006).   </w:t>
      </w:r>
    </w:p>
    <w:p w:rsidR="00994631" w:rsidRDefault="00994631" w:rsidP="00994631">
      <w:pPr>
        <w:spacing w:after="0" w:line="480" w:lineRule="auto"/>
        <w:ind w:firstLine="720"/>
      </w:pPr>
      <w:r w:rsidRPr="00283718">
        <w:t xml:space="preserve">As </w:t>
      </w:r>
      <w:r>
        <w:t>emphasized</w:t>
      </w:r>
      <w:r w:rsidRPr="00283718">
        <w:t xml:space="preserve"> by </w:t>
      </w:r>
      <w:proofErr w:type="spellStart"/>
      <w:r w:rsidRPr="00283718">
        <w:t>Mentzer</w:t>
      </w:r>
      <w:proofErr w:type="spellEnd"/>
      <w:r w:rsidRPr="00283718">
        <w:t xml:space="preserve"> et al. (2001), a company with a supply chain orientation understands the implications of managing the flows of products, services, finances, and information across their suppliers and customers.</w:t>
      </w:r>
      <w:r>
        <w:t xml:space="preserve"> </w:t>
      </w:r>
      <w:proofErr w:type="spellStart"/>
      <w:r>
        <w:t>Maloni</w:t>
      </w:r>
      <w:proofErr w:type="spellEnd"/>
      <w:r>
        <w:t xml:space="preserve"> and Benton (2000) offer additional support for viewing SCO as a strategic manifestation of supply chain management. Subsequently, Stank et al. (2005) further clarified that a firm adopting SCO would demonstrate a systems approach to viewing a channel as a whole, a strategic perspective focused on cooperative efforts to synchronize and </w:t>
      </w:r>
      <w:proofErr w:type="gramStart"/>
      <w:r>
        <w:t>converge</w:t>
      </w:r>
      <w:proofErr w:type="gramEnd"/>
      <w:r>
        <w:t xml:space="preserve"> operational and strategic capabilities, and a customer focus to create unique sources of customer value.</w:t>
      </w:r>
    </w:p>
    <w:p w:rsidR="00994631" w:rsidRDefault="00994631" w:rsidP="00994631">
      <w:pPr>
        <w:spacing w:after="0" w:line="480" w:lineRule="auto"/>
        <w:ind w:firstLine="720"/>
      </w:pPr>
      <w:r>
        <w:lastRenderedPageBreak/>
        <w:t>Additionally, SCO represents a managerial philosophy that is manifested in company’s cultural norms and procedures directed to mobilize capabilities and create competitive advantages on both tactical and strategic levels (Mello and Stank 2005). Supply chain orientation is also a multidimensional construct that includes such elements as trust, commitment, cooperative norms, organizational compatibility, and top management support (</w:t>
      </w:r>
      <w:proofErr w:type="spellStart"/>
      <w:r>
        <w:t>Mentzer</w:t>
      </w:r>
      <w:proofErr w:type="spellEnd"/>
      <w:r>
        <w:t xml:space="preserve"> et al. 2001, Min and </w:t>
      </w:r>
      <w:proofErr w:type="spellStart"/>
      <w:r>
        <w:t>Mentzer</w:t>
      </w:r>
      <w:proofErr w:type="spellEnd"/>
      <w:r>
        <w:t xml:space="preserve"> 2004, Min, </w:t>
      </w:r>
      <w:proofErr w:type="spellStart"/>
      <w:r>
        <w:t>Mentzer</w:t>
      </w:r>
      <w:proofErr w:type="spellEnd"/>
      <w:r>
        <w:t xml:space="preserve"> and Ladd 2007). </w:t>
      </w:r>
    </w:p>
    <w:p w:rsidR="00994631" w:rsidRDefault="00994631" w:rsidP="00994631">
      <w:pPr>
        <w:spacing w:after="0" w:line="480" w:lineRule="auto"/>
        <w:rPr>
          <w:b/>
        </w:rPr>
      </w:pPr>
    </w:p>
    <w:p w:rsidR="00994631" w:rsidRPr="007F4651" w:rsidRDefault="00994631" w:rsidP="00994631">
      <w:pPr>
        <w:spacing w:after="0" w:line="480" w:lineRule="auto"/>
        <w:rPr>
          <w:b/>
        </w:rPr>
      </w:pPr>
      <w:r w:rsidRPr="007F4651">
        <w:rPr>
          <w:b/>
        </w:rPr>
        <w:t>Risk Management Orientation</w:t>
      </w:r>
    </w:p>
    <w:p w:rsidR="00994631" w:rsidRPr="003A1707" w:rsidRDefault="00994631" w:rsidP="00994631">
      <w:pPr>
        <w:autoSpaceDE w:val="0"/>
        <w:autoSpaceDN w:val="0"/>
        <w:adjustRightInd w:val="0"/>
        <w:spacing w:after="0" w:line="480" w:lineRule="auto"/>
        <w:ind w:firstLine="720"/>
      </w:pPr>
      <w:r>
        <w:t>Although r</w:t>
      </w:r>
      <w:r w:rsidRPr="003A1707">
        <w:t xml:space="preserve">isk management orientation (RMO) </w:t>
      </w:r>
      <w:r>
        <w:t>is equally important, it is not as well established in the academic literature as supply chain or market orientation. For the purposes of this research, RMO is</w:t>
      </w:r>
      <w:r w:rsidRPr="003A1707">
        <w:t xml:space="preserve"> defined as the organizational culture that: (1) places the highest priority on risk management; (2) provides norms for behavior regarding the organizational development and responsiveness to risk-related market information. </w:t>
      </w:r>
      <w:r>
        <w:t>An</w:t>
      </w:r>
      <w:r w:rsidRPr="003A1707">
        <w:t xml:space="preserve"> emphasis</w:t>
      </w:r>
      <w:r>
        <w:t xml:space="preserve"> is made</w:t>
      </w:r>
      <w:r w:rsidRPr="003A1707">
        <w:t xml:space="preserve"> on inter-organizational culture of continual risk analysis, risk assessment, risk sharing, and top management support.</w:t>
      </w:r>
      <w:r>
        <w:t xml:space="preserve"> </w:t>
      </w:r>
    </w:p>
    <w:p w:rsidR="00994631" w:rsidRDefault="00994631" w:rsidP="00994631">
      <w:pPr>
        <w:autoSpaceDE w:val="0"/>
        <w:autoSpaceDN w:val="0"/>
        <w:adjustRightInd w:val="0"/>
        <w:spacing w:after="0" w:line="480" w:lineRule="auto"/>
        <w:ind w:firstLine="720"/>
      </w:pPr>
      <w:r>
        <w:t>The support for developing and analyzing the concept of RMO is provided by the growing importance of risk management (</w:t>
      </w:r>
      <w:proofErr w:type="spellStart"/>
      <w:r>
        <w:t>Juttner</w:t>
      </w:r>
      <w:proofErr w:type="spellEnd"/>
      <w:r>
        <w:t xml:space="preserve"> et al. 2003, </w:t>
      </w:r>
      <w:proofErr w:type="spellStart"/>
      <w:r>
        <w:t>Juttner</w:t>
      </w:r>
      <w:proofErr w:type="spellEnd"/>
      <w:r>
        <w:t xml:space="preserve"> 2005, </w:t>
      </w:r>
      <w:proofErr w:type="spellStart"/>
      <w:r>
        <w:t>Manuj</w:t>
      </w:r>
      <w:proofErr w:type="spellEnd"/>
      <w:r>
        <w:t xml:space="preserve"> and </w:t>
      </w:r>
      <w:proofErr w:type="spellStart"/>
      <w:r>
        <w:t>Mentzer</w:t>
      </w:r>
      <w:proofErr w:type="spellEnd"/>
      <w:r>
        <w:t xml:space="preserve"> 2008) and is based on conceptual parallels that could be analytically derived from other related constructs, such as market orientation. For example, </w:t>
      </w:r>
      <w:proofErr w:type="spellStart"/>
      <w:r w:rsidRPr="00283718">
        <w:t>Kohli</w:t>
      </w:r>
      <w:proofErr w:type="spellEnd"/>
      <w:r w:rsidRPr="00283718">
        <w:t xml:space="preserve"> and </w:t>
      </w:r>
      <w:proofErr w:type="spellStart"/>
      <w:r w:rsidRPr="00283718">
        <w:t>Jaworski</w:t>
      </w:r>
      <w:proofErr w:type="spellEnd"/>
      <w:r w:rsidRPr="00283718">
        <w:t xml:space="preserve"> (1990) define</w:t>
      </w:r>
      <w:r>
        <w:t>d market</w:t>
      </w:r>
      <w:r w:rsidRPr="00283718">
        <w:t xml:space="preserve"> orientation as the generation of information about customer needs and external environmental factors, in addition to the dissemination of the in</w:t>
      </w:r>
      <w:r>
        <w:t xml:space="preserve">formation to functional areas. </w:t>
      </w:r>
      <w:r w:rsidRPr="00283718">
        <w:t xml:space="preserve">They noted that a third dimension – the development and implementation of strategies in response to the information – is a critical component of orientation.  It is proposed that these elements of orientation should also be considered in the formulation of </w:t>
      </w:r>
      <w:r>
        <w:t xml:space="preserve">a risk management orientation. </w:t>
      </w:r>
    </w:p>
    <w:p w:rsidR="00994631" w:rsidRDefault="00994631" w:rsidP="00994631">
      <w:pPr>
        <w:autoSpaceDE w:val="0"/>
        <w:autoSpaceDN w:val="0"/>
        <w:adjustRightInd w:val="0"/>
        <w:spacing w:after="0" w:line="480" w:lineRule="auto"/>
        <w:ind w:firstLine="720"/>
      </w:pPr>
      <w:r w:rsidRPr="00283718">
        <w:lastRenderedPageBreak/>
        <w:t>Additional literature on marke</w:t>
      </w:r>
      <w:r>
        <w:t>t orientation (</w:t>
      </w:r>
      <w:proofErr w:type="spellStart"/>
      <w:r>
        <w:t>Deshpande</w:t>
      </w:r>
      <w:proofErr w:type="spellEnd"/>
      <w:r>
        <w:t xml:space="preserve"> et al.</w:t>
      </w:r>
      <w:r w:rsidRPr="00283718">
        <w:t xml:space="preserve"> 1993; Slater and </w:t>
      </w:r>
      <w:proofErr w:type="spellStart"/>
      <w:r w:rsidRPr="00283718">
        <w:t>Na</w:t>
      </w:r>
      <w:r>
        <w:t>rver</w:t>
      </w:r>
      <w:proofErr w:type="spellEnd"/>
      <w:r w:rsidRPr="00283718">
        <w:t xml:space="preserve"> 1995; </w:t>
      </w:r>
      <w:proofErr w:type="spellStart"/>
      <w:r w:rsidRPr="00283718">
        <w:t>Jaworski</w:t>
      </w:r>
      <w:proofErr w:type="spellEnd"/>
      <w:r w:rsidRPr="00283718">
        <w:t xml:space="preserve"> and </w:t>
      </w:r>
      <w:proofErr w:type="spellStart"/>
      <w:r w:rsidRPr="00283718">
        <w:t>Koh</w:t>
      </w:r>
      <w:r>
        <w:t>li</w:t>
      </w:r>
      <w:proofErr w:type="spellEnd"/>
      <w:r>
        <w:t xml:space="preserve"> 1996; Hurley and </w:t>
      </w:r>
      <w:proofErr w:type="spellStart"/>
      <w:r>
        <w:t>Hult</w:t>
      </w:r>
      <w:proofErr w:type="spellEnd"/>
      <w:r w:rsidRPr="00283718">
        <w:t xml:space="preserve"> 1998), in combination with research on the </w:t>
      </w:r>
      <w:r>
        <w:t>learning orientation (</w:t>
      </w:r>
      <w:proofErr w:type="spellStart"/>
      <w:r>
        <w:t>Panayides</w:t>
      </w:r>
      <w:proofErr w:type="spellEnd"/>
      <w:r>
        <w:t xml:space="preserve"> 2007; </w:t>
      </w:r>
      <w:proofErr w:type="spellStart"/>
      <w:r>
        <w:t>Ganesan</w:t>
      </w:r>
      <w:proofErr w:type="spellEnd"/>
      <w:r w:rsidRPr="00283718">
        <w:t xml:space="preserve"> 1994; </w:t>
      </w:r>
      <w:proofErr w:type="spellStart"/>
      <w:r w:rsidRPr="00283718">
        <w:t>Kalwani</w:t>
      </w:r>
      <w:proofErr w:type="spellEnd"/>
      <w:r w:rsidRPr="00283718">
        <w:t xml:space="preserve"> and </w:t>
      </w:r>
      <w:proofErr w:type="spellStart"/>
      <w:r w:rsidRPr="00283718">
        <w:t>Nara</w:t>
      </w:r>
      <w:r>
        <w:t>yandas</w:t>
      </w:r>
      <w:proofErr w:type="spellEnd"/>
      <w:r w:rsidRPr="00283718">
        <w:t xml:space="preserve"> 1995) suggest and further support the idea that a risk management orientation </w:t>
      </w:r>
      <w:r>
        <w:t xml:space="preserve">could </w:t>
      </w:r>
      <w:r w:rsidRPr="00283718">
        <w:t>be considered as an enabler for various outcomes.  For example, multiple studies have examined the link between market orientation and firm performance (</w:t>
      </w:r>
      <w:proofErr w:type="spellStart"/>
      <w:r w:rsidRPr="00283718">
        <w:t>Piercy</w:t>
      </w:r>
      <w:proofErr w:type="spellEnd"/>
      <w:r w:rsidRPr="00283718">
        <w:t xml:space="preserve"> e</w:t>
      </w:r>
      <w:r>
        <w:t xml:space="preserve">t al. 2002; </w:t>
      </w:r>
      <w:proofErr w:type="spellStart"/>
      <w:r>
        <w:t>Kohli</w:t>
      </w:r>
      <w:proofErr w:type="spellEnd"/>
      <w:r>
        <w:t xml:space="preserve"> and </w:t>
      </w:r>
      <w:proofErr w:type="spellStart"/>
      <w:r>
        <w:t>Jaworski</w:t>
      </w:r>
      <w:proofErr w:type="spellEnd"/>
      <w:r>
        <w:t xml:space="preserve"> 1990). </w:t>
      </w:r>
      <w:proofErr w:type="spellStart"/>
      <w:r w:rsidRPr="00283718">
        <w:t>Juttner</w:t>
      </w:r>
      <w:proofErr w:type="spellEnd"/>
      <w:r w:rsidRPr="00283718">
        <w:t xml:space="preserve"> (2005) examined the extent to which companies have formulated a systematic supply chain perspective on risk management. The findings suggest that most firms are using a single company perspective that is not appropriate in a supply chain context.  </w:t>
      </w:r>
      <w:r>
        <w:t xml:space="preserve">A risk management orientation, on the other hand, would require a more holistic perspective that emphasizes the strategic importance of risk management initiatives. </w:t>
      </w:r>
    </w:p>
    <w:p w:rsidR="00994631" w:rsidRDefault="00994631" w:rsidP="00994631">
      <w:pPr>
        <w:spacing w:after="0" w:line="480" w:lineRule="auto"/>
      </w:pPr>
    </w:p>
    <w:p w:rsidR="00994631" w:rsidRDefault="00994631" w:rsidP="00994631">
      <w:pPr>
        <w:spacing w:after="0" w:line="480" w:lineRule="auto"/>
      </w:pPr>
      <w:r>
        <w:t>OUTCOMES OF SUPPLY CHAIN RESILIENCE</w:t>
      </w:r>
    </w:p>
    <w:p w:rsidR="00994631" w:rsidRPr="008D4FCC" w:rsidRDefault="00994631" w:rsidP="00994631">
      <w:pPr>
        <w:spacing w:after="0" w:line="480" w:lineRule="auto"/>
      </w:pPr>
      <w:r>
        <w:tab/>
        <w:t>It has been noted that traditional performance measures do not always describe value creation in broad enough terms to allow a proper assessment (Stank et al. 2005)</w:t>
      </w:r>
      <w:proofErr w:type="gramStart"/>
      <w:r>
        <w:t>,</w:t>
      </w:r>
      <w:proofErr w:type="gramEnd"/>
      <w:r>
        <w:t xml:space="preserve"> therefore there is a great value in exploring alternative value-oriented performance outcomes. </w:t>
      </w:r>
      <w:r w:rsidRPr="008D4FCC">
        <w:t xml:space="preserve">Two specific constructs are of interest as potential outcomes of firm’s supply chain resilience: supply chain process variability and supply chain capital. </w:t>
      </w:r>
      <w:r>
        <w:t>These constructs are described in the following paragraphs.</w:t>
      </w:r>
    </w:p>
    <w:p w:rsidR="00994631" w:rsidRDefault="00994631" w:rsidP="00994631">
      <w:pPr>
        <w:spacing w:after="0" w:line="480" w:lineRule="auto"/>
        <w:rPr>
          <w:b/>
        </w:rPr>
      </w:pPr>
    </w:p>
    <w:p w:rsidR="00994631" w:rsidRPr="00DE4283" w:rsidRDefault="00994631" w:rsidP="00994631">
      <w:pPr>
        <w:spacing w:after="0" w:line="480" w:lineRule="auto"/>
        <w:rPr>
          <w:b/>
        </w:rPr>
      </w:pPr>
      <w:r w:rsidRPr="00DE4283">
        <w:rPr>
          <w:b/>
        </w:rPr>
        <w:t>Supply Chain Process Variability</w:t>
      </w:r>
    </w:p>
    <w:p w:rsidR="00994631" w:rsidRDefault="00994631" w:rsidP="00994631">
      <w:pPr>
        <w:spacing w:after="0" w:line="480" w:lineRule="auto"/>
        <w:ind w:firstLine="720"/>
      </w:pPr>
      <w:r>
        <w:t>Supply chain process variability has been defined as the level of inconsistency, or volatility, in the material flow of goods into, through, and out of a firm (</w:t>
      </w:r>
      <w:proofErr w:type="spellStart"/>
      <w:r>
        <w:t>Germain</w:t>
      </w:r>
      <w:proofErr w:type="spellEnd"/>
      <w:r>
        <w:t xml:space="preserve">, </w:t>
      </w:r>
      <w:proofErr w:type="spellStart"/>
      <w:r>
        <w:t>Claycomb</w:t>
      </w:r>
      <w:proofErr w:type="spellEnd"/>
      <w:r>
        <w:t xml:space="preserve">, and </w:t>
      </w:r>
      <w:proofErr w:type="spellStart"/>
      <w:r>
        <w:lastRenderedPageBreak/>
        <w:t>Droge</w:t>
      </w:r>
      <w:proofErr w:type="spellEnd"/>
      <w:r>
        <w:t xml:space="preserve"> 2008). This concept is broader than extensively researched production process variability (Anthony et al. 1999, Lee and Tang 1998, </w:t>
      </w:r>
      <w:proofErr w:type="spellStart"/>
      <w:r>
        <w:t>Melnyk</w:t>
      </w:r>
      <w:proofErr w:type="spellEnd"/>
      <w:r>
        <w:t xml:space="preserve"> et al. 1992). It includes internal variability in production lead times and output rates, but also focuses on the inconsistencies in inbound and outbound operational flows. More specifically, three main sources of supply chain variability are discussed in the literature (Davis 1993, </w:t>
      </w:r>
      <w:proofErr w:type="spellStart"/>
      <w:r>
        <w:t>Germain</w:t>
      </w:r>
      <w:proofErr w:type="spellEnd"/>
      <w:r>
        <w:t xml:space="preserve"> et al. 2001). First, upstream sources of variability such as inconsistent or variable delivery performance of suppliers generally correspond to supply-related disruptions. Second, internal sources of variability such as inconsistent throughput rates, inconsistent product quality, or highly variable inventory levels could be caused by either supply-related or operations-related disruptions. Finally, downstream sources of variability such as changes in customer orders or delivery time requirements are usually corresponding to demand-related disruptions.  As resilience minimizes negative consequences of supply chain disruptions, it is proposed that the higher levels of firm’s supply chain resilience will correlate with lower supply chain process variability.</w:t>
      </w:r>
    </w:p>
    <w:p w:rsidR="00994631" w:rsidRDefault="00994631" w:rsidP="00994631">
      <w:pPr>
        <w:spacing w:after="0" w:line="480" w:lineRule="auto"/>
        <w:rPr>
          <w:b/>
        </w:rPr>
      </w:pPr>
    </w:p>
    <w:p w:rsidR="00994631" w:rsidRPr="00DE4283" w:rsidRDefault="00994631" w:rsidP="00994631">
      <w:pPr>
        <w:spacing w:after="0" w:line="480" w:lineRule="auto"/>
        <w:rPr>
          <w:b/>
        </w:rPr>
      </w:pPr>
      <w:r w:rsidRPr="00DE4283">
        <w:rPr>
          <w:b/>
        </w:rPr>
        <w:t>Supply Chain Capital</w:t>
      </w:r>
      <w:r w:rsidR="00A83F0A">
        <w:rPr>
          <w:b/>
        </w:rPr>
        <w:t xml:space="preserve"> and Supply Chain Knowledge Development</w:t>
      </w:r>
    </w:p>
    <w:p w:rsidR="00994631" w:rsidRDefault="00994631" w:rsidP="00994631">
      <w:pPr>
        <w:spacing w:after="0" w:line="480" w:lineRule="auto"/>
      </w:pPr>
      <w:r>
        <w:tab/>
        <w:t>The supply chain capital construct is built on the basis of social capital theory (</w:t>
      </w:r>
      <w:proofErr w:type="spellStart"/>
      <w:r>
        <w:t>Granovetter</w:t>
      </w:r>
      <w:proofErr w:type="spellEnd"/>
      <w:r>
        <w:t xml:space="preserve"> 1973, 1985, Baldwin et al. 1997, Lin 2001, Moran 2005). Supply chain capital is defined as (Autry and </w:t>
      </w:r>
      <w:proofErr w:type="spellStart"/>
      <w:r>
        <w:t>Griffis</w:t>
      </w:r>
      <w:proofErr w:type="spellEnd"/>
      <w:r>
        <w:t xml:space="preserve"> 2008, p.159): </w:t>
      </w:r>
    </w:p>
    <w:p w:rsidR="00994631" w:rsidRPr="009E3BC5" w:rsidRDefault="00994631" w:rsidP="00994631">
      <w:pPr>
        <w:autoSpaceDE w:val="0"/>
        <w:autoSpaceDN w:val="0"/>
        <w:adjustRightInd w:val="0"/>
        <w:ind w:left="720"/>
        <w:rPr>
          <w:i/>
        </w:rPr>
      </w:pPr>
      <w:r>
        <w:rPr>
          <w:i/>
        </w:rPr>
        <w:t>“[supply chain capital is]…t</w:t>
      </w:r>
      <w:r w:rsidRPr="009E3BC5">
        <w:rPr>
          <w:i/>
        </w:rPr>
        <w:t>he</w:t>
      </w:r>
      <w:r>
        <w:rPr>
          <w:i/>
        </w:rPr>
        <w:t xml:space="preserve"> value of a firm’s supply chain network, derived from both the structural configuration and the nature of direct and indirect relationships present within the supply chain.”</w:t>
      </w:r>
    </w:p>
    <w:p w:rsidR="00994631" w:rsidRDefault="00994631" w:rsidP="00994631">
      <w:pPr>
        <w:spacing w:after="0" w:line="480" w:lineRule="auto"/>
      </w:pPr>
    </w:p>
    <w:p w:rsidR="00994631" w:rsidRDefault="00994631" w:rsidP="00994631">
      <w:pPr>
        <w:spacing w:after="0" w:line="480" w:lineRule="auto"/>
        <w:ind w:firstLine="720"/>
      </w:pPr>
      <w:r>
        <w:t xml:space="preserve">Based on this definition, both structural components and relational attributes of the supply chain networks should be taken into consideration. More specifically, in order to increase </w:t>
      </w:r>
      <w:r>
        <w:lastRenderedPageBreak/>
        <w:t xml:space="preserve">supply chain capital firms have to rely on certain supply chain structural configurations and portfolios of supply chain relationships that maximize overall performance (Autry and </w:t>
      </w:r>
      <w:proofErr w:type="spellStart"/>
      <w:r>
        <w:t>Griffis</w:t>
      </w:r>
      <w:proofErr w:type="spellEnd"/>
      <w:r>
        <w:t xml:space="preserve"> 2008).  Thus, a supply chain capital construct could be </w:t>
      </w:r>
      <w:proofErr w:type="spellStart"/>
      <w:r>
        <w:t>operationalized</w:t>
      </w:r>
      <w:proofErr w:type="spellEnd"/>
      <w:r>
        <w:t xml:space="preserve"> as a combination of structural and relational capital where structural capital represents the value derived from the structural configuration, while relational capital reflects the value created as a result of relationships within the supply chain. Autry and </w:t>
      </w:r>
      <w:proofErr w:type="spellStart"/>
      <w:r>
        <w:t>Griffis</w:t>
      </w:r>
      <w:proofErr w:type="spellEnd"/>
      <w:r>
        <w:t xml:space="preserve"> (2008) subsequently propose the linkage between supply chain capital and firm performance, suggesting both direct and indirect (through supply chain knowledge development) connection. </w:t>
      </w:r>
    </w:p>
    <w:p w:rsidR="00994631" w:rsidRDefault="00994631" w:rsidP="00994631">
      <w:pPr>
        <w:spacing w:after="0" w:line="480" w:lineRule="auto"/>
        <w:ind w:firstLine="720"/>
      </w:pPr>
      <w:r>
        <w:t>Resilience could potentially contribute to both structural</w:t>
      </w:r>
      <w:r w:rsidRPr="00DD1A97">
        <w:t xml:space="preserve"> </w:t>
      </w:r>
      <w:r>
        <w:t xml:space="preserve">(e.g. through providing better control over structure and function at the times of uncertainty) and relational capital (e.g. through contributing to continuity of relationships with the selected suppliers and third-party logistics providers during and after possible disruptions). It could also positively affect an intellectual capital </w:t>
      </w:r>
      <w:proofErr w:type="spellStart"/>
      <w:r>
        <w:t>operationalized</w:t>
      </w:r>
      <w:proofErr w:type="spellEnd"/>
      <w:r>
        <w:t xml:space="preserve"> in the form of supply chain knowledge development. This research is attempted to assess such potential contributions by testing the linkage between resilience and supply chain capital empirically. Additionally, the relationship between supply chain resilience and supply chain knowledge development is also assessed in this research.</w:t>
      </w:r>
    </w:p>
    <w:p w:rsidR="00994631" w:rsidRDefault="00994631" w:rsidP="00994631">
      <w:pPr>
        <w:spacing w:after="0" w:line="480" w:lineRule="auto"/>
      </w:pPr>
    </w:p>
    <w:p w:rsidR="00994631" w:rsidRDefault="00994631" w:rsidP="00994631">
      <w:pPr>
        <w:spacing w:after="0" w:line="480" w:lineRule="auto"/>
      </w:pPr>
      <w:r>
        <w:t xml:space="preserve">BUILDING A CONCEPTUAL MODEL OF SUPPLY CHAIN RESILIENCE </w:t>
      </w:r>
    </w:p>
    <w:p w:rsidR="00994631" w:rsidRDefault="00994631" w:rsidP="00994631">
      <w:pPr>
        <w:spacing w:after="0" w:line="480" w:lineRule="auto"/>
        <w:ind w:firstLine="720"/>
      </w:pPr>
      <w:r w:rsidRPr="00283718">
        <w:t xml:space="preserve">The extensive review of the different perspectives on resilience and supply chain risk management highlights the need for a holistic conceptual framework for supply chain resilience.  Given the current state of research on the topic of supply chain resilience, it is also logical to assume that theory building </w:t>
      </w:r>
      <w:r>
        <w:t>is</w:t>
      </w:r>
      <w:r w:rsidRPr="00283718">
        <w:t xml:space="preserve"> extremely important at this stage of the discipline development.</w:t>
      </w:r>
      <w:r w:rsidRPr="00283718">
        <w:rPr>
          <w:color w:val="0000FF"/>
        </w:rPr>
        <w:t xml:space="preserve">  </w:t>
      </w:r>
      <w:r w:rsidRPr="00283718">
        <w:t>This means that there are conceptual aspect</w:t>
      </w:r>
      <w:r>
        <w:t xml:space="preserve">s that can be borrowed from </w:t>
      </w:r>
      <w:r w:rsidRPr="00283718">
        <w:t xml:space="preserve">related disciplines, </w:t>
      </w:r>
      <w:r w:rsidRPr="00283718">
        <w:lastRenderedPageBreak/>
        <w:t>readjusted to the supply chain context and empirically tested to gain a better understanding of the interdisciplinary phenomenon of resilience.  The logistical perspective has yet to be researched.  Findings from the reviewed perspectives on resilience, su</w:t>
      </w:r>
      <w:r>
        <w:t xml:space="preserve">pply chain risk management, firm orientations, </w:t>
      </w:r>
      <w:r w:rsidRPr="00283718">
        <w:t>logistics capabilities</w:t>
      </w:r>
      <w:r>
        <w:t>, and potential outcomes</w:t>
      </w:r>
      <w:r w:rsidRPr="00283718">
        <w:t xml:space="preserve"> provide a fertile ground for establishing hypothesized relationships and provide a sufficient theoretical justification for formulating the conceptual model pre</w:t>
      </w:r>
      <w:r>
        <w:t>sented in Figure 1 below.</w:t>
      </w:r>
    </w:p>
    <w:p w:rsidR="00994631" w:rsidRDefault="00994631" w:rsidP="00994631">
      <w:pPr>
        <w:autoSpaceDE w:val="0"/>
        <w:autoSpaceDN w:val="0"/>
        <w:adjustRightInd w:val="0"/>
        <w:spacing w:after="0" w:line="480" w:lineRule="auto"/>
        <w:ind w:firstLine="720"/>
      </w:pPr>
      <w:r w:rsidRPr="00283718">
        <w:t>The model prese</w:t>
      </w:r>
      <w:r w:rsidR="00A83F0A">
        <w:t>nted in Figure 2.</w:t>
      </w:r>
      <w:r>
        <w:t xml:space="preserve">2 shows a hypothesized </w:t>
      </w:r>
      <w:r w:rsidRPr="00283718">
        <w:t xml:space="preserve">relationship between </w:t>
      </w:r>
      <w:r>
        <w:t xml:space="preserve">antecedents and outcomes of firm’s supply chain resilience. As discussed in the previous section, logistics capabilities have been classified a number of ways.  Zhao et al. (2001) provided evidence that logistics capabilities that are classified as customer- and information-focused do lead to better firm performance. This classification is used for the proposed supply chain resilience model in Figure 2.2. While a number of research studies have shown that these capabilities lead to improved firm performance and sustained competitive advantage, there are other research studies that suggest that in times of uncertainty it will not be possible to sustain capabilities.  This leads to the hypotheses that supply chain resilience comes into play.  Risk management orientation and supply chain orientation are proposed to moderate the relationships between logistics capabilities and supply chain resilience.  Subsequently, firm’s supply chain resilience is leading to reduction of supply chain process variability and increase in supply chain value represented by the construct of supply chain capital. </w:t>
      </w:r>
    </w:p>
    <w:p w:rsidR="00994631" w:rsidRDefault="00994631" w:rsidP="00994631">
      <w:pPr>
        <w:autoSpaceDE w:val="0"/>
        <w:autoSpaceDN w:val="0"/>
        <w:adjustRightInd w:val="0"/>
        <w:spacing w:after="0" w:line="480" w:lineRule="auto"/>
        <w:ind w:firstLine="720"/>
      </w:pPr>
      <w:r>
        <w:t xml:space="preserve">Therefore the following specific hypotheses are proposed: </w:t>
      </w:r>
    </w:p>
    <w:p w:rsidR="00994631" w:rsidRDefault="00994631" w:rsidP="007743FB">
      <w:pPr>
        <w:numPr>
          <w:ilvl w:val="0"/>
          <w:numId w:val="45"/>
        </w:numPr>
        <w:autoSpaceDE w:val="0"/>
        <w:autoSpaceDN w:val="0"/>
        <w:adjustRightInd w:val="0"/>
        <w:spacing w:after="0" w:line="240" w:lineRule="auto"/>
      </w:pPr>
      <w:r w:rsidRPr="00D54A37">
        <w:t>Hypotheses related to antecedents of supply chain resilience:</w:t>
      </w:r>
    </w:p>
    <w:p w:rsidR="00994631" w:rsidRPr="00D54A37"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H1a: Supply management capabilities have a positive impact on a firm’s supply chain resilience.</w:t>
      </w:r>
    </w:p>
    <w:p w:rsidR="00994631" w:rsidRDefault="00994631" w:rsidP="00994631">
      <w:pPr>
        <w:autoSpaceDE w:val="0"/>
        <w:autoSpaceDN w:val="0"/>
        <w:adjustRightInd w:val="0"/>
        <w:spacing w:after="0" w:line="240" w:lineRule="auto"/>
        <w:ind w:left="720"/>
      </w:pPr>
    </w:p>
    <w:p w:rsidR="00994631" w:rsidRDefault="00994631" w:rsidP="00994631">
      <w:pPr>
        <w:autoSpaceDE w:val="0"/>
        <w:autoSpaceDN w:val="0"/>
        <w:adjustRightInd w:val="0"/>
        <w:spacing w:after="0" w:line="240" w:lineRule="auto"/>
        <w:ind w:left="720"/>
      </w:pPr>
      <w:r w:rsidRPr="00D54A37">
        <w:lastRenderedPageBreak/>
        <w:t>H1b: Information management capabilities have a positive impact on a firm’s supply chain resilience.</w:t>
      </w:r>
    </w:p>
    <w:p w:rsidR="00994631" w:rsidRPr="00D54A37"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H2: Supply chain vulnerability has a negative impact on a firm’s supply chain resilience.</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 xml:space="preserve">H3: A higher level of environmental uncertainty results in a higher level of supply chain vulnerability. </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Additionally:</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 xml:space="preserve">H6: A higher level of environmental uncertainty results in a higher level of risk management orientation. </w:t>
      </w:r>
    </w:p>
    <w:p w:rsidR="00994631" w:rsidRPr="00D54A37" w:rsidRDefault="00994631" w:rsidP="00994631">
      <w:pPr>
        <w:autoSpaceDE w:val="0"/>
        <w:autoSpaceDN w:val="0"/>
        <w:adjustRightInd w:val="0"/>
        <w:spacing w:after="0" w:line="240" w:lineRule="auto"/>
        <w:ind w:left="720"/>
      </w:pPr>
    </w:p>
    <w:p w:rsidR="00994631" w:rsidRDefault="00994631" w:rsidP="007743FB">
      <w:pPr>
        <w:numPr>
          <w:ilvl w:val="0"/>
          <w:numId w:val="45"/>
        </w:numPr>
        <w:autoSpaceDE w:val="0"/>
        <w:autoSpaceDN w:val="0"/>
        <w:adjustRightInd w:val="0"/>
        <w:spacing w:after="0" w:line="240" w:lineRule="auto"/>
      </w:pPr>
      <w:r w:rsidRPr="00D54A37">
        <w:t>Moderating Hypotheses:</w:t>
      </w:r>
    </w:p>
    <w:p w:rsidR="00994631" w:rsidRPr="00D54A37"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H4a: Risk management orientation positively moderates the relationship between supply management capabilities and firm’s supply chain resilience.</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H4b: Risk management orientation positively moderates the relationship between information management capabilities and firm’s supply chain resilience.</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H5a: Supply chain orientation positively moderates the relationship between supply management capabilities and firm’s supply chain resilience.</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H5b: Supply chain orientation positively moderates the relationship between information management capabilities and firm’s supply chain resilience.</w:t>
      </w:r>
    </w:p>
    <w:p w:rsidR="00994631" w:rsidRPr="00D54A37"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p>
    <w:p w:rsidR="00994631" w:rsidRPr="00D54A37" w:rsidRDefault="00994631" w:rsidP="007743FB">
      <w:pPr>
        <w:numPr>
          <w:ilvl w:val="0"/>
          <w:numId w:val="45"/>
        </w:numPr>
        <w:autoSpaceDE w:val="0"/>
        <w:autoSpaceDN w:val="0"/>
        <w:adjustRightInd w:val="0"/>
        <w:spacing w:after="0" w:line="240" w:lineRule="auto"/>
      </w:pPr>
      <w:r w:rsidRPr="00D54A37">
        <w:t>Hypotheses related to outcomes of supply chain resilience:</w:t>
      </w:r>
    </w:p>
    <w:p w:rsidR="00994631" w:rsidRPr="00D54A37"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H7a: A higher level of the firm’s supply chain resilience results in a lower level of supply chain process variability.</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H7b: A higher level of the firm’s supply chain resilience results in a higher level of supply chain capital.</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H7c: A higher level of the firm’s supply chain resilience results in a higher level of supply chain knowledge development.</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Additionally:</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H8: Supply chain process variability is negatively associated with supply chain capital.</w:t>
      </w:r>
    </w:p>
    <w:p w:rsidR="00994631" w:rsidRDefault="00994631" w:rsidP="00994631">
      <w:pPr>
        <w:autoSpaceDE w:val="0"/>
        <w:autoSpaceDN w:val="0"/>
        <w:adjustRightInd w:val="0"/>
        <w:spacing w:after="0" w:line="240" w:lineRule="auto"/>
        <w:ind w:left="720"/>
      </w:pPr>
    </w:p>
    <w:p w:rsidR="00994631" w:rsidRPr="00D54A37" w:rsidRDefault="00994631" w:rsidP="00994631">
      <w:pPr>
        <w:autoSpaceDE w:val="0"/>
        <w:autoSpaceDN w:val="0"/>
        <w:adjustRightInd w:val="0"/>
        <w:spacing w:after="0" w:line="240" w:lineRule="auto"/>
        <w:ind w:left="720"/>
      </w:pPr>
      <w:r w:rsidRPr="00D54A37">
        <w:t>H9: Supply chain capital is positively associated with supply chain knowledge development.</w:t>
      </w:r>
    </w:p>
    <w:p w:rsidR="00994631" w:rsidRPr="00A83F0A" w:rsidRDefault="00994631" w:rsidP="00A83F0A">
      <w:pPr>
        <w:autoSpaceDE w:val="0"/>
        <w:autoSpaceDN w:val="0"/>
        <w:adjustRightInd w:val="0"/>
        <w:spacing w:after="0" w:line="240" w:lineRule="auto"/>
        <w:ind w:left="720"/>
      </w:pPr>
    </w:p>
    <w:p w:rsidR="00A83F0A" w:rsidRPr="00A83F0A" w:rsidRDefault="00A83F0A" w:rsidP="00A83F0A">
      <w:pPr>
        <w:autoSpaceDE w:val="0"/>
        <w:autoSpaceDN w:val="0"/>
        <w:adjustRightInd w:val="0"/>
        <w:spacing w:line="480" w:lineRule="auto"/>
      </w:pPr>
      <w:r w:rsidRPr="00A83F0A">
        <w:t>CHAPTER SUMMARY</w:t>
      </w:r>
    </w:p>
    <w:p w:rsidR="00994631" w:rsidRDefault="00994631" w:rsidP="00994631">
      <w:pPr>
        <w:autoSpaceDE w:val="0"/>
        <w:autoSpaceDN w:val="0"/>
        <w:adjustRightInd w:val="0"/>
        <w:spacing w:line="480" w:lineRule="auto"/>
        <w:ind w:firstLine="720"/>
      </w:pPr>
      <w:r>
        <w:t xml:space="preserve">In conclusion, this chapter provided a concise theoretical justification from which the supply chain resilience model was developed. This justification was based on the comprehensive literature review. The theoretical approaches were integrated with previous research contributions that were selected from the extended body of literature based on their relevance and importance.  The hypothesized relationships between the constructs of interest focused around firm’s supply chain resilience were manifested and presented in the form of nine context-specific research hypotheses. </w:t>
      </w:r>
    </w:p>
    <w:p w:rsidR="00DB292C" w:rsidRDefault="00DB292C" w:rsidP="00DB292C">
      <w:pPr>
        <w:spacing w:line="480" w:lineRule="auto"/>
        <w:jc w:val="center"/>
        <w:rPr>
          <w:b/>
        </w:rPr>
      </w:pPr>
    </w:p>
    <w:p w:rsidR="00DB292C" w:rsidRDefault="00DB292C" w:rsidP="00DB292C">
      <w:pPr>
        <w:spacing w:line="480" w:lineRule="auto"/>
        <w:jc w:val="center"/>
        <w:rPr>
          <w:b/>
        </w:rPr>
        <w:sectPr w:rsidR="00DB292C" w:rsidSect="00007EA8">
          <w:footerReference w:type="even" r:id="rId10"/>
          <w:footerReference w:type="default" r:id="rId11"/>
          <w:pgSz w:w="12240" w:h="15840"/>
          <w:pgMar w:top="1440" w:right="1440" w:bottom="1440" w:left="1440" w:header="720" w:footer="720" w:gutter="0"/>
          <w:pgNumType w:start="1"/>
          <w:cols w:space="720"/>
          <w:docGrid w:linePitch="360"/>
        </w:sectPr>
      </w:pPr>
    </w:p>
    <w:p w:rsidR="00DB292C" w:rsidRDefault="00DB292C" w:rsidP="00DB292C">
      <w:pPr>
        <w:spacing w:line="480" w:lineRule="auto"/>
        <w:jc w:val="center"/>
        <w:rPr>
          <w:b/>
        </w:rPr>
      </w:pPr>
      <w:r>
        <w:rPr>
          <w:b/>
          <w:noProof/>
          <w:sz w:val="20"/>
          <w:szCs w:val="20"/>
        </w:rPr>
        <w:lastRenderedPageBreak/>
        <w:drawing>
          <wp:inline distT="0" distB="0" distL="0" distR="0">
            <wp:extent cx="6409690" cy="358013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6409690" cy="3580130"/>
                    </a:xfrm>
                    <a:prstGeom prst="rect">
                      <a:avLst/>
                    </a:prstGeom>
                    <a:noFill/>
                    <a:ln w="9525">
                      <a:noFill/>
                      <a:miter lim="800000"/>
                      <a:headEnd/>
                      <a:tailEnd/>
                    </a:ln>
                  </pic:spPr>
                </pic:pic>
              </a:graphicData>
            </a:graphic>
          </wp:inline>
        </w:drawing>
      </w:r>
    </w:p>
    <w:p w:rsidR="00DB292C" w:rsidRDefault="00DB292C" w:rsidP="00DB292C">
      <w:pPr>
        <w:spacing w:line="480" w:lineRule="auto"/>
        <w:jc w:val="center"/>
        <w:rPr>
          <w:b/>
        </w:rPr>
      </w:pPr>
    </w:p>
    <w:p w:rsidR="00DB292C" w:rsidRDefault="00DB292C" w:rsidP="00DB292C">
      <w:pPr>
        <w:jc w:val="center"/>
        <w:rPr>
          <w:b/>
        </w:rPr>
      </w:pPr>
      <w:r>
        <w:rPr>
          <w:b/>
        </w:rPr>
        <w:t>Figure 2.2</w:t>
      </w:r>
    </w:p>
    <w:p w:rsidR="00DB292C" w:rsidRPr="001C0318" w:rsidRDefault="00DB292C" w:rsidP="00DB292C">
      <w:pPr>
        <w:jc w:val="center"/>
        <w:rPr>
          <w:b/>
        </w:rPr>
      </w:pPr>
      <w:r w:rsidRPr="001C0318">
        <w:rPr>
          <w:b/>
        </w:rPr>
        <w:t>Antecedents and Outcomes of Firm’s Supply Chain Resilience</w:t>
      </w:r>
    </w:p>
    <w:p w:rsidR="00DB292C" w:rsidRPr="001C0318" w:rsidRDefault="00DB292C" w:rsidP="00DB292C">
      <w:pPr>
        <w:spacing w:line="480" w:lineRule="auto"/>
        <w:jc w:val="center"/>
        <w:rPr>
          <w:b/>
        </w:rPr>
        <w:sectPr w:rsidR="00DB292C" w:rsidRPr="001C0318" w:rsidSect="00007EA8">
          <w:pgSz w:w="15840" w:h="12240" w:orient="landscape"/>
          <w:pgMar w:top="1800" w:right="1440" w:bottom="1440" w:left="1440" w:header="720" w:footer="720" w:gutter="0"/>
          <w:cols w:space="720"/>
          <w:docGrid w:linePitch="360"/>
        </w:sectPr>
      </w:pPr>
    </w:p>
    <w:p w:rsidR="00DB292C" w:rsidRPr="00E72F4F" w:rsidRDefault="00DB292C" w:rsidP="00DB292C">
      <w:pPr>
        <w:spacing w:line="480" w:lineRule="auto"/>
        <w:jc w:val="center"/>
        <w:rPr>
          <w:b/>
        </w:rPr>
      </w:pPr>
      <w:r>
        <w:rPr>
          <w:b/>
        </w:rPr>
        <w:lastRenderedPageBreak/>
        <w:t>CHAPTER 3 - METHODOLOGY</w:t>
      </w:r>
    </w:p>
    <w:p w:rsidR="0024144C" w:rsidRDefault="00DB292C" w:rsidP="0024144C">
      <w:pPr>
        <w:spacing w:line="480" w:lineRule="auto"/>
        <w:ind w:firstLine="720"/>
      </w:pPr>
      <w:r>
        <w:t>Chapter 3 provides details of the procedures used for testing fourteen theoretical hypotheses presented in the previous chapter.  First, a structural equation model is formulated based on the hypothesized conceptual relationships among the theoretical constructs of interest. It is followed by a description of the research design that includes the sampling procedure and a discussion of the data collection methods. Next, construct operationalization and scale development are discussed. Finally, the rationalization for conducting a survey pre-test and main test is developed.</w:t>
      </w:r>
    </w:p>
    <w:p w:rsidR="008F7D73" w:rsidRDefault="008F7D73" w:rsidP="008F7D73">
      <w:pPr>
        <w:spacing w:after="0" w:line="480" w:lineRule="auto"/>
      </w:pPr>
      <w:r>
        <w:t>STRUCTURAL EQUATION MODELING</w:t>
      </w:r>
    </w:p>
    <w:p w:rsidR="008F7D73" w:rsidRDefault="008F7D73" w:rsidP="008F7D73">
      <w:pPr>
        <w:spacing w:after="0" w:line="480" w:lineRule="auto"/>
      </w:pPr>
      <w:r>
        <w:tab/>
        <w:t>The theoretical model of the firm’s supply chain resilience developed in Chapter 2 is converted into a structural equations model. The details related to this transformation are presented in this section. A Structural Equation Modeling (SEM) approach allows for modeling the structure of the hypothesized relationships and testing the validity in the process of theory building. SEM has been commonly used in recent years as a basis for theory development and testing within logistics, supply chain management, and other related disciplines (</w:t>
      </w:r>
      <w:proofErr w:type="spellStart"/>
      <w:r>
        <w:t>Wallenburg</w:t>
      </w:r>
      <w:proofErr w:type="spellEnd"/>
      <w:r>
        <w:t xml:space="preserve"> and Weber 2005). There are certain advantages that determine the choice of SEM methodology. First, in contrast to a widely used multiple regression analysis technique, SEM allows the modeling of complex structures including mediating variables. The covariance-based SEM not only allows incorporation of theoretical constructs as latent variables (</w:t>
      </w:r>
      <w:proofErr w:type="spellStart"/>
      <w:r>
        <w:t>Joreskog</w:t>
      </w:r>
      <w:proofErr w:type="spellEnd"/>
      <w:r>
        <w:t xml:space="preserve"> and </w:t>
      </w:r>
      <w:proofErr w:type="spellStart"/>
      <w:r>
        <w:t>Sorbom</w:t>
      </w:r>
      <w:proofErr w:type="spellEnd"/>
      <w:r>
        <w:t xml:space="preserve"> 1993), but also correlations between different exogenous variables, as well as causal effects and correlations between different endogenous variables. It means that all hypothesized relationships could be tested simultaneously while indirect and direct effects on the endogenous variables </w:t>
      </w:r>
      <w:r>
        <w:lastRenderedPageBreak/>
        <w:t>could be separated. Additionally, the model fit could be assessed using statistical tests and appropriate goodness-of-fit criteria. Also, measurement errors could be evaluated separately from other sources of errors which could help to facilitate model validation. However it is important to note that a comparatively large sample size is usually required to take advantage of the abovementioned benefits.</w:t>
      </w:r>
    </w:p>
    <w:p w:rsidR="008F7D73" w:rsidRDefault="008F7D73" w:rsidP="008F7D73">
      <w:pPr>
        <w:spacing w:after="0" w:line="480" w:lineRule="auto"/>
        <w:ind w:firstLine="720"/>
      </w:pPr>
      <w:r>
        <w:t xml:space="preserve">The basic structural equation model used in this research identifies four exogenous (independent) variables and five endogenous (dependent) variables. The </w:t>
      </w:r>
      <w:proofErr w:type="spellStart"/>
      <w:r>
        <w:t>nomological</w:t>
      </w:r>
      <w:proofErr w:type="spellEnd"/>
      <w:r>
        <w:t xml:space="preserve"> network of all the exogenous and endogenous variables is manifested in structural relationships among the ten constructs presented in this model.  The exogenous variables include supply management capabilities, information management capabilities, supply chain orientation, and environmental uncertainty. The endogenous variables include supply chain resilience, risk management orientation, supply chain vulnerability, supply chain process variability, supply chain capital, and supply chain knowledge development. </w:t>
      </w:r>
    </w:p>
    <w:p w:rsidR="008F7D73" w:rsidRDefault="008F7D73" w:rsidP="008F7D73">
      <w:pPr>
        <w:spacing w:after="0" w:line="480" w:lineRule="auto"/>
        <w:rPr>
          <w:b/>
        </w:rPr>
      </w:pPr>
    </w:p>
    <w:p w:rsidR="008F7D73" w:rsidRDefault="008F7D73" w:rsidP="008F7D73">
      <w:pPr>
        <w:spacing w:after="0" w:line="480" w:lineRule="auto"/>
      </w:pPr>
      <w:r>
        <w:t>RESEARCH DESIGN</w:t>
      </w:r>
    </w:p>
    <w:p w:rsidR="008F7D73" w:rsidRDefault="008F7D73" w:rsidP="008F7D73">
      <w:pPr>
        <w:spacing w:after="0" w:line="480" w:lineRule="auto"/>
      </w:pPr>
      <w:r>
        <w:tab/>
        <w:t>A survey methodology was employed to gather the data necessary for testing the thirteen hypotheses presented earlier. The choice of this methodology is not accidental. First of all, surveys are appropriate for gathering a large number of responses in a comparatively cost-effective way (</w:t>
      </w:r>
      <w:proofErr w:type="spellStart"/>
      <w:r>
        <w:t>Kerlinger</w:t>
      </w:r>
      <w:proofErr w:type="spellEnd"/>
      <w:r>
        <w:t xml:space="preserve"> and Lee 2000). Also, this methodology allows for the quantification of responses and statistical testing for the validity of the obtained results. Additionally, the accuracy of survey data depends on the quality of the sampling procedures employed. </w:t>
      </w:r>
      <w:proofErr w:type="spellStart"/>
      <w:r>
        <w:t>Dillman</w:t>
      </w:r>
      <w:proofErr w:type="spellEnd"/>
      <w:r>
        <w:t xml:space="preserve"> (2000) proposed a theoretically-sound framework for such procedures, and it will be used in this research.  More specifically, an Internet-based survey methodology will be followed based on </w:t>
      </w:r>
      <w:r>
        <w:lastRenderedPageBreak/>
        <w:t>such comparative advantages as easier access to the target group of respondents, greater efficiency, cost-effectiveness, and the interactive dynamics between the respondents and the questionnaire (</w:t>
      </w:r>
      <w:proofErr w:type="spellStart"/>
      <w:r>
        <w:t>Dillman</w:t>
      </w:r>
      <w:proofErr w:type="spellEnd"/>
      <w:r>
        <w:t xml:space="preserve"> 2000).</w:t>
      </w:r>
    </w:p>
    <w:p w:rsidR="00A83F0A" w:rsidRDefault="00A83F0A" w:rsidP="008F7D73">
      <w:pPr>
        <w:spacing w:after="0" w:line="480" w:lineRule="auto"/>
        <w:rPr>
          <w:b/>
        </w:rPr>
      </w:pPr>
    </w:p>
    <w:p w:rsidR="008F7D73" w:rsidRPr="00A83F0A" w:rsidRDefault="00A83F0A" w:rsidP="008F7D73">
      <w:pPr>
        <w:spacing w:after="0" w:line="480" w:lineRule="auto"/>
        <w:rPr>
          <w:b/>
        </w:rPr>
      </w:pPr>
      <w:r w:rsidRPr="00A83F0A">
        <w:rPr>
          <w:b/>
        </w:rPr>
        <w:t>Data Collection</w:t>
      </w:r>
    </w:p>
    <w:p w:rsidR="008F7D73" w:rsidRDefault="008F7D73" w:rsidP="008F7D73">
      <w:pPr>
        <w:spacing w:after="0" w:line="480" w:lineRule="auto"/>
      </w:pPr>
      <w:r>
        <w:tab/>
        <w:t xml:space="preserve">All data was collected and analyzed at the firm level. A range of United States-based manufacturing firms that operate in various industries will be used for the purposes of data collection. This approach also allows achieving a reasonable level of external validity and </w:t>
      </w:r>
      <w:proofErr w:type="spellStart"/>
      <w:r>
        <w:t>generalizability</w:t>
      </w:r>
      <w:proofErr w:type="spellEnd"/>
      <w:r>
        <w:t xml:space="preserve"> (Cook and Campbell 1979, </w:t>
      </w:r>
      <w:proofErr w:type="spellStart"/>
      <w:r>
        <w:t>Shadish</w:t>
      </w:r>
      <w:proofErr w:type="spellEnd"/>
      <w:r>
        <w:t xml:space="preserve">, Cook and Campbell 2002). The sample of survey respondents has been selected from the senior-level representatives of such firms. The potential respondents were pre-qualified in accordance with procedures described by </w:t>
      </w:r>
      <w:proofErr w:type="spellStart"/>
      <w:r>
        <w:t>Dillman</w:t>
      </w:r>
      <w:proofErr w:type="spellEnd"/>
      <w:r>
        <w:t xml:space="preserve"> (2000) and </w:t>
      </w:r>
      <w:proofErr w:type="spellStart"/>
      <w:r>
        <w:t>Kerlinger</w:t>
      </w:r>
      <w:proofErr w:type="spellEnd"/>
      <w:r>
        <w:t xml:space="preserve"> and Lee (2000).    </w:t>
      </w:r>
    </w:p>
    <w:p w:rsidR="00A83F0A" w:rsidRDefault="00A83F0A" w:rsidP="008F7D73">
      <w:pPr>
        <w:spacing w:after="0" w:line="480" w:lineRule="auto"/>
        <w:rPr>
          <w:b/>
        </w:rPr>
      </w:pPr>
    </w:p>
    <w:p w:rsidR="008F7D73" w:rsidRPr="00A83F0A" w:rsidRDefault="00A83F0A" w:rsidP="008F7D73">
      <w:pPr>
        <w:spacing w:after="0" w:line="480" w:lineRule="auto"/>
        <w:rPr>
          <w:b/>
        </w:rPr>
      </w:pPr>
      <w:r w:rsidRPr="00A83F0A">
        <w:rPr>
          <w:b/>
        </w:rPr>
        <w:t>Sampling and Research Procedures</w:t>
      </w:r>
    </w:p>
    <w:p w:rsidR="008F7D73" w:rsidRDefault="008F7D73" w:rsidP="008F7D73">
      <w:pPr>
        <w:spacing w:after="0" w:line="480" w:lineRule="auto"/>
      </w:pPr>
      <w:r>
        <w:tab/>
      </w:r>
      <w:proofErr w:type="spellStart"/>
      <w:r>
        <w:t>Dillman’s</w:t>
      </w:r>
      <w:proofErr w:type="spellEnd"/>
      <w:r>
        <w:t xml:space="preserve"> (2000) total design method was used for conducting the pre-test and the main study. Target respondents were senior-level managers with the knowledge of supply-chain and logistics functions and direct involvement in strategic and operational decision-making. Such individuals have been selected as key organizational informants due to their set of skills, business responsibilities, and functional expertise. In accordance with the data collection approach commonly used in business studies (</w:t>
      </w:r>
      <w:proofErr w:type="spellStart"/>
      <w:r>
        <w:t>Seidler</w:t>
      </w:r>
      <w:proofErr w:type="spellEnd"/>
      <w:r>
        <w:t xml:space="preserve"> 1974, John and Reeve 1982, Jap 1999), key informants were asked to explain the behavior of their respective organizations rather than individual behavior. To gain access to research informants, samples have been drawn from the databases maintained by a third-party organization specializing in integrating and regularly </w:t>
      </w:r>
      <w:r>
        <w:lastRenderedPageBreak/>
        <w:t xml:space="preserve">updating such data. Specifically, the necessary contact information was obtained from “Dan &amp; Bradstreet”, a company that is offering such contact lists for sale. Only those respondents who met all the required qualifications were asked to participate in the research by responding to the survey questions. An executive summary of the research findings was provided by request as an incentive for participants.  </w:t>
      </w:r>
    </w:p>
    <w:p w:rsidR="008F7D73" w:rsidRDefault="008F7D73" w:rsidP="008F7D73">
      <w:pPr>
        <w:spacing w:after="0" w:line="480" w:lineRule="auto"/>
      </w:pPr>
    </w:p>
    <w:p w:rsidR="008F7D73" w:rsidRDefault="008F7D73" w:rsidP="008F7D73">
      <w:pPr>
        <w:spacing w:after="0" w:line="480" w:lineRule="auto"/>
      </w:pPr>
      <w:r>
        <w:t>SURVEY PRE</w:t>
      </w:r>
      <w:r w:rsidR="00A83F0A">
        <w:t>-</w:t>
      </w:r>
      <w:r>
        <w:t>TEST AND MAIN TEST</w:t>
      </w:r>
    </w:p>
    <w:p w:rsidR="008F7D73" w:rsidRDefault="008F7D73" w:rsidP="008F7D73">
      <w:pPr>
        <w:pStyle w:val="Subtitle"/>
        <w:spacing w:line="480" w:lineRule="auto"/>
        <w:ind w:firstLine="720"/>
        <w:jc w:val="both"/>
        <w:rPr>
          <w:b w:val="0"/>
        </w:rPr>
      </w:pPr>
      <w:r>
        <w:rPr>
          <w:b w:val="0"/>
        </w:rPr>
        <w:t>In order to validate both adapted and newly developed measures</w:t>
      </w:r>
      <w:r w:rsidRPr="00B53254">
        <w:rPr>
          <w:b w:val="0"/>
        </w:rPr>
        <w:t xml:space="preserve"> </w:t>
      </w:r>
      <w:r>
        <w:rPr>
          <w:b w:val="0"/>
        </w:rPr>
        <w:t>and to ensure face validity a pretest was conducted.  The five step process for a web-based survey was followed (</w:t>
      </w:r>
      <w:proofErr w:type="spellStart"/>
      <w:r>
        <w:rPr>
          <w:b w:val="0"/>
        </w:rPr>
        <w:t>Dillman</w:t>
      </w:r>
      <w:proofErr w:type="spellEnd"/>
      <w:r>
        <w:rPr>
          <w:b w:val="0"/>
        </w:rPr>
        <w:t xml:space="preserve"> 2000). A random sample was drawn from the database of potential participants</w:t>
      </w:r>
      <w:r w:rsidRPr="00B53254">
        <w:rPr>
          <w:b w:val="0"/>
        </w:rPr>
        <w:t xml:space="preserve"> </w:t>
      </w:r>
      <w:r>
        <w:rPr>
          <w:b w:val="0"/>
        </w:rPr>
        <w:t>and the pre-qualification calls were conducted. This was followed by the first wave of emails directing potential participants to the web-based survey. The second wave of emails was sent to those potential responders who do not respond within ten days. Subsequently, the respondents who would have indicated a willingness to participate but failed to respond were contacted to clarify the response status. Required non-response information was also collected.  All the collected surveys were properly examined for respondent errors and missing data for each respondent and each variable.  Next, the survey has been revised appropriately based on the results of the pre-test, and the pre-test respondents were removed from the list to avoid potential duplication. The same general procedure was used for the main test (</w:t>
      </w:r>
      <w:proofErr w:type="spellStart"/>
      <w:r>
        <w:rPr>
          <w:b w:val="0"/>
        </w:rPr>
        <w:t>Dillman</w:t>
      </w:r>
      <w:proofErr w:type="spellEnd"/>
      <w:r>
        <w:rPr>
          <w:b w:val="0"/>
        </w:rPr>
        <w:t xml:space="preserve"> 2000). </w:t>
      </w:r>
    </w:p>
    <w:p w:rsidR="008F7D73" w:rsidRDefault="008F7D73" w:rsidP="008F7D73">
      <w:pPr>
        <w:pStyle w:val="Subtitle"/>
        <w:spacing w:line="480" w:lineRule="auto"/>
        <w:jc w:val="both"/>
        <w:rPr>
          <w:b w:val="0"/>
        </w:rPr>
      </w:pPr>
    </w:p>
    <w:p w:rsidR="008F7D73" w:rsidRDefault="008F7D73" w:rsidP="008F7D73">
      <w:pPr>
        <w:pStyle w:val="Subtitle"/>
        <w:spacing w:line="480" w:lineRule="auto"/>
        <w:jc w:val="both"/>
        <w:rPr>
          <w:b w:val="0"/>
        </w:rPr>
      </w:pPr>
      <w:r>
        <w:rPr>
          <w:b w:val="0"/>
        </w:rPr>
        <w:t xml:space="preserve">VALIDATION AND SCALE PURIFICATION </w:t>
      </w:r>
    </w:p>
    <w:p w:rsidR="008F7D73" w:rsidRDefault="008F7D73" w:rsidP="008F7D73">
      <w:pPr>
        <w:pStyle w:val="Subtitle"/>
        <w:spacing w:line="480" w:lineRule="auto"/>
        <w:ind w:firstLine="720"/>
        <w:jc w:val="both"/>
        <w:rPr>
          <w:b w:val="0"/>
        </w:rPr>
      </w:pPr>
      <w:r>
        <w:rPr>
          <w:b w:val="0"/>
        </w:rPr>
        <w:t xml:space="preserve">The issues of construct unidimensionality, reliability, convergent validity, and discriminant validity were addressed using the general procedure described by </w:t>
      </w:r>
      <w:proofErr w:type="spellStart"/>
      <w:r>
        <w:rPr>
          <w:b w:val="0"/>
        </w:rPr>
        <w:t>Garver</w:t>
      </w:r>
      <w:proofErr w:type="spellEnd"/>
      <w:r>
        <w:rPr>
          <w:b w:val="0"/>
        </w:rPr>
        <w:t xml:space="preserve"> and </w:t>
      </w:r>
      <w:proofErr w:type="spellStart"/>
      <w:r>
        <w:rPr>
          <w:b w:val="0"/>
        </w:rPr>
        <w:lastRenderedPageBreak/>
        <w:t>Mentzer</w:t>
      </w:r>
      <w:proofErr w:type="spellEnd"/>
      <w:r>
        <w:rPr>
          <w:b w:val="0"/>
        </w:rPr>
        <w:t xml:space="preserve"> (1999).  The unidimensionality was assessed in order to verify the existence of one latent construct underlying a set of corresponding measures (Hattie 1985). A confirmatory factor analysis was used</w:t>
      </w:r>
      <w:r w:rsidRPr="00336BB3">
        <w:rPr>
          <w:b w:val="0"/>
        </w:rPr>
        <w:t xml:space="preserve"> </w:t>
      </w:r>
      <w:r>
        <w:rPr>
          <w:b w:val="0"/>
        </w:rPr>
        <w:t>to test each construct individually, then for all possible pairs, and finally for the overall measurement model and each construct in the presence of other constructs (</w:t>
      </w:r>
      <w:proofErr w:type="spellStart"/>
      <w:r>
        <w:rPr>
          <w:b w:val="0"/>
        </w:rPr>
        <w:t>Garver</w:t>
      </w:r>
      <w:proofErr w:type="spellEnd"/>
      <w:r>
        <w:rPr>
          <w:b w:val="0"/>
        </w:rPr>
        <w:t xml:space="preserve"> and </w:t>
      </w:r>
      <w:proofErr w:type="spellStart"/>
      <w:r>
        <w:rPr>
          <w:b w:val="0"/>
        </w:rPr>
        <w:t>Mentzer</w:t>
      </w:r>
      <w:proofErr w:type="spellEnd"/>
      <w:r>
        <w:rPr>
          <w:b w:val="0"/>
        </w:rPr>
        <w:t xml:space="preserve"> 1999). The final </w:t>
      </w:r>
      <w:r w:rsidRPr="00F56D4C">
        <w:rPr>
          <w:b w:val="0"/>
        </w:rPr>
        <w:t>number of items used to measure each construct</w:t>
      </w:r>
      <w:r>
        <w:rPr>
          <w:b w:val="0"/>
        </w:rPr>
        <w:t xml:space="preserve"> was adjusted accordingly. </w:t>
      </w:r>
    </w:p>
    <w:p w:rsidR="008F7D73" w:rsidRDefault="008F7D73" w:rsidP="008F7D73">
      <w:pPr>
        <w:pStyle w:val="Subtitle"/>
        <w:spacing w:line="480" w:lineRule="auto"/>
        <w:jc w:val="both"/>
        <w:rPr>
          <w:b w:val="0"/>
        </w:rPr>
      </w:pPr>
      <w:r>
        <w:rPr>
          <w:b w:val="0"/>
        </w:rPr>
        <w:t xml:space="preserve"> </w:t>
      </w:r>
      <w:r>
        <w:rPr>
          <w:b w:val="0"/>
        </w:rPr>
        <w:tab/>
        <w:t xml:space="preserve">Reliability was assessed using </w:t>
      </w:r>
      <w:proofErr w:type="spellStart"/>
      <w:r>
        <w:rPr>
          <w:b w:val="0"/>
        </w:rPr>
        <w:t>Cronbach’s</w:t>
      </w:r>
      <w:proofErr w:type="spellEnd"/>
      <w:r>
        <w:rPr>
          <w:b w:val="0"/>
        </w:rPr>
        <w:t xml:space="preserve"> Alpha</w:t>
      </w:r>
      <w:r w:rsidRPr="00513F09">
        <w:rPr>
          <w:b w:val="0"/>
        </w:rPr>
        <w:t xml:space="preserve"> </w:t>
      </w:r>
      <w:r>
        <w:rPr>
          <w:b w:val="0"/>
        </w:rPr>
        <w:t xml:space="preserve">Coefficient. Specifically, the cut-off point of .70 was used to assess the value of this coefficient. In general, the value of </w:t>
      </w:r>
      <w:proofErr w:type="spellStart"/>
      <w:r>
        <w:rPr>
          <w:b w:val="0"/>
        </w:rPr>
        <w:t>Cronbach’s</w:t>
      </w:r>
      <w:proofErr w:type="spellEnd"/>
      <w:r>
        <w:rPr>
          <w:b w:val="0"/>
        </w:rPr>
        <w:t xml:space="preserve"> Alpha above that cut-off point would indicate a good correlation between the item and the true scores (Churchill 1979). In other words, a measure would be considered a good indicator of the construct that is measured.</w:t>
      </w:r>
      <w:r w:rsidRPr="00513F09">
        <w:rPr>
          <w:b w:val="0"/>
        </w:rPr>
        <w:t xml:space="preserve"> </w:t>
      </w:r>
      <w:r>
        <w:rPr>
          <w:b w:val="0"/>
        </w:rPr>
        <w:t>Additionally, SEM scale reliability measures, construct reliability, and variance extracted will be also calculated for the purposes of validation</w:t>
      </w:r>
      <w:r w:rsidRPr="00513F09">
        <w:rPr>
          <w:b w:val="0"/>
        </w:rPr>
        <w:t xml:space="preserve"> </w:t>
      </w:r>
      <w:r>
        <w:rPr>
          <w:b w:val="0"/>
        </w:rPr>
        <w:t>(</w:t>
      </w:r>
      <w:proofErr w:type="spellStart"/>
      <w:r>
        <w:rPr>
          <w:b w:val="0"/>
        </w:rPr>
        <w:t>Garver</w:t>
      </w:r>
      <w:proofErr w:type="spellEnd"/>
      <w:r>
        <w:rPr>
          <w:b w:val="0"/>
        </w:rPr>
        <w:t xml:space="preserve"> and </w:t>
      </w:r>
      <w:proofErr w:type="spellStart"/>
      <w:r>
        <w:rPr>
          <w:b w:val="0"/>
        </w:rPr>
        <w:t>Mentzer</w:t>
      </w:r>
      <w:proofErr w:type="spellEnd"/>
      <w:r>
        <w:rPr>
          <w:b w:val="0"/>
        </w:rPr>
        <w:t xml:space="preserve"> 1999).  </w:t>
      </w:r>
    </w:p>
    <w:p w:rsidR="008F7D73" w:rsidRDefault="008F7D73" w:rsidP="008F7D73">
      <w:pPr>
        <w:pStyle w:val="Subtitle"/>
        <w:spacing w:line="480" w:lineRule="auto"/>
        <w:ind w:firstLine="720"/>
        <w:jc w:val="both"/>
        <w:rPr>
          <w:b w:val="0"/>
        </w:rPr>
      </w:pPr>
      <w:r w:rsidRPr="00790748">
        <w:rPr>
          <w:b w:val="0"/>
        </w:rPr>
        <w:t xml:space="preserve">Construct validity </w:t>
      </w:r>
      <w:r>
        <w:rPr>
          <w:b w:val="0"/>
        </w:rPr>
        <w:t>was</w:t>
      </w:r>
      <w:r w:rsidRPr="00790748">
        <w:rPr>
          <w:b w:val="0"/>
        </w:rPr>
        <w:t xml:space="preserve"> assess</w:t>
      </w:r>
      <w:r>
        <w:rPr>
          <w:b w:val="0"/>
        </w:rPr>
        <w:t xml:space="preserve">ed through convergent and discriminant validity. </w:t>
      </w:r>
    </w:p>
    <w:p w:rsidR="008F7D73" w:rsidRPr="00790748" w:rsidRDefault="008F7D73" w:rsidP="008F7D73">
      <w:pPr>
        <w:pStyle w:val="Subtitle"/>
        <w:spacing w:line="480" w:lineRule="auto"/>
        <w:jc w:val="both"/>
        <w:rPr>
          <w:b w:val="0"/>
        </w:rPr>
      </w:pPr>
      <w:r w:rsidRPr="00E3226C">
        <w:rPr>
          <w:b w:val="0"/>
        </w:rPr>
        <w:t>Convergent validity describes the convergence of different measures of the same construct on a common statistical factor. Discriminant validity evaluates how measures of different constructs load on different factors (i.e. discriminate from each other).</w:t>
      </w:r>
      <w:r>
        <w:rPr>
          <w:b w:val="0"/>
        </w:rPr>
        <w:t xml:space="preserve"> </w:t>
      </w:r>
      <w:r w:rsidRPr="00790748">
        <w:rPr>
          <w:b w:val="0"/>
        </w:rPr>
        <w:t xml:space="preserve">Convergent validity </w:t>
      </w:r>
      <w:r>
        <w:rPr>
          <w:b w:val="0"/>
        </w:rPr>
        <w:t>was assessed through</w:t>
      </w:r>
      <w:r w:rsidRPr="00790748">
        <w:rPr>
          <w:b w:val="0"/>
        </w:rPr>
        <w:t xml:space="preserve"> the overall fit of the measurement model, the magnitude, direction, and statistical significance of the estimated parameters between the latent variab</w:t>
      </w:r>
      <w:r>
        <w:rPr>
          <w:b w:val="0"/>
        </w:rPr>
        <w:t>les (</w:t>
      </w:r>
      <w:proofErr w:type="spellStart"/>
      <w:r>
        <w:rPr>
          <w:b w:val="0"/>
        </w:rPr>
        <w:t>Garver</w:t>
      </w:r>
      <w:proofErr w:type="spellEnd"/>
      <w:r>
        <w:rPr>
          <w:b w:val="0"/>
        </w:rPr>
        <w:t xml:space="preserve"> and </w:t>
      </w:r>
      <w:proofErr w:type="spellStart"/>
      <w:r>
        <w:rPr>
          <w:b w:val="0"/>
        </w:rPr>
        <w:t>Mentzer</w:t>
      </w:r>
      <w:proofErr w:type="spellEnd"/>
      <w:r>
        <w:rPr>
          <w:b w:val="0"/>
        </w:rPr>
        <w:t xml:space="preserve"> 1999). To assess</w:t>
      </w:r>
      <w:r w:rsidRPr="00790748">
        <w:rPr>
          <w:b w:val="0"/>
        </w:rPr>
        <w:t xml:space="preserve"> discriminant validity, paired correlation of the constructs </w:t>
      </w:r>
      <w:r>
        <w:rPr>
          <w:b w:val="0"/>
        </w:rPr>
        <w:t>were evaluated</w:t>
      </w:r>
      <w:r w:rsidRPr="00790748">
        <w:rPr>
          <w:b w:val="0"/>
        </w:rPr>
        <w:t xml:space="preserve">. Correlations among the constructs of the measurement model </w:t>
      </w:r>
      <w:r>
        <w:rPr>
          <w:b w:val="0"/>
        </w:rPr>
        <w:t>were</w:t>
      </w:r>
      <w:r w:rsidRPr="00790748">
        <w:rPr>
          <w:b w:val="0"/>
        </w:rPr>
        <w:t xml:space="preserve"> compared </w:t>
      </w:r>
      <w:r>
        <w:rPr>
          <w:b w:val="0"/>
        </w:rPr>
        <w:t>to the theoretical model with the help of</w:t>
      </w:r>
      <w:r w:rsidRPr="00790748">
        <w:rPr>
          <w:b w:val="0"/>
        </w:rPr>
        <w:t xml:space="preserve"> </w:t>
      </w:r>
      <w:r>
        <w:rPr>
          <w:b w:val="0"/>
        </w:rPr>
        <w:t xml:space="preserve">the appropriate </w:t>
      </w:r>
      <w:r w:rsidRPr="00790748">
        <w:rPr>
          <w:b w:val="0"/>
        </w:rPr>
        <w:t>chi-square test</w:t>
      </w:r>
      <w:r>
        <w:rPr>
          <w:b w:val="0"/>
        </w:rPr>
        <w:t xml:space="preserve">s.  </w:t>
      </w:r>
    </w:p>
    <w:p w:rsidR="008F7D73" w:rsidRDefault="008F7D73" w:rsidP="008F7D73">
      <w:pPr>
        <w:spacing w:after="0" w:line="480" w:lineRule="auto"/>
      </w:pPr>
    </w:p>
    <w:p w:rsidR="008F7D73" w:rsidRDefault="008F7D73" w:rsidP="008F7D73">
      <w:pPr>
        <w:spacing w:after="0" w:line="480" w:lineRule="auto"/>
      </w:pPr>
      <w:r>
        <w:lastRenderedPageBreak/>
        <w:t>CONSTRUCT MEASUREMENT</w:t>
      </w:r>
    </w:p>
    <w:p w:rsidR="008F7D73" w:rsidRDefault="008F7D73" w:rsidP="008F7D73">
      <w:pPr>
        <w:spacing w:after="0" w:line="480" w:lineRule="auto"/>
      </w:pPr>
      <w:r>
        <w:tab/>
        <w:t xml:space="preserve">Since several of the constructs used in this research were already tested empirically, the first step in developing the set of appropriate measures was to review the scales that were previously used in similar studies. As a result, the scales for logistics capabilities, environmental uncertainty, supply chain orientation, and supply chain process variability were adapted from previous studies with some necessary alterations, while the scales for risk management orientation, supply chain resilience, supply chain vulnerability, supply chain capital, and supply chain knowledge development were newly developed. The following paragraphs describe the operationalization and measurement of these theoretical constructs in greater detail. </w:t>
      </w:r>
    </w:p>
    <w:p w:rsidR="008F7D73" w:rsidRPr="00833B4E" w:rsidRDefault="008F7D73" w:rsidP="008F7D73">
      <w:pPr>
        <w:spacing w:after="0" w:line="480" w:lineRule="auto"/>
        <w:rPr>
          <w:b/>
        </w:rPr>
      </w:pPr>
      <w:r w:rsidRPr="00833B4E">
        <w:rPr>
          <w:b/>
        </w:rPr>
        <w:t>Measuring Logistics Capabilities</w:t>
      </w:r>
    </w:p>
    <w:p w:rsidR="008F7D73" w:rsidRDefault="008F7D73" w:rsidP="008F7D73">
      <w:pPr>
        <w:spacing w:after="0" w:line="480" w:lineRule="auto"/>
      </w:pPr>
      <w:r>
        <w:tab/>
        <w:t xml:space="preserve">The effects of two types of capabilities are studied in this research: supply management capabilities and information management capabilities. Supply management capabilities can be </w:t>
      </w:r>
      <w:proofErr w:type="spellStart"/>
      <w:r>
        <w:t>operationalized</w:t>
      </w:r>
      <w:proofErr w:type="spellEnd"/>
      <w:r>
        <w:t xml:space="preserve"> in terms of the relationships with selected suppliers, while information management capabilities can be </w:t>
      </w:r>
      <w:proofErr w:type="spellStart"/>
      <w:r>
        <w:t>operationalized</w:t>
      </w:r>
      <w:proofErr w:type="spellEnd"/>
      <w:r>
        <w:t xml:space="preserve"> as information technology capability, information sharing, and connectivity (Zhao, </w:t>
      </w:r>
      <w:proofErr w:type="spellStart"/>
      <w:r>
        <w:t>Droge</w:t>
      </w:r>
      <w:proofErr w:type="spellEnd"/>
      <w:r>
        <w:t xml:space="preserve">, and Stank 2001). </w:t>
      </w:r>
    </w:p>
    <w:p w:rsidR="008F7D73" w:rsidRDefault="008F7D73" w:rsidP="008F7D73">
      <w:pPr>
        <w:spacing w:after="0" w:line="480" w:lineRule="auto"/>
        <w:ind w:firstLine="720"/>
      </w:pPr>
      <w:r>
        <w:t xml:space="preserve">Specific items for measuring each of the capabilities were adapted from previous research mentioned above. The operationalization proposed in this research, however, differs as it views supply management and information management capabilities as the first order constructs. The following specific items are proposed to be measured on a 7-point </w:t>
      </w:r>
      <w:proofErr w:type="spellStart"/>
      <w:r>
        <w:t>Likert</w:t>
      </w:r>
      <w:proofErr w:type="spellEnd"/>
      <w:r>
        <w:t>-like scale:</w:t>
      </w:r>
    </w:p>
    <w:p w:rsidR="008F7D73" w:rsidRDefault="008F7D73" w:rsidP="008F7D73">
      <w:pPr>
        <w:spacing w:after="0" w:line="480" w:lineRule="auto"/>
        <w:rPr>
          <w:b/>
        </w:rPr>
      </w:pPr>
    </w:p>
    <w:p w:rsidR="008F7D73" w:rsidRDefault="008F7D73" w:rsidP="008F7D73">
      <w:pPr>
        <w:spacing w:after="0" w:line="480" w:lineRule="auto"/>
        <w:rPr>
          <w:b/>
        </w:rPr>
      </w:pPr>
    </w:p>
    <w:p w:rsidR="008F7D73" w:rsidRDefault="008F7D73" w:rsidP="008F7D73">
      <w:pPr>
        <w:spacing w:after="0" w:line="480" w:lineRule="auto"/>
        <w:rPr>
          <w:b/>
        </w:rPr>
      </w:pPr>
    </w:p>
    <w:p w:rsidR="008F7D73" w:rsidRDefault="008F7D73" w:rsidP="008F7D73">
      <w:pPr>
        <w:spacing w:after="0" w:line="480" w:lineRule="auto"/>
        <w:rPr>
          <w:b/>
        </w:rPr>
      </w:pPr>
    </w:p>
    <w:p w:rsidR="008F7D73" w:rsidRDefault="008F7D73" w:rsidP="008F7D73">
      <w:pPr>
        <w:spacing w:after="0" w:line="240" w:lineRule="auto"/>
        <w:jc w:val="center"/>
        <w:rPr>
          <w:b/>
        </w:rPr>
      </w:pPr>
      <w:r w:rsidRPr="00945A99">
        <w:rPr>
          <w:b/>
        </w:rPr>
        <w:lastRenderedPageBreak/>
        <w:t>Ta</w:t>
      </w:r>
      <w:r>
        <w:rPr>
          <w:b/>
        </w:rPr>
        <w:t>ble 3.1 Measurement of Supply Management</w:t>
      </w:r>
      <w:r w:rsidRPr="00945A99">
        <w:rPr>
          <w:b/>
        </w:rPr>
        <w:t xml:space="preserve"> Capabilities</w:t>
      </w:r>
    </w:p>
    <w:p w:rsidR="008F7D73" w:rsidRDefault="008F7D73" w:rsidP="008F7D73">
      <w:pPr>
        <w:spacing w:after="0" w:line="240" w:lineRule="auto"/>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030"/>
        <w:gridCol w:w="3870"/>
      </w:tblGrid>
      <w:tr w:rsidR="008F7D73" w:rsidRPr="00CC721D" w:rsidTr="00007EA8">
        <w:tc>
          <w:tcPr>
            <w:tcW w:w="6030" w:type="dxa"/>
          </w:tcPr>
          <w:p w:rsidR="008F7D73" w:rsidRPr="00CC721D" w:rsidRDefault="008F7D73" w:rsidP="008F7D73">
            <w:pPr>
              <w:spacing w:after="0" w:line="240" w:lineRule="auto"/>
              <w:rPr>
                <w:b/>
                <w:sz w:val="20"/>
                <w:szCs w:val="20"/>
              </w:rPr>
            </w:pPr>
          </w:p>
          <w:p w:rsidR="008F7D73" w:rsidRDefault="008F7D73" w:rsidP="008F7D73">
            <w:pPr>
              <w:spacing w:after="0" w:line="240" w:lineRule="auto"/>
              <w:rPr>
                <w:sz w:val="20"/>
                <w:szCs w:val="20"/>
              </w:rPr>
            </w:pPr>
            <w:r>
              <w:rPr>
                <w:b/>
                <w:sz w:val="20"/>
                <w:szCs w:val="20"/>
              </w:rPr>
              <w:t>Supply Management Capabilities (SMC)</w:t>
            </w:r>
            <w:r w:rsidRPr="00CC721D">
              <w:rPr>
                <w:sz w:val="20"/>
                <w:szCs w:val="20"/>
              </w:rPr>
              <w:t xml:space="preserve"> </w:t>
            </w:r>
            <w:r>
              <w:rPr>
                <w:sz w:val="20"/>
                <w:szCs w:val="20"/>
              </w:rPr>
              <w:t>– ad</w:t>
            </w:r>
            <w:r w:rsidRPr="00D96979">
              <w:rPr>
                <w:sz w:val="20"/>
                <w:szCs w:val="20"/>
              </w:rPr>
              <w:t xml:space="preserve">apted from </w:t>
            </w:r>
          </w:p>
          <w:p w:rsidR="008F7D73" w:rsidRDefault="008F7D73" w:rsidP="008F7D73">
            <w:pPr>
              <w:spacing w:after="0" w:line="240" w:lineRule="auto"/>
              <w:rPr>
                <w:sz w:val="20"/>
                <w:szCs w:val="20"/>
              </w:rPr>
            </w:pPr>
            <w:r>
              <w:rPr>
                <w:sz w:val="20"/>
                <w:szCs w:val="20"/>
              </w:rPr>
              <w:t xml:space="preserve">Zhao et al. 2001, </w:t>
            </w:r>
            <w:proofErr w:type="spellStart"/>
            <w:r>
              <w:rPr>
                <w:sz w:val="20"/>
                <w:szCs w:val="20"/>
              </w:rPr>
              <w:t>Mentzer</w:t>
            </w:r>
            <w:proofErr w:type="spellEnd"/>
            <w:r>
              <w:rPr>
                <w:sz w:val="20"/>
                <w:szCs w:val="20"/>
              </w:rPr>
              <w:t xml:space="preserve"> et al. 2004</w:t>
            </w:r>
          </w:p>
          <w:p w:rsidR="008F7D73" w:rsidRPr="00CC721D" w:rsidRDefault="008F7D73" w:rsidP="008F7D73">
            <w:pPr>
              <w:spacing w:after="0" w:line="240" w:lineRule="auto"/>
              <w:rPr>
                <w:sz w:val="20"/>
                <w:szCs w:val="20"/>
              </w:rPr>
            </w:pPr>
          </w:p>
        </w:tc>
        <w:tc>
          <w:tcPr>
            <w:tcW w:w="3870" w:type="dxa"/>
            <w:vAlign w:val="bottom"/>
          </w:tcPr>
          <w:p w:rsidR="008F7D73" w:rsidRPr="00CC721D" w:rsidRDefault="008F7D73" w:rsidP="008F7D73">
            <w:pPr>
              <w:spacing w:after="0" w:line="240" w:lineRule="auto"/>
              <w:rPr>
                <w:b/>
                <w:sz w:val="18"/>
                <w:szCs w:val="18"/>
              </w:rPr>
            </w:pPr>
          </w:p>
          <w:p w:rsidR="008F7D73" w:rsidRPr="00CC721D" w:rsidRDefault="008F7D73" w:rsidP="008F7D73">
            <w:pPr>
              <w:spacing w:after="0" w:line="240" w:lineRule="auto"/>
              <w:rPr>
                <w:b/>
                <w:sz w:val="18"/>
                <w:szCs w:val="18"/>
              </w:rPr>
            </w:pPr>
            <w:r w:rsidRPr="00CC721D">
              <w:rPr>
                <w:b/>
                <w:sz w:val="18"/>
                <w:szCs w:val="18"/>
              </w:rPr>
              <w:t xml:space="preserve">Strongly                    Neutral                Strongly </w:t>
            </w:r>
          </w:p>
          <w:p w:rsidR="008F7D73" w:rsidRPr="00CC721D" w:rsidRDefault="008F7D73" w:rsidP="008F7D73">
            <w:pPr>
              <w:spacing w:after="0" w:line="240" w:lineRule="auto"/>
              <w:rPr>
                <w:b/>
                <w:sz w:val="18"/>
                <w:szCs w:val="18"/>
              </w:rPr>
            </w:pPr>
            <w:r w:rsidRPr="00CC721D">
              <w:rPr>
                <w:b/>
                <w:sz w:val="18"/>
                <w:szCs w:val="18"/>
              </w:rPr>
              <w:t xml:space="preserve">Disagree                                                    Agree  </w:t>
            </w:r>
          </w:p>
        </w:tc>
      </w:tr>
      <w:tr w:rsidR="008F7D73" w:rsidRPr="00CC721D" w:rsidTr="00007EA8">
        <w:tc>
          <w:tcPr>
            <w:tcW w:w="6030" w:type="dxa"/>
          </w:tcPr>
          <w:p w:rsidR="008F7D73" w:rsidRPr="00CC721D" w:rsidRDefault="008F7D73" w:rsidP="008F7D73">
            <w:pPr>
              <w:spacing w:after="0" w:line="240" w:lineRule="auto"/>
              <w:ind w:left="72"/>
              <w:rPr>
                <w:sz w:val="20"/>
                <w:szCs w:val="20"/>
              </w:rPr>
            </w:pPr>
          </w:p>
          <w:p w:rsidR="008F7D73" w:rsidRDefault="008F7D73" w:rsidP="007743FB">
            <w:pPr>
              <w:numPr>
                <w:ilvl w:val="0"/>
                <w:numId w:val="46"/>
              </w:numPr>
              <w:tabs>
                <w:tab w:val="clear" w:pos="720"/>
                <w:tab w:val="num" w:pos="432"/>
              </w:tabs>
              <w:spacing w:after="0" w:line="240" w:lineRule="auto"/>
              <w:ind w:left="432"/>
              <w:rPr>
                <w:sz w:val="20"/>
                <w:szCs w:val="20"/>
              </w:rPr>
            </w:pPr>
            <w:r>
              <w:rPr>
                <w:sz w:val="20"/>
                <w:szCs w:val="20"/>
              </w:rPr>
              <w:t>Our firm has increased operational flexibility through collaboration with suppliers.</w:t>
            </w:r>
          </w:p>
          <w:p w:rsidR="008F7D73" w:rsidRDefault="008F7D73" w:rsidP="008F7D73">
            <w:pPr>
              <w:spacing w:after="0" w:line="240" w:lineRule="auto"/>
              <w:ind w:left="432"/>
              <w:rPr>
                <w:sz w:val="20"/>
                <w:szCs w:val="20"/>
              </w:rPr>
            </w:pPr>
          </w:p>
          <w:p w:rsidR="008F7D73" w:rsidRDefault="008F7D73" w:rsidP="007743FB">
            <w:pPr>
              <w:numPr>
                <w:ilvl w:val="0"/>
                <w:numId w:val="46"/>
              </w:numPr>
              <w:tabs>
                <w:tab w:val="clear" w:pos="720"/>
                <w:tab w:val="num" w:pos="432"/>
              </w:tabs>
              <w:spacing w:after="0" w:line="240" w:lineRule="auto"/>
              <w:ind w:left="432"/>
              <w:rPr>
                <w:sz w:val="20"/>
                <w:szCs w:val="20"/>
              </w:rPr>
            </w:pPr>
            <w:r w:rsidRPr="00F73B43">
              <w:rPr>
                <w:sz w:val="20"/>
                <w:szCs w:val="20"/>
              </w:rPr>
              <w:t>Our firm actively pursues business relationships and programs designed to achieve supplier involvement over and above individual sales transactions</w:t>
            </w:r>
            <w:r w:rsidR="00D73174">
              <w:rPr>
                <w:sz w:val="20"/>
                <w:szCs w:val="20"/>
              </w:rPr>
              <w:t>.</w:t>
            </w:r>
            <w:r w:rsidRPr="00F73B43">
              <w:rPr>
                <w:sz w:val="20"/>
                <w:szCs w:val="20"/>
              </w:rPr>
              <w:t xml:space="preserve"> </w:t>
            </w:r>
          </w:p>
          <w:p w:rsidR="008F7D73" w:rsidRDefault="008F7D73" w:rsidP="008F7D73">
            <w:pPr>
              <w:spacing w:after="0" w:line="240" w:lineRule="auto"/>
              <w:rPr>
                <w:sz w:val="20"/>
                <w:szCs w:val="20"/>
              </w:rPr>
            </w:pPr>
          </w:p>
          <w:p w:rsidR="008F7D73" w:rsidRDefault="008F7D73" w:rsidP="007743FB">
            <w:pPr>
              <w:numPr>
                <w:ilvl w:val="0"/>
                <w:numId w:val="46"/>
              </w:numPr>
              <w:tabs>
                <w:tab w:val="clear" w:pos="720"/>
                <w:tab w:val="num" w:pos="432"/>
              </w:tabs>
              <w:spacing w:after="0" w:line="240" w:lineRule="auto"/>
              <w:ind w:left="432"/>
              <w:rPr>
                <w:sz w:val="20"/>
                <w:szCs w:val="20"/>
              </w:rPr>
            </w:pPr>
            <w:r w:rsidRPr="00F73B43">
              <w:rPr>
                <w:sz w:val="20"/>
                <w:szCs w:val="20"/>
              </w:rPr>
              <w:t>Our firm’s logistical operations can be synchronized to integrate with supplier operations</w:t>
            </w:r>
            <w:r w:rsidR="00D73174">
              <w:rPr>
                <w:sz w:val="20"/>
                <w:szCs w:val="20"/>
              </w:rPr>
              <w:t>.</w:t>
            </w:r>
            <w:r w:rsidRPr="00F73B43">
              <w:rPr>
                <w:sz w:val="20"/>
                <w:szCs w:val="20"/>
              </w:rPr>
              <w:t xml:space="preserve"> </w:t>
            </w:r>
          </w:p>
          <w:p w:rsidR="008F7D73" w:rsidRDefault="008F7D73" w:rsidP="008F7D73">
            <w:pPr>
              <w:spacing w:after="0" w:line="240" w:lineRule="auto"/>
              <w:rPr>
                <w:sz w:val="20"/>
                <w:szCs w:val="20"/>
              </w:rPr>
            </w:pPr>
          </w:p>
          <w:p w:rsidR="008F7D73" w:rsidRPr="00F73B43" w:rsidRDefault="008F7D73" w:rsidP="007743FB">
            <w:pPr>
              <w:numPr>
                <w:ilvl w:val="0"/>
                <w:numId w:val="46"/>
              </w:numPr>
              <w:tabs>
                <w:tab w:val="clear" w:pos="720"/>
                <w:tab w:val="num" w:pos="432"/>
              </w:tabs>
              <w:spacing w:after="0" w:line="240" w:lineRule="auto"/>
              <w:ind w:left="432"/>
              <w:rPr>
                <w:sz w:val="20"/>
                <w:szCs w:val="20"/>
              </w:rPr>
            </w:pPr>
            <w:r>
              <w:rPr>
                <w:sz w:val="20"/>
                <w:szCs w:val="20"/>
              </w:rPr>
              <w:t>Our key suppliers have established programs to authorize and perform our special requests</w:t>
            </w:r>
            <w:r w:rsidR="00D73174">
              <w:rPr>
                <w:sz w:val="20"/>
                <w:szCs w:val="20"/>
              </w:rPr>
              <w:t>.</w:t>
            </w:r>
          </w:p>
          <w:p w:rsidR="008F7D73" w:rsidRPr="00CC721D" w:rsidRDefault="008F7D73" w:rsidP="008F7D73">
            <w:pPr>
              <w:spacing w:after="0" w:line="240" w:lineRule="auto"/>
              <w:ind w:left="72"/>
              <w:rPr>
                <w:sz w:val="20"/>
                <w:szCs w:val="20"/>
              </w:rPr>
            </w:pPr>
          </w:p>
        </w:tc>
        <w:tc>
          <w:tcPr>
            <w:tcW w:w="3870" w:type="dxa"/>
          </w:tcPr>
          <w:p w:rsidR="008F7D73" w:rsidRPr="00CC721D" w:rsidRDefault="008F7D73" w:rsidP="008F7D73">
            <w:pPr>
              <w:spacing w:after="0" w:line="240" w:lineRule="auto"/>
              <w:rPr>
                <w:b/>
                <w:sz w:val="20"/>
                <w:szCs w:val="20"/>
              </w:rPr>
            </w:pPr>
          </w:p>
          <w:p w:rsidR="008F7D73" w:rsidRPr="00CC721D" w:rsidRDefault="008F7D73" w:rsidP="008F7D73">
            <w:pPr>
              <w:spacing w:after="0" w:line="240" w:lineRule="auto"/>
              <w:rPr>
                <w:b/>
                <w:sz w:val="20"/>
                <w:szCs w:val="20"/>
              </w:rPr>
            </w:pPr>
            <w:r w:rsidRPr="00CC721D">
              <w:rPr>
                <w:b/>
                <w:sz w:val="20"/>
                <w:szCs w:val="20"/>
              </w:rPr>
              <w:t xml:space="preserve">  </w:t>
            </w:r>
          </w:p>
          <w:p w:rsidR="008F7D73" w:rsidRPr="00CC721D" w:rsidRDefault="008F7D73" w:rsidP="008F7D73">
            <w:pPr>
              <w:spacing w:after="0" w:line="240" w:lineRule="auto"/>
              <w:rPr>
                <w:b/>
                <w:sz w:val="20"/>
                <w:szCs w:val="20"/>
              </w:rPr>
            </w:pPr>
            <w:r w:rsidRPr="00CC721D">
              <w:rPr>
                <w:b/>
                <w:sz w:val="20"/>
                <w:szCs w:val="20"/>
              </w:rPr>
              <w:t xml:space="preserve">  1          2          3        4        5        6        7 </w:t>
            </w:r>
          </w:p>
          <w:p w:rsidR="008F7D73" w:rsidRPr="00CC721D" w:rsidRDefault="008F7D73" w:rsidP="008F7D73">
            <w:pPr>
              <w:spacing w:after="0" w:line="240" w:lineRule="auto"/>
              <w:rPr>
                <w:b/>
                <w:sz w:val="20"/>
                <w:szCs w:val="20"/>
              </w:rPr>
            </w:pPr>
          </w:p>
          <w:p w:rsidR="008F7D73" w:rsidRDefault="008F7D73" w:rsidP="008F7D73">
            <w:pPr>
              <w:spacing w:after="0" w:line="240" w:lineRule="auto"/>
              <w:rPr>
                <w:b/>
                <w:sz w:val="20"/>
                <w:szCs w:val="20"/>
              </w:rPr>
            </w:pPr>
            <w:r w:rsidRPr="00CC721D">
              <w:rPr>
                <w:b/>
                <w:sz w:val="20"/>
                <w:szCs w:val="20"/>
              </w:rPr>
              <w:t xml:space="preserve"> </w:t>
            </w:r>
          </w:p>
          <w:p w:rsidR="008F7D73" w:rsidRPr="00CC721D" w:rsidRDefault="008F7D73" w:rsidP="008F7D73">
            <w:pPr>
              <w:spacing w:after="0" w:line="240" w:lineRule="auto"/>
              <w:rPr>
                <w:b/>
                <w:sz w:val="20"/>
                <w:szCs w:val="20"/>
              </w:rPr>
            </w:pPr>
            <w:r w:rsidRPr="00CC721D">
              <w:rPr>
                <w:b/>
                <w:sz w:val="20"/>
                <w:szCs w:val="20"/>
              </w:rPr>
              <w:t xml:space="preserve"> 1          2          3        4        5        6        7 </w:t>
            </w:r>
          </w:p>
          <w:p w:rsidR="008F7D73" w:rsidRDefault="008F7D73" w:rsidP="008F7D73">
            <w:pPr>
              <w:spacing w:after="0" w:line="240" w:lineRule="auto"/>
              <w:rPr>
                <w:b/>
                <w:sz w:val="20"/>
                <w:szCs w:val="20"/>
              </w:rPr>
            </w:pPr>
          </w:p>
          <w:p w:rsidR="008F7D73" w:rsidRDefault="008F7D73" w:rsidP="008F7D73">
            <w:pPr>
              <w:spacing w:after="0" w:line="240" w:lineRule="auto"/>
              <w:rPr>
                <w:b/>
                <w:sz w:val="20"/>
                <w:szCs w:val="20"/>
              </w:rPr>
            </w:pPr>
          </w:p>
          <w:p w:rsidR="008F7D73" w:rsidRPr="00CC721D" w:rsidRDefault="008F7D73" w:rsidP="008F7D73">
            <w:pPr>
              <w:spacing w:after="0" w:line="240" w:lineRule="auto"/>
              <w:rPr>
                <w:b/>
                <w:sz w:val="20"/>
                <w:szCs w:val="20"/>
              </w:rPr>
            </w:pPr>
          </w:p>
          <w:p w:rsidR="008F7D73" w:rsidRDefault="008F7D73" w:rsidP="008F7D73">
            <w:pPr>
              <w:spacing w:after="0" w:line="240" w:lineRule="auto"/>
              <w:rPr>
                <w:b/>
                <w:sz w:val="20"/>
                <w:szCs w:val="20"/>
              </w:rPr>
            </w:pPr>
            <w:r w:rsidRPr="00CC721D">
              <w:rPr>
                <w:b/>
                <w:sz w:val="20"/>
                <w:szCs w:val="20"/>
              </w:rPr>
              <w:t xml:space="preserve">  1          2          3        4        5        6        7</w:t>
            </w:r>
          </w:p>
          <w:p w:rsidR="008F7D73" w:rsidRPr="00CC721D" w:rsidRDefault="008F7D73" w:rsidP="008F7D73">
            <w:pPr>
              <w:spacing w:after="0" w:line="240" w:lineRule="auto"/>
              <w:rPr>
                <w:b/>
                <w:sz w:val="20"/>
                <w:szCs w:val="20"/>
              </w:rPr>
            </w:pPr>
          </w:p>
          <w:p w:rsidR="008F7D73" w:rsidRPr="00CC721D" w:rsidRDefault="008F7D73" w:rsidP="008F7D73">
            <w:pPr>
              <w:spacing w:after="0" w:line="240" w:lineRule="auto"/>
              <w:rPr>
                <w:b/>
                <w:sz w:val="20"/>
                <w:szCs w:val="20"/>
              </w:rPr>
            </w:pPr>
            <w:r w:rsidRPr="00CC721D">
              <w:rPr>
                <w:b/>
                <w:sz w:val="20"/>
                <w:szCs w:val="20"/>
              </w:rPr>
              <w:t xml:space="preserve"> </w:t>
            </w:r>
          </w:p>
          <w:p w:rsidR="008F7D73" w:rsidRDefault="008F7D73" w:rsidP="008F7D73">
            <w:pPr>
              <w:spacing w:after="0" w:line="240" w:lineRule="auto"/>
              <w:rPr>
                <w:b/>
                <w:sz w:val="20"/>
                <w:szCs w:val="20"/>
              </w:rPr>
            </w:pPr>
            <w:r w:rsidRPr="00CC721D">
              <w:rPr>
                <w:b/>
                <w:sz w:val="20"/>
                <w:szCs w:val="20"/>
              </w:rPr>
              <w:t xml:space="preserve">  1          2          3        4        5        6        7 </w:t>
            </w:r>
          </w:p>
          <w:p w:rsidR="008F7D73" w:rsidRPr="00CC721D" w:rsidRDefault="008F7D73" w:rsidP="00D73174">
            <w:pPr>
              <w:spacing w:after="0" w:line="240" w:lineRule="auto"/>
              <w:rPr>
                <w:b/>
                <w:sz w:val="20"/>
                <w:szCs w:val="20"/>
              </w:rPr>
            </w:pPr>
            <w:r w:rsidRPr="00CC721D">
              <w:rPr>
                <w:b/>
                <w:sz w:val="20"/>
                <w:szCs w:val="20"/>
              </w:rPr>
              <w:t xml:space="preserve"> </w:t>
            </w:r>
            <w:r>
              <w:rPr>
                <w:b/>
                <w:sz w:val="20"/>
                <w:szCs w:val="20"/>
              </w:rPr>
              <w:t xml:space="preserve">   </w:t>
            </w:r>
            <w:r w:rsidRPr="00CC721D">
              <w:rPr>
                <w:b/>
                <w:sz w:val="20"/>
                <w:szCs w:val="20"/>
              </w:rPr>
              <w:t xml:space="preserve">          </w:t>
            </w:r>
          </w:p>
        </w:tc>
      </w:tr>
    </w:tbl>
    <w:p w:rsidR="00D73174" w:rsidRDefault="00D73174" w:rsidP="008F7D73">
      <w:pPr>
        <w:spacing w:after="0" w:line="240" w:lineRule="auto"/>
        <w:jc w:val="center"/>
        <w:rPr>
          <w:b/>
        </w:rPr>
      </w:pPr>
    </w:p>
    <w:p w:rsidR="008F7D73" w:rsidRDefault="008F7D73" w:rsidP="008F7D73">
      <w:pPr>
        <w:spacing w:after="0" w:line="240" w:lineRule="auto"/>
        <w:jc w:val="center"/>
        <w:rPr>
          <w:b/>
        </w:rPr>
      </w:pPr>
      <w:r>
        <w:rPr>
          <w:b/>
        </w:rPr>
        <w:t>Table 3.2</w:t>
      </w:r>
      <w:r w:rsidRPr="00945A99">
        <w:rPr>
          <w:b/>
        </w:rPr>
        <w:t xml:space="preserve"> Measurement of </w:t>
      </w:r>
      <w:r>
        <w:rPr>
          <w:b/>
        </w:rPr>
        <w:t>Information Management</w:t>
      </w:r>
      <w:r w:rsidRPr="00945A99">
        <w:rPr>
          <w:b/>
        </w:rPr>
        <w:t xml:space="preserve"> Capabilities</w:t>
      </w:r>
    </w:p>
    <w:p w:rsidR="008F7D73" w:rsidRDefault="008F7D73" w:rsidP="008F7D73">
      <w:pPr>
        <w:spacing w:after="0" w:line="240" w:lineRule="auto"/>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030"/>
        <w:gridCol w:w="3870"/>
      </w:tblGrid>
      <w:tr w:rsidR="008F7D73" w:rsidRPr="00CC721D" w:rsidTr="00007EA8">
        <w:tc>
          <w:tcPr>
            <w:tcW w:w="6030" w:type="dxa"/>
          </w:tcPr>
          <w:p w:rsidR="008F7D73" w:rsidRPr="00CC721D" w:rsidRDefault="008F7D73" w:rsidP="008F7D73">
            <w:pPr>
              <w:spacing w:after="0" w:line="240" w:lineRule="auto"/>
              <w:rPr>
                <w:b/>
                <w:sz w:val="20"/>
                <w:szCs w:val="20"/>
              </w:rPr>
            </w:pPr>
          </w:p>
          <w:p w:rsidR="008F7D73" w:rsidRDefault="008F7D73" w:rsidP="008F7D73">
            <w:pPr>
              <w:spacing w:after="0" w:line="240" w:lineRule="auto"/>
              <w:rPr>
                <w:sz w:val="20"/>
                <w:szCs w:val="20"/>
              </w:rPr>
            </w:pPr>
            <w:r>
              <w:rPr>
                <w:b/>
                <w:sz w:val="20"/>
                <w:szCs w:val="20"/>
              </w:rPr>
              <w:t>Information Management Capabilities (IMC)</w:t>
            </w:r>
            <w:r w:rsidRPr="00CC721D">
              <w:rPr>
                <w:sz w:val="20"/>
                <w:szCs w:val="20"/>
              </w:rPr>
              <w:t xml:space="preserve"> </w:t>
            </w:r>
            <w:r>
              <w:rPr>
                <w:sz w:val="20"/>
                <w:szCs w:val="20"/>
              </w:rPr>
              <w:t>– ad</w:t>
            </w:r>
            <w:r w:rsidRPr="00D96979">
              <w:rPr>
                <w:sz w:val="20"/>
                <w:szCs w:val="20"/>
              </w:rPr>
              <w:t xml:space="preserve">apted from </w:t>
            </w:r>
          </w:p>
          <w:p w:rsidR="008F7D73" w:rsidRDefault="008F7D73" w:rsidP="008F7D73">
            <w:pPr>
              <w:spacing w:after="0" w:line="240" w:lineRule="auto"/>
              <w:rPr>
                <w:sz w:val="20"/>
                <w:szCs w:val="20"/>
              </w:rPr>
            </w:pPr>
            <w:r>
              <w:rPr>
                <w:sz w:val="20"/>
                <w:szCs w:val="20"/>
              </w:rPr>
              <w:t xml:space="preserve">Zhao et al. 2001, </w:t>
            </w:r>
            <w:proofErr w:type="spellStart"/>
            <w:r>
              <w:rPr>
                <w:sz w:val="20"/>
                <w:szCs w:val="20"/>
              </w:rPr>
              <w:t>Mentzer</w:t>
            </w:r>
            <w:proofErr w:type="spellEnd"/>
            <w:r>
              <w:rPr>
                <w:sz w:val="20"/>
                <w:szCs w:val="20"/>
              </w:rPr>
              <w:t xml:space="preserve"> et al. 2004</w:t>
            </w:r>
          </w:p>
          <w:p w:rsidR="008F7D73" w:rsidRPr="00CC721D" w:rsidRDefault="008F7D73" w:rsidP="008F7D73">
            <w:pPr>
              <w:spacing w:after="0" w:line="240" w:lineRule="auto"/>
              <w:rPr>
                <w:sz w:val="20"/>
                <w:szCs w:val="20"/>
              </w:rPr>
            </w:pPr>
          </w:p>
        </w:tc>
        <w:tc>
          <w:tcPr>
            <w:tcW w:w="3870" w:type="dxa"/>
            <w:vAlign w:val="bottom"/>
          </w:tcPr>
          <w:p w:rsidR="008F7D73" w:rsidRPr="00CC721D" w:rsidRDefault="008F7D73" w:rsidP="008F7D73">
            <w:pPr>
              <w:spacing w:after="0" w:line="240" w:lineRule="auto"/>
              <w:rPr>
                <w:b/>
                <w:sz w:val="18"/>
                <w:szCs w:val="18"/>
              </w:rPr>
            </w:pPr>
          </w:p>
          <w:p w:rsidR="008F7D73" w:rsidRPr="00CC721D" w:rsidRDefault="008F7D73" w:rsidP="008F7D73">
            <w:pPr>
              <w:spacing w:after="0" w:line="240" w:lineRule="auto"/>
              <w:rPr>
                <w:b/>
                <w:sz w:val="18"/>
                <w:szCs w:val="18"/>
              </w:rPr>
            </w:pPr>
            <w:r w:rsidRPr="00CC721D">
              <w:rPr>
                <w:b/>
                <w:sz w:val="18"/>
                <w:szCs w:val="18"/>
              </w:rPr>
              <w:t xml:space="preserve">Strongly                    Neutral                Strongly </w:t>
            </w:r>
          </w:p>
          <w:p w:rsidR="008F7D73" w:rsidRPr="00CC721D" w:rsidRDefault="008F7D73" w:rsidP="008F7D73">
            <w:pPr>
              <w:spacing w:after="0" w:line="240" w:lineRule="auto"/>
              <w:rPr>
                <w:b/>
                <w:sz w:val="18"/>
                <w:szCs w:val="18"/>
              </w:rPr>
            </w:pPr>
            <w:r w:rsidRPr="00CC721D">
              <w:rPr>
                <w:b/>
                <w:sz w:val="18"/>
                <w:szCs w:val="18"/>
              </w:rPr>
              <w:t xml:space="preserve">Disagree                                                    Agree  </w:t>
            </w:r>
          </w:p>
        </w:tc>
      </w:tr>
      <w:tr w:rsidR="008F7D73" w:rsidRPr="00CC721D" w:rsidTr="00007EA8">
        <w:tc>
          <w:tcPr>
            <w:tcW w:w="6030" w:type="dxa"/>
          </w:tcPr>
          <w:p w:rsidR="008F7D73" w:rsidRDefault="008F7D73" w:rsidP="008F7D73">
            <w:pPr>
              <w:spacing w:after="0" w:line="240" w:lineRule="auto"/>
              <w:ind w:left="432"/>
              <w:rPr>
                <w:sz w:val="20"/>
                <w:szCs w:val="20"/>
              </w:rPr>
            </w:pPr>
          </w:p>
          <w:p w:rsidR="008F7D73" w:rsidRPr="00A65EE2" w:rsidRDefault="008F7D73" w:rsidP="00A65EE2">
            <w:pPr>
              <w:pStyle w:val="ListParagraph"/>
              <w:numPr>
                <w:ilvl w:val="0"/>
                <w:numId w:val="57"/>
              </w:numPr>
              <w:spacing w:after="0" w:line="240" w:lineRule="auto"/>
              <w:rPr>
                <w:sz w:val="20"/>
                <w:szCs w:val="20"/>
              </w:rPr>
            </w:pPr>
            <w:r w:rsidRPr="00A65EE2">
              <w:rPr>
                <w:sz w:val="20"/>
                <w:szCs w:val="20"/>
              </w:rPr>
              <w:t xml:space="preserve">Our firm effectively shares operational information between departments </w:t>
            </w:r>
          </w:p>
          <w:p w:rsidR="008F7D73" w:rsidRDefault="008F7D73" w:rsidP="008F7D73">
            <w:pPr>
              <w:spacing w:after="0" w:line="240" w:lineRule="auto"/>
              <w:ind w:left="792"/>
              <w:rPr>
                <w:sz w:val="20"/>
                <w:szCs w:val="20"/>
              </w:rPr>
            </w:pPr>
          </w:p>
          <w:p w:rsidR="008F7D73" w:rsidRPr="00A65EE2" w:rsidRDefault="008F7D73" w:rsidP="00A65EE2">
            <w:pPr>
              <w:pStyle w:val="ListParagraph"/>
              <w:numPr>
                <w:ilvl w:val="0"/>
                <w:numId w:val="57"/>
              </w:numPr>
              <w:spacing w:after="0" w:line="240" w:lineRule="auto"/>
              <w:rPr>
                <w:sz w:val="20"/>
                <w:szCs w:val="20"/>
              </w:rPr>
            </w:pPr>
            <w:r w:rsidRPr="00A65EE2">
              <w:rPr>
                <w:sz w:val="20"/>
                <w:szCs w:val="20"/>
              </w:rPr>
              <w:t>Our firm effectively shares operational information externally with selected suppliers</w:t>
            </w:r>
          </w:p>
          <w:p w:rsidR="008F7D73" w:rsidRDefault="008F7D73" w:rsidP="008F7D73">
            <w:pPr>
              <w:spacing w:after="0" w:line="240" w:lineRule="auto"/>
              <w:ind w:left="432"/>
              <w:rPr>
                <w:sz w:val="20"/>
                <w:szCs w:val="20"/>
              </w:rPr>
            </w:pPr>
          </w:p>
          <w:p w:rsidR="008F7D73" w:rsidRPr="00A65EE2" w:rsidRDefault="00D73174" w:rsidP="00A65EE2">
            <w:pPr>
              <w:pStyle w:val="ListParagraph"/>
              <w:numPr>
                <w:ilvl w:val="0"/>
                <w:numId w:val="57"/>
              </w:numPr>
              <w:spacing w:after="0" w:line="240" w:lineRule="auto"/>
              <w:rPr>
                <w:sz w:val="20"/>
                <w:szCs w:val="20"/>
              </w:rPr>
            </w:pPr>
            <w:r>
              <w:rPr>
                <w:sz w:val="20"/>
                <w:szCs w:val="20"/>
              </w:rPr>
              <w:t>Logistics databases are integrated across applications within our firm</w:t>
            </w:r>
          </w:p>
          <w:p w:rsidR="008F7D73" w:rsidRDefault="008F7D73" w:rsidP="008F7D73">
            <w:pPr>
              <w:spacing w:after="0" w:line="240" w:lineRule="auto"/>
              <w:rPr>
                <w:sz w:val="20"/>
                <w:szCs w:val="20"/>
              </w:rPr>
            </w:pPr>
          </w:p>
          <w:p w:rsidR="008F7D73" w:rsidRPr="00A65EE2" w:rsidRDefault="00D73174" w:rsidP="00A65EE2">
            <w:pPr>
              <w:pStyle w:val="ListParagraph"/>
              <w:numPr>
                <w:ilvl w:val="0"/>
                <w:numId w:val="57"/>
              </w:numPr>
              <w:spacing w:after="0" w:line="240" w:lineRule="auto"/>
              <w:rPr>
                <w:sz w:val="20"/>
                <w:szCs w:val="20"/>
              </w:rPr>
            </w:pPr>
            <w:r>
              <w:rPr>
                <w:sz w:val="20"/>
                <w:szCs w:val="20"/>
              </w:rPr>
              <w:t>Our firm’s logistics information systems capture and maintain timely data</w:t>
            </w:r>
          </w:p>
          <w:p w:rsidR="008F7D73" w:rsidRDefault="008F7D73" w:rsidP="008F7D73">
            <w:pPr>
              <w:spacing w:after="0" w:line="240" w:lineRule="auto"/>
              <w:rPr>
                <w:sz w:val="20"/>
                <w:szCs w:val="20"/>
              </w:rPr>
            </w:pPr>
          </w:p>
          <w:p w:rsidR="008F7D73" w:rsidRDefault="008F7D73" w:rsidP="00A65EE2">
            <w:pPr>
              <w:pStyle w:val="ListParagraph"/>
              <w:numPr>
                <w:ilvl w:val="0"/>
                <w:numId w:val="57"/>
              </w:numPr>
              <w:spacing w:after="0" w:line="240" w:lineRule="auto"/>
              <w:rPr>
                <w:sz w:val="20"/>
                <w:szCs w:val="20"/>
              </w:rPr>
            </w:pPr>
            <w:r w:rsidRPr="00A65EE2">
              <w:rPr>
                <w:sz w:val="20"/>
                <w:szCs w:val="20"/>
              </w:rPr>
              <w:t>Logistics information systems in our firm are being extended to include more integrated applications</w:t>
            </w:r>
          </w:p>
          <w:p w:rsidR="00D73174" w:rsidRPr="00D73174" w:rsidRDefault="00D73174" w:rsidP="00D73174">
            <w:pPr>
              <w:spacing w:after="0" w:line="240" w:lineRule="auto"/>
              <w:rPr>
                <w:sz w:val="20"/>
                <w:szCs w:val="20"/>
              </w:rPr>
            </w:pPr>
          </w:p>
          <w:p w:rsidR="00D73174" w:rsidRDefault="00D73174" w:rsidP="00A65EE2">
            <w:pPr>
              <w:pStyle w:val="ListParagraph"/>
              <w:numPr>
                <w:ilvl w:val="0"/>
                <w:numId w:val="57"/>
              </w:numPr>
              <w:spacing w:after="0" w:line="240" w:lineRule="auto"/>
              <w:rPr>
                <w:sz w:val="20"/>
                <w:szCs w:val="20"/>
              </w:rPr>
            </w:pPr>
            <w:r>
              <w:rPr>
                <w:sz w:val="20"/>
                <w:szCs w:val="20"/>
              </w:rPr>
              <w:t>The information available in our firm is accurate</w:t>
            </w:r>
          </w:p>
          <w:p w:rsidR="00D73174" w:rsidRPr="00D73174" w:rsidRDefault="00D73174" w:rsidP="00D73174">
            <w:pPr>
              <w:spacing w:after="0" w:line="240" w:lineRule="auto"/>
              <w:rPr>
                <w:sz w:val="20"/>
                <w:szCs w:val="20"/>
              </w:rPr>
            </w:pPr>
          </w:p>
          <w:p w:rsidR="00D73174" w:rsidRPr="00D73174" w:rsidRDefault="00D73174" w:rsidP="00D73174">
            <w:pPr>
              <w:pStyle w:val="ListParagraph"/>
              <w:numPr>
                <w:ilvl w:val="0"/>
                <w:numId w:val="57"/>
              </w:numPr>
              <w:spacing w:after="0" w:line="240" w:lineRule="auto"/>
              <w:rPr>
                <w:sz w:val="20"/>
                <w:szCs w:val="20"/>
              </w:rPr>
            </w:pPr>
            <w:r>
              <w:rPr>
                <w:sz w:val="20"/>
                <w:szCs w:val="20"/>
              </w:rPr>
              <w:t>Our firm has invested in technology designed to facilitate cross-organizational data exchange</w:t>
            </w:r>
          </w:p>
          <w:p w:rsidR="00D73174" w:rsidRDefault="00D73174" w:rsidP="00D73174">
            <w:pPr>
              <w:pStyle w:val="ListParagraph"/>
              <w:spacing w:after="0" w:line="240" w:lineRule="auto"/>
              <w:rPr>
                <w:sz w:val="20"/>
                <w:szCs w:val="20"/>
              </w:rPr>
            </w:pPr>
          </w:p>
          <w:p w:rsidR="00D73174" w:rsidRDefault="00D73174" w:rsidP="00A65EE2">
            <w:pPr>
              <w:pStyle w:val="ListParagraph"/>
              <w:numPr>
                <w:ilvl w:val="0"/>
                <w:numId w:val="57"/>
              </w:numPr>
              <w:spacing w:after="0" w:line="240" w:lineRule="auto"/>
              <w:rPr>
                <w:sz w:val="20"/>
                <w:szCs w:val="20"/>
              </w:rPr>
            </w:pPr>
            <w:r>
              <w:rPr>
                <w:sz w:val="20"/>
                <w:szCs w:val="20"/>
              </w:rPr>
              <w:t>Our firm has adequate ability to share customized information internally</w:t>
            </w:r>
          </w:p>
          <w:p w:rsidR="00D73174" w:rsidRPr="00D73174" w:rsidRDefault="00D73174" w:rsidP="00D73174">
            <w:pPr>
              <w:spacing w:after="0" w:line="240" w:lineRule="auto"/>
              <w:rPr>
                <w:sz w:val="20"/>
                <w:szCs w:val="20"/>
              </w:rPr>
            </w:pPr>
          </w:p>
          <w:p w:rsidR="00D73174" w:rsidRDefault="00D73174" w:rsidP="00A65EE2">
            <w:pPr>
              <w:pStyle w:val="ListParagraph"/>
              <w:numPr>
                <w:ilvl w:val="0"/>
                <w:numId w:val="57"/>
              </w:numPr>
              <w:spacing w:after="0" w:line="240" w:lineRule="auto"/>
              <w:rPr>
                <w:sz w:val="20"/>
                <w:szCs w:val="20"/>
              </w:rPr>
            </w:pPr>
            <w:r>
              <w:rPr>
                <w:sz w:val="20"/>
                <w:szCs w:val="20"/>
              </w:rPr>
              <w:t>Our firm has adequate ability to share information externally with key suppliers</w:t>
            </w:r>
          </w:p>
          <w:p w:rsidR="008F7D73" w:rsidRPr="00CC721D" w:rsidRDefault="008F7D73" w:rsidP="000523DF">
            <w:pPr>
              <w:spacing w:after="0" w:line="240" w:lineRule="auto"/>
              <w:rPr>
                <w:sz w:val="20"/>
                <w:szCs w:val="20"/>
              </w:rPr>
            </w:pPr>
          </w:p>
        </w:tc>
        <w:tc>
          <w:tcPr>
            <w:tcW w:w="3870" w:type="dxa"/>
          </w:tcPr>
          <w:p w:rsidR="008F7D73" w:rsidRPr="00CC721D" w:rsidRDefault="008F7D73" w:rsidP="008F7D73">
            <w:pPr>
              <w:spacing w:after="0" w:line="240" w:lineRule="auto"/>
              <w:rPr>
                <w:b/>
                <w:sz w:val="20"/>
                <w:szCs w:val="20"/>
              </w:rPr>
            </w:pPr>
          </w:p>
          <w:p w:rsidR="008F7D73" w:rsidRPr="00CC721D" w:rsidRDefault="008F7D73" w:rsidP="008F7D73">
            <w:pPr>
              <w:spacing w:after="0" w:line="240" w:lineRule="auto"/>
              <w:rPr>
                <w:b/>
                <w:sz w:val="20"/>
                <w:szCs w:val="20"/>
              </w:rPr>
            </w:pPr>
            <w:r w:rsidRPr="00CC721D">
              <w:rPr>
                <w:b/>
                <w:sz w:val="20"/>
                <w:szCs w:val="20"/>
              </w:rPr>
              <w:t xml:space="preserve">  </w:t>
            </w:r>
          </w:p>
          <w:p w:rsidR="008F7D73" w:rsidRPr="00CC721D" w:rsidRDefault="008F7D73" w:rsidP="008F7D73">
            <w:pPr>
              <w:spacing w:after="0" w:line="240" w:lineRule="auto"/>
              <w:rPr>
                <w:b/>
                <w:sz w:val="20"/>
                <w:szCs w:val="20"/>
              </w:rPr>
            </w:pPr>
            <w:r w:rsidRPr="00CC721D">
              <w:rPr>
                <w:b/>
                <w:sz w:val="20"/>
                <w:szCs w:val="20"/>
              </w:rPr>
              <w:t xml:space="preserve">  1          2          3        4        5        6        7 </w:t>
            </w:r>
          </w:p>
          <w:p w:rsidR="008F7D73" w:rsidRPr="00CC721D" w:rsidRDefault="008F7D73" w:rsidP="008F7D73">
            <w:pPr>
              <w:spacing w:after="0" w:line="240" w:lineRule="auto"/>
              <w:rPr>
                <w:b/>
                <w:sz w:val="20"/>
                <w:szCs w:val="20"/>
              </w:rPr>
            </w:pPr>
          </w:p>
          <w:p w:rsidR="008F7D73" w:rsidRDefault="008F7D73" w:rsidP="008F7D73">
            <w:pPr>
              <w:spacing w:after="0" w:line="240" w:lineRule="auto"/>
              <w:rPr>
                <w:b/>
                <w:sz w:val="20"/>
                <w:szCs w:val="20"/>
              </w:rPr>
            </w:pPr>
            <w:r w:rsidRPr="00CC721D">
              <w:rPr>
                <w:b/>
                <w:sz w:val="20"/>
                <w:szCs w:val="20"/>
              </w:rPr>
              <w:t xml:space="preserve"> </w:t>
            </w:r>
          </w:p>
          <w:p w:rsidR="008F7D73" w:rsidRPr="00CC721D" w:rsidRDefault="008F7D73" w:rsidP="008F7D73">
            <w:pPr>
              <w:spacing w:after="0" w:line="240" w:lineRule="auto"/>
              <w:rPr>
                <w:b/>
                <w:sz w:val="20"/>
                <w:szCs w:val="20"/>
              </w:rPr>
            </w:pPr>
            <w:r>
              <w:rPr>
                <w:b/>
                <w:sz w:val="20"/>
                <w:szCs w:val="20"/>
              </w:rPr>
              <w:t xml:space="preserve">  </w:t>
            </w:r>
            <w:r w:rsidRPr="00CC721D">
              <w:rPr>
                <w:b/>
                <w:sz w:val="20"/>
                <w:szCs w:val="20"/>
              </w:rPr>
              <w:t xml:space="preserve">1          2          3        4        5        6        7 </w:t>
            </w:r>
          </w:p>
          <w:p w:rsidR="008F7D73" w:rsidRDefault="008F7D73" w:rsidP="008F7D73">
            <w:pPr>
              <w:spacing w:after="0" w:line="240" w:lineRule="auto"/>
              <w:rPr>
                <w:b/>
                <w:sz w:val="20"/>
                <w:szCs w:val="20"/>
              </w:rPr>
            </w:pPr>
          </w:p>
          <w:p w:rsidR="008F7D73" w:rsidRDefault="008F7D73" w:rsidP="008F7D73">
            <w:pPr>
              <w:spacing w:after="0" w:line="240" w:lineRule="auto"/>
              <w:rPr>
                <w:b/>
                <w:sz w:val="20"/>
                <w:szCs w:val="20"/>
              </w:rPr>
            </w:pPr>
          </w:p>
          <w:p w:rsidR="008F7D73" w:rsidRDefault="008F7D73" w:rsidP="008F7D73">
            <w:pPr>
              <w:spacing w:after="0" w:line="240" w:lineRule="auto"/>
              <w:rPr>
                <w:b/>
                <w:sz w:val="20"/>
                <w:szCs w:val="20"/>
              </w:rPr>
            </w:pPr>
            <w:r w:rsidRPr="00CC721D">
              <w:rPr>
                <w:b/>
                <w:sz w:val="20"/>
                <w:szCs w:val="20"/>
              </w:rPr>
              <w:t xml:space="preserve">  1          2          3        4        5        6        7</w:t>
            </w:r>
          </w:p>
          <w:p w:rsidR="008F7D73" w:rsidRDefault="008F7D73" w:rsidP="008F7D73">
            <w:pPr>
              <w:spacing w:after="0" w:line="240" w:lineRule="auto"/>
              <w:rPr>
                <w:b/>
                <w:sz w:val="20"/>
                <w:szCs w:val="20"/>
              </w:rPr>
            </w:pPr>
          </w:p>
          <w:p w:rsidR="00A65EE2" w:rsidRPr="00CC721D" w:rsidRDefault="00A65EE2" w:rsidP="008F7D73">
            <w:pPr>
              <w:spacing w:after="0" w:line="240" w:lineRule="auto"/>
              <w:rPr>
                <w:b/>
                <w:sz w:val="20"/>
                <w:szCs w:val="20"/>
              </w:rPr>
            </w:pPr>
          </w:p>
          <w:p w:rsidR="008F7D73" w:rsidRDefault="008F7D73" w:rsidP="008F7D73">
            <w:pPr>
              <w:spacing w:after="0" w:line="240" w:lineRule="auto"/>
              <w:rPr>
                <w:b/>
                <w:sz w:val="20"/>
                <w:szCs w:val="20"/>
              </w:rPr>
            </w:pPr>
            <w:r w:rsidRPr="00CC721D">
              <w:rPr>
                <w:b/>
                <w:sz w:val="20"/>
                <w:szCs w:val="20"/>
              </w:rPr>
              <w:t xml:space="preserve"> </w:t>
            </w:r>
            <w:r>
              <w:rPr>
                <w:b/>
                <w:sz w:val="20"/>
                <w:szCs w:val="20"/>
              </w:rPr>
              <w:t xml:space="preserve"> </w:t>
            </w:r>
            <w:r w:rsidRPr="00CC721D">
              <w:rPr>
                <w:b/>
                <w:sz w:val="20"/>
                <w:szCs w:val="20"/>
              </w:rPr>
              <w:t xml:space="preserve">1          2          3        4        5        6        7 </w:t>
            </w:r>
          </w:p>
          <w:p w:rsidR="008F7D73" w:rsidRDefault="008F7D73" w:rsidP="008F7D73">
            <w:pPr>
              <w:spacing w:after="0" w:line="240" w:lineRule="auto"/>
              <w:rPr>
                <w:b/>
                <w:sz w:val="20"/>
                <w:szCs w:val="20"/>
              </w:rPr>
            </w:pPr>
            <w:r w:rsidRPr="00CC721D">
              <w:rPr>
                <w:b/>
                <w:sz w:val="20"/>
                <w:szCs w:val="20"/>
              </w:rPr>
              <w:t xml:space="preserve"> </w:t>
            </w:r>
          </w:p>
          <w:p w:rsidR="008F7D73" w:rsidRDefault="008F7D73" w:rsidP="008F7D73">
            <w:pPr>
              <w:spacing w:after="0" w:line="240" w:lineRule="auto"/>
              <w:rPr>
                <w:b/>
                <w:sz w:val="20"/>
                <w:szCs w:val="20"/>
              </w:rPr>
            </w:pPr>
            <w:r w:rsidRPr="00CC721D">
              <w:rPr>
                <w:b/>
                <w:sz w:val="20"/>
                <w:szCs w:val="20"/>
              </w:rPr>
              <w:t xml:space="preserve"> </w:t>
            </w:r>
          </w:p>
          <w:p w:rsidR="00D73174" w:rsidRDefault="008F7D73" w:rsidP="008F7D73">
            <w:pPr>
              <w:spacing w:after="0" w:line="240" w:lineRule="auto"/>
              <w:rPr>
                <w:b/>
                <w:sz w:val="20"/>
                <w:szCs w:val="20"/>
              </w:rPr>
            </w:pPr>
            <w:r>
              <w:rPr>
                <w:b/>
                <w:sz w:val="20"/>
                <w:szCs w:val="20"/>
              </w:rPr>
              <w:t xml:space="preserve">  </w:t>
            </w:r>
            <w:r w:rsidRPr="00CC721D">
              <w:rPr>
                <w:b/>
                <w:sz w:val="20"/>
                <w:szCs w:val="20"/>
              </w:rPr>
              <w:t xml:space="preserve">1          2          3        4        5        6        7  </w:t>
            </w:r>
          </w:p>
          <w:p w:rsidR="00D73174" w:rsidRDefault="00D73174" w:rsidP="008F7D73">
            <w:pPr>
              <w:spacing w:after="0" w:line="240" w:lineRule="auto"/>
              <w:rPr>
                <w:b/>
                <w:sz w:val="20"/>
                <w:szCs w:val="20"/>
              </w:rPr>
            </w:pPr>
          </w:p>
          <w:p w:rsidR="00D73174" w:rsidRDefault="008F7D73" w:rsidP="008F7D73">
            <w:pPr>
              <w:spacing w:after="0" w:line="240" w:lineRule="auto"/>
              <w:rPr>
                <w:b/>
                <w:sz w:val="20"/>
                <w:szCs w:val="20"/>
              </w:rPr>
            </w:pPr>
            <w:r w:rsidRPr="00CC721D">
              <w:rPr>
                <w:b/>
                <w:sz w:val="20"/>
                <w:szCs w:val="20"/>
              </w:rPr>
              <w:t xml:space="preserve">  </w:t>
            </w:r>
            <w:r w:rsidR="00D73174" w:rsidRPr="00CC721D">
              <w:rPr>
                <w:b/>
                <w:sz w:val="20"/>
                <w:szCs w:val="20"/>
              </w:rPr>
              <w:t xml:space="preserve">1          2          3        4        5        6        7     </w:t>
            </w:r>
          </w:p>
          <w:p w:rsidR="00D73174" w:rsidRDefault="00D73174" w:rsidP="008F7D73">
            <w:pPr>
              <w:spacing w:after="0" w:line="240" w:lineRule="auto"/>
              <w:rPr>
                <w:b/>
                <w:sz w:val="20"/>
                <w:szCs w:val="20"/>
              </w:rPr>
            </w:pPr>
          </w:p>
          <w:p w:rsidR="00D73174" w:rsidRDefault="00D73174" w:rsidP="008F7D73">
            <w:pPr>
              <w:spacing w:after="0" w:line="240" w:lineRule="auto"/>
              <w:rPr>
                <w:b/>
                <w:sz w:val="20"/>
                <w:szCs w:val="20"/>
              </w:rPr>
            </w:pPr>
          </w:p>
          <w:p w:rsidR="00D73174" w:rsidRDefault="008F7D73" w:rsidP="008F7D73">
            <w:pPr>
              <w:spacing w:after="0" w:line="240" w:lineRule="auto"/>
              <w:rPr>
                <w:b/>
                <w:sz w:val="20"/>
                <w:szCs w:val="20"/>
              </w:rPr>
            </w:pPr>
            <w:r w:rsidRPr="00CC721D">
              <w:rPr>
                <w:b/>
                <w:sz w:val="20"/>
                <w:szCs w:val="20"/>
              </w:rPr>
              <w:t xml:space="preserve"> </w:t>
            </w:r>
            <w:r w:rsidR="00D73174">
              <w:rPr>
                <w:b/>
                <w:sz w:val="20"/>
                <w:szCs w:val="20"/>
              </w:rPr>
              <w:t xml:space="preserve"> </w:t>
            </w:r>
            <w:r w:rsidR="00D73174" w:rsidRPr="00CC721D">
              <w:rPr>
                <w:b/>
                <w:sz w:val="20"/>
                <w:szCs w:val="20"/>
              </w:rPr>
              <w:t xml:space="preserve">1          2          3        4        5        6        7     </w:t>
            </w:r>
          </w:p>
          <w:p w:rsidR="00D73174" w:rsidRDefault="00D73174" w:rsidP="008F7D73">
            <w:pPr>
              <w:spacing w:after="0" w:line="240" w:lineRule="auto"/>
              <w:rPr>
                <w:b/>
                <w:sz w:val="20"/>
                <w:szCs w:val="20"/>
              </w:rPr>
            </w:pPr>
          </w:p>
          <w:p w:rsidR="00D73174" w:rsidRDefault="00D73174" w:rsidP="008F7D73">
            <w:pPr>
              <w:spacing w:after="0" w:line="240" w:lineRule="auto"/>
              <w:rPr>
                <w:b/>
                <w:sz w:val="20"/>
                <w:szCs w:val="20"/>
              </w:rPr>
            </w:pPr>
          </w:p>
          <w:p w:rsidR="00D73174" w:rsidRDefault="00D73174" w:rsidP="008F7D73">
            <w:pPr>
              <w:spacing w:after="0" w:line="240" w:lineRule="auto"/>
              <w:rPr>
                <w:b/>
                <w:sz w:val="20"/>
                <w:szCs w:val="20"/>
              </w:rPr>
            </w:pPr>
            <w:r>
              <w:rPr>
                <w:b/>
                <w:sz w:val="20"/>
                <w:szCs w:val="20"/>
              </w:rPr>
              <w:t xml:space="preserve">  </w:t>
            </w:r>
            <w:r w:rsidRPr="00CC721D">
              <w:rPr>
                <w:b/>
                <w:sz w:val="20"/>
                <w:szCs w:val="20"/>
              </w:rPr>
              <w:t xml:space="preserve">1          2          3        4        5        6        7   </w:t>
            </w:r>
          </w:p>
          <w:p w:rsidR="00D73174" w:rsidRDefault="00D73174" w:rsidP="008F7D73">
            <w:pPr>
              <w:spacing w:after="0" w:line="240" w:lineRule="auto"/>
              <w:rPr>
                <w:b/>
                <w:sz w:val="20"/>
                <w:szCs w:val="20"/>
              </w:rPr>
            </w:pPr>
          </w:p>
          <w:p w:rsidR="00D73174" w:rsidRDefault="00D73174" w:rsidP="008F7D73">
            <w:pPr>
              <w:spacing w:after="0" w:line="240" w:lineRule="auto"/>
              <w:rPr>
                <w:b/>
                <w:sz w:val="20"/>
                <w:szCs w:val="20"/>
              </w:rPr>
            </w:pPr>
          </w:p>
          <w:p w:rsidR="008F7D73" w:rsidRPr="00CC721D" w:rsidRDefault="00D73174" w:rsidP="008F7D73">
            <w:pPr>
              <w:spacing w:after="0" w:line="240" w:lineRule="auto"/>
              <w:rPr>
                <w:b/>
                <w:sz w:val="20"/>
                <w:szCs w:val="20"/>
              </w:rPr>
            </w:pPr>
            <w:r>
              <w:rPr>
                <w:b/>
                <w:sz w:val="20"/>
                <w:szCs w:val="20"/>
              </w:rPr>
              <w:t xml:space="preserve">  </w:t>
            </w:r>
            <w:r w:rsidRPr="00CC721D">
              <w:rPr>
                <w:b/>
                <w:sz w:val="20"/>
                <w:szCs w:val="20"/>
              </w:rPr>
              <w:t xml:space="preserve">1          2          3        4        5        6        7  </w:t>
            </w:r>
          </w:p>
        </w:tc>
      </w:tr>
    </w:tbl>
    <w:p w:rsidR="008F7D73" w:rsidRDefault="008F7D73" w:rsidP="008F7D73">
      <w:pPr>
        <w:spacing w:after="0" w:line="240" w:lineRule="auto"/>
        <w:rPr>
          <w:b/>
        </w:rPr>
      </w:pPr>
    </w:p>
    <w:p w:rsidR="00CD436F" w:rsidRPr="00AA4314" w:rsidRDefault="00CD436F" w:rsidP="00CD436F">
      <w:pPr>
        <w:spacing w:after="0" w:line="480" w:lineRule="auto"/>
      </w:pPr>
      <w:r>
        <w:rPr>
          <w:b/>
        </w:rPr>
        <w:t>Environmental Uncertainty</w:t>
      </w:r>
    </w:p>
    <w:p w:rsidR="00CD436F" w:rsidRDefault="00CD436F" w:rsidP="00CD436F">
      <w:pPr>
        <w:spacing w:after="0" w:line="480" w:lineRule="auto"/>
      </w:pPr>
      <w:r>
        <w:rPr>
          <w:b/>
        </w:rPr>
        <w:tab/>
      </w:r>
      <w:r w:rsidRPr="00AA4314">
        <w:t>The most popular operationalization of environmental uncertainty focuses on the unpredictability of the environment (</w:t>
      </w:r>
      <w:proofErr w:type="spellStart"/>
      <w:r w:rsidRPr="00AA4314">
        <w:t>Rindfleisch</w:t>
      </w:r>
      <w:proofErr w:type="spellEnd"/>
      <w:r w:rsidRPr="00AA4314">
        <w:t xml:space="preserve"> and </w:t>
      </w:r>
      <w:proofErr w:type="spellStart"/>
      <w:r w:rsidRPr="00AA4314">
        <w:t>Heide</w:t>
      </w:r>
      <w:proofErr w:type="spellEnd"/>
      <w:r w:rsidRPr="00AA4314">
        <w:t xml:space="preserve"> 1997).</w:t>
      </w:r>
      <w:r>
        <w:t xml:space="preserve"> For example, Anderson (1985, 1988) employed a nine-item scale that addressed elements related to both the instability associated with environmental dynamism such as complexity or volatility, and the dangers of venturing into new activities such as entering new markets. </w:t>
      </w:r>
      <w:proofErr w:type="spellStart"/>
      <w:r>
        <w:t>Heide</w:t>
      </w:r>
      <w:proofErr w:type="spellEnd"/>
      <w:r>
        <w:t xml:space="preserve"> and John (1990) also conceptualize environmental uncertainty as unpredictability, but differ from </w:t>
      </w:r>
      <w:smartTag w:uri="urn:schemas-microsoft-com:office:smarttags" w:element="City">
        <w:smartTag w:uri="urn:schemas-microsoft-com:office:smarttags" w:element="place">
          <w:r>
            <w:t>Anderson</w:t>
          </w:r>
        </w:smartTag>
      </w:smartTag>
      <w:r>
        <w:t xml:space="preserve"> by specifying technological and volume unpredictability. Similar scales were also employed by other authors (Stump and </w:t>
      </w:r>
      <w:proofErr w:type="spellStart"/>
      <w:r>
        <w:t>Heide</w:t>
      </w:r>
      <w:proofErr w:type="spellEnd"/>
      <w:r>
        <w:t xml:space="preserve"> 1996, John and </w:t>
      </w:r>
      <w:proofErr w:type="spellStart"/>
      <w:r>
        <w:t>Weitz</w:t>
      </w:r>
      <w:proofErr w:type="spellEnd"/>
      <w:r>
        <w:t xml:space="preserve"> 1989). More recently, environmental uncertainty has been </w:t>
      </w:r>
      <w:proofErr w:type="spellStart"/>
      <w:r>
        <w:t>operationalized</w:t>
      </w:r>
      <w:proofErr w:type="spellEnd"/>
      <w:r>
        <w:t xml:space="preserve"> in terms of combination of demand, supply and technological uncertainty (</w:t>
      </w:r>
      <w:proofErr w:type="spellStart"/>
      <w:r>
        <w:t>Fynes</w:t>
      </w:r>
      <w:proofErr w:type="spellEnd"/>
      <w:r>
        <w:t xml:space="preserve"> et al. 2004, Chen and </w:t>
      </w:r>
      <w:proofErr w:type="spellStart"/>
      <w:r>
        <w:t>Paulraj</w:t>
      </w:r>
      <w:proofErr w:type="spellEnd"/>
      <w:r>
        <w:t xml:space="preserve"> 2004, Slater and </w:t>
      </w:r>
      <w:proofErr w:type="spellStart"/>
      <w:r>
        <w:t>Naver</w:t>
      </w:r>
      <w:proofErr w:type="spellEnd"/>
      <w:r>
        <w:t xml:space="preserve"> 1994).   </w:t>
      </w:r>
    </w:p>
    <w:p w:rsidR="00CD436F" w:rsidRDefault="00CD436F" w:rsidP="00CD436F">
      <w:pPr>
        <w:spacing w:after="0" w:line="480" w:lineRule="auto"/>
        <w:jc w:val="center"/>
        <w:rPr>
          <w:b/>
        </w:rPr>
      </w:pPr>
    </w:p>
    <w:p w:rsidR="00CD436F" w:rsidRDefault="00CD436F" w:rsidP="00CD436F">
      <w:pPr>
        <w:spacing w:after="0" w:line="480" w:lineRule="auto"/>
        <w:jc w:val="center"/>
        <w:rPr>
          <w:b/>
        </w:rPr>
      </w:pPr>
      <w:r>
        <w:rPr>
          <w:b/>
        </w:rPr>
        <w:t>Table 3.3</w:t>
      </w:r>
      <w:r w:rsidRPr="00945A99">
        <w:rPr>
          <w:b/>
        </w:rPr>
        <w:t xml:space="preserve"> Measurement of </w:t>
      </w:r>
      <w:r>
        <w:rPr>
          <w:b/>
        </w:rPr>
        <w:t>Environmental Uncertainty</w:t>
      </w:r>
    </w:p>
    <w:p w:rsidR="00CD436F" w:rsidRPr="003204F2" w:rsidRDefault="00CD436F" w:rsidP="00CD436F">
      <w:pPr>
        <w:spacing w:after="0" w:line="240" w:lineRule="auto"/>
        <w:rPr>
          <w:i/>
        </w:rPr>
      </w:pPr>
      <w:r w:rsidRPr="003204F2">
        <w:rPr>
          <w:i/>
        </w:rPr>
        <w:t>Please evaluate the following aspects of your firm’s external environment:</w:t>
      </w: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120"/>
        <w:gridCol w:w="3780"/>
      </w:tblGrid>
      <w:tr w:rsidR="00CD436F" w:rsidRPr="00CC721D" w:rsidTr="00007EA8">
        <w:tc>
          <w:tcPr>
            <w:tcW w:w="6120" w:type="dxa"/>
          </w:tcPr>
          <w:p w:rsidR="00CD436F" w:rsidRPr="00CC721D" w:rsidRDefault="00CD436F" w:rsidP="00CD436F">
            <w:pPr>
              <w:spacing w:after="0" w:line="240" w:lineRule="auto"/>
              <w:rPr>
                <w:b/>
                <w:sz w:val="20"/>
                <w:szCs w:val="20"/>
              </w:rPr>
            </w:pPr>
          </w:p>
          <w:p w:rsidR="00CD436F" w:rsidRDefault="00CD436F" w:rsidP="00CD436F">
            <w:pPr>
              <w:spacing w:after="0" w:line="240" w:lineRule="auto"/>
              <w:rPr>
                <w:sz w:val="20"/>
                <w:szCs w:val="20"/>
              </w:rPr>
            </w:pPr>
            <w:r>
              <w:rPr>
                <w:b/>
                <w:sz w:val="20"/>
                <w:szCs w:val="20"/>
              </w:rPr>
              <w:t>Environmental Uncertainty (EU)</w:t>
            </w:r>
            <w:r w:rsidRPr="00CC721D">
              <w:rPr>
                <w:sz w:val="20"/>
                <w:szCs w:val="20"/>
              </w:rPr>
              <w:t xml:space="preserve"> </w:t>
            </w:r>
            <w:r>
              <w:rPr>
                <w:sz w:val="20"/>
                <w:szCs w:val="20"/>
              </w:rPr>
              <w:t>– ad</w:t>
            </w:r>
            <w:r w:rsidRPr="00D96979">
              <w:rPr>
                <w:sz w:val="20"/>
                <w:szCs w:val="20"/>
              </w:rPr>
              <w:t xml:space="preserve">apted from </w:t>
            </w:r>
            <w:proofErr w:type="spellStart"/>
            <w:r w:rsidRPr="00D96979">
              <w:rPr>
                <w:sz w:val="20"/>
                <w:szCs w:val="20"/>
              </w:rPr>
              <w:t>Fynes</w:t>
            </w:r>
            <w:proofErr w:type="spellEnd"/>
            <w:r w:rsidRPr="00D96979">
              <w:rPr>
                <w:sz w:val="20"/>
                <w:szCs w:val="20"/>
              </w:rPr>
              <w:t xml:space="preserve"> et al. 2004, Chen and </w:t>
            </w:r>
            <w:proofErr w:type="spellStart"/>
            <w:r w:rsidRPr="00D96979">
              <w:rPr>
                <w:sz w:val="20"/>
                <w:szCs w:val="20"/>
              </w:rPr>
              <w:t>Paulraj</w:t>
            </w:r>
            <w:proofErr w:type="spellEnd"/>
            <w:r w:rsidRPr="00D96979">
              <w:rPr>
                <w:sz w:val="20"/>
                <w:szCs w:val="20"/>
              </w:rPr>
              <w:t xml:space="preserve"> 2004, Slater and </w:t>
            </w:r>
            <w:proofErr w:type="spellStart"/>
            <w:r w:rsidRPr="00D96979">
              <w:rPr>
                <w:sz w:val="20"/>
                <w:szCs w:val="20"/>
              </w:rPr>
              <w:t>Naver</w:t>
            </w:r>
            <w:proofErr w:type="spellEnd"/>
            <w:r w:rsidRPr="00D96979">
              <w:rPr>
                <w:sz w:val="20"/>
                <w:szCs w:val="20"/>
              </w:rPr>
              <w:t xml:space="preserve"> 1994</w:t>
            </w:r>
          </w:p>
          <w:p w:rsidR="00CD436F" w:rsidRPr="00CC721D" w:rsidRDefault="00CD436F" w:rsidP="00CD436F">
            <w:pPr>
              <w:spacing w:after="0" w:line="240" w:lineRule="auto"/>
              <w:rPr>
                <w:sz w:val="20"/>
                <w:szCs w:val="20"/>
              </w:rPr>
            </w:pPr>
          </w:p>
        </w:tc>
        <w:tc>
          <w:tcPr>
            <w:tcW w:w="3780" w:type="dxa"/>
            <w:vAlign w:val="bottom"/>
          </w:tcPr>
          <w:p w:rsidR="00CD436F" w:rsidRPr="00CC721D" w:rsidRDefault="00CD436F" w:rsidP="00CD436F">
            <w:pPr>
              <w:spacing w:after="0" w:line="240" w:lineRule="auto"/>
              <w:rPr>
                <w:b/>
                <w:sz w:val="18"/>
                <w:szCs w:val="18"/>
              </w:rPr>
            </w:pPr>
          </w:p>
          <w:p w:rsidR="00CD436F" w:rsidRPr="00CC721D" w:rsidRDefault="00CD436F" w:rsidP="00CD436F">
            <w:pPr>
              <w:spacing w:after="0" w:line="240" w:lineRule="auto"/>
              <w:rPr>
                <w:b/>
                <w:sz w:val="18"/>
                <w:szCs w:val="18"/>
              </w:rPr>
            </w:pPr>
            <w:r w:rsidRPr="00CC721D">
              <w:rPr>
                <w:b/>
                <w:sz w:val="18"/>
                <w:szCs w:val="18"/>
              </w:rPr>
              <w:t xml:space="preserve">Strongly                    Neutral                Strongly </w:t>
            </w:r>
          </w:p>
          <w:p w:rsidR="00CD436F" w:rsidRPr="00CC721D" w:rsidRDefault="00CD436F" w:rsidP="00CD436F">
            <w:pPr>
              <w:spacing w:after="0" w:line="240" w:lineRule="auto"/>
              <w:rPr>
                <w:b/>
                <w:sz w:val="18"/>
                <w:szCs w:val="18"/>
              </w:rPr>
            </w:pPr>
            <w:r w:rsidRPr="00CC721D">
              <w:rPr>
                <w:b/>
                <w:sz w:val="18"/>
                <w:szCs w:val="18"/>
              </w:rPr>
              <w:t xml:space="preserve">Disagree                                                    Agree  </w:t>
            </w:r>
          </w:p>
        </w:tc>
      </w:tr>
      <w:tr w:rsidR="00CD436F" w:rsidRPr="00CC721D" w:rsidTr="00007EA8">
        <w:tc>
          <w:tcPr>
            <w:tcW w:w="6120" w:type="dxa"/>
          </w:tcPr>
          <w:p w:rsidR="00CD436F" w:rsidRPr="00CC721D" w:rsidRDefault="00CD436F" w:rsidP="00CD436F">
            <w:pPr>
              <w:spacing w:after="0" w:line="240" w:lineRule="auto"/>
              <w:ind w:left="72"/>
              <w:rPr>
                <w:sz w:val="20"/>
                <w:szCs w:val="20"/>
              </w:rPr>
            </w:pPr>
          </w:p>
          <w:p w:rsidR="00CD436F" w:rsidRPr="00A65EE2" w:rsidRDefault="00CD436F" w:rsidP="00A65EE2">
            <w:pPr>
              <w:pStyle w:val="ListParagraph"/>
              <w:numPr>
                <w:ilvl w:val="0"/>
                <w:numId w:val="56"/>
              </w:numPr>
              <w:spacing w:after="0" w:line="240" w:lineRule="auto"/>
              <w:rPr>
                <w:sz w:val="20"/>
                <w:szCs w:val="20"/>
              </w:rPr>
            </w:pPr>
            <w:r w:rsidRPr="00A65EE2">
              <w:rPr>
                <w:sz w:val="20"/>
                <w:szCs w:val="20"/>
              </w:rPr>
              <w:t>Our demand fluctuates drastically from week to week.</w:t>
            </w:r>
          </w:p>
          <w:p w:rsidR="00CD436F" w:rsidRPr="00CC721D" w:rsidRDefault="00CD436F" w:rsidP="00CD436F">
            <w:pPr>
              <w:spacing w:after="0" w:line="240" w:lineRule="auto"/>
              <w:ind w:left="432"/>
              <w:rPr>
                <w:sz w:val="20"/>
                <w:szCs w:val="20"/>
              </w:rPr>
            </w:pPr>
          </w:p>
          <w:p w:rsidR="00CD436F" w:rsidRPr="00A65EE2" w:rsidRDefault="00CD436F" w:rsidP="00A65EE2">
            <w:pPr>
              <w:pStyle w:val="ListParagraph"/>
              <w:numPr>
                <w:ilvl w:val="0"/>
                <w:numId w:val="56"/>
              </w:numPr>
              <w:spacing w:after="0" w:line="240" w:lineRule="auto"/>
              <w:rPr>
                <w:sz w:val="20"/>
                <w:szCs w:val="20"/>
              </w:rPr>
            </w:pPr>
            <w:r w:rsidRPr="00A65EE2">
              <w:rPr>
                <w:sz w:val="20"/>
                <w:szCs w:val="20"/>
              </w:rPr>
              <w:t>Our supply requirements vary drastically from week to week.</w:t>
            </w:r>
          </w:p>
          <w:p w:rsidR="00CD436F" w:rsidRDefault="00CD436F" w:rsidP="00CD436F">
            <w:pPr>
              <w:spacing w:after="0" w:line="240" w:lineRule="auto"/>
              <w:rPr>
                <w:sz w:val="20"/>
                <w:szCs w:val="20"/>
              </w:rPr>
            </w:pPr>
          </w:p>
          <w:p w:rsidR="00CD436F" w:rsidRPr="00A65EE2" w:rsidRDefault="00CD436F" w:rsidP="00A65EE2">
            <w:pPr>
              <w:pStyle w:val="ListParagraph"/>
              <w:numPr>
                <w:ilvl w:val="0"/>
                <w:numId w:val="56"/>
              </w:numPr>
              <w:spacing w:after="0" w:line="240" w:lineRule="auto"/>
              <w:rPr>
                <w:sz w:val="20"/>
                <w:szCs w:val="20"/>
              </w:rPr>
            </w:pPr>
            <w:r w:rsidRPr="00A65EE2">
              <w:rPr>
                <w:sz w:val="20"/>
                <w:szCs w:val="20"/>
              </w:rPr>
              <w:t>Our suppliers consistently meet our requirements.</w:t>
            </w:r>
          </w:p>
          <w:p w:rsidR="00CD436F" w:rsidRPr="00CC721D" w:rsidRDefault="00CD436F" w:rsidP="00CD436F">
            <w:pPr>
              <w:spacing w:after="0" w:line="240" w:lineRule="auto"/>
              <w:ind w:left="432"/>
              <w:rPr>
                <w:sz w:val="20"/>
                <w:szCs w:val="20"/>
              </w:rPr>
            </w:pPr>
          </w:p>
          <w:p w:rsidR="00CD436F" w:rsidRPr="00A65EE2" w:rsidRDefault="00CD436F" w:rsidP="00A65EE2">
            <w:pPr>
              <w:pStyle w:val="ListParagraph"/>
              <w:numPr>
                <w:ilvl w:val="0"/>
                <w:numId w:val="56"/>
              </w:numPr>
              <w:spacing w:after="0" w:line="240" w:lineRule="auto"/>
              <w:rPr>
                <w:sz w:val="20"/>
                <w:szCs w:val="20"/>
              </w:rPr>
            </w:pPr>
            <w:r w:rsidRPr="00A65EE2">
              <w:rPr>
                <w:sz w:val="20"/>
                <w:szCs w:val="20"/>
              </w:rPr>
              <w:t xml:space="preserve">Our suppliers produce materials with consistent quality. </w:t>
            </w:r>
          </w:p>
          <w:p w:rsidR="00CD436F" w:rsidRPr="00CC721D" w:rsidRDefault="00CD436F" w:rsidP="00CD436F">
            <w:pPr>
              <w:spacing w:after="0" w:line="240" w:lineRule="auto"/>
              <w:ind w:left="432"/>
              <w:rPr>
                <w:sz w:val="20"/>
                <w:szCs w:val="20"/>
              </w:rPr>
            </w:pPr>
          </w:p>
          <w:p w:rsidR="00CD436F" w:rsidRPr="00A65EE2" w:rsidRDefault="00CD436F" w:rsidP="00A65EE2">
            <w:pPr>
              <w:pStyle w:val="ListParagraph"/>
              <w:numPr>
                <w:ilvl w:val="0"/>
                <w:numId w:val="56"/>
              </w:numPr>
              <w:spacing w:after="0" w:line="240" w:lineRule="auto"/>
              <w:rPr>
                <w:sz w:val="20"/>
                <w:szCs w:val="20"/>
              </w:rPr>
            </w:pPr>
            <w:r w:rsidRPr="00A65EE2">
              <w:rPr>
                <w:sz w:val="20"/>
                <w:szCs w:val="20"/>
              </w:rPr>
              <w:t>The technology in our industry is changing rapidly.</w:t>
            </w:r>
          </w:p>
          <w:p w:rsidR="00CD436F" w:rsidRDefault="00CD436F" w:rsidP="00CD436F">
            <w:pPr>
              <w:spacing w:after="0" w:line="240" w:lineRule="auto"/>
              <w:rPr>
                <w:sz w:val="20"/>
                <w:szCs w:val="20"/>
              </w:rPr>
            </w:pPr>
          </w:p>
          <w:p w:rsidR="00CD436F" w:rsidRPr="00A65EE2" w:rsidRDefault="00CD436F" w:rsidP="00A65EE2">
            <w:pPr>
              <w:pStyle w:val="ListParagraph"/>
              <w:numPr>
                <w:ilvl w:val="0"/>
                <w:numId w:val="56"/>
              </w:numPr>
              <w:spacing w:after="0" w:line="240" w:lineRule="auto"/>
              <w:rPr>
                <w:sz w:val="20"/>
                <w:szCs w:val="20"/>
              </w:rPr>
            </w:pPr>
            <w:r w:rsidRPr="00A65EE2">
              <w:rPr>
                <w:sz w:val="20"/>
                <w:szCs w:val="20"/>
              </w:rPr>
              <w:t>Technological changes provide big opportunities in our industry.</w:t>
            </w:r>
          </w:p>
          <w:p w:rsidR="00CD436F" w:rsidRDefault="00CD436F" w:rsidP="00CD436F">
            <w:pPr>
              <w:spacing w:after="0" w:line="240" w:lineRule="auto"/>
              <w:rPr>
                <w:sz w:val="20"/>
                <w:szCs w:val="20"/>
              </w:rPr>
            </w:pPr>
          </w:p>
          <w:p w:rsidR="00CD436F" w:rsidRPr="00CC721D" w:rsidRDefault="00CD436F" w:rsidP="00085CFC">
            <w:pPr>
              <w:spacing w:after="0" w:line="240" w:lineRule="auto"/>
              <w:rPr>
                <w:sz w:val="20"/>
                <w:szCs w:val="20"/>
              </w:rPr>
            </w:pPr>
          </w:p>
        </w:tc>
        <w:tc>
          <w:tcPr>
            <w:tcW w:w="3780" w:type="dxa"/>
          </w:tcPr>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w:t>
            </w: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w:t>
            </w:r>
          </w:p>
          <w:p w:rsidR="00CD436F" w:rsidRPr="00CC721D" w:rsidRDefault="00CD436F" w:rsidP="00CD436F">
            <w:pPr>
              <w:spacing w:after="0" w:line="240" w:lineRule="auto"/>
              <w:rPr>
                <w:b/>
                <w:sz w:val="20"/>
                <w:szCs w:val="20"/>
              </w:rPr>
            </w:pPr>
            <w:r w:rsidRPr="00CC721D">
              <w:rPr>
                <w:b/>
                <w:sz w:val="20"/>
                <w:szCs w:val="20"/>
              </w:rPr>
              <w:t xml:space="preserve"> </w:t>
            </w:r>
          </w:p>
          <w:p w:rsidR="00CD436F" w:rsidRDefault="00CD436F" w:rsidP="00CD436F">
            <w:pPr>
              <w:spacing w:after="0" w:line="240" w:lineRule="auto"/>
              <w:rPr>
                <w:b/>
                <w:sz w:val="20"/>
                <w:szCs w:val="20"/>
              </w:rPr>
            </w:pPr>
            <w:r w:rsidRPr="00CC721D">
              <w:rPr>
                <w:b/>
                <w:sz w:val="20"/>
                <w:szCs w:val="20"/>
              </w:rPr>
              <w:t xml:space="preserve">  1          2          3        4        5        6        7 </w:t>
            </w:r>
          </w:p>
          <w:p w:rsidR="00CD436F" w:rsidRDefault="00CD436F" w:rsidP="00CD436F">
            <w:pPr>
              <w:spacing w:after="0" w:line="240" w:lineRule="auto"/>
              <w:rPr>
                <w:b/>
                <w:sz w:val="20"/>
                <w:szCs w:val="20"/>
              </w:rPr>
            </w:pPr>
            <w:r w:rsidRPr="00CC721D">
              <w:rPr>
                <w:b/>
                <w:sz w:val="20"/>
                <w:szCs w:val="20"/>
              </w:rPr>
              <w:t xml:space="preserve"> </w:t>
            </w:r>
          </w:p>
          <w:p w:rsidR="00CD436F" w:rsidRPr="00CC721D" w:rsidRDefault="00CD436F" w:rsidP="00A65EE2">
            <w:pPr>
              <w:spacing w:after="0" w:line="240" w:lineRule="auto"/>
              <w:rPr>
                <w:b/>
                <w:sz w:val="20"/>
                <w:szCs w:val="20"/>
              </w:rPr>
            </w:pPr>
            <w:r w:rsidRPr="00CC721D">
              <w:rPr>
                <w:b/>
                <w:sz w:val="20"/>
                <w:szCs w:val="20"/>
              </w:rPr>
              <w:t xml:space="preserve"> </w:t>
            </w:r>
            <w:r>
              <w:rPr>
                <w:b/>
                <w:sz w:val="20"/>
                <w:szCs w:val="20"/>
              </w:rPr>
              <w:t xml:space="preserve">  </w:t>
            </w:r>
            <w:r w:rsidRPr="00CC721D">
              <w:rPr>
                <w:b/>
                <w:sz w:val="20"/>
                <w:szCs w:val="20"/>
              </w:rPr>
              <w:t xml:space="preserve">          </w:t>
            </w:r>
          </w:p>
        </w:tc>
      </w:tr>
    </w:tbl>
    <w:p w:rsidR="00CD436F" w:rsidRDefault="00CD436F" w:rsidP="00CD436F">
      <w:pPr>
        <w:spacing w:after="0" w:line="240" w:lineRule="auto"/>
        <w:rPr>
          <w:b/>
        </w:rPr>
      </w:pPr>
    </w:p>
    <w:p w:rsidR="00085CFC" w:rsidRDefault="00085CFC" w:rsidP="00CD436F">
      <w:pPr>
        <w:spacing w:after="0" w:line="480" w:lineRule="auto"/>
        <w:rPr>
          <w:b/>
        </w:rPr>
      </w:pPr>
    </w:p>
    <w:p w:rsidR="00A65EE2" w:rsidRDefault="00A65EE2" w:rsidP="00CD436F">
      <w:pPr>
        <w:spacing w:after="0" w:line="480" w:lineRule="auto"/>
        <w:rPr>
          <w:b/>
        </w:rPr>
      </w:pPr>
    </w:p>
    <w:p w:rsidR="00CD436F" w:rsidRPr="003204F2" w:rsidRDefault="00CD436F" w:rsidP="00CD436F">
      <w:pPr>
        <w:spacing w:after="0" w:line="480" w:lineRule="auto"/>
        <w:rPr>
          <w:b/>
        </w:rPr>
      </w:pPr>
      <w:r w:rsidRPr="003204F2">
        <w:rPr>
          <w:b/>
        </w:rPr>
        <w:t>Supply Chain Vulnerability</w:t>
      </w:r>
    </w:p>
    <w:p w:rsidR="00CD436F" w:rsidRDefault="00CD436F" w:rsidP="00CD436F">
      <w:pPr>
        <w:spacing w:after="0" w:line="480" w:lineRule="auto"/>
        <w:ind w:firstLine="720"/>
      </w:pPr>
      <w:r>
        <w:t>Supply chain vulnerability</w:t>
      </w:r>
      <w:r w:rsidRPr="005432F7">
        <w:t xml:space="preserve"> </w:t>
      </w:r>
      <w:r>
        <w:t xml:space="preserve">could be </w:t>
      </w:r>
      <w:proofErr w:type="spellStart"/>
      <w:r>
        <w:t>operationalized</w:t>
      </w:r>
      <w:proofErr w:type="spellEnd"/>
      <w:r>
        <w:t xml:space="preserve"> at the enterprise level in terms of </w:t>
      </w:r>
      <w:r w:rsidRPr="005432F7">
        <w:t>fundamental factors that make an enterp</w:t>
      </w:r>
      <w:r>
        <w:t>rise susceptible to disruptions (Pettit et al. 2010). Based on this operationalization, the following measurement is proposed.</w:t>
      </w:r>
    </w:p>
    <w:p w:rsidR="00CD436F" w:rsidRDefault="00CD436F" w:rsidP="00CD436F">
      <w:pPr>
        <w:spacing w:after="0" w:line="480" w:lineRule="auto"/>
        <w:rPr>
          <w:b/>
        </w:rPr>
      </w:pPr>
    </w:p>
    <w:p w:rsidR="00CD436F" w:rsidRDefault="00CD436F" w:rsidP="00CD436F">
      <w:pPr>
        <w:spacing w:after="0" w:line="240" w:lineRule="auto"/>
        <w:jc w:val="center"/>
        <w:rPr>
          <w:b/>
        </w:rPr>
      </w:pPr>
      <w:r>
        <w:rPr>
          <w:b/>
        </w:rPr>
        <w:t>Table 3.4</w:t>
      </w:r>
      <w:r w:rsidRPr="00945A99">
        <w:rPr>
          <w:b/>
        </w:rPr>
        <w:t xml:space="preserve"> Measurement of </w:t>
      </w:r>
      <w:r>
        <w:rPr>
          <w:b/>
        </w:rPr>
        <w:t>Supply Chain Vulnerability</w:t>
      </w:r>
    </w:p>
    <w:p w:rsidR="00CD436F" w:rsidRDefault="00CD436F" w:rsidP="00CD436F">
      <w:pPr>
        <w:spacing w:after="0" w:line="240" w:lineRule="auto"/>
        <w:jc w:val="center"/>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120"/>
        <w:gridCol w:w="3780"/>
      </w:tblGrid>
      <w:tr w:rsidR="00CD436F" w:rsidRPr="00CC721D" w:rsidTr="00007EA8">
        <w:tc>
          <w:tcPr>
            <w:tcW w:w="6120" w:type="dxa"/>
          </w:tcPr>
          <w:p w:rsidR="00CD436F" w:rsidRPr="00CC721D" w:rsidRDefault="00CD436F" w:rsidP="00CD436F">
            <w:pPr>
              <w:spacing w:after="0" w:line="240" w:lineRule="auto"/>
              <w:rPr>
                <w:b/>
                <w:sz w:val="20"/>
                <w:szCs w:val="20"/>
              </w:rPr>
            </w:pPr>
          </w:p>
          <w:p w:rsidR="00CD436F" w:rsidRDefault="00CD436F" w:rsidP="00CD436F">
            <w:pPr>
              <w:spacing w:after="0" w:line="240" w:lineRule="auto"/>
              <w:rPr>
                <w:sz w:val="20"/>
                <w:szCs w:val="20"/>
              </w:rPr>
            </w:pPr>
            <w:r>
              <w:rPr>
                <w:b/>
                <w:sz w:val="20"/>
                <w:szCs w:val="20"/>
              </w:rPr>
              <w:t>Supply Chain Vulnerability (SCV)</w:t>
            </w:r>
          </w:p>
          <w:p w:rsidR="00CD436F" w:rsidRPr="00CC721D" w:rsidRDefault="00CD436F" w:rsidP="00CD436F">
            <w:pPr>
              <w:spacing w:after="0" w:line="240" w:lineRule="auto"/>
              <w:rPr>
                <w:sz w:val="20"/>
                <w:szCs w:val="20"/>
              </w:rPr>
            </w:pPr>
          </w:p>
        </w:tc>
        <w:tc>
          <w:tcPr>
            <w:tcW w:w="3780" w:type="dxa"/>
            <w:vAlign w:val="bottom"/>
          </w:tcPr>
          <w:p w:rsidR="00CD436F" w:rsidRPr="00CC721D" w:rsidRDefault="00CD436F" w:rsidP="00CD436F">
            <w:pPr>
              <w:spacing w:after="0" w:line="240" w:lineRule="auto"/>
              <w:rPr>
                <w:b/>
                <w:sz w:val="18"/>
                <w:szCs w:val="18"/>
              </w:rPr>
            </w:pPr>
          </w:p>
          <w:p w:rsidR="00CD436F" w:rsidRPr="00CC721D" w:rsidRDefault="00CD436F" w:rsidP="00CD436F">
            <w:pPr>
              <w:spacing w:after="0" w:line="240" w:lineRule="auto"/>
              <w:rPr>
                <w:b/>
                <w:sz w:val="18"/>
                <w:szCs w:val="18"/>
              </w:rPr>
            </w:pPr>
            <w:r w:rsidRPr="00CC721D">
              <w:rPr>
                <w:b/>
                <w:sz w:val="18"/>
                <w:szCs w:val="18"/>
              </w:rPr>
              <w:t xml:space="preserve">Strongly                    Neutral                Strongly </w:t>
            </w:r>
          </w:p>
          <w:p w:rsidR="00CD436F" w:rsidRPr="00CC721D" w:rsidRDefault="00CD436F" w:rsidP="00CD436F">
            <w:pPr>
              <w:spacing w:after="0" w:line="240" w:lineRule="auto"/>
              <w:rPr>
                <w:b/>
                <w:sz w:val="18"/>
                <w:szCs w:val="18"/>
              </w:rPr>
            </w:pPr>
            <w:r w:rsidRPr="00CC721D">
              <w:rPr>
                <w:b/>
                <w:sz w:val="18"/>
                <w:szCs w:val="18"/>
              </w:rPr>
              <w:t xml:space="preserve">Disagree                                                    Agree  </w:t>
            </w:r>
          </w:p>
        </w:tc>
      </w:tr>
      <w:tr w:rsidR="00CD436F" w:rsidRPr="00CC721D" w:rsidTr="00007EA8">
        <w:tc>
          <w:tcPr>
            <w:tcW w:w="6120" w:type="dxa"/>
          </w:tcPr>
          <w:p w:rsidR="00CD436F" w:rsidRPr="00CC721D" w:rsidRDefault="00CD436F" w:rsidP="00CD436F">
            <w:pPr>
              <w:spacing w:after="0" w:line="240" w:lineRule="auto"/>
              <w:ind w:left="72"/>
              <w:rPr>
                <w:sz w:val="20"/>
                <w:szCs w:val="20"/>
              </w:rPr>
            </w:pPr>
          </w:p>
          <w:p w:rsidR="00CD436F" w:rsidRPr="00CC721D" w:rsidRDefault="00CD436F" w:rsidP="007743FB">
            <w:pPr>
              <w:numPr>
                <w:ilvl w:val="0"/>
                <w:numId w:val="48"/>
              </w:numPr>
              <w:spacing w:after="0" w:line="240" w:lineRule="auto"/>
              <w:rPr>
                <w:sz w:val="20"/>
                <w:szCs w:val="20"/>
              </w:rPr>
            </w:pPr>
            <w:r w:rsidRPr="001A1136">
              <w:rPr>
                <w:sz w:val="20"/>
                <w:szCs w:val="20"/>
              </w:rPr>
              <w:t xml:space="preserve">Our </w:t>
            </w:r>
            <w:r>
              <w:rPr>
                <w:sz w:val="20"/>
                <w:szCs w:val="20"/>
              </w:rPr>
              <w:t>firm’s supply chain is vulnerable to supply-related disruptions</w:t>
            </w:r>
            <w:r w:rsidRPr="00CC721D">
              <w:rPr>
                <w:sz w:val="20"/>
                <w:szCs w:val="20"/>
              </w:rPr>
              <w:t>.</w:t>
            </w:r>
          </w:p>
          <w:p w:rsidR="00CD436F" w:rsidRPr="00CC721D" w:rsidRDefault="00CD436F" w:rsidP="00CD436F">
            <w:pPr>
              <w:spacing w:after="0" w:line="240" w:lineRule="auto"/>
              <w:ind w:left="432"/>
              <w:rPr>
                <w:sz w:val="20"/>
                <w:szCs w:val="20"/>
              </w:rPr>
            </w:pPr>
          </w:p>
          <w:p w:rsidR="00CD436F" w:rsidRDefault="00CD436F" w:rsidP="007743FB">
            <w:pPr>
              <w:numPr>
                <w:ilvl w:val="0"/>
                <w:numId w:val="48"/>
              </w:numPr>
              <w:spacing w:after="0" w:line="240" w:lineRule="auto"/>
              <w:rPr>
                <w:sz w:val="20"/>
                <w:szCs w:val="20"/>
              </w:rPr>
            </w:pPr>
            <w:r w:rsidRPr="001A1136">
              <w:rPr>
                <w:sz w:val="20"/>
                <w:szCs w:val="20"/>
              </w:rPr>
              <w:t xml:space="preserve">Our </w:t>
            </w:r>
            <w:r>
              <w:rPr>
                <w:sz w:val="20"/>
                <w:szCs w:val="20"/>
              </w:rPr>
              <w:t>firm’s supply chain is vulnerable to demand-related disruptions</w:t>
            </w:r>
            <w:r w:rsidRPr="00CC721D">
              <w:rPr>
                <w:sz w:val="20"/>
                <w:szCs w:val="20"/>
              </w:rPr>
              <w:t>.</w:t>
            </w:r>
          </w:p>
          <w:p w:rsidR="00CD436F" w:rsidRPr="00CC721D" w:rsidRDefault="00CD436F" w:rsidP="00CD436F">
            <w:pPr>
              <w:spacing w:after="0" w:line="240" w:lineRule="auto"/>
              <w:rPr>
                <w:sz w:val="20"/>
                <w:szCs w:val="20"/>
              </w:rPr>
            </w:pPr>
          </w:p>
          <w:p w:rsidR="00CD436F" w:rsidRDefault="00CD436F" w:rsidP="007743FB">
            <w:pPr>
              <w:numPr>
                <w:ilvl w:val="0"/>
                <w:numId w:val="48"/>
              </w:numPr>
              <w:spacing w:after="0" w:line="240" w:lineRule="auto"/>
              <w:rPr>
                <w:sz w:val="20"/>
                <w:szCs w:val="20"/>
              </w:rPr>
            </w:pPr>
            <w:r w:rsidRPr="001A1136">
              <w:rPr>
                <w:sz w:val="20"/>
                <w:szCs w:val="20"/>
              </w:rPr>
              <w:t xml:space="preserve">Our </w:t>
            </w:r>
            <w:r>
              <w:rPr>
                <w:sz w:val="20"/>
                <w:szCs w:val="20"/>
              </w:rPr>
              <w:t>firm’s supply chain is vulnerable to operational disruptions</w:t>
            </w:r>
            <w:r w:rsidRPr="00CC721D">
              <w:rPr>
                <w:sz w:val="20"/>
                <w:szCs w:val="20"/>
              </w:rPr>
              <w:t>.</w:t>
            </w:r>
          </w:p>
          <w:p w:rsidR="00CD436F" w:rsidRDefault="00CD436F" w:rsidP="00CD436F">
            <w:pPr>
              <w:spacing w:after="0" w:line="240" w:lineRule="auto"/>
              <w:rPr>
                <w:sz w:val="20"/>
                <w:szCs w:val="20"/>
              </w:rPr>
            </w:pPr>
          </w:p>
          <w:p w:rsidR="00CD436F" w:rsidRPr="00CC721D" w:rsidRDefault="00CD436F" w:rsidP="007743FB">
            <w:pPr>
              <w:numPr>
                <w:ilvl w:val="0"/>
                <w:numId w:val="48"/>
              </w:numPr>
              <w:tabs>
                <w:tab w:val="clear" w:pos="720"/>
              </w:tabs>
              <w:spacing w:after="0" w:line="240" w:lineRule="auto"/>
              <w:rPr>
                <w:sz w:val="20"/>
                <w:szCs w:val="20"/>
              </w:rPr>
            </w:pPr>
            <w:r w:rsidRPr="001A1136">
              <w:rPr>
                <w:sz w:val="20"/>
                <w:szCs w:val="20"/>
              </w:rPr>
              <w:t xml:space="preserve">Our </w:t>
            </w:r>
            <w:r>
              <w:rPr>
                <w:sz w:val="20"/>
                <w:szCs w:val="20"/>
              </w:rPr>
              <w:t>firm’s supply chain could be characterized as having a high level of vulnerability</w:t>
            </w:r>
            <w:r w:rsidRPr="00CC721D">
              <w:rPr>
                <w:sz w:val="20"/>
                <w:szCs w:val="20"/>
              </w:rPr>
              <w:t>.</w:t>
            </w:r>
          </w:p>
          <w:p w:rsidR="00CD436F" w:rsidRPr="00CC721D" w:rsidRDefault="00CD436F" w:rsidP="00CD436F">
            <w:pPr>
              <w:spacing w:after="0" w:line="240" w:lineRule="auto"/>
              <w:rPr>
                <w:sz w:val="20"/>
                <w:szCs w:val="20"/>
              </w:rPr>
            </w:pPr>
          </w:p>
        </w:tc>
        <w:tc>
          <w:tcPr>
            <w:tcW w:w="3780" w:type="dxa"/>
          </w:tcPr>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w:t>
            </w: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w:t>
            </w:r>
          </w:p>
          <w:p w:rsidR="00CD436F" w:rsidRPr="00CC721D" w:rsidRDefault="00CD436F" w:rsidP="00CD436F">
            <w:pPr>
              <w:spacing w:after="0" w:line="240" w:lineRule="auto"/>
              <w:rPr>
                <w:b/>
                <w:sz w:val="20"/>
                <w:szCs w:val="20"/>
              </w:rPr>
            </w:pPr>
            <w:r w:rsidRPr="00CC721D">
              <w:rPr>
                <w:b/>
                <w:sz w:val="20"/>
                <w:szCs w:val="20"/>
              </w:rPr>
              <w:t xml:space="preserve"> </w:t>
            </w:r>
          </w:p>
          <w:p w:rsidR="00CD436F" w:rsidRPr="00CC721D" w:rsidRDefault="00CD436F" w:rsidP="00CD436F">
            <w:pPr>
              <w:spacing w:after="0" w:line="240" w:lineRule="auto"/>
              <w:rPr>
                <w:b/>
                <w:sz w:val="20"/>
                <w:szCs w:val="20"/>
              </w:rPr>
            </w:pPr>
            <w:r w:rsidRPr="00CC721D">
              <w:rPr>
                <w:b/>
                <w:sz w:val="20"/>
                <w:szCs w:val="20"/>
              </w:rPr>
              <w:t xml:space="preserve"> </w:t>
            </w:r>
            <w:r>
              <w:rPr>
                <w:b/>
                <w:sz w:val="20"/>
                <w:szCs w:val="20"/>
              </w:rPr>
              <w:t xml:space="preserve">  </w:t>
            </w:r>
            <w:r w:rsidRPr="00CC721D">
              <w:rPr>
                <w:b/>
                <w:sz w:val="20"/>
                <w:szCs w:val="20"/>
              </w:rPr>
              <w:t xml:space="preserve">          </w:t>
            </w:r>
          </w:p>
        </w:tc>
      </w:tr>
    </w:tbl>
    <w:p w:rsidR="00CD436F" w:rsidRDefault="00CD436F" w:rsidP="00CD436F">
      <w:pPr>
        <w:spacing w:after="0" w:line="240" w:lineRule="auto"/>
        <w:ind w:firstLine="720"/>
        <w:rPr>
          <w:b/>
        </w:rPr>
      </w:pPr>
    </w:p>
    <w:p w:rsidR="00CD436F" w:rsidRDefault="00CD436F" w:rsidP="00CD436F">
      <w:pPr>
        <w:spacing w:after="0" w:line="480" w:lineRule="auto"/>
        <w:rPr>
          <w:b/>
        </w:rPr>
      </w:pPr>
    </w:p>
    <w:p w:rsidR="00CD436F" w:rsidRPr="00833B4E" w:rsidRDefault="00CD436F" w:rsidP="00CD436F">
      <w:pPr>
        <w:spacing w:after="0" w:line="480" w:lineRule="auto"/>
        <w:rPr>
          <w:b/>
        </w:rPr>
      </w:pPr>
      <w:r>
        <w:rPr>
          <w:b/>
        </w:rPr>
        <w:t>S</w:t>
      </w:r>
      <w:r w:rsidRPr="00833B4E">
        <w:rPr>
          <w:b/>
        </w:rPr>
        <w:t>upply Chain Resilience</w:t>
      </w:r>
    </w:p>
    <w:p w:rsidR="00CD436F" w:rsidRDefault="00CD436F" w:rsidP="00CD436F">
      <w:pPr>
        <w:spacing w:after="0" w:line="480" w:lineRule="auto"/>
      </w:pPr>
      <w:r>
        <w:tab/>
        <w:t xml:space="preserve">As defined in the current research, a firm’s supply chain resilience was modeled as a latent variable and measured by several items on a seven-point </w:t>
      </w:r>
      <w:proofErr w:type="spellStart"/>
      <w:r>
        <w:t>Likert</w:t>
      </w:r>
      <w:proofErr w:type="spellEnd"/>
      <w:r>
        <w:t>-scale. All items were newly developed based on related literature review and several unstructured interviews with supply chain management professionals and pre-tested by a panel of experts. They are presented in Table 3.5.</w:t>
      </w:r>
    </w:p>
    <w:p w:rsidR="00CD436F" w:rsidRDefault="00CD436F" w:rsidP="00CD436F">
      <w:pPr>
        <w:spacing w:after="0" w:line="480" w:lineRule="auto"/>
        <w:rPr>
          <w:b/>
        </w:rPr>
      </w:pPr>
    </w:p>
    <w:p w:rsidR="00CD436F" w:rsidRDefault="00CD436F" w:rsidP="00CD436F">
      <w:pPr>
        <w:spacing w:after="0" w:line="480" w:lineRule="auto"/>
        <w:rPr>
          <w:b/>
        </w:rPr>
      </w:pPr>
    </w:p>
    <w:p w:rsidR="00CD436F" w:rsidRDefault="00CD436F" w:rsidP="00CD436F">
      <w:pPr>
        <w:spacing w:after="0" w:line="240" w:lineRule="auto"/>
        <w:rPr>
          <w:b/>
        </w:rPr>
      </w:pPr>
    </w:p>
    <w:p w:rsidR="00CD436F" w:rsidRDefault="00CD436F" w:rsidP="00CD436F">
      <w:pPr>
        <w:spacing w:after="0" w:line="240" w:lineRule="auto"/>
        <w:jc w:val="center"/>
        <w:rPr>
          <w:b/>
        </w:rPr>
      </w:pPr>
      <w:r w:rsidRPr="00AA4314">
        <w:rPr>
          <w:b/>
        </w:rPr>
        <w:t>Ta</w:t>
      </w:r>
      <w:r>
        <w:rPr>
          <w:b/>
        </w:rPr>
        <w:t>ble 3.5</w:t>
      </w:r>
      <w:r w:rsidRPr="00AA4314">
        <w:rPr>
          <w:b/>
        </w:rPr>
        <w:t xml:space="preserve"> Measurement of Supply Chain Resilience</w:t>
      </w:r>
    </w:p>
    <w:p w:rsidR="00CD436F" w:rsidRPr="00AA4314" w:rsidRDefault="00CD436F" w:rsidP="00CD436F">
      <w:pPr>
        <w:spacing w:after="0" w:line="240" w:lineRule="auto"/>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120"/>
        <w:gridCol w:w="3780"/>
      </w:tblGrid>
      <w:tr w:rsidR="00CD436F" w:rsidRPr="00CC721D" w:rsidTr="00007EA8">
        <w:tc>
          <w:tcPr>
            <w:tcW w:w="6120" w:type="dxa"/>
          </w:tcPr>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sz w:val="20"/>
                <w:szCs w:val="20"/>
              </w:rPr>
            </w:pPr>
            <w:r>
              <w:rPr>
                <w:b/>
                <w:sz w:val="20"/>
                <w:szCs w:val="20"/>
              </w:rPr>
              <w:t>Supply Chain Resilience (SCR</w:t>
            </w:r>
            <w:r w:rsidRPr="00CC721D">
              <w:rPr>
                <w:sz w:val="20"/>
                <w:szCs w:val="20"/>
              </w:rPr>
              <w:t xml:space="preserve">) </w:t>
            </w:r>
          </w:p>
        </w:tc>
        <w:tc>
          <w:tcPr>
            <w:tcW w:w="3780" w:type="dxa"/>
            <w:vAlign w:val="bottom"/>
          </w:tcPr>
          <w:p w:rsidR="00CD436F" w:rsidRPr="00CC721D" w:rsidRDefault="00CD436F" w:rsidP="00CD436F">
            <w:pPr>
              <w:spacing w:after="0" w:line="240" w:lineRule="auto"/>
              <w:rPr>
                <w:b/>
                <w:sz w:val="18"/>
                <w:szCs w:val="18"/>
              </w:rPr>
            </w:pPr>
          </w:p>
          <w:p w:rsidR="00CD436F" w:rsidRPr="00CC721D" w:rsidRDefault="00CD436F" w:rsidP="00CD436F">
            <w:pPr>
              <w:spacing w:after="0" w:line="240" w:lineRule="auto"/>
              <w:rPr>
                <w:b/>
                <w:sz w:val="18"/>
                <w:szCs w:val="18"/>
              </w:rPr>
            </w:pPr>
            <w:r w:rsidRPr="00CC721D">
              <w:rPr>
                <w:b/>
                <w:sz w:val="18"/>
                <w:szCs w:val="18"/>
              </w:rPr>
              <w:t xml:space="preserve">Strongly                    Neutral                Strongly </w:t>
            </w:r>
          </w:p>
          <w:p w:rsidR="00CD436F" w:rsidRPr="00CC721D" w:rsidRDefault="00CD436F" w:rsidP="00CD436F">
            <w:pPr>
              <w:spacing w:after="0" w:line="240" w:lineRule="auto"/>
              <w:rPr>
                <w:b/>
                <w:sz w:val="18"/>
                <w:szCs w:val="18"/>
              </w:rPr>
            </w:pPr>
            <w:r w:rsidRPr="00CC721D">
              <w:rPr>
                <w:b/>
                <w:sz w:val="18"/>
                <w:szCs w:val="18"/>
              </w:rPr>
              <w:t xml:space="preserve">Disagree                                                    Agree  </w:t>
            </w:r>
          </w:p>
        </w:tc>
      </w:tr>
      <w:tr w:rsidR="00CD436F" w:rsidRPr="00CC721D" w:rsidTr="00007EA8">
        <w:tc>
          <w:tcPr>
            <w:tcW w:w="6120" w:type="dxa"/>
          </w:tcPr>
          <w:p w:rsidR="00CD436F" w:rsidRPr="00CC721D" w:rsidRDefault="00CD436F" w:rsidP="00CD436F">
            <w:pPr>
              <w:spacing w:after="0" w:line="240" w:lineRule="auto"/>
              <w:ind w:left="360"/>
              <w:rPr>
                <w:sz w:val="20"/>
                <w:szCs w:val="20"/>
              </w:rPr>
            </w:pPr>
          </w:p>
          <w:p w:rsidR="00CD436F" w:rsidRPr="00CC721D" w:rsidRDefault="00CD436F" w:rsidP="007743FB">
            <w:pPr>
              <w:numPr>
                <w:ilvl w:val="0"/>
                <w:numId w:val="47"/>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supply chain is able to adequately respond to unexpected disruptions by quickly restoring its product flow</w:t>
            </w:r>
            <w:r w:rsidRPr="00CC721D">
              <w:rPr>
                <w:sz w:val="20"/>
                <w:szCs w:val="20"/>
              </w:rPr>
              <w:t>.</w:t>
            </w:r>
          </w:p>
          <w:p w:rsidR="00CD436F" w:rsidRPr="00CC721D" w:rsidRDefault="00CD436F" w:rsidP="00CD436F">
            <w:pPr>
              <w:spacing w:after="0" w:line="240" w:lineRule="auto"/>
              <w:ind w:left="432"/>
              <w:rPr>
                <w:sz w:val="20"/>
                <w:szCs w:val="20"/>
              </w:rPr>
            </w:pPr>
          </w:p>
          <w:p w:rsidR="00CD436F" w:rsidRDefault="00CD436F" w:rsidP="007743FB">
            <w:pPr>
              <w:numPr>
                <w:ilvl w:val="0"/>
                <w:numId w:val="47"/>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supply chain can quickly return to its original state</w:t>
            </w:r>
            <w:r>
              <w:rPr>
                <w:sz w:val="20"/>
                <w:szCs w:val="20"/>
              </w:rPr>
              <w:t xml:space="preserve"> after being disrupted.</w:t>
            </w:r>
          </w:p>
          <w:p w:rsidR="00CD436F" w:rsidRDefault="00CD436F" w:rsidP="00CD436F">
            <w:pPr>
              <w:spacing w:after="0" w:line="240" w:lineRule="auto"/>
              <w:rPr>
                <w:sz w:val="20"/>
                <w:szCs w:val="20"/>
              </w:rPr>
            </w:pPr>
          </w:p>
          <w:p w:rsidR="00CD436F" w:rsidRPr="00CC721D" w:rsidRDefault="00CD436F" w:rsidP="007743FB">
            <w:pPr>
              <w:numPr>
                <w:ilvl w:val="0"/>
                <w:numId w:val="47"/>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supply chain can</w:t>
            </w:r>
            <w:r>
              <w:rPr>
                <w:sz w:val="20"/>
                <w:szCs w:val="20"/>
              </w:rPr>
              <w:t xml:space="preserve"> </w:t>
            </w:r>
            <w:r w:rsidRPr="001A1136">
              <w:rPr>
                <w:sz w:val="20"/>
                <w:szCs w:val="20"/>
              </w:rPr>
              <w:t>move to a new, more desirable state after being disrupted</w:t>
            </w:r>
            <w:r w:rsidRPr="00CC721D">
              <w:rPr>
                <w:sz w:val="20"/>
                <w:szCs w:val="20"/>
              </w:rPr>
              <w:t>.</w:t>
            </w:r>
          </w:p>
          <w:p w:rsidR="00CD436F" w:rsidRPr="00CC721D" w:rsidRDefault="00CD436F" w:rsidP="00CD436F">
            <w:pPr>
              <w:spacing w:after="0" w:line="240" w:lineRule="auto"/>
              <w:ind w:left="432"/>
              <w:rPr>
                <w:sz w:val="20"/>
                <w:szCs w:val="20"/>
              </w:rPr>
            </w:pPr>
          </w:p>
          <w:p w:rsidR="00CD436F" w:rsidRPr="00CC721D" w:rsidRDefault="00CD436F" w:rsidP="007743FB">
            <w:pPr>
              <w:numPr>
                <w:ilvl w:val="0"/>
                <w:numId w:val="47"/>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supply chain is well prepared to deal with financial outcomes of supply chain disruptions</w:t>
            </w:r>
            <w:r>
              <w:rPr>
                <w:sz w:val="20"/>
                <w:szCs w:val="20"/>
              </w:rPr>
              <w:t>.</w:t>
            </w:r>
            <w:r w:rsidRPr="001A1136">
              <w:rPr>
                <w:sz w:val="20"/>
                <w:szCs w:val="20"/>
              </w:rPr>
              <w:t xml:space="preserve"> </w:t>
            </w:r>
          </w:p>
          <w:p w:rsidR="00CD436F" w:rsidRPr="00CC721D" w:rsidRDefault="00CD436F" w:rsidP="00CD436F">
            <w:pPr>
              <w:spacing w:after="0" w:line="240" w:lineRule="auto"/>
              <w:ind w:left="432"/>
              <w:rPr>
                <w:sz w:val="20"/>
                <w:szCs w:val="20"/>
              </w:rPr>
            </w:pPr>
          </w:p>
          <w:p w:rsidR="00CD436F" w:rsidRDefault="00CD436F" w:rsidP="007743FB">
            <w:pPr>
              <w:numPr>
                <w:ilvl w:val="0"/>
                <w:numId w:val="47"/>
              </w:numPr>
              <w:spacing w:after="0" w:line="240" w:lineRule="auto"/>
              <w:rPr>
                <w:sz w:val="20"/>
                <w:szCs w:val="20"/>
              </w:rPr>
            </w:pPr>
            <w:r w:rsidRPr="00737D8B">
              <w:rPr>
                <w:sz w:val="20"/>
                <w:szCs w:val="20"/>
              </w:rPr>
              <w:t xml:space="preserve">Our </w:t>
            </w:r>
            <w:r>
              <w:rPr>
                <w:sz w:val="20"/>
                <w:szCs w:val="20"/>
              </w:rPr>
              <w:t xml:space="preserve">firm’s </w:t>
            </w:r>
            <w:r w:rsidRPr="00737D8B">
              <w:rPr>
                <w:sz w:val="20"/>
                <w:szCs w:val="20"/>
              </w:rPr>
              <w:t>supply chain has the ability to maintain a desired level of connectedness among its members at the time of disruption</w:t>
            </w:r>
            <w:r>
              <w:rPr>
                <w:sz w:val="20"/>
                <w:szCs w:val="20"/>
              </w:rPr>
              <w:t>.</w:t>
            </w:r>
          </w:p>
          <w:p w:rsidR="00CD436F" w:rsidRDefault="00CD436F" w:rsidP="00CD436F">
            <w:pPr>
              <w:spacing w:after="0" w:line="240" w:lineRule="auto"/>
              <w:rPr>
                <w:sz w:val="20"/>
                <w:szCs w:val="20"/>
              </w:rPr>
            </w:pPr>
          </w:p>
          <w:p w:rsidR="00CD436F" w:rsidRDefault="00CD436F" w:rsidP="007743FB">
            <w:pPr>
              <w:numPr>
                <w:ilvl w:val="0"/>
                <w:numId w:val="47"/>
              </w:numPr>
              <w:spacing w:after="0" w:line="240" w:lineRule="auto"/>
              <w:rPr>
                <w:sz w:val="20"/>
                <w:szCs w:val="20"/>
              </w:rPr>
            </w:pPr>
            <w:r>
              <w:rPr>
                <w:sz w:val="20"/>
                <w:szCs w:val="20"/>
              </w:rPr>
              <w:t>Our firm’s supply chain has the ability to maintain a desired level of control over structure and function at the time of disruption.</w:t>
            </w:r>
          </w:p>
          <w:p w:rsidR="00CD436F" w:rsidRDefault="00CD436F" w:rsidP="00CD436F">
            <w:pPr>
              <w:spacing w:after="0" w:line="240" w:lineRule="auto"/>
              <w:rPr>
                <w:sz w:val="20"/>
                <w:szCs w:val="20"/>
              </w:rPr>
            </w:pPr>
          </w:p>
          <w:p w:rsidR="00CD436F" w:rsidRDefault="00CD436F" w:rsidP="007743FB">
            <w:pPr>
              <w:numPr>
                <w:ilvl w:val="0"/>
                <w:numId w:val="47"/>
              </w:numPr>
              <w:spacing w:after="0" w:line="240" w:lineRule="auto"/>
              <w:rPr>
                <w:sz w:val="20"/>
                <w:szCs w:val="20"/>
              </w:rPr>
            </w:pPr>
            <w:r w:rsidRPr="00737D8B">
              <w:rPr>
                <w:sz w:val="20"/>
                <w:szCs w:val="20"/>
              </w:rPr>
              <w:t xml:space="preserve">Our </w:t>
            </w:r>
            <w:r>
              <w:rPr>
                <w:sz w:val="20"/>
                <w:szCs w:val="20"/>
              </w:rPr>
              <w:t xml:space="preserve">firm’s </w:t>
            </w:r>
            <w:r w:rsidRPr="00737D8B">
              <w:rPr>
                <w:sz w:val="20"/>
                <w:szCs w:val="20"/>
              </w:rPr>
              <w:t>supply chain has the ability to extract meaning and useful knowledge from disruptions and unexpected events</w:t>
            </w:r>
            <w:r>
              <w:rPr>
                <w:sz w:val="20"/>
                <w:szCs w:val="20"/>
              </w:rPr>
              <w:t>.</w:t>
            </w:r>
            <w:r w:rsidRPr="00CC721D">
              <w:rPr>
                <w:sz w:val="20"/>
                <w:szCs w:val="20"/>
              </w:rPr>
              <w:t xml:space="preserve"> </w:t>
            </w:r>
          </w:p>
          <w:p w:rsidR="00CD436F" w:rsidRDefault="00CD436F" w:rsidP="00CD436F">
            <w:pPr>
              <w:spacing w:after="0" w:line="240" w:lineRule="auto"/>
              <w:rPr>
                <w:sz w:val="20"/>
                <w:szCs w:val="20"/>
              </w:rPr>
            </w:pPr>
          </w:p>
          <w:p w:rsidR="00CD436F" w:rsidRPr="00CC721D" w:rsidRDefault="00CD436F" w:rsidP="00CD436F">
            <w:pPr>
              <w:spacing w:after="0" w:line="240" w:lineRule="auto"/>
              <w:ind w:left="72"/>
              <w:rPr>
                <w:sz w:val="20"/>
                <w:szCs w:val="20"/>
              </w:rPr>
            </w:pPr>
          </w:p>
        </w:tc>
        <w:tc>
          <w:tcPr>
            <w:tcW w:w="3780" w:type="dxa"/>
          </w:tcPr>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w:t>
            </w: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Pr="00CC721D" w:rsidRDefault="00CD436F" w:rsidP="00CD436F">
            <w:pPr>
              <w:spacing w:after="0" w:line="240" w:lineRule="auto"/>
              <w:rPr>
                <w:b/>
                <w:sz w:val="20"/>
                <w:szCs w:val="20"/>
              </w:rPr>
            </w:pPr>
          </w:p>
          <w:p w:rsidR="00CD436F" w:rsidRDefault="00CD436F" w:rsidP="00CD436F">
            <w:pPr>
              <w:spacing w:after="0" w:line="240" w:lineRule="auto"/>
              <w:rPr>
                <w:b/>
                <w:sz w:val="20"/>
                <w:szCs w:val="20"/>
              </w:rPr>
            </w:pPr>
            <w:r w:rsidRPr="00CC721D">
              <w:rPr>
                <w:b/>
                <w:sz w:val="20"/>
                <w:szCs w:val="20"/>
              </w:rPr>
              <w:t xml:space="preserve">  </w:t>
            </w:r>
          </w:p>
          <w:p w:rsidR="00CD436F" w:rsidRPr="00CC721D" w:rsidRDefault="00CD436F" w:rsidP="00CD436F">
            <w:pPr>
              <w:spacing w:after="0" w:line="240" w:lineRule="auto"/>
              <w:rPr>
                <w:b/>
                <w:sz w:val="20"/>
                <w:szCs w:val="20"/>
              </w:rPr>
            </w:pPr>
            <w:r>
              <w:rPr>
                <w:b/>
                <w:sz w:val="20"/>
                <w:szCs w:val="20"/>
              </w:rPr>
              <w:t xml:space="preserve">  </w:t>
            </w:r>
            <w:r w:rsidRPr="00CC721D">
              <w:rPr>
                <w:b/>
                <w:sz w:val="20"/>
                <w:szCs w:val="20"/>
              </w:rPr>
              <w:t xml:space="preserve">1          2          3        4        5        6        7 </w:t>
            </w:r>
          </w:p>
          <w:p w:rsidR="00CD436F"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   </w:t>
            </w: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p>
          <w:p w:rsidR="00CD436F" w:rsidRPr="00CC721D" w:rsidRDefault="00CD436F" w:rsidP="00CD436F">
            <w:pPr>
              <w:spacing w:after="0" w:line="240" w:lineRule="auto"/>
              <w:rPr>
                <w:b/>
                <w:sz w:val="20"/>
                <w:szCs w:val="20"/>
              </w:rPr>
            </w:pPr>
            <w:r w:rsidRPr="00CC721D">
              <w:rPr>
                <w:b/>
                <w:sz w:val="20"/>
                <w:szCs w:val="20"/>
              </w:rPr>
              <w:t xml:space="preserve">  1          2          3        4        5        6        7</w:t>
            </w:r>
          </w:p>
          <w:p w:rsidR="00CD436F" w:rsidRPr="00CC721D" w:rsidRDefault="00CD436F" w:rsidP="00CD436F">
            <w:pPr>
              <w:spacing w:after="0" w:line="240" w:lineRule="auto"/>
              <w:rPr>
                <w:b/>
                <w:sz w:val="20"/>
                <w:szCs w:val="20"/>
              </w:rPr>
            </w:pPr>
            <w:r w:rsidRPr="00CC721D">
              <w:rPr>
                <w:b/>
                <w:sz w:val="20"/>
                <w:szCs w:val="20"/>
              </w:rPr>
              <w:t xml:space="preserve"> </w:t>
            </w:r>
          </w:p>
          <w:p w:rsidR="00CD436F" w:rsidRDefault="00CD436F" w:rsidP="00CD436F">
            <w:pPr>
              <w:spacing w:after="0" w:line="240" w:lineRule="auto"/>
              <w:rPr>
                <w:b/>
                <w:sz w:val="20"/>
                <w:szCs w:val="20"/>
              </w:rPr>
            </w:pPr>
          </w:p>
          <w:p w:rsidR="00CD436F" w:rsidRDefault="00CD436F" w:rsidP="00CD436F">
            <w:pPr>
              <w:spacing w:after="0" w:line="240" w:lineRule="auto"/>
              <w:rPr>
                <w:b/>
                <w:sz w:val="20"/>
                <w:szCs w:val="20"/>
              </w:rPr>
            </w:pPr>
            <w:r w:rsidRPr="00CC721D">
              <w:rPr>
                <w:b/>
                <w:sz w:val="20"/>
                <w:szCs w:val="20"/>
              </w:rPr>
              <w:t xml:space="preserve">  1          2          3        4        5        6        7 </w:t>
            </w:r>
          </w:p>
          <w:p w:rsidR="00CD436F" w:rsidRDefault="00CD436F" w:rsidP="00CD436F">
            <w:pPr>
              <w:spacing w:after="0" w:line="240" w:lineRule="auto"/>
              <w:rPr>
                <w:b/>
                <w:sz w:val="20"/>
                <w:szCs w:val="20"/>
              </w:rPr>
            </w:pPr>
            <w:r w:rsidRPr="00CC721D">
              <w:rPr>
                <w:b/>
                <w:sz w:val="20"/>
                <w:szCs w:val="20"/>
              </w:rPr>
              <w:t xml:space="preserve"> </w:t>
            </w:r>
          </w:p>
          <w:p w:rsidR="00CD436F" w:rsidRDefault="00CD436F" w:rsidP="00CD436F">
            <w:pPr>
              <w:spacing w:after="0" w:line="240" w:lineRule="auto"/>
              <w:rPr>
                <w:b/>
                <w:sz w:val="20"/>
                <w:szCs w:val="20"/>
              </w:rPr>
            </w:pPr>
            <w:r w:rsidRPr="00CC721D">
              <w:rPr>
                <w:b/>
                <w:sz w:val="20"/>
                <w:szCs w:val="20"/>
              </w:rPr>
              <w:t xml:space="preserve"> </w:t>
            </w:r>
          </w:p>
          <w:p w:rsidR="00CD436F" w:rsidRDefault="00CD436F" w:rsidP="00CD436F">
            <w:pPr>
              <w:spacing w:after="0" w:line="240" w:lineRule="auto"/>
              <w:rPr>
                <w:b/>
                <w:sz w:val="20"/>
                <w:szCs w:val="20"/>
              </w:rPr>
            </w:pPr>
            <w:r>
              <w:rPr>
                <w:b/>
                <w:sz w:val="20"/>
                <w:szCs w:val="20"/>
              </w:rPr>
              <w:t xml:space="preserve"> </w:t>
            </w:r>
          </w:p>
          <w:p w:rsidR="00CD436F" w:rsidRDefault="00CD436F" w:rsidP="00CD436F">
            <w:pPr>
              <w:spacing w:after="0" w:line="240" w:lineRule="auto"/>
              <w:rPr>
                <w:b/>
                <w:sz w:val="20"/>
                <w:szCs w:val="20"/>
              </w:rPr>
            </w:pPr>
            <w:r>
              <w:rPr>
                <w:b/>
                <w:sz w:val="20"/>
                <w:szCs w:val="20"/>
              </w:rPr>
              <w:t xml:space="preserve">  </w:t>
            </w:r>
            <w:r w:rsidRPr="00CC721D">
              <w:rPr>
                <w:b/>
                <w:sz w:val="20"/>
                <w:szCs w:val="20"/>
              </w:rPr>
              <w:t xml:space="preserve">1          2          3        4        5        6        7 </w:t>
            </w:r>
          </w:p>
          <w:p w:rsidR="00CD436F" w:rsidRDefault="00CD436F" w:rsidP="00CD436F">
            <w:pPr>
              <w:spacing w:after="0" w:line="240" w:lineRule="auto"/>
              <w:rPr>
                <w:b/>
                <w:sz w:val="20"/>
                <w:szCs w:val="20"/>
              </w:rPr>
            </w:pPr>
          </w:p>
          <w:p w:rsidR="00CD436F" w:rsidRDefault="00CD436F" w:rsidP="00CD436F">
            <w:pPr>
              <w:spacing w:after="0" w:line="240" w:lineRule="auto"/>
              <w:rPr>
                <w:b/>
                <w:sz w:val="20"/>
                <w:szCs w:val="20"/>
              </w:rPr>
            </w:pPr>
            <w:r>
              <w:rPr>
                <w:b/>
                <w:sz w:val="20"/>
                <w:szCs w:val="20"/>
              </w:rPr>
              <w:t xml:space="preserve">  </w:t>
            </w:r>
          </w:p>
          <w:p w:rsidR="00CD436F" w:rsidRPr="00CC721D" w:rsidRDefault="00CD436F" w:rsidP="00CD436F">
            <w:pPr>
              <w:spacing w:after="0" w:line="240" w:lineRule="auto"/>
              <w:rPr>
                <w:b/>
                <w:sz w:val="20"/>
                <w:szCs w:val="20"/>
              </w:rPr>
            </w:pPr>
            <w:r>
              <w:rPr>
                <w:b/>
                <w:sz w:val="20"/>
                <w:szCs w:val="20"/>
              </w:rPr>
              <w:t xml:space="preserve">  1</w:t>
            </w:r>
            <w:r w:rsidRPr="00CC721D">
              <w:rPr>
                <w:b/>
                <w:sz w:val="20"/>
                <w:szCs w:val="20"/>
              </w:rPr>
              <w:t xml:space="preserve">          2          3        4        5        6        7            </w:t>
            </w:r>
          </w:p>
        </w:tc>
      </w:tr>
    </w:tbl>
    <w:p w:rsidR="00CD436F" w:rsidRDefault="00CD436F" w:rsidP="00CD436F">
      <w:pPr>
        <w:spacing w:after="0" w:line="240" w:lineRule="auto"/>
      </w:pPr>
    </w:p>
    <w:p w:rsidR="00B16A48" w:rsidRDefault="00B16A48" w:rsidP="00CD436F">
      <w:pPr>
        <w:spacing w:after="0" w:line="480" w:lineRule="auto"/>
        <w:rPr>
          <w:b/>
        </w:rPr>
      </w:pPr>
    </w:p>
    <w:p w:rsidR="00CD436F" w:rsidRPr="00833B4E" w:rsidRDefault="00CD436F" w:rsidP="00CD436F">
      <w:pPr>
        <w:spacing w:after="0" w:line="480" w:lineRule="auto"/>
        <w:rPr>
          <w:b/>
        </w:rPr>
      </w:pPr>
      <w:r w:rsidRPr="00833B4E">
        <w:rPr>
          <w:b/>
        </w:rPr>
        <w:t>Supply Chain Orientation</w:t>
      </w:r>
    </w:p>
    <w:p w:rsidR="00CD436F" w:rsidRDefault="00CD436F" w:rsidP="00CD436F">
      <w:pPr>
        <w:spacing w:after="0" w:line="480" w:lineRule="auto"/>
      </w:pPr>
      <w:r>
        <w:tab/>
        <w:t xml:space="preserve">Supply chain orientation has been measured based on a reflective five-construct scale </w:t>
      </w:r>
      <w:r w:rsidRPr="00ED3C8C">
        <w:t xml:space="preserve">(Min, </w:t>
      </w:r>
      <w:proofErr w:type="spellStart"/>
      <w:r w:rsidRPr="00ED3C8C">
        <w:t>Mentzer</w:t>
      </w:r>
      <w:proofErr w:type="spellEnd"/>
      <w:r w:rsidRPr="00ED3C8C">
        <w:t xml:space="preserve"> and Ladd 2008</w:t>
      </w:r>
      <w:r>
        <w:t>, Omar 2008</w:t>
      </w:r>
      <w:r w:rsidRPr="00ED3C8C">
        <w:t>). The specific constructs included the following: trust,</w:t>
      </w:r>
      <w:r>
        <w:t xml:space="preserve"> commitment, cooperative norms, organizational compatibility, and top management support. This operationalization is presented in Figure 3</w:t>
      </w:r>
      <w:r w:rsidR="00B16A48">
        <w:t>.</w:t>
      </w:r>
      <w:r w:rsidR="000A58AF">
        <w:t>1</w:t>
      </w:r>
      <w:r>
        <w:t xml:space="preserve">. </w:t>
      </w:r>
    </w:p>
    <w:p w:rsidR="00124FEE" w:rsidRDefault="00124FEE" w:rsidP="00CD436F">
      <w:pPr>
        <w:autoSpaceDE w:val="0"/>
        <w:autoSpaceDN w:val="0"/>
        <w:adjustRightInd w:val="0"/>
        <w:spacing w:after="0" w:line="480" w:lineRule="auto"/>
      </w:pPr>
    </w:p>
    <w:p w:rsidR="00BD3A38" w:rsidRDefault="00A7040E" w:rsidP="008D2ECE">
      <w:pPr>
        <w:pStyle w:val="Heading1"/>
        <w:spacing w:line="480" w:lineRule="auto"/>
        <w:jc w:val="center"/>
        <w:rPr>
          <w:rFonts w:ascii="Times New Roman" w:hAnsi="Times New Roman" w:cs="Times New Roman"/>
          <w:color w:val="000000" w:themeColor="text1"/>
          <w:sz w:val="24"/>
          <w:szCs w:val="24"/>
        </w:rPr>
      </w:pPr>
      <w:r w:rsidRPr="00A7040E">
        <w:rPr>
          <w:b w:val="0"/>
        </w:rPr>
      </w:r>
      <w:r w:rsidRPr="00A7040E">
        <w:rPr>
          <w:b w:val="0"/>
        </w:rPr>
        <w:pict>
          <v:group id="_x0000_s1149" editas="canvas" style="width:436.4pt;height:216.05pt;mso-position-horizontal-relative:char;mso-position-vertical-relative:line" coordorigin="2575,5980" coordsize="6910,3457">
            <o:lock v:ext="edit" aspectratio="t"/>
            <v:shape id="_x0000_s1150" type="#_x0000_t75" style="position:absolute;left:2575;top:5980;width:6910;height:3457" o:preferrelative="f">
              <v:fill o:detectmouseclick="t"/>
              <v:path o:extrusionok="t" o:connecttype="none"/>
              <o:lock v:ext="edit" text="t"/>
            </v:shape>
            <v:oval id="_x0000_s1151" style="position:absolute;left:5149;top:6412;width:2369;height:721" fillcolor="aqua">
              <v:textbox style="mso-next-textbox:#_x0000_s1151">
                <w:txbxContent>
                  <w:p w:rsidR="004D5499" w:rsidRPr="00142224" w:rsidRDefault="004D5499" w:rsidP="00FF116A">
                    <w:pPr>
                      <w:jc w:val="center"/>
                      <w:rPr>
                        <w:sz w:val="20"/>
                        <w:szCs w:val="20"/>
                      </w:rPr>
                    </w:pPr>
                    <w:r>
                      <w:rPr>
                        <w:b/>
                        <w:sz w:val="20"/>
                        <w:szCs w:val="20"/>
                      </w:rPr>
                      <w:t>Supply Chain Orientation</w:t>
                    </w:r>
                  </w:p>
                </w:txbxContent>
              </v:textbox>
            </v:oval>
            <v:oval id="_x0000_s1152" style="position:absolute;left:5445;top:8716;width:1777;height:721" fillcolor="aqua">
              <v:textbox style="mso-next-textbox:#_x0000_s1152">
                <w:txbxContent>
                  <w:p w:rsidR="004D5499" w:rsidRPr="00142224" w:rsidRDefault="004D5499" w:rsidP="00FF116A">
                    <w:pPr>
                      <w:jc w:val="center"/>
                      <w:rPr>
                        <w:sz w:val="20"/>
                        <w:szCs w:val="20"/>
                      </w:rPr>
                    </w:pPr>
                    <w:r>
                      <w:rPr>
                        <w:b/>
                        <w:sz w:val="20"/>
                        <w:szCs w:val="20"/>
                      </w:rPr>
                      <w:t>Cooperative Norms</w:t>
                    </w:r>
                  </w:p>
                </w:txbxContent>
              </v:textbox>
            </v:oval>
            <v:oval id="_x0000_s1153" style="position:absolute;left:2780;top:7420;width:1777;height:720" fillcolor="aqua">
              <v:textbox style="mso-next-textbox:#_x0000_s1153">
                <w:txbxContent>
                  <w:p w:rsidR="004D5499" w:rsidRPr="00142224" w:rsidRDefault="004D5499" w:rsidP="00FF116A">
                    <w:pPr>
                      <w:jc w:val="center"/>
                      <w:rPr>
                        <w:sz w:val="20"/>
                        <w:szCs w:val="20"/>
                      </w:rPr>
                    </w:pPr>
                    <w:r>
                      <w:rPr>
                        <w:b/>
                        <w:sz w:val="20"/>
                        <w:szCs w:val="20"/>
                      </w:rPr>
                      <w:t>Trust</w:t>
                    </w:r>
                  </w:p>
                </w:txbxContent>
              </v:textbox>
            </v:oval>
            <v:oval id="_x0000_s1154" style="position:absolute;left:3964;top:8140;width:1778;height:720" fillcolor="aqua">
              <v:textbox style="mso-next-textbox:#_x0000_s1154">
                <w:txbxContent>
                  <w:p w:rsidR="004D5499" w:rsidRPr="00142224" w:rsidRDefault="004D5499" w:rsidP="00FF116A">
                    <w:pPr>
                      <w:jc w:val="center"/>
                      <w:rPr>
                        <w:sz w:val="20"/>
                        <w:szCs w:val="20"/>
                      </w:rPr>
                    </w:pPr>
                    <w:r>
                      <w:rPr>
                        <w:b/>
                        <w:sz w:val="20"/>
                        <w:szCs w:val="20"/>
                      </w:rPr>
                      <w:t>Commitment</w:t>
                    </w:r>
                  </w:p>
                </w:txbxContent>
              </v:textbox>
            </v:oval>
            <v:oval id="_x0000_s1155" style="position:absolute;left:6925;top:8140;width:1778;height:720" fillcolor="aqua">
              <v:textbox style="mso-next-textbox:#_x0000_s1155">
                <w:txbxContent>
                  <w:p w:rsidR="004D5499" w:rsidRPr="00142224" w:rsidRDefault="004D5499" w:rsidP="00FF116A">
                    <w:pPr>
                      <w:jc w:val="center"/>
                      <w:rPr>
                        <w:sz w:val="20"/>
                        <w:szCs w:val="20"/>
                      </w:rPr>
                    </w:pPr>
                    <w:r>
                      <w:rPr>
                        <w:b/>
                        <w:sz w:val="20"/>
                        <w:szCs w:val="20"/>
                      </w:rPr>
                      <w:t>Organizational Compatibility</w:t>
                    </w:r>
                  </w:p>
                </w:txbxContent>
              </v:textbox>
            </v:oval>
            <v:oval id="_x0000_s1156" style="position:absolute;left:7369;top:7276;width:1778;height:720" fillcolor="aqua">
              <v:textbox style="mso-next-textbox:#_x0000_s1156">
                <w:txbxContent>
                  <w:p w:rsidR="004D5499" w:rsidRPr="00142224" w:rsidRDefault="004D5499" w:rsidP="00FF116A">
                    <w:pPr>
                      <w:jc w:val="center"/>
                      <w:rPr>
                        <w:sz w:val="20"/>
                        <w:szCs w:val="20"/>
                      </w:rPr>
                    </w:pPr>
                    <w:r>
                      <w:rPr>
                        <w:b/>
                        <w:sz w:val="20"/>
                        <w:szCs w:val="20"/>
                      </w:rPr>
                      <w:t>Top Mgmt. Support</w:t>
                    </w:r>
                  </w:p>
                </w:txbxContent>
              </v:textbox>
            </v:oval>
            <v:line id="_x0000_s1157" style="position:absolute;flip:x" from="4409,7132" to="6333,7564">
              <v:stroke endarrow="block"/>
            </v:line>
            <v:line id="_x0000_s1158" style="position:absolute;flip:x" from="5297,7132" to="6333,8140">
              <v:stroke endarrow="block"/>
            </v:line>
            <v:line id="_x0000_s1159" style="position:absolute" from="6333,7132" to="6333,8716">
              <v:stroke endarrow="block"/>
            </v:line>
            <v:line id="_x0000_s1160" style="position:absolute" from="6333,7132" to="7073,8284">
              <v:stroke endarrow="block"/>
            </v:line>
            <v:line id="_x0000_s1161" style="position:absolute" from="6333,7132" to="7517,7420">
              <v:stroke endarrow="block"/>
            </v:line>
            <w10:wrap type="none"/>
            <w10:anchorlock/>
          </v:group>
        </w:pict>
      </w:r>
    </w:p>
    <w:p w:rsidR="00BD3A38" w:rsidRDefault="00BD3A38" w:rsidP="00BD3A38"/>
    <w:p w:rsidR="00BD3A38" w:rsidRPr="00BD3A38" w:rsidRDefault="00BD3A38" w:rsidP="00BD3A38"/>
    <w:p w:rsidR="00FF116A" w:rsidRDefault="00FF116A" w:rsidP="00FF116A">
      <w:pPr>
        <w:spacing w:line="480" w:lineRule="auto"/>
        <w:rPr>
          <w:b/>
        </w:rPr>
      </w:pPr>
    </w:p>
    <w:p w:rsidR="00FF116A" w:rsidRDefault="000A58AF" w:rsidP="00FF116A">
      <w:pPr>
        <w:spacing w:after="0" w:line="240" w:lineRule="auto"/>
        <w:jc w:val="center"/>
        <w:rPr>
          <w:b/>
        </w:rPr>
      </w:pPr>
      <w:r>
        <w:rPr>
          <w:b/>
        </w:rPr>
        <w:t>Figure 3.1</w:t>
      </w:r>
    </w:p>
    <w:p w:rsidR="00FF116A" w:rsidRDefault="00FF116A" w:rsidP="00FF116A">
      <w:pPr>
        <w:spacing w:after="0" w:line="240" w:lineRule="auto"/>
        <w:jc w:val="center"/>
        <w:rPr>
          <w:b/>
        </w:rPr>
      </w:pPr>
      <w:r w:rsidRPr="00D868F7">
        <w:rPr>
          <w:b/>
        </w:rPr>
        <w:t xml:space="preserve">Operationalization of </w:t>
      </w:r>
      <w:r>
        <w:rPr>
          <w:b/>
        </w:rPr>
        <w:t>Supply Chain Orientation</w:t>
      </w:r>
    </w:p>
    <w:p w:rsidR="00FF116A" w:rsidRPr="00D868F7" w:rsidRDefault="00FF116A" w:rsidP="00FF116A">
      <w:pPr>
        <w:spacing w:line="480" w:lineRule="auto"/>
        <w:rPr>
          <w:b/>
        </w:rPr>
      </w:pPr>
    </w:p>
    <w:p w:rsidR="00FF116A" w:rsidRDefault="00FF116A" w:rsidP="00FF116A">
      <w:pPr>
        <w:spacing w:line="480" w:lineRule="auto"/>
      </w:pPr>
      <w:r>
        <w:tab/>
        <w:t>Alternatively, we propose to measure supply chain orientation as a first order construct that is not relationship-specific as in the above operationalization. Thus, specific measurement items were adapted from the previous research after undergoing the process of re-clarification and appropriate adjustment.</w:t>
      </w:r>
    </w:p>
    <w:p w:rsidR="00FF116A" w:rsidRDefault="00FF116A" w:rsidP="00FF116A">
      <w:pPr>
        <w:spacing w:line="480" w:lineRule="auto"/>
        <w:rPr>
          <w:b/>
        </w:rPr>
      </w:pPr>
    </w:p>
    <w:p w:rsidR="00FF116A" w:rsidRDefault="00FF116A" w:rsidP="00FF116A">
      <w:pPr>
        <w:spacing w:line="480" w:lineRule="auto"/>
        <w:rPr>
          <w:b/>
        </w:rPr>
      </w:pPr>
    </w:p>
    <w:p w:rsidR="00FF116A" w:rsidRDefault="00FF116A" w:rsidP="00FF116A">
      <w:pPr>
        <w:spacing w:line="480" w:lineRule="auto"/>
        <w:rPr>
          <w:b/>
        </w:rPr>
      </w:pPr>
    </w:p>
    <w:p w:rsidR="00FF116A" w:rsidRDefault="00FF116A" w:rsidP="00FF116A">
      <w:pPr>
        <w:spacing w:line="480" w:lineRule="auto"/>
        <w:rPr>
          <w:b/>
        </w:rPr>
      </w:pPr>
    </w:p>
    <w:p w:rsidR="00FF116A" w:rsidRDefault="00FF116A" w:rsidP="00FF116A">
      <w:pPr>
        <w:spacing w:after="0" w:line="240" w:lineRule="auto"/>
        <w:jc w:val="center"/>
        <w:rPr>
          <w:b/>
        </w:rPr>
      </w:pPr>
      <w:r>
        <w:rPr>
          <w:b/>
        </w:rPr>
        <w:lastRenderedPageBreak/>
        <w:t>Table 3.6</w:t>
      </w:r>
      <w:r w:rsidRPr="00690DDE">
        <w:rPr>
          <w:b/>
        </w:rPr>
        <w:t xml:space="preserve"> Measurement of Supply Chain Orientation</w:t>
      </w:r>
    </w:p>
    <w:p w:rsidR="00FF116A" w:rsidRPr="00690DDE" w:rsidRDefault="00FF116A" w:rsidP="00FF116A">
      <w:pPr>
        <w:spacing w:after="0" w:line="240" w:lineRule="auto"/>
        <w:rPr>
          <w:b/>
        </w:rPr>
      </w:pPr>
    </w:p>
    <w:tbl>
      <w:tblPr>
        <w:tblW w:w="9900" w:type="dxa"/>
        <w:tblInd w:w="-432" w:type="dxa"/>
        <w:tblBorders>
          <w:top w:val="single" w:sz="4" w:space="0" w:color="auto"/>
          <w:left w:val="single" w:sz="4" w:space="0" w:color="auto"/>
          <w:right w:val="single" w:sz="4" w:space="0" w:color="auto"/>
          <w:insideH w:val="single" w:sz="4" w:space="0" w:color="auto"/>
          <w:insideV w:val="single" w:sz="4" w:space="0" w:color="auto"/>
        </w:tblBorders>
        <w:tblLook w:val="01E0"/>
      </w:tblPr>
      <w:tblGrid>
        <w:gridCol w:w="6120"/>
        <w:gridCol w:w="3780"/>
      </w:tblGrid>
      <w:tr w:rsidR="00FF116A" w:rsidRPr="00CC721D" w:rsidTr="00007EA8">
        <w:trPr>
          <w:trHeight w:val="530"/>
        </w:trPr>
        <w:tc>
          <w:tcPr>
            <w:tcW w:w="6120" w:type="dxa"/>
            <w:tcBorders>
              <w:bottom w:val="single" w:sz="4" w:space="0" w:color="auto"/>
              <w:right w:val="nil"/>
            </w:tcBorders>
            <w:vAlign w:val="bottom"/>
          </w:tcPr>
          <w:p w:rsidR="00FF116A" w:rsidRPr="00CC721D" w:rsidRDefault="00FF116A" w:rsidP="00FF116A">
            <w:pPr>
              <w:spacing w:after="0" w:line="240" w:lineRule="auto"/>
              <w:rPr>
                <w:sz w:val="20"/>
                <w:szCs w:val="20"/>
              </w:rPr>
            </w:pPr>
            <w:r>
              <w:rPr>
                <w:b/>
                <w:sz w:val="20"/>
                <w:szCs w:val="20"/>
              </w:rPr>
              <w:t>Supply Chain Orientation (SCO)</w:t>
            </w:r>
          </w:p>
        </w:tc>
        <w:tc>
          <w:tcPr>
            <w:tcW w:w="3780" w:type="dxa"/>
            <w:tcBorders>
              <w:left w:val="nil"/>
              <w:bottom w:val="single" w:sz="4" w:space="0" w:color="auto"/>
            </w:tcBorders>
            <w:vAlign w:val="bottom"/>
          </w:tcPr>
          <w:p w:rsidR="00FF116A" w:rsidRPr="00CC721D" w:rsidRDefault="00FF116A" w:rsidP="00FF116A">
            <w:pPr>
              <w:spacing w:after="0" w:line="240" w:lineRule="auto"/>
              <w:rPr>
                <w:b/>
                <w:sz w:val="18"/>
                <w:szCs w:val="18"/>
              </w:rPr>
            </w:pPr>
          </w:p>
          <w:p w:rsidR="00FF116A" w:rsidRPr="00CC721D" w:rsidRDefault="00FF116A" w:rsidP="00FF116A">
            <w:pPr>
              <w:spacing w:after="0" w:line="240" w:lineRule="auto"/>
              <w:rPr>
                <w:b/>
                <w:sz w:val="18"/>
                <w:szCs w:val="18"/>
              </w:rPr>
            </w:pPr>
            <w:r w:rsidRPr="00CC721D">
              <w:rPr>
                <w:b/>
                <w:sz w:val="18"/>
                <w:szCs w:val="18"/>
              </w:rPr>
              <w:t xml:space="preserve">Strongly                    Neutral                Strongly </w:t>
            </w:r>
          </w:p>
          <w:p w:rsidR="00FF116A" w:rsidRPr="00CC721D" w:rsidRDefault="00FF116A" w:rsidP="00FF116A">
            <w:pPr>
              <w:spacing w:after="0" w:line="240" w:lineRule="auto"/>
              <w:rPr>
                <w:b/>
                <w:sz w:val="18"/>
                <w:szCs w:val="18"/>
              </w:rPr>
            </w:pPr>
            <w:r w:rsidRPr="00CC721D">
              <w:rPr>
                <w:b/>
                <w:sz w:val="18"/>
                <w:szCs w:val="18"/>
              </w:rPr>
              <w:t xml:space="preserve">Disagree                                                    Agree  </w:t>
            </w:r>
          </w:p>
        </w:tc>
      </w:tr>
      <w:tr w:rsidR="00FF116A" w:rsidRPr="00CC721D" w:rsidTr="00007EA8">
        <w:tc>
          <w:tcPr>
            <w:tcW w:w="6120" w:type="dxa"/>
            <w:tcBorders>
              <w:top w:val="single" w:sz="4" w:space="0" w:color="auto"/>
              <w:bottom w:val="single" w:sz="4" w:space="0" w:color="auto"/>
              <w:right w:val="nil"/>
            </w:tcBorders>
          </w:tcPr>
          <w:p w:rsidR="00FF116A" w:rsidRPr="00CC721D" w:rsidRDefault="00FF116A" w:rsidP="00FF116A">
            <w:pPr>
              <w:spacing w:after="0" w:line="240" w:lineRule="auto"/>
              <w:ind w:left="180"/>
              <w:rPr>
                <w:sz w:val="20"/>
                <w:szCs w:val="20"/>
              </w:rPr>
            </w:pPr>
          </w:p>
          <w:p w:rsidR="00FF116A" w:rsidRDefault="00FF116A" w:rsidP="007743FB">
            <w:pPr>
              <w:numPr>
                <w:ilvl w:val="0"/>
                <w:numId w:val="49"/>
              </w:numPr>
              <w:tabs>
                <w:tab w:val="clear" w:pos="720"/>
              </w:tabs>
              <w:spacing w:after="0" w:line="240" w:lineRule="auto"/>
              <w:ind w:left="432"/>
              <w:rPr>
                <w:sz w:val="20"/>
                <w:szCs w:val="20"/>
              </w:rPr>
            </w:pPr>
            <w:r>
              <w:rPr>
                <w:sz w:val="20"/>
                <w:szCs w:val="20"/>
              </w:rPr>
              <w:t>We trust our key suppliers.</w:t>
            </w:r>
          </w:p>
          <w:p w:rsidR="00FF116A" w:rsidRDefault="00FF116A" w:rsidP="00FF116A">
            <w:pPr>
              <w:spacing w:after="0" w:line="240" w:lineRule="auto"/>
              <w:ind w:left="72"/>
              <w:rPr>
                <w:sz w:val="20"/>
                <w:szCs w:val="20"/>
              </w:rPr>
            </w:pPr>
          </w:p>
          <w:p w:rsidR="00FF116A" w:rsidRDefault="00FF116A" w:rsidP="007743FB">
            <w:pPr>
              <w:numPr>
                <w:ilvl w:val="0"/>
                <w:numId w:val="49"/>
              </w:numPr>
              <w:tabs>
                <w:tab w:val="clear" w:pos="720"/>
              </w:tabs>
              <w:spacing w:after="0" w:line="240" w:lineRule="auto"/>
              <w:ind w:left="432"/>
              <w:rPr>
                <w:sz w:val="20"/>
                <w:szCs w:val="20"/>
              </w:rPr>
            </w:pPr>
            <w:r>
              <w:rPr>
                <w:sz w:val="20"/>
                <w:szCs w:val="20"/>
              </w:rPr>
              <w:t xml:space="preserve">We trust our key customers. </w:t>
            </w:r>
          </w:p>
          <w:p w:rsidR="00FF116A" w:rsidRPr="00CC721D" w:rsidRDefault="00FF116A" w:rsidP="00FF116A">
            <w:pPr>
              <w:spacing w:after="0" w:line="240" w:lineRule="auto"/>
              <w:rPr>
                <w:sz w:val="20"/>
                <w:szCs w:val="20"/>
              </w:rPr>
            </w:pPr>
          </w:p>
          <w:p w:rsidR="00FF116A" w:rsidRDefault="00FF116A" w:rsidP="007743FB">
            <w:pPr>
              <w:numPr>
                <w:ilvl w:val="0"/>
                <w:numId w:val="49"/>
              </w:numPr>
              <w:tabs>
                <w:tab w:val="clear" w:pos="720"/>
              </w:tabs>
              <w:spacing w:after="0" w:line="240" w:lineRule="auto"/>
              <w:ind w:left="432"/>
              <w:rPr>
                <w:sz w:val="20"/>
                <w:szCs w:val="20"/>
              </w:rPr>
            </w:pPr>
            <w:r>
              <w:rPr>
                <w:sz w:val="20"/>
                <w:szCs w:val="20"/>
              </w:rPr>
              <w:t>We believe that our key suppliers trust us.</w:t>
            </w:r>
          </w:p>
          <w:p w:rsidR="00FF116A" w:rsidRDefault="00FF116A" w:rsidP="00FF116A">
            <w:pPr>
              <w:spacing w:after="0" w:line="240" w:lineRule="auto"/>
              <w:rPr>
                <w:sz w:val="20"/>
                <w:szCs w:val="20"/>
              </w:rPr>
            </w:pPr>
          </w:p>
          <w:p w:rsidR="00FF116A" w:rsidRDefault="00FF116A" w:rsidP="007743FB">
            <w:pPr>
              <w:numPr>
                <w:ilvl w:val="0"/>
                <w:numId w:val="49"/>
              </w:numPr>
              <w:tabs>
                <w:tab w:val="clear" w:pos="720"/>
              </w:tabs>
              <w:spacing w:after="0" w:line="240" w:lineRule="auto"/>
              <w:ind w:left="432"/>
              <w:rPr>
                <w:sz w:val="20"/>
                <w:szCs w:val="20"/>
              </w:rPr>
            </w:pPr>
            <w:r>
              <w:rPr>
                <w:sz w:val="20"/>
                <w:szCs w:val="20"/>
              </w:rPr>
              <w:t>We believe that our key customers trust us.</w:t>
            </w:r>
          </w:p>
          <w:p w:rsidR="00FF116A" w:rsidRDefault="00FF116A" w:rsidP="00FF116A">
            <w:pPr>
              <w:spacing w:after="0" w:line="240" w:lineRule="auto"/>
              <w:rPr>
                <w:sz w:val="20"/>
                <w:szCs w:val="20"/>
              </w:rPr>
            </w:pPr>
          </w:p>
          <w:p w:rsidR="00FF116A" w:rsidRPr="00CC721D" w:rsidRDefault="00FF116A" w:rsidP="007743FB">
            <w:pPr>
              <w:numPr>
                <w:ilvl w:val="0"/>
                <w:numId w:val="49"/>
              </w:numPr>
              <w:tabs>
                <w:tab w:val="clear" w:pos="720"/>
              </w:tabs>
              <w:spacing w:after="0" w:line="240" w:lineRule="auto"/>
              <w:ind w:left="432"/>
              <w:rPr>
                <w:sz w:val="20"/>
                <w:szCs w:val="20"/>
              </w:rPr>
            </w:pPr>
            <w:r w:rsidRPr="00676E17">
              <w:rPr>
                <w:sz w:val="20"/>
                <w:szCs w:val="20"/>
              </w:rPr>
              <w:t xml:space="preserve">Our organization places a high priority on </w:t>
            </w:r>
            <w:r>
              <w:rPr>
                <w:sz w:val="20"/>
                <w:szCs w:val="20"/>
              </w:rPr>
              <w:t>maintaining relationships with our key suppliers.</w:t>
            </w:r>
          </w:p>
          <w:p w:rsidR="00FF116A" w:rsidRPr="00CC721D" w:rsidRDefault="00FF116A" w:rsidP="00FF116A">
            <w:pPr>
              <w:tabs>
                <w:tab w:val="num" w:pos="432"/>
              </w:tabs>
              <w:spacing w:after="0" w:line="240" w:lineRule="auto"/>
              <w:ind w:left="432" w:hanging="360"/>
              <w:rPr>
                <w:sz w:val="20"/>
                <w:szCs w:val="20"/>
              </w:rPr>
            </w:pPr>
          </w:p>
          <w:p w:rsidR="00FF116A" w:rsidRPr="00CC721D" w:rsidRDefault="00FF116A" w:rsidP="007743FB">
            <w:pPr>
              <w:numPr>
                <w:ilvl w:val="0"/>
                <w:numId w:val="49"/>
              </w:numPr>
              <w:tabs>
                <w:tab w:val="clear" w:pos="720"/>
              </w:tabs>
              <w:spacing w:after="0" w:line="240" w:lineRule="auto"/>
              <w:ind w:left="432"/>
              <w:rPr>
                <w:sz w:val="20"/>
                <w:szCs w:val="20"/>
              </w:rPr>
            </w:pPr>
            <w:r w:rsidRPr="00676E17">
              <w:rPr>
                <w:sz w:val="20"/>
                <w:szCs w:val="20"/>
              </w:rPr>
              <w:t xml:space="preserve">Our organization places a high priority on </w:t>
            </w:r>
            <w:r>
              <w:rPr>
                <w:sz w:val="20"/>
                <w:szCs w:val="20"/>
              </w:rPr>
              <w:t>maintaining relationships with our key customers.</w:t>
            </w:r>
          </w:p>
          <w:p w:rsidR="00FF116A" w:rsidRPr="00CC721D" w:rsidRDefault="00FF116A" w:rsidP="00FF116A">
            <w:pPr>
              <w:tabs>
                <w:tab w:val="num" w:pos="432"/>
              </w:tabs>
              <w:spacing w:after="0" w:line="240" w:lineRule="auto"/>
              <w:ind w:left="432" w:hanging="360"/>
              <w:rPr>
                <w:sz w:val="20"/>
                <w:szCs w:val="20"/>
              </w:rPr>
            </w:pPr>
          </w:p>
          <w:p w:rsidR="00FF116A" w:rsidRDefault="00FF116A" w:rsidP="007743FB">
            <w:pPr>
              <w:numPr>
                <w:ilvl w:val="0"/>
                <w:numId w:val="49"/>
              </w:numPr>
              <w:tabs>
                <w:tab w:val="clear" w:pos="720"/>
              </w:tabs>
              <w:spacing w:after="0" w:line="240" w:lineRule="auto"/>
              <w:ind w:left="432"/>
              <w:rPr>
                <w:sz w:val="20"/>
                <w:szCs w:val="20"/>
              </w:rPr>
            </w:pPr>
            <w:r>
              <w:rPr>
                <w:sz w:val="20"/>
                <w:szCs w:val="20"/>
              </w:rPr>
              <w:t>Our objectives are consistent with those of our key suppliers.</w:t>
            </w:r>
          </w:p>
          <w:p w:rsidR="00FF116A" w:rsidRDefault="00FF116A" w:rsidP="00FF116A">
            <w:pPr>
              <w:spacing w:after="0" w:line="240" w:lineRule="auto"/>
              <w:rPr>
                <w:sz w:val="20"/>
                <w:szCs w:val="20"/>
              </w:rPr>
            </w:pPr>
          </w:p>
          <w:p w:rsidR="00FF116A" w:rsidRDefault="00FF116A" w:rsidP="007743FB">
            <w:pPr>
              <w:numPr>
                <w:ilvl w:val="0"/>
                <w:numId w:val="49"/>
              </w:numPr>
              <w:tabs>
                <w:tab w:val="clear" w:pos="720"/>
              </w:tabs>
              <w:spacing w:after="0" w:line="240" w:lineRule="auto"/>
              <w:ind w:left="432"/>
              <w:rPr>
                <w:sz w:val="20"/>
                <w:szCs w:val="20"/>
              </w:rPr>
            </w:pPr>
            <w:r>
              <w:rPr>
                <w:sz w:val="20"/>
                <w:szCs w:val="20"/>
              </w:rPr>
              <w:t>The culture of our firm is similar to the culture of our key supply chain partners.</w:t>
            </w:r>
          </w:p>
          <w:p w:rsidR="00FF116A" w:rsidRDefault="00FF116A" w:rsidP="00FF116A">
            <w:pPr>
              <w:spacing w:after="0" w:line="240" w:lineRule="auto"/>
              <w:rPr>
                <w:sz w:val="20"/>
                <w:szCs w:val="20"/>
              </w:rPr>
            </w:pPr>
          </w:p>
          <w:p w:rsidR="00FF116A" w:rsidRDefault="00FF116A" w:rsidP="007743FB">
            <w:pPr>
              <w:numPr>
                <w:ilvl w:val="0"/>
                <w:numId w:val="49"/>
              </w:numPr>
              <w:tabs>
                <w:tab w:val="clear" w:pos="720"/>
              </w:tabs>
              <w:spacing w:after="0" w:line="240" w:lineRule="auto"/>
              <w:ind w:left="432"/>
              <w:rPr>
                <w:sz w:val="20"/>
                <w:szCs w:val="20"/>
              </w:rPr>
            </w:pPr>
            <w:r w:rsidRPr="00CC721D">
              <w:rPr>
                <w:sz w:val="20"/>
              </w:rPr>
              <w:t>We view our supply chain as a value added piece of our business</w:t>
            </w:r>
            <w:r>
              <w:rPr>
                <w:sz w:val="20"/>
                <w:szCs w:val="20"/>
              </w:rPr>
              <w:t xml:space="preserve">. </w:t>
            </w:r>
          </w:p>
          <w:p w:rsidR="00FF116A" w:rsidRDefault="00FF116A" w:rsidP="00FF116A">
            <w:pPr>
              <w:spacing w:after="0" w:line="240" w:lineRule="auto"/>
              <w:rPr>
                <w:sz w:val="20"/>
                <w:szCs w:val="20"/>
              </w:rPr>
            </w:pPr>
          </w:p>
          <w:p w:rsidR="00FF116A" w:rsidRPr="0008566B" w:rsidRDefault="00A9367B" w:rsidP="007743FB">
            <w:pPr>
              <w:numPr>
                <w:ilvl w:val="0"/>
                <w:numId w:val="49"/>
              </w:numPr>
              <w:tabs>
                <w:tab w:val="clear" w:pos="720"/>
              </w:tabs>
              <w:spacing w:after="0" w:line="240" w:lineRule="auto"/>
              <w:ind w:left="432"/>
              <w:rPr>
                <w:sz w:val="20"/>
                <w:szCs w:val="20"/>
              </w:rPr>
            </w:pPr>
            <w:r>
              <w:rPr>
                <w:rFonts w:eastAsia="Gulim"/>
                <w:sz w:val="20"/>
                <w:szCs w:val="20"/>
              </w:rPr>
              <w:t>Top managers reinforce the need of</w:t>
            </w:r>
            <w:r w:rsidR="00FF116A" w:rsidRPr="0008566B">
              <w:rPr>
                <w:rFonts w:eastAsia="Gulim"/>
                <w:sz w:val="20"/>
                <w:szCs w:val="20"/>
              </w:rPr>
              <w:t xml:space="preserve"> building, maintaining, and enhancing long-term relationships with our suppl</w:t>
            </w:r>
            <w:r>
              <w:rPr>
                <w:rFonts w:eastAsia="Gulim"/>
                <w:sz w:val="20"/>
                <w:szCs w:val="20"/>
              </w:rPr>
              <w:t>y chain members.</w:t>
            </w:r>
          </w:p>
          <w:p w:rsidR="00FF116A" w:rsidRDefault="00FF116A" w:rsidP="00FF116A">
            <w:pPr>
              <w:spacing w:after="0" w:line="240" w:lineRule="auto"/>
              <w:rPr>
                <w:sz w:val="20"/>
                <w:szCs w:val="20"/>
              </w:rPr>
            </w:pPr>
          </w:p>
          <w:p w:rsidR="00FF116A" w:rsidRPr="00A9367B" w:rsidRDefault="00FF116A" w:rsidP="00FF116A">
            <w:pPr>
              <w:numPr>
                <w:ilvl w:val="0"/>
                <w:numId w:val="49"/>
              </w:numPr>
              <w:tabs>
                <w:tab w:val="clear" w:pos="720"/>
              </w:tabs>
              <w:spacing w:after="0" w:line="240" w:lineRule="auto"/>
              <w:ind w:left="432"/>
              <w:rPr>
                <w:sz w:val="20"/>
                <w:szCs w:val="20"/>
              </w:rPr>
            </w:pPr>
            <w:r w:rsidRPr="00CC721D">
              <w:rPr>
                <w:rFonts w:eastAsia="Gulim"/>
                <w:sz w:val="20"/>
                <w:szCs w:val="20"/>
              </w:rPr>
              <w:t xml:space="preserve">Top managers </w:t>
            </w:r>
            <w:r w:rsidR="00085CFC">
              <w:rPr>
                <w:rFonts w:eastAsia="Gulim"/>
                <w:sz w:val="20"/>
                <w:szCs w:val="20"/>
              </w:rPr>
              <w:t>reinforce the need of</w:t>
            </w:r>
            <w:r w:rsidRPr="00CC721D">
              <w:rPr>
                <w:rFonts w:eastAsia="Gulim"/>
                <w:sz w:val="20"/>
                <w:szCs w:val="20"/>
              </w:rPr>
              <w:t xml:space="preserve"> shar</w:t>
            </w:r>
            <w:r w:rsidR="00085CFC">
              <w:rPr>
                <w:rFonts w:eastAsia="Gulim"/>
                <w:sz w:val="20"/>
                <w:szCs w:val="20"/>
              </w:rPr>
              <w:t xml:space="preserve">ing valuable </w:t>
            </w:r>
            <w:r w:rsidRPr="00CC721D">
              <w:rPr>
                <w:rFonts w:eastAsia="Gulim"/>
                <w:sz w:val="20"/>
                <w:szCs w:val="20"/>
              </w:rPr>
              <w:t>information with our supp</w:t>
            </w:r>
            <w:r w:rsidR="00085CFC">
              <w:rPr>
                <w:rFonts w:eastAsia="Gulim"/>
                <w:sz w:val="20"/>
                <w:szCs w:val="20"/>
              </w:rPr>
              <w:t>ly chain members</w:t>
            </w:r>
            <w:r w:rsidRPr="00CC721D">
              <w:rPr>
                <w:rFonts w:eastAsia="Gulim"/>
                <w:sz w:val="20"/>
                <w:szCs w:val="20"/>
              </w:rPr>
              <w:t>.</w:t>
            </w:r>
          </w:p>
        </w:tc>
        <w:tc>
          <w:tcPr>
            <w:tcW w:w="3780" w:type="dxa"/>
            <w:tcBorders>
              <w:top w:val="single" w:sz="4" w:space="0" w:color="auto"/>
              <w:left w:val="nil"/>
              <w:bottom w:val="single" w:sz="4" w:space="0" w:color="auto"/>
            </w:tcBorders>
          </w:tcPr>
          <w:p w:rsidR="00FF116A" w:rsidRDefault="00FF116A" w:rsidP="00FF116A">
            <w:pPr>
              <w:spacing w:after="0" w:line="240" w:lineRule="auto"/>
              <w:rPr>
                <w:b/>
                <w:sz w:val="20"/>
                <w:szCs w:val="20"/>
              </w:rPr>
            </w:pPr>
          </w:p>
          <w:p w:rsidR="00FF116A" w:rsidRPr="00CC721D" w:rsidRDefault="00FF116A" w:rsidP="00FF116A">
            <w:pPr>
              <w:spacing w:after="0" w:line="240" w:lineRule="auto"/>
              <w:rPr>
                <w:sz w:val="18"/>
                <w:szCs w:val="18"/>
              </w:rPr>
            </w:pPr>
            <w:r>
              <w:rPr>
                <w:b/>
                <w:sz w:val="20"/>
                <w:szCs w:val="20"/>
              </w:rPr>
              <w:t xml:space="preserve">   </w:t>
            </w:r>
            <w:r w:rsidRPr="00CC721D">
              <w:rPr>
                <w:b/>
                <w:sz w:val="20"/>
                <w:szCs w:val="20"/>
              </w:rPr>
              <w:t>1          2          3        4        5        6        7</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Default="00FF116A" w:rsidP="00FF116A">
            <w:pPr>
              <w:spacing w:after="0" w:line="240" w:lineRule="auto"/>
              <w:rPr>
                <w:b/>
                <w:sz w:val="20"/>
                <w:szCs w:val="20"/>
              </w:rPr>
            </w:pP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Pr>
                <w:b/>
                <w:sz w:val="20"/>
                <w:szCs w:val="20"/>
              </w:rPr>
              <w:t xml:space="preserve">   </w:t>
            </w:r>
            <w:r w:rsidRPr="00CC721D">
              <w:rPr>
                <w:b/>
                <w:sz w:val="20"/>
                <w:szCs w:val="20"/>
              </w:rPr>
              <w:t xml:space="preserve">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Default="00FF116A" w:rsidP="00FF116A">
            <w:pPr>
              <w:spacing w:after="0" w:line="240" w:lineRule="auto"/>
              <w:rPr>
                <w:b/>
                <w:sz w:val="20"/>
                <w:szCs w:val="20"/>
              </w:rPr>
            </w:pPr>
            <w:r w:rsidRPr="00CC721D">
              <w:rPr>
                <w:b/>
                <w:sz w:val="20"/>
                <w:szCs w:val="20"/>
              </w:rPr>
              <w:t xml:space="preserve">   1          2          3        4        5        6        7</w:t>
            </w:r>
          </w:p>
          <w:p w:rsidR="00FF116A" w:rsidRDefault="00FF116A" w:rsidP="00FF116A">
            <w:pPr>
              <w:spacing w:after="0" w:line="240" w:lineRule="auto"/>
              <w:rPr>
                <w:b/>
                <w:sz w:val="20"/>
                <w:szCs w:val="20"/>
              </w:rPr>
            </w:pPr>
          </w:p>
          <w:p w:rsidR="00FF116A" w:rsidRDefault="00FF116A" w:rsidP="00FF116A">
            <w:pPr>
              <w:spacing w:after="0" w:line="240" w:lineRule="auto"/>
              <w:rPr>
                <w:b/>
                <w:sz w:val="20"/>
                <w:szCs w:val="20"/>
              </w:rPr>
            </w:pPr>
          </w:p>
          <w:p w:rsidR="00FF116A" w:rsidRDefault="00FF116A" w:rsidP="00FF116A">
            <w:pPr>
              <w:spacing w:after="0" w:line="240" w:lineRule="auto"/>
              <w:rPr>
                <w:b/>
                <w:sz w:val="20"/>
                <w:szCs w:val="20"/>
              </w:rPr>
            </w:pPr>
            <w:r>
              <w:rPr>
                <w:b/>
                <w:sz w:val="20"/>
                <w:szCs w:val="20"/>
              </w:rPr>
              <w:t xml:space="preserve">   </w:t>
            </w:r>
            <w:r w:rsidRPr="00CC721D">
              <w:rPr>
                <w:b/>
                <w:sz w:val="20"/>
                <w:szCs w:val="20"/>
              </w:rPr>
              <w:t>1          2          3        4        5        6        7</w:t>
            </w: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Pr>
                <w:b/>
                <w:sz w:val="20"/>
                <w:szCs w:val="20"/>
              </w:rPr>
              <w:t xml:space="preserve">   </w:t>
            </w:r>
            <w:r w:rsidRPr="00CC721D">
              <w:rPr>
                <w:b/>
                <w:sz w:val="20"/>
                <w:szCs w:val="20"/>
              </w:rPr>
              <w:t xml:space="preserve">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Default="00FF116A" w:rsidP="00FF116A">
            <w:pPr>
              <w:spacing w:after="0" w:line="240" w:lineRule="auto"/>
              <w:rPr>
                <w:b/>
                <w:sz w:val="20"/>
                <w:szCs w:val="20"/>
              </w:rPr>
            </w:pPr>
            <w:r w:rsidRPr="00CC721D">
              <w:rPr>
                <w:b/>
                <w:sz w:val="20"/>
                <w:szCs w:val="20"/>
              </w:rPr>
              <w:t xml:space="preserve">   1          2          3        4        5        6        7</w:t>
            </w: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Pr>
                <w:b/>
                <w:sz w:val="20"/>
                <w:szCs w:val="20"/>
              </w:rPr>
              <w:t xml:space="preserve"> </w:t>
            </w:r>
          </w:p>
        </w:tc>
      </w:tr>
    </w:tbl>
    <w:p w:rsidR="00FF116A" w:rsidRDefault="00FF116A" w:rsidP="00FF116A">
      <w:pPr>
        <w:spacing w:line="480" w:lineRule="auto"/>
      </w:pPr>
    </w:p>
    <w:p w:rsidR="00FF116A" w:rsidRPr="00833B4E" w:rsidRDefault="00FF116A" w:rsidP="00FF116A">
      <w:pPr>
        <w:spacing w:line="480" w:lineRule="auto"/>
        <w:rPr>
          <w:b/>
        </w:rPr>
      </w:pPr>
      <w:r w:rsidRPr="00833B4E">
        <w:rPr>
          <w:b/>
        </w:rPr>
        <w:t>Risk Management Orientation</w:t>
      </w:r>
    </w:p>
    <w:p w:rsidR="00FF116A" w:rsidRDefault="00FF116A" w:rsidP="00FF116A">
      <w:pPr>
        <w:spacing w:line="480" w:lineRule="auto"/>
      </w:pPr>
      <w:r>
        <w:tab/>
        <w:t xml:space="preserve">As defined in the current research, a risk management orientation will be modeled as a latent variable and measured by several items on a seven-point </w:t>
      </w:r>
      <w:proofErr w:type="spellStart"/>
      <w:r>
        <w:t>Likert</w:t>
      </w:r>
      <w:proofErr w:type="spellEnd"/>
      <w:r>
        <w:t>-scale. All items were newly developed based on related literature review and several unstructured interviews with supply chain management professionals and pre-tested by the panel of experts. They are presented in Table 3.7.</w:t>
      </w:r>
    </w:p>
    <w:p w:rsidR="00E2203E" w:rsidRDefault="00E2203E" w:rsidP="00FF116A">
      <w:pPr>
        <w:spacing w:line="480" w:lineRule="auto"/>
      </w:pPr>
    </w:p>
    <w:p w:rsidR="00FF116A" w:rsidRDefault="00FF116A" w:rsidP="00FF116A">
      <w:pPr>
        <w:spacing w:after="0" w:line="240" w:lineRule="auto"/>
        <w:jc w:val="center"/>
        <w:rPr>
          <w:b/>
        </w:rPr>
      </w:pPr>
      <w:r>
        <w:rPr>
          <w:b/>
        </w:rPr>
        <w:lastRenderedPageBreak/>
        <w:t>Table 3.7</w:t>
      </w:r>
      <w:r w:rsidRPr="00690DDE">
        <w:rPr>
          <w:b/>
        </w:rPr>
        <w:t xml:space="preserve"> Measurement of Risk Management Orientation</w:t>
      </w:r>
    </w:p>
    <w:p w:rsidR="00FF116A" w:rsidRPr="00690DDE" w:rsidRDefault="00FF116A" w:rsidP="00FF116A">
      <w:pPr>
        <w:spacing w:after="0" w:line="240" w:lineRule="auto"/>
        <w:jc w:val="center"/>
        <w:rPr>
          <w:b/>
        </w:rPr>
      </w:pPr>
    </w:p>
    <w:tbl>
      <w:tblPr>
        <w:tblW w:w="9900" w:type="dxa"/>
        <w:tblInd w:w="-432" w:type="dxa"/>
        <w:tblBorders>
          <w:top w:val="single" w:sz="4" w:space="0" w:color="auto"/>
          <w:left w:val="single" w:sz="4" w:space="0" w:color="auto"/>
          <w:right w:val="single" w:sz="4" w:space="0" w:color="auto"/>
          <w:insideH w:val="single" w:sz="4" w:space="0" w:color="auto"/>
          <w:insideV w:val="single" w:sz="4" w:space="0" w:color="auto"/>
        </w:tblBorders>
        <w:tblLook w:val="01E0"/>
      </w:tblPr>
      <w:tblGrid>
        <w:gridCol w:w="6120"/>
        <w:gridCol w:w="3780"/>
      </w:tblGrid>
      <w:tr w:rsidR="00FF116A" w:rsidRPr="00CC721D" w:rsidTr="00007EA8">
        <w:trPr>
          <w:trHeight w:val="530"/>
        </w:trPr>
        <w:tc>
          <w:tcPr>
            <w:tcW w:w="6120" w:type="dxa"/>
            <w:tcBorders>
              <w:bottom w:val="single" w:sz="4" w:space="0" w:color="auto"/>
              <w:right w:val="nil"/>
            </w:tcBorders>
            <w:vAlign w:val="bottom"/>
          </w:tcPr>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sz w:val="20"/>
                <w:szCs w:val="20"/>
              </w:rPr>
            </w:pPr>
            <w:r>
              <w:rPr>
                <w:b/>
                <w:sz w:val="20"/>
                <w:szCs w:val="20"/>
              </w:rPr>
              <w:t>Risk Management Orientation (RMO)</w:t>
            </w:r>
          </w:p>
        </w:tc>
        <w:tc>
          <w:tcPr>
            <w:tcW w:w="3780" w:type="dxa"/>
            <w:tcBorders>
              <w:left w:val="nil"/>
              <w:bottom w:val="single" w:sz="4" w:space="0" w:color="auto"/>
            </w:tcBorders>
            <w:vAlign w:val="bottom"/>
          </w:tcPr>
          <w:p w:rsidR="00FF116A" w:rsidRPr="00CC721D" w:rsidRDefault="00FF116A" w:rsidP="00FF116A">
            <w:pPr>
              <w:spacing w:after="0" w:line="240" w:lineRule="auto"/>
              <w:rPr>
                <w:b/>
                <w:sz w:val="18"/>
                <w:szCs w:val="18"/>
              </w:rPr>
            </w:pPr>
          </w:p>
          <w:p w:rsidR="00FF116A" w:rsidRPr="00CC721D" w:rsidRDefault="00FF116A" w:rsidP="00FF116A">
            <w:pPr>
              <w:spacing w:after="0" w:line="240" w:lineRule="auto"/>
              <w:rPr>
                <w:b/>
                <w:sz w:val="18"/>
                <w:szCs w:val="18"/>
              </w:rPr>
            </w:pPr>
            <w:r w:rsidRPr="00CC721D">
              <w:rPr>
                <w:b/>
                <w:sz w:val="18"/>
                <w:szCs w:val="18"/>
              </w:rPr>
              <w:t xml:space="preserve">Strongly                    Neutral                Strongly </w:t>
            </w:r>
          </w:p>
          <w:p w:rsidR="00FF116A" w:rsidRPr="00CC721D" w:rsidRDefault="00FF116A" w:rsidP="00FF116A">
            <w:pPr>
              <w:spacing w:after="0" w:line="240" w:lineRule="auto"/>
              <w:rPr>
                <w:b/>
                <w:sz w:val="18"/>
                <w:szCs w:val="18"/>
              </w:rPr>
            </w:pPr>
            <w:r w:rsidRPr="00CC721D">
              <w:rPr>
                <w:b/>
                <w:sz w:val="18"/>
                <w:szCs w:val="18"/>
              </w:rPr>
              <w:t xml:space="preserve">Disagree                                                    Agree  </w:t>
            </w:r>
          </w:p>
        </w:tc>
      </w:tr>
      <w:tr w:rsidR="00FF116A" w:rsidRPr="00CC721D" w:rsidTr="00007EA8">
        <w:tc>
          <w:tcPr>
            <w:tcW w:w="6120" w:type="dxa"/>
            <w:tcBorders>
              <w:top w:val="single" w:sz="4" w:space="0" w:color="auto"/>
              <w:bottom w:val="single" w:sz="4" w:space="0" w:color="auto"/>
              <w:right w:val="nil"/>
            </w:tcBorders>
          </w:tcPr>
          <w:p w:rsidR="00FF116A" w:rsidRPr="00CC721D" w:rsidRDefault="00FF116A" w:rsidP="00FF116A">
            <w:pPr>
              <w:spacing w:after="0" w:line="240" w:lineRule="auto"/>
              <w:ind w:left="180"/>
              <w:rPr>
                <w:sz w:val="20"/>
                <w:szCs w:val="20"/>
              </w:rPr>
            </w:pPr>
          </w:p>
          <w:p w:rsidR="00FF116A" w:rsidRDefault="00FF116A" w:rsidP="007743FB">
            <w:pPr>
              <w:numPr>
                <w:ilvl w:val="0"/>
                <w:numId w:val="52"/>
              </w:numPr>
              <w:spacing w:after="0" w:line="240" w:lineRule="auto"/>
              <w:rPr>
                <w:sz w:val="20"/>
                <w:szCs w:val="20"/>
              </w:rPr>
            </w:pPr>
            <w:r>
              <w:rPr>
                <w:sz w:val="20"/>
                <w:szCs w:val="20"/>
              </w:rPr>
              <w:t>Our</w:t>
            </w:r>
            <w:r w:rsidR="00E2203E">
              <w:rPr>
                <w:sz w:val="20"/>
                <w:szCs w:val="20"/>
              </w:rPr>
              <w:t xml:space="preserve"> organizational culture values</w:t>
            </w:r>
            <w:r>
              <w:rPr>
                <w:sz w:val="20"/>
                <w:szCs w:val="20"/>
              </w:rPr>
              <w:t xml:space="preserve"> </w:t>
            </w:r>
            <w:r w:rsidRPr="00676E17">
              <w:rPr>
                <w:sz w:val="20"/>
                <w:szCs w:val="20"/>
              </w:rPr>
              <w:t>risk assessment</w:t>
            </w:r>
            <w:r>
              <w:rPr>
                <w:sz w:val="20"/>
                <w:szCs w:val="20"/>
              </w:rPr>
              <w:t xml:space="preserve"> actions.</w:t>
            </w:r>
            <w:r w:rsidRPr="00676E17">
              <w:rPr>
                <w:sz w:val="20"/>
                <w:szCs w:val="20"/>
              </w:rPr>
              <w:t xml:space="preserve"> </w:t>
            </w:r>
          </w:p>
          <w:p w:rsidR="00FF116A" w:rsidRDefault="00FF116A" w:rsidP="00FF116A">
            <w:pPr>
              <w:spacing w:after="0" w:line="240" w:lineRule="auto"/>
              <w:ind w:left="72"/>
              <w:rPr>
                <w:sz w:val="20"/>
                <w:szCs w:val="20"/>
              </w:rPr>
            </w:pPr>
          </w:p>
          <w:p w:rsidR="00FF116A" w:rsidRPr="00CC721D" w:rsidRDefault="00FF116A" w:rsidP="007743FB">
            <w:pPr>
              <w:numPr>
                <w:ilvl w:val="0"/>
                <w:numId w:val="52"/>
              </w:numPr>
              <w:spacing w:after="0" w:line="240" w:lineRule="auto"/>
              <w:rPr>
                <w:sz w:val="20"/>
                <w:szCs w:val="20"/>
              </w:rPr>
            </w:pPr>
            <w:r>
              <w:rPr>
                <w:sz w:val="20"/>
                <w:szCs w:val="20"/>
              </w:rPr>
              <w:t>Our organizational culture supports</w:t>
            </w:r>
            <w:r w:rsidRPr="00676E17">
              <w:rPr>
                <w:sz w:val="20"/>
                <w:szCs w:val="20"/>
              </w:rPr>
              <w:t xml:space="preserve"> risk mitigating actions</w:t>
            </w:r>
            <w:r w:rsidRPr="00CC721D">
              <w:rPr>
                <w:sz w:val="20"/>
                <w:szCs w:val="20"/>
              </w:rPr>
              <w:t>.</w:t>
            </w:r>
          </w:p>
          <w:p w:rsidR="00FF116A" w:rsidRPr="00CC721D" w:rsidRDefault="00FF116A" w:rsidP="00FF116A">
            <w:pPr>
              <w:spacing w:after="0" w:line="240" w:lineRule="auto"/>
              <w:ind w:left="72"/>
              <w:rPr>
                <w:sz w:val="20"/>
                <w:szCs w:val="20"/>
              </w:rPr>
            </w:pPr>
          </w:p>
          <w:p w:rsidR="00FF116A" w:rsidRPr="00CC721D" w:rsidRDefault="00FF116A" w:rsidP="007743FB">
            <w:pPr>
              <w:numPr>
                <w:ilvl w:val="0"/>
                <w:numId w:val="52"/>
              </w:numPr>
              <w:spacing w:after="0" w:line="240" w:lineRule="auto"/>
              <w:rPr>
                <w:sz w:val="20"/>
                <w:szCs w:val="20"/>
              </w:rPr>
            </w:pPr>
            <w:r w:rsidRPr="00676E17">
              <w:rPr>
                <w:sz w:val="20"/>
                <w:szCs w:val="20"/>
              </w:rPr>
              <w:t>Our organization places a high priority on risk management</w:t>
            </w:r>
            <w:r>
              <w:rPr>
                <w:sz w:val="20"/>
                <w:szCs w:val="20"/>
              </w:rPr>
              <w:t>.</w:t>
            </w:r>
          </w:p>
          <w:p w:rsidR="00FF116A" w:rsidRDefault="00FF116A" w:rsidP="00FF116A">
            <w:pPr>
              <w:spacing w:after="0" w:line="240" w:lineRule="auto"/>
              <w:rPr>
                <w:sz w:val="20"/>
                <w:szCs w:val="20"/>
              </w:rPr>
            </w:pPr>
          </w:p>
          <w:p w:rsidR="00FF116A" w:rsidRDefault="00FF116A" w:rsidP="007743FB">
            <w:pPr>
              <w:numPr>
                <w:ilvl w:val="0"/>
                <w:numId w:val="52"/>
              </w:numPr>
              <w:spacing w:after="0" w:line="240" w:lineRule="auto"/>
              <w:rPr>
                <w:sz w:val="20"/>
                <w:szCs w:val="20"/>
              </w:rPr>
            </w:pPr>
            <w:r>
              <w:rPr>
                <w:sz w:val="20"/>
                <w:szCs w:val="20"/>
              </w:rPr>
              <w:t>Our firm has business continuity plans addressing major supply chain risks.</w:t>
            </w:r>
          </w:p>
          <w:p w:rsidR="00FF116A" w:rsidRDefault="00FF116A" w:rsidP="00FF116A">
            <w:pPr>
              <w:spacing w:after="0" w:line="240" w:lineRule="auto"/>
              <w:rPr>
                <w:sz w:val="20"/>
                <w:szCs w:val="20"/>
              </w:rPr>
            </w:pPr>
          </w:p>
          <w:p w:rsidR="00FF116A" w:rsidRDefault="00FF116A" w:rsidP="007743FB">
            <w:pPr>
              <w:numPr>
                <w:ilvl w:val="0"/>
                <w:numId w:val="52"/>
              </w:numPr>
              <w:spacing w:after="0" w:line="240" w:lineRule="auto"/>
              <w:rPr>
                <w:sz w:val="20"/>
                <w:szCs w:val="20"/>
              </w:rPr>
            </w:pPr>
            <w:r>
              <w:rPr>
                <w:sz w:val="20"/>
                <w:szCs w:val="20"/>
              </w:rPr>
              <w:t xml:space="preserve">We regularly monitor our suppliers for </w:t>
            </w:r>
            <w:r w:rsidR="00E2203E">
              <w:rPr>
                <w:sz w:val="20"/>
                <w:szCs w:val="20"/>
              </w:rPr>
              <w:t>possible supply chain risks</w:t>
            </w:r>
            <w:r>
              <w:rPr>
                <w:sz w:val="20"/>
                <w:szCs w:val="20"/>
              </w:rPr>
              <w:t>.</w:t>
            </w:r>
          </w:p>
          <w:p w:rsidR="00FF116A" w:rsidRDefault="00FF116A" w:rsidP="00FF116A">
            <w:pPr>
              <w:spacing w:after="0" w:line="240" w:lineRule="auto"/>
              <w:rPr>
                <w:sz w:val="20"/>
                <w:szCs w:val="20"/>
              </w:rPr>
            </w:pPr>
          </w:p>
          <w:p w:rsidR="00FF116A" w:rsidRDefault="00FF116A" w:rsidP="007743FB">
            <w:pPr>
              <w:numPr>
                <w:ilvl w:val="0"/>
                <w:numId w:val="52"/>
              </w:numPr>
              <w:spacing w:after="0" w:line="240" w:lineRule="auto"/>
              <w:rPr>
                <w:sz w:val="20"/>
                <w:szCs w:val="20"/>
              </w:rPr>
            </w:pPr>
            <w:r>
              <w:rPr>
                <w:sz w:val="20"/>
                <w:szCs w:val="20"/>
              </w:rPr>
              <w:t xml:space="preserve">In our firm, an employee or a team is dedicated to supply chain risk management. </w:t>
            </w:r>
          </w:p>
          <w:p w:rsidR="00FF116A" w:rsidRDefault="00FF116A" w:rsidP="00FF116A">
            <w:pPr>
              <w:spacing w:after="0" w:line="240" w:lineRule="auto"/>
              <w:rPr>
                <w:sz w:val="20"/>
                <w:szCs w:val="20"/>
              </w:rPr>
            </w:pPr>
          </w:p>
          <w:p w:rsidR="00FF116A" w:rsidRPr="00CC721D" w:rsidRDefault="00E2203E" w:rsidP="007743FB">
            <w:pPr>
              <w:numPr>
                <w:ilvl w:val="0"/>
                <w:numId w:val="52"/>
              </w:numPr>
              <w:spacing w:after="0" w:line="240" w:lineRule="auto"/>
              <w:rPr>
                <w:sz w:val="20"/>
                <w:szCs w:val="20"/>
              </w:rPr>
            </w:pPr>
            <w:r>
              <w:rPr>
                <w:sz w:val="20"/>
                <w:szCs w:val="20"/>
              </w:rPr>
              <w:t>If possible, we ensure that excess supplier capacity exists to deal with unplanned variations in demand.</w:t>
            </w:r>
          </w:p>
          <w:p w:rsidR="00FF116A" w:rsidRPr="00CC721D" w:rsidRDefault="00FF116A" w:rsidP="00FF116A">
            <w:pPr>
              <w:spacing w:after="0" w:line="240" w:lineRule="auto"/>
              <w:rPr>
                <w:sz w:val="20"/>
                <w:szCs w:val="20"/>
              </w:rPr>
            </w:pPr>
          </w:p>
        </w:tc>
        <w:tc>
          <w:tcPr>
            <w:tcW w:w="3780" w:type="dxa"/>
            <w:tcBorders>
              <w:top w:val="single" w:sz="4" w:space="0" w:color="auto"/>
              <w:left w:val="nil"/>
              <w:bottom w:val="single" w:sz="4" w:space="0" w:color="auto"/>
            </w:tcBorders>
          </w:tcPr>
          <w:p w:rsidR="00FF116A" w:rsidRDefault="00FF116A" w:rsidP="00FF116A">
            <w:pPr>
              <w:spacing w:after="0" w:line="240" w:lineRule="auto"/>
              <w:rPr>
                <w:b/>
                <w:sz w:val="20"/>
                <w:szCs w:val="20"/>
              </w:rPr>
            </w:pPr>
          </w:p>
          <w:p w:rsidR="00FF116A" w:rsidRPr="00CC721D" w:rsidRDefault="00FF116A" w:rsidP="00FF116A">
            <w:pPr>
              <w:spacing w:after="0" w:line="240" w:lineRule="auto"/>
              <w:rPr>
                <w:sz w:val="18"/>
                <w:szCs w:val="18"/>
              </w:rPr>
            </w:pPr>
            <w:r>
              <w:rPr>
                <w:b/>
                <w:sz w:val="20"/>
                <w:szCs w:val="20"/>
              </w:rPr>
              <w:t xml:space="preserve">   </w:t>
            </w:r>
            <w:r w:rsidRPr="00CC721D">
              <w:rPr>
                <w:b/>
                <w:sz w:val="20"/>
                <w:szCs w:val="20"/>
              </w:rPr>
              <w:t>1          2          3        4        5        6        7</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Default="00FF116A" w:rsidP="00FF116A">
            <w:pPr>
              <w:spacing w:after="0" w:line="240" w:lineRule="auto"/>
              <w:rPr>
                <w:b/>
                <w:sz w:val="20"/>
                <w:szCs w:val="20"/>
              </w:rPr>
            </w:pP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Pr>
                <w:b/>
                <w:sz w:val="20"/>
                <w:szCs w:val="20"/>
              </w:rPr>
              <w:t xml:space="preserve">   </w:t>
            </w:r>
            <w:r w:rsidRPr="00CC721D">
              <w:rPr>
                <w:b/>
                <w:sz w:val="20"/>
                <w:szCs w:val="20"/>
              </w:rPr>
              <w:t xml:space="preserve">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tc>
      </w:tr>
    </w:tbl>
    <w:p w:rsidR="00FF116A" w:rsidRDefault="00FF116A" w:rsidP="00FF116A">
      <w:pPr>
        <w:spacing w:after="0" w:line="240" w:lineRule="auto"/>
      </w:pPr>
    </w:p>
    <w:p w:rsidR="00FF116A" w:rsidRDefault="00FF116A" w:rsidP="00FF116A">
      <w:pPr>
        <w:spacing w:after="0" w:line="240" w:lineRule="auto"/>
        <w:rPr>
          <w:b/>
        </w:rPr>
      </w:pPr>
    </w:p>
    <w:p w:rsidR="00FF116A" w:rsidRPr="00833B4E" w:rsidRDefault="00FF116A" w:rsidP="00FF116A">
      <w:pPr>
        <w:spacing w:after="0" w:line="480" w:lineRule="auto"/>
        <w:rPr>
          <w:b/>
        </w:rPr>
      </w:pPr>
      <w:r w:rsidRPr="00833B4E">
        <w:rPr>
          <w:b/>
        </w:rPr>
        <w:t>Supply Chain Process Variability</w:t>
      </w:r>
    </w:p>
    <w:p w:rsidR="00FF116A" w:rsidRDefault="00FF116A" w:rsidP="00FF116A">
      <w:pPr>
        <w:spacing w:after="0" w:line="480" w:lineRule="auto"/>
      </w:pPr>
      <w:r>
        <w:tab/>
        <w:t xml:space="preserve">Supply chain process variability was </w:t>
      </w:r>
      <w:proofErr w:type="spellStart"/>
      <w:r>
        <w:t>operationalized</w:t>
      </w:r>
      <w:proofErr w:type="spellEnd"/>
      <w:r>
        <w:t xml:space="preserve"> as a perceived level of consistency of logistics-related flows and processes. A combination of adapted and newly-developed measurement items will be used. They are measured on a 7-point </w:t>
      </w:r>
      <w:proofErr w:type="spellStart"/>
      <w:r>
        <w:t>Likert</w:t>
      </w:r>
      <w:proofErr w:type="spellEnd"/>
      <w:r>
        <w:t>-like scale from 1-Very inconsistent to 7- Very consistent and presented in the following Table 3.8:</w:t>
      </w:r>
    </w:p>
    <w:p w:rsidR="00FF116A" w:rsidRDefault="00FF116A" w:rsidP="00FF116A">
      <w:pPr>
        <w:spacing w:after="0" w:line="480" w:lineRule="auto"/>
        <w:rPr>
          <w:b/>
        </w:rPr>
      </w:pPr>
    </w:p>
    <w:p w:rsidR="00FF116A" w:rsidRDefault="00FF116A" w:rsidP="00FF116A">
      <w:pPr>
        <w:spacing w:after="0" w:line="480" w:lineRule="auto"/>
        <w:rPr>
          <w:b/>
        </w:rPr>
      </w:pPr>
    </w:p>
    <w:p w:rsidR="00131232" w:rsidRDefault="00131232" w:rsidP="00FF116A">
      <w:pPr>
        <w:spacing w:after="0" w:line="480" w:lineRule="auto"/>
        <w:rPr>
          <w:b/>
        </w:rPr>
      </w:pPr>
    </w:p>
    <w:p w:rsidR="00131232" w:rsidRDefault="00131232" w:rsidP="00FF116A">
      <w:pPr>
        <w:spacing w:after="0" w:line="480" w:lineRule="auto"/>
        <w:rPr>
          <w:b/>
        </w:rPr>
      </w:pPr>
    </w:p>
    <w:p w:rsidR="00131232" w:rsidRDefault="00131232" w:rsidP="00FF116A">
      <w:pPr>
        <w:spacing w:after="0" w:line="480" w:lineRule="auto"/>
        <w:rPr>
          <w:b/>
        </w:rPr>
      </w:pPr>
    </w:p>
    <w:p w:rsidR="00131232" w:rsidRDefault="00131232" w:rsidP="00FF116A">
      <w:pPr>
        <w:spacing w:after="0" w:line="480" w:lineRule="auto"/>
        <w:rPr>
          <w:b/>
        </w:rPr>
      </w:pPr>
    </w:p>
    <w:p w:rsidR="00FF116A" w:rsidRDefault="00FF116A" w:rsidP="00FF116A">
      <w:pPr>
        <w:spacing w:after="0" w:line="240" w:lineRule="auto"/>
        <w:rPr>
          <w:b/>
        </w:rPr>
      </w:pPr>
    </w:p>
    <w:p w:rsidR="00FF116A" w:rsidRDefault="00FF116A" w:rsidP="00FF116A">
      <w:pPr>
        <w:spacing w:after="0" w:line="240" w:lineRule="auto"/>
        <w:rPr>
          <w:b/>
        </w:rPr>
      </w:pPr>
    </w:p>
    <w:p w:rsidR="00FF116A" w:rsidRDefault="00FF116A" w:rsidP="00FF116A">
      <w:pPr>
        <w:spacing w:after="0" w:line="240" w:lineRule="auto"/>
        <w:jc w:val="center"/>
        <w:rPr>
          <w:b/>
        </w:rPr>
      </w:pPr>
      <w:r>
        <w:rPr>
          <w:b/>
        </w:rPr>
        <w:t>Table 3</w:t>
      </w:r>
      <w:r w:rsidRPr="003204F2">
        <w:rPr>
          <w:b/>
        </w:rPr>
        <w:t>.</w:t>
      </w:r>
      <w:r>
        <w:rPr>
          <w:b/>
        </w:rPr>
        <w:t>8</w:t>
      </w:r>
      <w:r w:rsidRPr="003204F2">
        <w:rPr>
          <w:b/>
        </w:rPr>
        <w:t xml:space="preserve"> Measurement of Supply Chain Process Variability</w:t>
      </w:r>
    </w:p>
    <w:p w:rsidR="00FF116A" w:rsidRPr="003204F2" w:rsidRDefault="00FF116A" w:rsidP="00FF116A">
      <w:pPr>
        <w:spacing w:after="0" w:line="240" w:lineRule="auto"/>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120"/>
        <w:gridCol w:w="3780"/>
      </w:tblGrid>
      <w:tr w:rsidR="00FF116A" w:rsidRPr="00CC721D" w:rsidTr="00007EA8">
        <w:trPr>
          <w:trHeight w:val="530"/>
        </w:trPr>
        <w:tc>
          <w:tcPr>
            <w:tcW w:w="6120" w:type="dxa"/>
            <w:vAlign w:val="bottom"/>
          </w:tcPr>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sz w:val="20"/>
                <w:szCs w:val="20"/>
              </w:rPr>
            </w:pPr>
            <w:r>
              <w:rPr>
                <w:b/>
                <w:sz w:val="20"/>
                <w:szCs w:val="20"/>
              </w:rPr>
              <w:t>Supply Chain Process Variability (SCPV</w:t>
            </w:r>
            <w:r w:rsidRPr="00CC721D">
              <w:rPr>
                <w:b/>
                <w:sz w:val="20"/>
                <w:szCs w:val="20"/>
              </w:rPr>
              <w:t xml:space="preserve">) </w:t>
            </w:r>
            <w:r w:rsidRPr="00CC721D">
              <w:rPr>
                <w:sz w:val="20"/>
                <w:szCs w:val="20"/>
              </w:rPr>
              <w:t xml:space="preserve">(Adapted from – </w:t>
            </w:r>
            <w:proofErr w:type="spellStart"/>
            <w:r>
              <w:rPr>
                <w:sz w:val="20"/>
                <w:szCs w:val="20"/>
              </w:rPr>
              <w:t>Germain</w:t>
            </w:r>
            <w:proofErr w:type="spellEnd"/>
            <w:r>
              <w:rPr>
                <w:sz w:val="20"/>
                <w:szCs w:val="20"/>
              </w:rPr>
              <w:t xml:space="preserve"> et al. 2008)</w:t>
            </w:r>
          </w:p>
        </w:tc>
        <w:tc>
          <w:tcPr>
            <w:tcW w:w="3780" w:type="dxa"/>
            <w:vAlign w:val="bottom"/>
          </w:tcPr>
          <w:p w:rsidR="00FF116A" w:rsidRPr="00CC721D" w:rsidRDefault="00FF116A" w:rsidP="00FF116A">
            <w:pPr>
              <w:spacing w:after="0" w:line="240" w:lineRule="auto"/>
              <w:rPr>
                <w:b/>
                <w:sz w:val="18"/>
                <w:szCs w:val="18"/>
              </w:rPr>
            </w:pPr>
          </w:p>
          <w:p w:rsidR="00FF116A" w:rsidRPr="00CC721D" w:rsidRDefault="00FF116A" w:rsidP="00FF116A">
            <w:pPr>
              <w:spacing w:after="0" w:line="240" w:lineRule="auto"/>
              <w:rPr>
                <w:b/>
                <w:sz w:val="18"/>
                <w:szCs w:val="18"/>
              </w:rPr>
            </w:pPr>
            <w:r>
              <w:rPr>
                <w:b/>
                <w:sz w:val="18"/>
                <w:szCs w:val="18"/>
              </w:rPr>
              <w:t>Very</w:t>
            </w:r>
            <w:r w:rsidRPr="00CC721D">
              <w:rPr>
                <w:b/>
                <w:sz w:val="18"/>
                <w:szCs w:val="18"/>
              </w:rPr>
              <w:t xml:space="preserve">               </w:t>
            </w:r>
            <w:r>
              <w:rPr>
                <w:b/>
                <w:sz w:val="18"/>
                <w:szCs w:val="18"/>
              </w:rPr>
              <w:t xml:space="preserve">     </w:t>
            </w:r>
            <w:r w:rsidRPr="00CC721D">
              <w:rPr>
                <w:b/>
                <w:sz w:val="18"/>
                <w:szCs w:val="18"/>
              </w:rPr>
              <w:t xml:space="preserve">    </w:t>
            </w:r>
            <w:r>
              <w:rPr>
                <w:b/>
                <w:sz w:val="18"/>
                <w:szCs w:val="18"/>
              </w:rPr>
              <w:t xml:space="preserve"> Neutral                       Very</w:t>
            </w:r>
            <w:r w:rsidRPr="00CC721D">
              <w:rPr>
                <w:b/>
                <w:sz w:val="18"/>
                <w:szCs w:val="18"/>
              </w:rPr>
              <w:t xml:space="preserve"> </w:t>
            </w:r>
          </w:p>
          <w:p w:rsidR="00FF116A" w:rsidRPr="00CC721D" w:rsidRDefault="00FF116A" w:rsidP="00FF116A">
            <w:pPr>
              <w:spacing w:after="0" w:line="240" w:lineRule="auto"/>
              <w:rPr>
                <w:b/>
                <w:sz w:val="18"/>
                <w:szCs w:val="18"/>
              </w:rPr>
            </w:pPr>
            <w:r w:rsidRPr="00CC721D">
              <w:rPr>
                <w:b/>
                <w:sz w:val="18"/>
                <w:szCs w:val="18"/>
              </w:rPr>
              <w:t xml:space="preserve"> </w:t>
            </w:r>
            <w:r>
              <w:rPr>
                <w:b/>
                <w:sz w:val="18"/>
                <w:szCs w:val="18"/>
              </w:rPr>
              <w:t>Inconsistent</w:t>
            </w:r>
            <w:r w:rsidRPr="00CC721D">
              <w:rPr>
                <w:b/>
                <w:sz w:val="18"/>
                <w:szCs w:val="18"/>
              </w:rPr>
              <w:t xml:space="preserve">                                </w:t>
            </w:r>
            <w:r>
              <w:rPr>
                <w:b/>
                <w:sz w:val="18"/>
                <w:szCs w:val="18"/>
              </w:rPr>
              <w:t xml:space="preserve">       Consistent      </w:t>
            </w:r>
          </w:p>
        </w:tc>
      </w:tr>
      <w:tr w:rsidR="00FF116A" w:rsidRPr="00CC721D" w:rsidTr="00007EA8">
        <w:tc>
          <w:tcPr>
            <w:tcW w:w="6120" w:type="dxa"/>
          </w:tcPr>
          <w:p w:rsidR="00FF116A" w:rsidRPr="00CC721D" w:rsidRDefault="00FF116A" w:rsidP="00FF116A">
            <w:pPr>
              <w:spacing w:after="0" w:line="240" w:lineRule="auto"/>
              <w:ind w:left="180"/>
              <w:rPr>
                <w:sz w:val="20"/>
                <w:szCs w:val="20"/>
              </w:rPr>
            </w:pPr>
          </w:p>
          <w:p w:rsidR="00FF116A" w:rsidRPr="00CC721D" w:rsidRDefault="00FF116A" w:rsidP="007743FB">
            <w:pPr>
              <w:numPr>
                <w:ilvl w:val="0"/>
                <w:numId w:val="50"/>
              </w:numPr>
              <w:spacing w:after="0" w:line="240" w:lineRule="auto"/>
              <w:rPr>
                <w:sz w:val="20"/>
                <w:szCs w:val="20"/>
              </w:rPr>
            </w:pPr>
            <w:r>
              <w:rPr>
                <w:sz w:val="20"/>
                <w:szCs w:val="20"/>
              </w:rPr>
              <w:t>Amount of time for shipments to arrive from our key suppliers</w:t>
            </w:r>
            <w:r w:rsidRPr="00CC721D">
              <w:rPr>
                <w:sz w:val="20"/>
                <w:szCs w:val="20"/>
              </w:rPr>
              <w:t>.</w:t>
            </w:r>
          </w:p>
          <w:p w:rsidR="00FF116A" w:rsidRPr="00CC721D" w:rsidRDefault="00FF116A" w:rsidP="00FF116A">
            <w:pPr>
              <w:spacing w:after="0" w:line="240" w:lineRule="auto"/>
              <w:ind w:left="72"/>
              <w:rPr>
                <w:sz w:val="20"/>
                <w:szCs w:val="20"/>
              </w:rPr>
            </w:pPr>
          </w:p>
          <w:p w:rsidR="00FF116A" w:rsidRPr="00CC721D" w:rsidRDefault="00FF116A" w:rsidP="007743FB">
            <w:pPr>
              <w:numPr>
                <w:ilvl w:val="0"/>
                <w:numId w:val="50"/>
              </w:numPr>
              <w:spacing w:after="0" w:line="240" w:lineRule="auto"/>
              <w:rPr>
                <w:sz w:val="20"/>
                <w:szCs w:val="20"/>
              </w:rPr>
            </w:pPr>
            <w:r>
              <w:rPr>
                <w:sz w:val="20"/>
                <w:szCs w:val="20"/>
              </w:rPr>
              <w:t>Amount of time for shipments to reach our key customers.</w:t>
            </w:r>
          </w:p>
          <w:p w:rsidR="00FF116A" w:rsidRPr="00CC721D" w:rsidRDefault="00FF116A" w:rsidP="00FF116A">
            <w:pPr>
              <w:spacing w:after="0" w:line="240" w:lineRule="auto"/>
              <w:ind w:left="72"/>
              <w:rPr>
                <w:sz w:val="20"/>
                <w:szCs w:val="20"/>
              </w:rPr>
            </w:pPr>
          </w:p>
          <w:p w:rsidR="00FF116A" w:rsidRPr="00CC721D" w:rsidRDefault="00FF116A" w:rsidP="007743FB">
            <w:pPr>
              <w:numPr>
                <w:ilvl w:val="0"/>
                <w:numId w:val="50"/>
              </w:numPr>
              <w:spacing w:after="0" w:line="240" w:lineRule="auto"/>
              <w:rPr>
                <w:sz w:val="20"/>
                <w:szCs w:val="20"/>
              </w:rPr>
            </w:pPr>
            <w:r>
              <w:rPr>
                <w:sz w:val="20"/>
                <w:szCs w:val="20"/>
              </w:rPr>
              <w:t>Manufacturing time based on a fixed production schedule.</w:t>
            </w:r>
          </w:p>
          <w:p w:rsidR="00FF116A" w:rsidRPr="00CC721D" w:rsidRDefault="00FF116A" w:rsidP="00FF116A">
            <w:pPr>
              <w:spacing w:after="0" w:line="240" w:lineRule="auto"/>
              <w:ind w:left="72"/>
              <w:rPr>
                <w:sz w:val="20"/>
                <w:szCs w:val="20"/>
              </w:rPr>
            </w:pPr>
          </w:p>
          <w:p w:rsidR="00FF116A" w:rsidRDefault="00FF116A" w:rsidP="007743FB">
            <w:pPr>
              <w:numPr>
                <w:ilvl w:val="0"/>
                <w:numId w:val="50"/>
              </w:numPr>
              <w:spacing w:after="0" w:line="240" w:lineRule="auto"/>
              <w:rPr>
                <w:sz w:val="20"/>
                <w:szCs w:val="20"/>
              </w:rPr>
            </w:pPr>
            <w:r>
              <w:rPr>
                <w:sz w:val="20"/>
                <w:szCs w:val="20"/>
              </w:rPr>
              <w:t xml:space="preserve">Daily production output rate. </w:t>
            </w:r>
          </w:p>
          <w:p w:rsidR="00FF116A" w:rsidRDefault="00FF116A" w:rsidP="00FF116A">
            <w:pPr>
              <w:spacing w:after="0" w:line="240" w:lineRule="auto"/>
              <w:rPr>
                <w:sz w:val="20"/>
                <w:szCs w:val="20"/>
              </w:rPr>
            </w:pPr>
          </w:p>
          <w:p w:rsidR="00FF116A" w:rsidRDefault="00FF116A" w:rsidP="007743FB">
            <w:pPr>
              <w:numPr>
                <w:ilvl w:val="0"/>
                <w:numId w:val="50"/>
              </w:numPr>
              <w:spacing w:after="0" w:line="240" w:lineRule="auto"/>
              <w:rPr>
                <w:sz w:val="20"/>
                <w:szCs w:val="20"/>
              </w:rPr>
            </w:pPr>
            <w:r>
              <w:rPr>
                <w:sz w:val="20"/>
                <w:szCs w:val="20"/>
              </w:rPr>
              <w:t>Response to the everyday needs of key customers.</w:t>
            </w:r>
          </w:p>
          <w:p w:rsidR="00FF116A" w:rsidRDefault="00FF116A" w:rsidP="00FF116A">
            <w:pPr>
              <w:spacing w:after="0" w:line="240" w:lineRule="auto"/>
              <w:rPr>
                <w:sz w:val="20"/>
                <w:szCs w:val="20"/>
              </w:rPr>
            </w:pPr>
          </w:p>
          <w:p w:rsidR="00FF116A" w:rsidRDefault="00FF116A" w:rsidP="007743FB">
            <w:pPr>
              <w:numPr>
                <w:ilvl w:val="0"/>
                <w:numId w:val="50"/>
              </w:numPr>
              <w:spacing w:after="0" w:line="240" w:lineRule="auto"/>
              <w:rPr>
                <w:sz w:val="20"/>
                <w:szCs w:val="20"/>
              </w:rPr>
            </w:pPr>
            <w:r>
              <w:rPr>
                <w:sz w:val="20"/>
                <w:szCs w:val="20"/>
              </w:rPr>
              <w:t>Accommodation of special customer service requests.</w:t>
            </w:r>
          </w:p>
          <w:p w:rsidR="00FF116A" w:rsidRDefault="00FF116A" w:rsidP="00FF116A">
            <w:pPr>
              <w:spacing w:after="0" w:line="240" w:lineRule="auto"/>
              <w:rPr>
                <w:sz w:val="20"/>
                <w:szCs w:val="20"/>
              </w:rPr>
            </w:pPr>
          </w:p>
          <w:p w:rsidR="00FF116A" w:rsidRDefault="00FF116A" w:rsidP="007743FB">
            <w:pPr>
              <w:numPr>
                <w:ilvl w:val="0"/>
                <w:numId w:val="50"/>
              </w:numPr>
              <w:spacing w:after="0" w:line="240" w:lineRule="auto"/>
              <w:rPr>
                <w:sz w:val="20"/>
                <w:szCs w:val="20"/>
              </w:rPr>
            </w:pPr>
            <w:r>
              <w:rPr>
                <w:sz w:val="20"/>
                <w:szCs w:val="20"/>
              </w:rPr>
              <w:t>Meeting as promised delivery dates.</w:t>
            </w:r>
          </w:p>
          <w:p w:rsidR="00FF116A" w:rsidRDefault="00FF116A" w:rsidP="00FF116A">
            <w:pPr>
              <w:spacing w:after="0" w:line="240" w:lineRule="auto"/>
              <w:rPr>
                <w:sz w:val="20"/>
                <w:szCs w:val="20"/>
              </w:rPr>
            </w:pPr>
          </w:p>
          <w:p w:rsidR="00FF116A" w:rsidRDefault="00FF116A" w:rsidP="007743FB">
            <w:pPr>
              <w:numPr>
                <w:ilvl w:val="0"/>
                <w:numId w:val="50"/>
              </w:numPr>
              <w:spacing w:after="0" w:line="240" w:lineRule="auto"/>
              <w:rPr>
                <w:sz w:val="20"/>
                <w:szCs w:val="20"/>
              </w:rPr>
            </w:pPr>
            <w:r>
              <w:rPr>
                <w:sz w:val="20"/>
                <w:szCs w:val="20"/>
              </w:rPr>
              <w:t>Providing desired quantities on a consistent basis.</w:t>
            </w:r>
          </w:p>
          <w:p w:rsidR="00FF116A" w:rsidRDefault="00FF116A" w:rsidP="00FF116A">
            <w:pPr>
              <w:spacing w:after="0" w:line="240" w:lineRule="auto"/>
              <w:rPr>
                <w:sz w:val="20"/>
                <w:szCs w:val="20"/>
              </w:rPr>
            </w:pPr>
          </w:p>
          <w:p w:rsidR="00FF116A" w:rsidRPr="00CC721D" w:rsidRDefault="00FF116A" w:rsidP="00FF116A">
            <w:pPr>
              <w:spacing w:after="0" w:line="240" w:lineRule="auto"/>
              <w:ind w:left="72"/>
              <w:rPr>
                <w:sz w:val="20"/>
                <w:szCs w:val="20"/>
              </w:rPr>
            </w:pPr>
          </w:p>
        </w:tc>
        <w:tc>
          <w:tcPr>
            <w:tcW w:w="3780" w:type="dxa"/>
          </w:tcPr>
          <w:p w:rsidR="00FF116A" w:rsidRPr="00CC721D" w:rsidRDefault="00FF116A" w:rsidP="00FF116A">
            <w:pPr>
              <w:spacing w:after="0" w:line="240" w:lineRule="auto"/>
              <w:rPr>
                <w:sz w:val="18"/>
                <w:szCs w:val="18"/>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Default="00FF116A" w:rsidP="00FF116A">
            <w:pPr>
              <w:spacing w:after="0" w:line="240" w:lineRule="auto"/>
              <w:rPr>
                <w:b/>
                <w:sz w:val="20"/>
                <w:szCs w:val="20"/>
              </w:rPr>
            </w:pPr>
            <w:r>
              <w:rPr>
                <w:b/>
                <w:sz w:val="20"/>
                <w:szCs w:val="20"/>
              </w:rPr>
              <w:t xml:space="preserve">   </w:t>
            </w:r>
          </w:p>
          <w:p w:rsidR="00FF116A" w:rsidRPr="00CC721D" w:rsidRDefault="00FF116A" w:rsidP="00FF116A">
            <w:pPr>
              <w:spacing w:after="0" w:line="240" w:lineRule="auto"/>
              <w:rPr>
                <w:b/>
                <w:sz w:val="20"/>
                <w:szCs w:val="20"/>
              </w:rPr>
            </w:pPr>
            <w:r>
              <w:rPr>
                <w:b/>
                <w:sz w:val="20"/>
                <w:szCs w:val="20"/>
              </w:rPr>
              <w:t xml:space="preserve">   </w:t>
            </w:r>
            <w:r w:rsidRPr="00CC721D">
              <w:rPr>
                <w:b/>
                <w:sz w:val="20"/>
                <w:szCs w:val="20"/>
              </w:rPr>
              <w:t xml:space="preserve">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tc>
      </w:tr>
    </w:tbl>
    <w:p w:rsidR="00FF116A" w:rsidRDefault="00FF116A" w:rsidP="00FF116A">
      <w:pPr>
        <w:spacing w:after="0" w:line="240" w:lineRule="auto"/>
      </w:pPr>
    </w:p>
    <w:p w:rsidR="00A54511" w:rsidRDefault="00A54511" w:rsidP="00FF116A">
      <w:pPr>
        <w:spacing w:after="0" w:line="240" w:lineRule="auto"/>
        <w:rPr>
          <w:b/>
        </w:rPr>
      </w:pPr>
    </w:p>
    <w:p w:rsidR="00FF116A" w:rsidRPr="00833B4E" w:rsidRDefault="00FF116A" w:rsidP="00A54511">
      <w:pPr>
        <w:spacing w:after="0" w:line="480" w:lineRule="auto"/>
        <w:rPr>
          <w:b/>
        </w:rPr>
      </w:pPr>
      <w:r w:rsidRPr="00833B4E">
        <w:rPr>
          <w:b/>
        </w:rPr>
        <w:t>Supply Chain Capital</w:t>
      </w:r>
    </w:p>
    <w:p w:rsidR="00FF116A" w:rsidRDefault="00FF116A" w:rsidP="00A54511">
      <w:pPr>
        <w:spacing w:after="0" w:line="480" w:lineRule="auto"/>
      </w:pPr>
      <w:r>
        <w:tab/>
        <w:t xml:space="preserve">The supply chain capital construct is </w:t>
      </w:r>
      <w:proofErr w:type="spellStart"/>
      <w:r>
        <w:t>operationalized</w:t>
      </w:r>
      <w:proofErr w:type="spellEnd"/>
      <w:r>
        <w:t xml:space="preserve"> as a combination of structural and relational capital, a combination of which is related to the development of supply chain knowledge (Autry and </w:t>
      </w:r>
      <w:proofErr w:type="spellStart"/>
      <w:r>
        <w:t>Griffis</w:t>
      </w:r>
      <w:proofErr w:type="spellEnd"/>
      <w:r>
        <w:t xml:space="preserve"> 2008). Structural capital represents the value derived from the structural configuration, while relational capital reflects the value created as a result of relationships within the supply chain. The following operationalization of supply chain capital has been developed.</w:t>
      </w:r>
    </w:p>
    <w:p w:rsidR="00FF116A" w:rsidRDefault="00FF116A"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131232" w:rsidRDefault="00131232" w:rsidP="00FF116A">
      <w:pPr>
        <w:spacing w:after="0" w:line="240" w:lineRule="auto"/>
        <w:rPr>
          <w:b/>
        </w:rPr>
      </w:pPr>
    </w:p>
    <w:p w:rsidR="00FF116A" w:rsidRDefault="00FF116A" w:rsidP="00A54511">
      <w:pPr>
        <w:spacing w:after="0" w:line="240" w:lineRule="auto"/>
        <w:jc w:val="center"/>
        <w:rPr>
          <w:b/>
        </w:rPr>
      </w:pPr>
      <w:r>
        <w:rPr>
          <w:b/>
        </w:rPr>
        <w:lastRenderedPageBreak/>
        <w:t>Table 3.9</w:t>
      </w:r>
      <w:r w:rsidRPr="00690DDE">
        <w:rPr>
          <w:b/>
        </w:rPr>
        <w:t xml:space="preserve"> Measurement of Supply Chain Capital</w:t>
      </w:r>
    </w:p>
    <w:p w:rsidR="00A54511" w:rsidRPr="00690DDE" w:rsidRDefault="00A54511" w:rsidP="00FF116A">
      <w:pPr>
        <w:spacing w:after="0" w:line="240" w:lineRule="auto"/>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120"/>
        <w:gridCol w:w="3780"/>
      </w:tblGrid>
      <w:tr w:rsidR="00FF116A" w:rsidRPr="00CC721D" w:rsidTr="00007EA8">
        <w:tc>
          <w:tcPr>
            <w:tcW w:w="6120" w:type="dxa"/>
          </w:tcPr>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sz w:val="20"/>
                <w:szCs w:val="20"/>
              </w:rPr>
            </w:pPr>
            <w:r>
              <w:rPr>
                <w:b/>
                <w:sz w:val="20"/>
                <w:szCs w:val="20"/>
              </w:rPr>
              <w:t>Supply Chain Capital (SCC</w:t>
            </w:r>
            <w:r w:rsidRPr="00CC721D">
              <w:rPr>
                <w:sz w:val="20"/>
                <w:szCs w:val="20"/>
              </w:rPr>
              <w:t xml:space="preserve">) </w:t>
            </w:r>
            <w:r>
              <w:rPr>
                <w:sz w:val="20"/>
                <w:szCs w:val="20"/>
              </w:rPr>
              <w:t xml:space="preserve"> </w:t>
            </w:r>
          </w:p>
        </w:tc>
        <w:tc>
          <w:tcPr>
            <w:tcW w:w="3780" w:type="dxa"/>
            <w:vAlign w:val="bottom"/>
          </w:tcPr>
          <w:p w:rsidR="00FF116A" w:rsidRPr="00CC721D" w:rsidRDefault="00FF116A" w:rsidP="00FF116A">
            <w:pPr>
              <w:spacing w:after="0" w:line="240" w:lineRule="auto"/>
              <w:rPr>
                <w:b/>
                <w:sz w:val="18"/>
                <w:szCs w:val="18"/>
              </w:rPr>
            </w:pPr>
          </w:p>
          <w:p w:rsidR="00FF116A" w:rsidRPr="00CC721D" w:rsidRDefault="00FF116A" w:rsidP="00FF116A">
            <w:pPr>
              <w:spacing w:after="0" w:line="240" w:lineRule="auto"/>
              <w:rPr>
                <w:b/>
                <w:sz w:val="18"/>
                <w:szCs w:val="18"/>
              </w:rPr>
            </w:pPr>
            <w:r w:rsidRPr="00CC721D">
              <w:rPr>
                <w:b/>
                <w:sz w:val="18"/>
                <w:szCs w:val="18"/>
              </w:rPr>
              <w:t xml:space="preserve">Strongly                    Neutral                Strongly </w:t>
            </w:r>
          </w:p>
          <w:p w:rsidR="00FF116A" w:rsidRPr="00CC721D" w:rsidRDefault="00FF116A" w:rsidP="00FF116A">
            <w:pPr>
              <w:spacing w:after="0" w:line="240" w:lineRule="auto"/>
              <w:rPr>
                <w:b/>
                <w:sz w:val="18"/>
                <w:szCs w:val="18"/>
              </w:rPr>
            </w:pPr>
            <w:r w:rsidRPr="00CC721D">
              <w:rPr>
                <w:b/>
                <w:sz w:val="18"/>
                <w:szCs w:val="18"/>
              </w:rPr>
              <w:t xml:space="preserve">Disagree                                                    Agree  </w:t>
            </w:r>
          </w:p>
        </w:tc>
      </w:tr>
      <w:tr w:rsidR="00FF116A" w:rsidRPr="00CC721D" w:rsidTr="00007EA8">
        <w:tc>
          <w:tcPr>
            <w:tcW w:w="6120" w:type="dxa"/>
          </w:tcPr>
          <w:p w:rsidR="00FF116A" w:rsidRPr="00CC721D" w:rsidRDefault="00FF116A" w:rsidP="00FF116A">
            <w:pPr>
              <w:spacing w:after="0" w:line="240" w:lineRule="auto"/>
              <w:ind w:left="72"/>
              <w:rPr>
                <w:sz w:val="20"/>
                <w:szCs w:val="20"/>
              </w:rPr>
            </w:pPr>
          </w:p>
          <w:p w:rsidR="00FF116A" w:rsidRPr="00CC721D" w:rsidRDefault="00FF116A" w:rsidP="007743FB">
            <w:pPr>
              <w:numPr>
                <w:ilvl w:val="0"/>
                <w:numId w:val="51"/>
              </w:numPr>
              <w:spacing w:after="0" w:line="240" w:lineRule="auto"/>
              <w:rPr>
                <w:sz w:val="20"/>
                <w:szCs w:val="20"/>
              </w:rPr>
            </w:pPr>
            <w:r w:rsidRPr="001A1136">
              <w:rPr>
                <w:sz w:val="20"/>
                <w:szCs w:val="20"/>
              </w:rPr>
              <w:t xml:space="preserve">Our </w:t>
            </w:r>
            <w:r>
              <w:rPr>
                <w:sz w:val="20"/>
                <w:szCs w:val="20"/>
              </w:rPr>
              <w:t xml:space="preserve">firm has a strong channel position within our </w:t>
            </w:r>
            <w:r w:rsidRPr="001A1136">
              <w:rPr>
                <w:sz w:val="20"/>
                <w:szCs w:val="20"/>
              </w:rPr>
              <w:t>supply chain</w:t>
            </w:r>
            <w:r w:rsidRPr="00CC721D">
              <w:rPr>
                <w:sz w:val="20"/>
                <w:szCs w:val="20"/>
              </w:rPr>
              <w:t>.</w:t>
            </w:r>
          </w:p>
          <w:p w:rsidR="00FF116A" w:rsidRPr="00CC721D" w:rsidRDefault="00FF116A" w:rsidP="00FF116A">
            <w:pPr>
              <w:spacing w:after="0" w:line="240" w:lineRule="auto"/>
              <w:ind w:left="432"/>
              <w:rPr>
                <w:sz w:val="20"/>
                <w:szCs w:val="20"/>
              </w:rPr>
            </w:pPr>
          </w:p>
          <w:p w:rsidR="00FF116A" w:rsidRDefault="00FF116A" w:rsidP="007743FB">
            <w:pPr>
              <w:numPr>
                <w:ilvl w:val="0"/>
                <w:numId w:val="51"/>
              </w:numPr>
              <w:spacing w:after="0" w:line="240" w:lineRule="auto"/>
              <w:rPr>
                <w:sz w:val="20"/>
                <w:szCs w:val="20"/>
              </w:rPr>
            </w:pPr>
            <w:r>
              <w:rPr>
                <w:sz w:val="20"/>
                <w:szCs w:val="20"/>
              </w:rPr>
              <w:t>Our supply chain has a well defined organizational structure</w:t>
            </w:r>
          </w:p>
          <w:p w:rsidR="00FF116A" w:rsidRDefault="00FF116A" w:rsidP="00FF116A">
            <w:pPr>
              <w:spacing w:after="0" w:line="240" w:lineRule="auto"/>
              <w:rPr>
                <w:sz w:val="20"/>
                <w:szCs w:val="20"/>
              </w:rPr>
            </w:pPr>
          </w:p>
          <w:p w:rsidR="00FF116A" w:rsidRDefault="00FF116A" w:rsidP="007743FB">
            <w:pPr>
              <w:numPr>
                <w:ilvl w:val="0"/>
                <w:numId w:val="51"/>
              </w:numPr>
              <w:spacing w:after="0" w:line="240" w:lineRule="auto"/>
              <w:rPr>
                <w:sz w:val="20"/>
                <w:szCs w:val="20"/>
              </w:rPr>
            </w:pPr>
            <w:r>
              <w:rPr>
                <w:sz w:val="20"/>
                <w:szCs w:val="20"/>
              </w:rPr>
              <w:t>Structural ties are strong among the key members of our supply chain.</w:t>
            </w:r>
          </w:p>
          <w:p w:rsidR="00FF116A" w:rsidRDefault="00FF116A" w:rsidP="00FF116A">
            <w:pPr>
              <w:spacing w:after="0" w:line="240" w:lineRule="auto"/>
              <w:rPr>
                <w:sz w:val="20"/>
                <w:szCs w:val="20"/>
              </w:rPr>
            </w:pPr>
          </w:p>
          <w:p w:rsidR="00FF116A" w:rsidRDefault="00FF116A" w:rsidP="007743FB">
            <w:pPr>
              <w:numPr>
                <w:ilvl w:val="0"/>
                <w:numId w:val="51"/>
              </w:numPr>
              <w:spacing w:after="0" w:line="240" w:lineRule="auto"/>
              <w:rPr>
                <w:sz w:val="20"/>
                <w:szCs w:val="20"/>
              </w:rPr>
            </w:pPr>
            <w:r>
              <w:rPr>
                <w:sz w:val="20"/>
                <w:szCs w:val="20"/>
              </w:rPr>
              <w:t>The members of our extended supply chain are properly connected with each other.</w:t>
            </w:r>
          </w:p>
          <w:p w:rsidR="00FF116A" w:rsidRDefault="00FF116A" w:rsidP="00FF116A">
            <w:pPr>
              <w:spacing w:after="0" w:line="240" w:lineRule="auto"/>
              <w:rPr>
                <w:sz w:val="20"/>
                <w:szCs w:val="20"/>
              </w:rPr>
            </w:pPr>
          </w:p>
          <w:p w:rsidR="00FF116A" w:rsidRDefault="00FF116A" w:rsidP="007743FB">
            <w:pPr>
              <w:numPr>
                <w:ilvl w:val="0"/>
                <w:numId w:val="51"/>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 xml:space="preserve">supply chain </w:t>
            </w:r>
            <w:r>
              <w:rPr>
                <w:sz w:val="20"/>
                <w:szCs w:val="20"/>
              </w:rPr>
              <w:t>could be characterized by strong relationships among its members.</w:t>
            </w:r>
          </w:p>
          <w:p w:rsidR="00FF116A" w:rsidRDefault="00FF116A" w:rsidP="00FF116A">
            <w:pPr>
              <w:spacing w:after="0" w:line="240" w:lineRule="auto"/>
              <w:rPr>
                <w:sz w:val="20"/>
                <w:szCs w:val="20"/>
              </w:rPr>
            </w:pPr>
          </w:p>
          <w:p w:rsidR="00FF116A" w:rsidRDefault="00FF116A" w:rsidP="007743FB">
            <w:pPr>
              <w:numPr>
                <w:ilvl w:val="0"/>
                <w:numId w:val="51"/>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 xml:space="preserve">supply chain </w:t>
            </w:r>
            <w:r>
              <w:rPr>
                <w:sz w:val="20"/>
                <w:szCs w:val="20"/>
              </w:rPr>
              <w:t xml:space="preserve">could be characterized by the longevity of the relationships among its members. </w:t>
            </w:r>
          </w:p>
          <w:p w:rsidR="00FF116A" w:rsidRDefault="00FF116A" w:rsidP="00FF116A">
            <w:pPr>
              <w:spacing w:after="0" w:line="240" w:lineRule="auto"/>
              <w:rPr>
                <w:sz w:val="20"/>
                <w:szCs w:val="20"/>
              </w:rPr>
            </w:pPr>
          </w:p>
          <w:p w:rsidR="00FF116A" w:rsidRPr="00CC721D" w:rsidRDefault="00FF116A" w:rsidP="00FF116A">
            <w:pPr>
              <w:spacing w:after="0" w:line="240" w:lineRule="auto"/>
              <w:rPr>
                <w:sz w:val="20"/>
                <w:szCs w:val="20"/>
              </w:rPr>
            </w:pPr>
          </w:p>
        </w:tc>
        <w:tc>
          <w:tcPr>
            <w:tcW w:w="3780" w:type="dxa"/>
          </w:tcPr>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1          2          3        4        5        6        7</w:t>
            </w:r>
          </w:p>
          <w:p w:rsidR="00FF116A" w:rsidRPr="00CC721D" w:rsidRDefault="00FF116A" w:rsidP="00FF116A">
            <w:pPr>
              <w:spacing w:after="0" w:line="240" w:lineRule="auto"/>
              <w:rPr>
                <w:b/>
                <w:sz w:val="20"/>
                <w:szCs w:val="20"/>
              </w:rPr>
            </w:pPr>
            <w:r w:rsidRPr="00CC721D">
              <w:rPr>
                <w:b/>
                <w:sz w:val="20"/>
                <w:szCs w:val="20"/>
              </w:rPr>
              <w:t xml:space="preserve"> </w:t>
            </w:r>
          </w:p>
          <w:p w:rsidR="00FF116A" w:rsidRDefault="00FF116A" w:rsidP="00FF116A">
            <w:pPr>
              <w:spacing w:after="0" w:line="240" w:lineRule="auto"/>
              <w:rPr>
                <w:b/>
                <w:sz w:val="20"/>
                <w:szCs w:val="20"/>
              </w:rPr>
            </w:pPr>
          </w:p>
          <w:p w:rsidR="00FF116A" w:rsidRDefault="00FF116A" w:rsidP="00FF116A">
            <w:pPr>
              <w:spacing w:after="0" w:line="240" w:lineRule="auto"/>
              <w:rPr>
                <w:b/>
                <w:sz w:val="20"/>
                <w:szCs w:val="20"/>
              </w:rPr>
            </w:pPr>
            <w:r w:rsidRPr="00CC721D">
              <w:rPr>
                <w:b/>
                <w:sz w:val="20"/>
                <w:szCs w:val="20"/>
              </w:rPr>
              <w:t xml:space="preserve">  1          2          3        4        5        6        7 </w:t>
            </w:r>
          </w:p>
          <w:p w:rsidR="00FF116A" w:rsidRDefault="00FF116A" w:rsidP="00FF116A">
            <w:pPr>
              <w:spacing w:after="0" w:line="240" w:lineRule="auto"/>
              <w:rPr>
                <w:b/>
                <w:sz w:val="20"/>
                <w:szCs w:val="20"/>
              </w:rPr>
            </w:pPr>
            <w:r w:rsidRPr="00CC721D">
              <w:rPr>
                <w:b/>
                <w:sz w:val="20"/>
                <w:szCs w:val="20"/>
              </w:rPr>
              <w:t xml:space="preserve"> </w:t>
            </w:r>
          </w:p>
          <w:p w:rsidR="00FF116A" w:rsidRDefault="00FF116A" w:rsidP="00FF116A">
            <w:pPr>
              <w:spacing w:after="0" w:line="240" w:lineRule="auto"/>
              <w:rPr>
                <w:b/>
                <w:sz w:val="20"/>
                <w:szCs w:val="20"/>
              </w:rPr>
            </w:pPr>
            <w:r w:rsidRPr="00CC721D">
              <w:rPr>
                <w:b/>
                <w:sz w:val="20"/>
                <w:szCs w:val="20"/>
              </w:rPr>
              <w:t xml:space="preserve"> </w:t>
            </w:r>
          </w:p>
          <w:p w:rsidR="00FF116A" w:rsidRDefault="00FF116A" w:rsidP="00FF116A">
            <w:pPr>
              <w:spacing w:after="0" w:line="240" w:lineRule="auto"/>
              <w:rPr>
                <w:b/>
                <w:sz w:val="20"/>
                <w:szCs w:val="20"/>
              </w:rPr>
            </w:pPr>
            <w:r>
              <w:rPr>
                <w:b/>
                <w:sz w:val="20"/>
                <w:szCs w:val="20"/>
              </w:rPr>
              <w:t xml:space="preserve">  </w:t>
            </w:r>
            <w:r w:rsidRPr="00CC721D">
              <w:rPr>
                <w:b/>
                <w:sz w:val="20"/>
                <w:szCs w:val="20"/>
              </w:rPr>
              <w:t xml:space="preserve">1          2          3        4        5        6        7 </w:t>
            </w: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Pr>
                <w:b/>
                <w:sz w:val="20"/>
                <w:szCs w:val="20"/>
              </w:rPr>
              <w:t xml:space="preserve">  </w:t>
            </w:r>
          </w:p>
        </w:tc>
      </w:tr>
    </w:tbl>
    <w:p w:rsidR="00FF116A" w:rsidRDefault="00FF116A" w:rsidP="00FF116A">
      <w:pPr>
        <w:spacing w:after="0" w:line="240" w:lineRule="auto"/>
        <w:jc w:val="center"/>
        <w:rPr>
          <w:b/>
        </w:rPr>
      </w:pPr>
    </w:p>
    <w:p w:rsidR="00A54511" w:rsidRDefault="00A54511" w:rsidP="00FF116A">
      <w:pPr>
        <w:spacing w:after="0" w:line="240" w:lineRule="auto"/>
        <w:rPr>
          <w:b/>
        </w:rPr>
      </w:pPr>
    </w:p>
    <w:p w:rsidR="00FF116A" w:rsidRPr="00833B4E" w:rsidRDefault="00FF116A" w:rsidP="00A54511">
      <w:pPr>
        <w:spacing w:after="0" w:line="480" w:lineRule="auto"/>
        <w:rPr>
          <w:b/>
        </w:rPr>
      </w:pPr>
      <w:r>
        <w:rPr>
          <w:b/>
        </w:rPr>
        <w:t>Supply Chain Knowledge Development</w:t>
      </w:r>
    </w:p>
    <w:p w:rsidR="00FF116A" w:rsidRDefault="00FF116A" w:rsidP="00A54511">
      <w:pPr>
        <w:spacing w:after="0" w:line="480" w:lineRule="auto"/>
        <w:rPr>
          <w:b/>
        </w:rPr>
      </w:pPr>
      <w:r>
        <w:tab/>
        <w:t xml:space="preserve">For information to be leveraged as a value-added asset, it is necessary to convert it to usable supply chain knowledge. The supply chain knowledge development construct is </w:t>
      </w:r>
      <w:proofErr w:type="spellStart"/>
      <w:r>
        <w:t>operationalized</w:t>
      </w:r>
      <w:proofErr w:type="spellEnd"/>
      <w:r>
        <w:t xml:space="preserve"> based on Autry and </w:t>
      </w:r>
      <w:proofErr w:type="spellStart"/>
      <w:r>
        <w:t>Griffis</w:t>
      </w:r>
      <w:proofErr w:type="spellEnd"/>
      <w:r>
        <w:t xml:space="preserve"> (2008).</w:t>
      </w:r>
    </w:p>
    <w:p w:rsidR="00FF116A" w:rsidRDefault="00FF116A" w:rsidP="00FF116A">
      <w:pPr>
        <w:spacing w:after="0" w:line="240" w:lineRule="auto"/>
        <w:rPr>
          <w:b/>
        </w:rPr>
      </w:pPr>
    </w:p>
    <w:p w:rsidR="00FF116A" w:rsidRDefault="00FF116A" w:rsidP="00A54511">
      <w:pPr>
        <w:spacing w:after="0" w:line="240" w:lineRule="auto"/>
        <w:jc w:val="center"/>
        <w:rPr>
          <w:b/>
        </w:rPr>
      </w:pPr>
      <w:r>
        <w:rPr>
          <w:b/>
        </w:rPr>
        <w:t>Table 3.10</w:t>
      </w:r>
      <w:r w:rsidRPr="00690DDE">
        <w:rPr>
          <w:b/>
        </w:rPr>
        <w:t xml:space="preserve"> Mea</w:t>
      </w:r>
      <w:r>
        <w:rPr>
          <w:b/>
        </w:rPr>
        <w:t>surement of Supply Chain Knowledge Development</w:t>
      </w:r>
    </w:p>
    <w:p w:rsidR="00A54511" w:rsidRPr="00690DDE" w:rsidRDefault="00A54511" w:rsidP="00FF116A">
      <w:pPr>
        <w:spacing w:after="0" w:line="240" w:lineRule="auto"/>
        <w:rPr>
          <w:b/>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tblBorders>
        <w:tblLook w:val="01E0"/>
      </w:tblPr>
      <w:tblGrid>
        <w:gridCol w:w="6120"/>
        <w:gridCol w:w="3780"/>
      </w:tblGrid>
      <w:tr w:rsidR="00FF116A" w:rsidRPr="00CC721D" w:rsidTr="00007EA8">
        <w:tc>
          <w:tcPr>
            <w:tcW w:w="6120" w:type="dxa"/>
          </w:tcPr>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sz w:val="20"/>
                <w:szCs w:val="20"/>
              </w:rPr>
            </w:pPr>
            <w:r>
              <w:rPr>
                <w:b/>
                <w:sz w:val="20"/>
                <w:szCs w:val="20"/>
              </w:rPr>
              <w:t>Supply Chain Knowledge Development (SCKD)</w:t>
            </w:r>
            <w:r w:rsidRPr="00CC721D">
              <w:rPr>
                <w:sz w:val="20"/>
                <w:szCs w:val="20"/>
              </w:rPr>
              <w:t xml:space="preserve"> </w:t>
            </w:r>
            <w:r>
              <w:rPr>
                <w:sz w:val="20"/>
                <w:szCs w:val="20"/>
              </w:rPr>
              <w:t xml:space="preserve"> </w:t>
            </w:r>
          </w:p>
        </w:tc>
        <w:tc>
          <w:tcPr>
            <w:tcW w:w="3780" w:type="dxa"/>
            <w:vAlign w:val="bottom"/>
          </w:tcPr>
          <w:p w:rsidR="00FF116A" w:rsidRPr="00CC721D" w:rsidRDefault="00FF116A" w:rsidP="00FF116A">
            <w:pPr>
              <w:spacing w:after="0" w:line="240" w:lineRule="auto"/>
              <w:rPr>
                <w:b/>
                <w:sz w:val="18"/>
                <w:szCs w:val="18"/>
              </w:rPr>
            </w:pPr>
          </w:p>
          <w:p w:rsidR="00FF116A" w:rsidRPr="00CC721D" w:rsidRDefault="00FF116A" w:rsidP="00FF116A">
            <w:pPr>
              <w:spacing w:after="0" w:line="240" w:lineRule="auto"/>
              <w:rPr>
                <w:b/>
                <w:sz w:val="18"/>
                <w:szCs w:val="18"/>
              </w:rPr>
            </w:pPr>
            <w:r w:rsidRPr="00CC721D">
              <w:rPr>
                <w:b/>
                <w:sz w:val="18"/>
                <w:szCs w:val="18"/>
              </w:rPr>
              <w:t xml:space="preserve">Strongly                    Neutral                Strongly </w:t>
            </w:r>
          </w:p>
          <w:p w:rsidR="00FF116A" w:rsidRPr="00CC721D" w:rsidRDefault="00FF116A" w:rsidP="00FF116A">
            <w:pPr>
              <w:spacing w:after="0" w:line="240" w:lineRule="auto"/>
              <w:rPr>
                <w:b/>
                <w:sz w:val="18"/>
                <w:szCs w:val="18"/>
              </w:rPr>
            </w:pPr>
            <w:r w:rsidRPr="00CC721D">
              <w:rPr>
                <w:b/>
                <w:sz w:val="18"/>
                <w:szCs w:val="18"/>
              </w:rPr>
              <w:t xml:space="preserve">Disagree                                                    Agree  </w:t>
            </w:r>
          </w:p>
        </w:tc>
      </w:tr>
      <w:tr w:rsidR="00FF116A" w:rsidRPr="00CC721D" w:rsidTr="00007EA8">
        <w:tc>
          <w:tcPr>
            <w:tcW w:w="6120" w:type="dxa"/>
          </w:tcPr>
          <w:p w:rsidR="00FF116A" w:rsidRPr="00CC721D" w:rsidRDefault="00FF116A" w:rsidP="00FF116A">
            <w:pPr>
              <w:spacing w:after="0" w:line="240" w:lineRule="auto"/>
              <w:ind w:left="72"/>
              <w:rPr>
                <w:sz w:val="20"/>
                <w:szCs w:val="20"/>
              </w:rPr>
            </w:pPr>
          </w:p>
          <w:p w:rsidR="00FF116A" w:rsidRDefault="00FF116A" w:rsidP="00FF116A">
            <w:pPr>
              <w:spacing w:after="0" w:line="240" w:lineRule="auto"/>
              <w:rPr>
                <w:sz w:val="20"/>
                <w:szCs w:val="20"/>
              </w:rPr>
            </w:pPr>
          </w:p>
          <w:p w:rsidR="00FF116A" w:rsidRPr="00CC721D" w:rsidRDefault="00FF116A" w:rsidP="007743FB">
            <w:pPr>
              <w:numPr>
                <w:ilvl w:val="0"/>
                <w:numId w:val="53"/>
              </w:numPr>
              <w:spacing w:after="0" w:line="240" w:lineRule="auto"/>
              <w:rPr>
                <w:sz w:val="20"/>
                <w:szCs w:val="20"/>
              </w:rPr>
            </w:pPr>
            <w:r w:rsidRPr="001A1136">
              <w:rPr>
                <w:sz w:val="20"/>
                <w:szCs w:val="20"/>
              </w:rPr>
              <w:t xml:space="preserve">Our </w:t>
            </w:r>
            <w:r>
              <w:rPr>
                <w:sz w:val="20"/>
                <w:szCs w:val="20"/>
              </w:rPr>
              <w:t xml:space="preserve">firm’s </w:t>
            </w:r>
            <w:r w:rsidRPr="001A1136">
              <w:rPr>
                <w:sz w:val="20"/>
                <w:szCs w:val="20"/>
              </w:rPr>
              <w:t xml:space="preserve">supply chain </w:t>
            </w:r>
            <w:r>
              <w:rPr>
                <w:sz w:val="20"/>
                <w:szCs w:val="20"/>
              </w:rPr>
              <w:t xml:space="preserve">has developed a strong knowledge base. </w:t>
            </w:r>
          </w:p>
          <w:p w:rsidR="00FF116A" w:rsidRPr="00CC721D" w:rsidRDefault="00FF116A" w:rsidP="00FF116A">
            <w:pPr>
              <w:spacing w:after="0" w:line="240" w:lineRule="auto"/>
              <w:ind w:left="432"/>
              <w:rPr>
                <w:sz w:val="20"/>
                <w:szCs w:val="20"/>
              </w:rPr>
            </w:pPr>
          </w:p>
          <w:p w:rsidR="00FF116A" w:rsidRDefault="00FF116A" w:rsidP="007743FB">
            <w:pPr>
              <w:numPr>
                <w:ilvl w:val="0"/>
                <w:numId w:val="53"/>
              </w:numPr>
              <w:spacing w:after="0" w:line="240" w:lineRule="auto"/>
              <w:rPr>
                <w:sz w:val="20"/>
                <w:szCs w:val="20"/>
              </w:rPr>
            </w:pPr>
            <w:r>
              <w:rPr>
                <w:sz w:val="20"/>
                <w:szCs w:val="20"/>
              </w:rPr>
              <w:t>Knowledge is freely shared among the members of our supply chain.</w:t>
            </w:r>
          </w:p>
          <w:p w:rsidR="00FF116A" w:rsidRDefault="00FF116A" w:rsidP="00FF116A">
            <w:pPr>
              <w:spacing w:after="0" w:line="240" w:lineRule="auto"/>
              <w:rPr>
                <w:sz w:val="20"/>
                <w:szCs w:val="20"/>
              </w:rPr>
            </w:pPr>
          </w:p>
          <w:p w:rsidR="00FF116A" w:rsidRPr="00CC721D" w:rsidRDefault="00FF116A" w:rsidP="007743FB">
            <w:pPr>
              <w:numPr>
                <w:ilvl w:val="0"/>
                <w:numId w:val="53"/>
              </w:numPr>
              <w:spacing w:after="0" w:line="240" w:lineRule="auto"/>
              <w:rPr>
                <w:sz w:val="20"/>
                <w:szCs w:val="20"/>
              </w:rPr>
            </w:pPr>
            <w:r>
              <w:rPr>
                <w:sz w:val="20"/>
                <w:szCs w:val="20"/>
              </w:rPr>
              <w:t>We see a high value of knowledge related to our supply chain.</w:t>
            </w:r>
          </w:p>
          <w:p w:rsidR="00FF116A" w:rsidRPr="00CC721D" w:rsidRDefault="00FF116A" w:rsidP="00FF116A">
            <w:pPr>
              <w:spacing w:after="0" w:line="240" w:lineRule="auto"/>
              <w:rPr>
                <w:sz w:val="20"/>
                <w:szCs w:val="20"/>
              </w:rPr>
            </w:pPr>
          </w:p>
        </w:tc>
        <w:tc>
          <w:tcPr>
            <w:tcW w:w="3780" w:type="dxa"/>
          </w:tcPr>
          <w:p w:rsidR="00FF116A" w:rsidRPr="00CC721D" w:rsidRDefault="00FF116A" w:rsidP="00FF116A">
            <w:pPr>
              <w:spacing w:after="0" w:line="240" w:lineRule="auto"/>
              <w:rPr>
                <w:b/>
                <w:sz w:val="20"/>
                <w:szCs w:val="20"/>
              </w:rPr>
            </w:pPr>
          </w:p>
          <w:p w:rsidR="00FF116A" w:rsidRDefault="00FF116A" w:rsidP="00FF116A">
            <w:pPr>
              <w:spacing w:after="0" w:line="240" w:lineRule="auto"/>
              <w:rPr>
                <w:b/>
                <w:sz w:val="20"/>
                <w:szCs w:val="20"/>
              </w:rPr>
            </w:pPr>
            <w:r w:rsidRPr="00CC721D">
              <w:rPr>
                <w:b/>
                <w:sz w:val="20"/>
                <w:szCs w:val="20"/>
              </w:rPr>
              <w:t xml:space="preserve"> </w:t>
            </w:r>
          </w:p>
          <w:p w:rsidR="00FF116A" w:rsidRPr="00CC721D" w:rsidRDefault="00FF116A" w:rsidP="00FF116A">
            <w:pPr>
              <w:spacing w:after="0" w:line="240" w:lineRule="auto"/>
              <w:rPr>
                <w:b/>
                <w:sz w:val="20"/>
                <w:szCs w:val="20"/>
              </w:rPr>
            </w:pPr>
            <w:r>
              <w:rPr>
                <w:b/>
                <w:sz w:val="20"/>
                <w:szCs w:val="20"/>
              </w:rPr>
              <w:t xml:space="preserve"> </w:t>
            </w:r>
            <w:r w:rsidRPr="00CC721D">
              <w:rPr>
                <w:b/>
                <w:sz w:val="20"/>
                <w:szCs w:val="20"/>
              </w:rPr>
              <w:t xml:space="preserve"> 1          2          3        4        5        6        7 </w:t>
            </w:r>
          </w:p>
          <w:p w:rsidR="00FF116A" w:rsidRPr="00CC721D" w:rsidRDefault="00FF116A" w:rsidP="00FF116A">
            <w:pPr>
              <w:spacing w:after="0" w:line="240" w:lineRule="auto"/>
              <w:rPr>
                <w:b/>
                <w:sz w:val="20"/>
                <w:szCs w:val="20"/>
              </w:rPr>
            </w:pPr>
          </w:p>
          <w:p w:rsidR="00FF116A" w:rsidRDefault="00FF116A" w:rsidP="00FF116A">
            <w:pPr>
              <w:spacing w:after="0" w:line="240" w:lineRule="auto"/>
              <w:rPr>
                <w:b/>
                <w:sz w:val="20"/>
                <w:szCs w:val="20"/>
              </w:rPr>
            </w:pPr>
            <w:r w:rsidRPr="00CC721D">
              <w:rPr>
                <w:b/>
                <w:sz w:val="20"/>
                <w:szCs w:val="20"/>
              </w:rPr>
              <w:t xml:space="preserve">  </w:t>
            </w:r>
          </w:p>
          <w:p w:rsidR="00FF116A" w:rsidRPr="00CC721D" w:rsidRDefault="00FF116A" w:rsidP="00FF116A">
            <w:pPr>
              <w:spacing w:after="0" w:line="240" w:lineRule="auto"/>
              <w:rPr>
                <w:b/>
                <w:sz w:val="20"/>
                <w:szCs w:val="20"/>
              </w:rPr>
            </w:pPr>
            <w:r>
              <w:rPr>
                <w:b/>
                <w:sz w:val="20"/>
                <w:szCs w:val="20"/>
              </w:rPr>
              <w:t xml:space="preserve">  </w:t>
            </w:r>
            <w:r w:rsidRPr="00CC721D">
              <w:rPr>
                <w:b/>
                <w:sz w:val="20"/>
                <w:szCs w:val="20"/>
              </w:rPr>
              <w:t xml:space="preserve">1          2          3        4        5        6        7 </w:t>
            </w:r>
          </w:p>
          <w:p w:rsidR="00FF116A"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w:t>
            </w:r>
            <w:r>
              <w:rPr>
                <w:b/>
                <w:sz w:val="20"/>
                <w:szCs w:val="20"/>
              </w:rPr>
              <w:t xml:space="preserve"> </w:t>
            </w:r>
            <w:r w:rsidRPr="00CC721D">
              <w:rPr>
                <w:b/>
                <w:sz w:val="20"/>
                <w:szCs w:val="20"/>
              </w:rPr>
              <w:t xml:space="preserve">1          2          3        4        5        6        7   </w:t>
            </w: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p>
          <w:p w:rsidR="00FF116A" w:rsidRPr="00CC721D" w:rsidRDefault="00FF116A" w:rsidP="00FF116A">
            <w:pPr>
              <w:spacing w:after="0" w:line="240" w:lineRule="auto"/>
              <w:rPr>
                <w:b/>
                <w:sz w:val="20"/>
                <w:szCs w:val="20"/>
              </w:rPr>
            </w:pPr>
            <w:r w:rsidRPr="00CC721D">
              <w:rPr>
                <w:b/>
                <w:sz w:val="20"/>
                <w:szCs w:val="20"/>
              </w:rPr>
              <w:t xml:space="preserve"> </w:t>
            </w:r>
          </w:p>
        </w:tc>
      </w:tr>
    </w:tbl>
    <w:p w:rsidR="00FF116A" w:rsidRDefault="00FF116A" w:rsidP="00FF116A">
      <w:pPr>
        <w:spacing w:after="0" w:line="240" w:lineRule="auto"/>
        <w:jc w:val="center"/>
        <w:rPr>
          <w:b/>
        </w:rPr>
      </w:pPr>
    </w:p>
    <w:p w:rsidR="00131232" w:rsidRDefault="00131232" w:rsidP="00A54511">
      <w:pPr>
        <w:spacing w:after="0" w:line="480" w:lineRule="auto"/>
        <w:ind w:firstLine="720"/>
      </w:pPr>
    </w:p>
    <w:p w:rsidR="00131232" w:rsidRDefault="00131232" w:rsidP="00A54511">
      <w:pPr>
        <w:spacing w:after="0" w:line="480" w:lineRule="auto"/>
        <w:ind w:firstLine="720"/>
      </w:pPr>
    </w:p>
    <w:p w:rsidR="00FF116A" w:rsidRDefault="00FF116A" w:rsidP="00A54511">
      <w:pPr>
        <w:spacing w:after="0" w:line="480" w:lineRule="auto"/>
        <w:ind w:firstLine="720"/>
      </w:pPr>
      <w:r>
        <w:t>The responses to additional demographic questions related to the business experience of respondents, industry affiliations of the represented companies, and specific firm characteristics were also collected at the end of the survey.</w:t>
      </w:r>
    </w:p>
    <w:p w:rsidR="00FF116A" w:rsidRDefault="00FF116A" w:rsidP="00A54511">
      <w:pPr>
        <w:spacing w:after="0" w:line="480" w:lineRule="auto"/>
      </w:pPr>
    </w:p>
    <w:p w:rsidR="00A54511" w:rsidRDefault="00A54511" w:rsidP="00A54511">
      <w:pPr>
        <w:spacing w:after="0" w:line="480" w:lineRule="auto"/>
      </w:pPr>
    </w:p>
    <w:p w:rsidR="00A54511" w:rsidRDefault="00A54511" w:rsidP="00A54511">
      <w:pPr>
        <w:spacing w:after="0" w:line="480" w:lineRule="auto"/>
      </w:pPr>
    </w:p>
    <w:p w:rsidR="00FF116A" w:rsidRDefault="00FF116A"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Default="003F2FB2" w:rsidP="00A54511">
      <w:pPr>
        <w:spacing w:after="0" w:line="480" w:lineRule="auto"/>
      </w:pPr>
    </w:p>
    <w:p w:rsidR="003F2FB2" w:rsidRPr="00197DEB" w:rsidRDefault="003F2FB2" w:rsidP="003F2FB2">
      <w:pPr>
        <w:pStyle w:val="NoSpacing"/>
        <w:widowControl w:val="0"/>
        <w:jc w:val="center"/>
        <w:rPr>
          <w:b/>
          <w:szCs w:val="24"/>
        </w:rPr>
      </w:pPr>
      <w:r>
        <w:rPr>
          <w:b/>
          <w:szCs w:val="24"/>
        </w:rPr>
        <w:lastRenderedPageBreak/>
        <w:t>C</w:t>
      </w:r>
      <w:r w:rsidRPr="00197DEB">
        <w:rPr>
          <w:b/>
          <w:szCs w:val="24"/>
        </w:rPr>
        <w:t>HAPTER 4 – DATA ANALYSIS</w:t>
      </w:r>
    </w:p>
    <w:p w:rsidR="003F2FB2" w:rsidRDefault="003F2FB2" w:rsidP="003F2FB2">
      <w:pPr>
        <w:pStyle w:val="NoSpacing"/>
      </w:pPr>
    </w:p>
    <w:p w:rsidR="003F2FB2" w:rsidRDefault="003F2FB2" w:rsidP="003F2FB2">
      <w:pPr>
        <w:spacing w:line="480" w:lineRule="auto"/>
        <w:ind w:firstLine="720"/>
      </w:pPr>
      <w:r>
        <w:t>Chapter 4 presents a detailed analysis of the research design and the data collected from the pre-designed survey. The test of the measurement model was followed by the detailed analysis of the theoretical model presented in the previous chapter. As planned, a pre-test was performed and described first with the purpose to explore potential measurement and procedural modifications needed prior to the launch of the main survey test. The main test was launched next with all the necessary improvements and modifications. Analysis of the data collected from the main survey started with the descriptive statistics and the missing data analysis. This was followed by appropriate reliability and validity checks and refinement of the measurement model. The formulated structural model was analyzed to test the hypotheses and post hoc analysis was also conducted.  Finally, the findings from the data analysis were summarized to conclude this chapter.</w:t>
      </w:r>
    </w:p>
    <w:p w:rsidR="003F2FB2" w:rsidRPr="00EF383C" w:rsidRDefault="003F2FB2" w:rsidP="003F2FB2">
      <w:pPr>
        <w:spacing w:before="240" w:line="480" w:lineRule="auto"/>
      </w:pPr>
      <w:r w:rsidRPr="00EF383C">
        <w:t>SURVEY PRE-TEST</w:t>
      </w:r>
    </w:p>
    <w:p w:rsidR="003F2FB2" w:rsidRPr="004B2000" w:rsidRDefault="003F2FB2" w:rsidP="003F2FB2">
      <w:pPr>
        <w:spacing w:line="480" w:lineRule="auto"/>
      </w:pPr>
      <w:r>
        <w:tab/>
        <w:t xml:space="preserve">The pre-test was administered using a web-based survey following the process described in Chapter 3 according to the procedures proposed and tested by </w:t>
      </w:r>
      <w:proofErr w:type="spellStart"/>
      <w:r>
        <w:t>Dillman</w:t>
      </w:r>
      <w:proofErr w:type="spellEnd"/>
      <w:r>
        <w:t xml:space="preserve"> </w:t>
      </w:r>
      <w:r w:rsidR="00A7040E">
        <w:fldChar w:fldCharType="begin"/>
      </w:r>
      <w:r>
        <w:instrText xml:space="preserve"> ADDIN EN.CITE &lt;EndNote&gt;&lt;Cite ExcludeAuth="1"&gt;&lt;Author&gt;Dillman&lt;/Author&gt;&lt;Year&gt;2000&lt;/Year&gt;&lt;RecNum&gt;525&lt;/RecNum&gt;&lt;record&gt;&lt;rec-number&gt;525&lt;/rec-number&gt;&lt;foreign-keys&gt;&lt;key app="EN" db-id="t2f5t0r0k5zazuezpdax0a98zawa95et290s"&gt;525&lt;/key&gt;&lt;/foreign-keys&gt;&lt;ref-type name="Book"&gt;6&lt;/ref-type&gt;&lt;contributors&gt;&lt;authors&gt;&lt;author&gt;Dillman, D&lt;/author&gt;&lt;/authors&gt;&lt;/contributors&gt;&lt;titles&gt;&lt;title&gt;Elements of the Tailored Design Method&lt;/title&gt;&lt;/titles&gt;&lt;dates&gt;&lt;year&gt;2000&lt;/year&gt;&lt;/dates&gt;&lt;pub-location&gt;New York&lt;/pub-location&gt;&lt;publisher&gt;Wiley&lt;/publisher&gt;&lt;urls&gt;&lt;/urls&gt;&lt;/record&gt;&lt;/Cite&gt;&lt;/EndNote&gt;</w:instrText>
      </w:r>
      <w:r w:rsidR="00A7040E">
        <w:fldChar w:fldCharType="separate"/>
      </w:r>
      <w:r>
        <w:rPr>
          <w:noProof/>
        </w:rPr>
        <w:t>(2000)</w:t>
      </w:r>
      <w:r w:rsidR="00A7040E">
        <w:fldChar w:fldCharType="end"/>
      </w:r>
      <w:r>
        <w:t xml:space="preserve">. A personalized e-mail was sent to a pre-qualified set of business executives with appropriate supply chain management experience and responsibility. The pre-test sample was drawn from the database of top level supply chain executives who participated in the University of Tennessee Supply Chain Forums. Potential survey participants were asked to respond to the set of pre-designed questions and share their thoughts on the clarity and relevancy of the survey instrument. Out of the 228 potential pre-test participants 65 completed the survey, yielding a response rate of 28.5%. No significant differences between early and late respondents were detected, thus an early-late </w:t>
      </w:r>
      <w:r>
        <w:lastRenderedPageBreak/>
        <w:t>response bias was not considered a concern for this pre-test. A non-response bias was not assessed for the pre-test sample due to the nature of the sample, however it was assessed later in this research for the main test (Armstrong and Overton 1977) and no problems were found.</w:t>
      </w:r>
    </w:p>
    <w:p w:rsidR="00EF383C" w:rsidRPr="00EF383C" w:rsidRDefault="00EF383C" w:rsidP="003F2FB2">
      <w:pPr>
        <w:spacing w:before="240"/>
        <w:rPr>
          <w:b/>
        </w:rPr>
      </w:pPr>
      <w:r w:rsidRPr="00EF383C">
        <w:rPr>
          <w:b/>
        </w:rPr>
        <w:t>Descriptive Statistics</w:t>
      </w:r>
    </w:p>
    <w:p w:rsidR="003F2FB2" w:rsidRDefault="003F2FB2" w:rsidP="003F2FB2">
      <w:pPr>
        <w:spacing w:line="480" w:lineRule="auto"/>
      </w:pPr>
      <w:r>
        <w:tab/>
        <w:t xml:space="preserve">The participants in the pre-test survey answered 68 substantive questions related to the hypotheses and the theoretical model as well as nine additional demographic/ control-type questions and several question related to the nature of the survey. The breakdown of pre-test survey respondents by industry is presented in Table 4.1. </w:t>
      </w:r>
    </w:p>
    <w:p w:rsidR="003F2FB2" w:rsidRDefault="003F2FB2" w:rsidP="00376049">
      <w:pPr>
        <w:spacing w:line="480" w:lineRule="auto"/>
        <w:rPr>
          <w:b/>
        </w:rPr>
      </w:pPr>
      <w:r>
        <w:rPr>
          <w:b/>
        </w:rPr>
        <w:t>Table 4.1 Pre-Test Participants by Industry</w:t>
      </w:r>
    </w:p>
    <w:tbl>
      <w:tblPr>
        <w:tblW w:w="6660" w:type="dxa"/>
        <w:tblInd w:w="93" w:type="dxa"/>
        <w:tblLook w:val="04A0"/>
      </w:tblPr>
      <w:tblGrid>
        <w:gridCol w:w="2895"/>
        <w:gridCol w:w="1825"/>
        <w:gridCol w:w="1940"/>
      </w:tblGrid>
      <w:tr w:rsidR="003F2FB2" w:rsidRPr="009F0AEF" w:rsidTr="00007EA8">
        <w:trPr>
          <w:trHeight w:val="315"/>
        </w:trPr>
        <w:tc>
          <w:tcPr>
            <w:tcW w:w="289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b/>
                <w:bCs/>
                <w:color w:val="000000"/>
                <w:sz w:val="20"/>
                <w:szCs w:val="20"/>
              </w:rPr>
            </w:pPr>
            <w:r w:rsidRPr="00B668C0">
              <w:rPr>
                <w:b/>
                <w:bCs/>
                <w:color w:val="000000"/>
                <w:sz w:val="20"/>
                <w:szCs w:val="20"/>
              </w:rPr>
              <w:t>Industry</w:t>
            </w:r>
          </w:p>
        </w:tc>
        <w:tc>
          <w:tcPr>
            <w:tcW w:w="1825" w:type="dxa"/>
            <w:tcBorders>
              <w:top w:val="single" w:sz="8" w:space="0" w:color="auto"/>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b/>
                <w:bCs/>
                <w:color w:val="000000"/>
                <w:sz w:val="20"/>
                <w:szCs w:val="20"/>
              </w:rPr>
            </w:pPr>
            <w:r w:rsidRPr="00B668C0">
              <w:rPr>
                <w:b/>
                <w:bCs/>
                <w:color w:val="000000"/>
                <w:sz w:val="20"/>
                <w:szCs w:val="20"/>
              </w:rPr>
              <w:t>Frequency</w:t>
            </w:r>
          </w:p>
        </w:tc>
        <w:tc>
          <w:tcPr>
            <w:tcW w:w="1940" w:type="dxa"/>
            <w:tcBorders>
              <w:top w:val="single" w:sz="8" w:space="0" w:color="auto"/>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b/>
                <w:bCs/>
                <w:color w:val="000000"/>
                <w:sz w:val="20"/>
                <w:szCs w:val="20"/>
              </w:rPr>
            </w:pPr>
            <w:r w:rsidRPr="00B668C0">
              <w:rPr>
                <w:b/>
                <w:bCs/>
                <w:color w:val="000000"/>
                <w:sz w:val="20"/>
                <w:szCs w:val="20"/>
              </w:rPr>
              <w:t>(%)</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Automotive</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7</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12.07%</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Aerospace</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5</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8.62%</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Apparel / Textiles</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3</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5.17%</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Appliances</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6</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10.34%</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Electronics</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7</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12.07%</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Industrial Products</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6</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10.34%</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Chemicals/plastics</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3</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5.17%</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Consumer Packaged Goods</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14</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24.14%</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Medical/Pharmaceutical</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5</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8.62%</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color w:val="000000"/>
                <w:sz w:val="20"/>
                <w:szCs w:val="20"/>
              </w:rPr>
            </w:pPr>
            <w:r w:rsidRPr="00B668C0">
              <w:rPr>
                <w:color w:val="000000"/>
                <w:sz w:val="20"/>
                <w:szCs w:val="20"/>
              </w:rPr>
              <w:t>Other</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9</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color w:val="000000"/>
                <w:sz w:val="20"/>
                <w:szCs w:val="20"/>
              </w:rPr>
            </w:pPr>
            <w:r w:rsidRPr="00B668C0">
              <w:rPr>
                <w:color w:val="000000"/>
                <w:sz w:val="20"/>
                <w:szCs w:val="20"/>
              </w:rPr>
              <w:t>15.52%</w:t>
            </w:r>
          </w:p>
        </w:tc>
      </w:tr>
      <w:tr w:rsidR="003F2FB2" w:rsidRPr="009F0AEF" w:rsidTr="00007EA8">
        <w:trPr>
          <w:trHeight w:val="315"/>
        </w:trPr>
        <w:tc>
          <w:tcPr>
            <w:tcW w:w="2895" w:type="dxa"/>
            <w:tcBorders>
              <w:top w:val="nil"/>
              <w:left w:val="single" w:sz="8" w:space="0" w:color="auto"/>
              <w:bottom w:val="single" w:sz="8" w:space="0" w:color="auto"/>
              <w:right w:val="single" w:sz="8" w:space="0" w:color="auto"/>
            </w:tcBorders>
            <w:shd w:val="clear" w:color="auto" w:fill="auto"/>
            <w:noWrap/>
            <w:vAlign w:val="bottom"/>
            <w:hideMark/>
          </w:tcPr>
          <w:p w:rsidR="003F2FB2" w:rsidRPr="00B668C0" w:rsidRDefault="003F2FB2" w:rsidP="00376049">
            <w:pPr>
              <w:rPr>
                <w:b/>
                <w:bCs/>
                <w:color w:val="000000"/>
                <w:sz w:val="20"/>
                <w:szCs w:val="20"/>
              </w:rPr>
            </w:pPr>
            <w:r w:rsidRPr="00B668C0">
              <w:rPr>
                <w:b/>
                <w:bCs/>
                <w:color w:val="000000"/>
                <w:sz w:val="20"/>
                <w:szCs w:val="20"/>
              </w:rPr>
              <w:t>TOTAL</w:t>
            </w:r>
          </w:p>
        </w:tc>
        <w:tc>
          <w:tcPr>
            <w:tcW w:w="1825"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b/>
                <w:bCs/>
                <w:color w:val="000000"/>
                <w:sz w:val="20"/>
                <w:szCs w:val="20"/>
              </w:rPr>
            </w:pPr>
            <w:r w:rsidRPr="00B668C0">
              <w:rPr>
                <w:b/>
                <w:bCs/>
                <w:color w:val="000000"/>
                <w:sz w:val="20"/>
                <w:szCs w:val="20"/>
              </w:rPr>
              <w:t>65</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B668C0" w:rsidRDefault="003F2FB2" w:rsidP="00376049">
            <w:pPr>
              <w:jc w:val="center"/>
              <w:rPr>
                <w:b/>
                <w:bCs/>
                <w:color w:val="000000"/>
                <w:sz w:val="20"/>
                <w:szCs w:val="20"/>
              </w:rPr>
            </w:pPr>
            <w:r w:rsidRPr="00B668C0">
              <w:rPr>
                <w:b/>
                <w:bCs/>
                <w:color w:val="000000"/>
                <w:sz w:val="20"/>
                <w:szCs w:val="20"/>
              </w:rPr>
              <w:t>100.00%</w:t>
            </w:r>
          </w:p>
        </w:tc>
      </w:tr>
    </w:tbl>
    <w:p w:rsidR="003F2FB2" w:rsidRDefault="003F2FB2" w:rsidP="003F2FB2">
      <w:pPr>
        <w:spacing w:line="480" w:lineRule="auto"/>
        <w:ind w:firstLine="720"/>
      </w:pPr>
    </w:p>
    <w:p w:rsidR="003F2FB2" w:rsidRDefault="003F2FB2" w:rsidP="000209E9">
      <w:pPr>
        <w:spacing w:after="0" w:line="480" w:lineRule="auto"/>
        <w:ind w:firstLine="720"/>
      </w:pPr>
      <w:r>
        <w:lastRenderedPageBreak/>
        <w:t>Results indicate that approximately half of the 65 respondents in the pre-test sample came from either consumer packaged goods (24.14%), automobile (12.07%), or electronics (12.07%) industries. Appliances and industrial products industries accounted for 10.34% of respondents</w:t>
      </w:r>
      <w:r w:rsidRPr="00197DEB">
        <w:t xml:space="preserve"> </w:t>
      </w:r>
      <w:r>
        <w:t xml:space="preserve">each. Aerospace, medical / pharmaceutical, apparel and other industries were also represented by the qualified survey participants. </w:t>
      </w:r>
    </w:p>
    <w:p w:rsidR="003F2FB2" w:rsidRDefault="003F2FB2" w:rsidP="00B668C0">
      <w:pPr>
        <w:spacing w:after="0" w:line="480" w:lineRule="auto"/>
        <w:ind w:firstLine="720"/>
      </w:pPr>
      <w:r>
        <w:t>Annual sales statistics for the companies represented by the survey participants was also collected. The majority of the pre-test participants (77%) reported they worked for firms with approximate annual sales of more than $501 Million, including 21 respondents (32.31%) from the firms with annual sales between $501million and $1 billion and 29 respondents (44.62%) from the firms with approximate annual sales greater than $1 billion. Another 23% of respondents reported approximate annual sales revenue of their firms between $1 million and $51 million. An average respondent had approximately 13 years of related experience. Only 3 respondents had less than 5 years of related industry experience. The majority of respondents reported job titles at the manager or higher level representing supply chain management, logistics, and purchasing functions. Overall, responses to the questions related to experience, job responsibilities, and knowledge of the participants lend confidence to the suitability of these respondents as the key informants in this research.</w:t>
      </w:r>
    </w:p>
    <w:p w:rsidR="00891FD7" w:rsidRDefault="00891FD7" w:rsidP="00B668C0">
      <w:pPr>
        <w:spacing w:after="0" w:line="480" w:lineRule="auto"/>
      </w:pPr>
    </w:p>
    <w:p w:rsidR="00891FD7" w:rsidRPr="00891FD7" w:rsidRDefault="00891FD7" w:rsidP="00B668C0">
      <w:pPr>
        <w:spacing w:after="0" w:line="480" w:lineRule="auto"/>
        <w:rPr>
          <w:b/>
        </w:rPr>
      </w:pPr>
      <w:r w:rsidRPr="00891FD7">
        <w:rPr>
          <w:b/>
        </w:rPr>
        <w:t>Pre-Test Data Analysis</w:t>
      </w:r>
      <w:r w:rsidR="003F2FB2" w:rsidRPr="00891FD7">
        <w:rPr>
          <w:b/>
        </w:rPr>
        <w:tab/>
      </w:r>
    </w:p>
    <w:p w:rsidR="003F2FB2" w:rsidRDefault="003F2FB2" w:rsidP="00891FD7">
      <w:pPr>
        <w:spacing w:after="0" w:line="480" w:lineRule="auto"/>
        <w:ind w:firstLine="720"/>
      </w:pPr>
      <w:r>
        <w:t xml:space="preserve">After recording all the completed responses, the data was downloaded to SPSS 18 software for further analysis. At the preliminary stage the survey responses were examined for errors and missing data. Surveys completed in their entirety accounted for 85.9% of all collected responses and an additional 5.6% of the remaining cases contained five or less missing items. </w:t>
      </w:r>
      <w:r>
        <w:lastRenderedPageBreak/>
        <w:t xml:space="preserve">The remaining 8.5% of responses had a significant number of missing data and were therefore discarded, bringing the total number of usable surveys to 65 (from original 71). Upon close item by item examination, missing values accounted for less than one percent (0.3%) of all responses. The results of the SPSS-based missing value analysis indicated that the data was missing at random. </w:t>
      </w:r>
    </w:p>
    <w:p w:rsidR="003F2FB2" w:rsidRDefault="003F2FB2" w:rsidP="00B668C0">
      <w:pPr>
        <w:spacing w:after="0" w:line="480" w:lineRule="auto"/>
        <w:ind w:firstLine="720"/>
      </w:pPr>
      <w:r>
        <w:t>Overall, missing values were not a threat to the integrity of the pre-test data. A few missing data points were estimated and replaced. The Expectation Maximization procedure was used for this purpose. It is a commonly used method based on computing maximum likelihood estimates for data missing at random which is generally considered more accurate than other similar procedures for dealing with missing values (Schafer and Olsen 1998).</w:t>
      </w:r>
    </w:p>
    <w:p w:rsidR="003F2FB2" w:rsidRDefault="003F2FB2" w:rsidP="00B668C0">
      <w:pPr>
        <w:spacing w:after="0" w:line="480" w:lineRule="auto"/>
      </w:pPr>
      <w:r>
        <w:tab/>
        <w:t xml:space="preserve">The summary of descriptive statistics for the pre-test is presented in Table 4.2. Means and standard deviations were measured for each of the 68 substantive scale items and the normality analysis was conducted.  Most items were worded as statements and most response choices were based on a seven-point scale ranging from “strongly disagree” to “strongly agree”. The seven-point scale for Supply Chain Process Variability (SCPV) was the only exception.  It was ranging from “very inconsistent” to “very consistent”.  Mean values ranged from 3.46 to 6.39, while the standard deviations ranged from 0.87 to 1.71.  Such ranges were considered acceptable for the purposes of this analysis. The normality assumption was also tested, and the measures of kurtosis for each of the items are presented in Table 4.2 as well.  Six scaled items raised concerns in terms of the normality distribution based on kurtosis values ranging from 2.1 to 6.76. Three of those items represented risk management orientation scale (RMO2, RMO6, and RMO7) and the other three represented supply chain orientation scale (SCO2, SCO7, and SCO9). A closer examination of such cases was conducted and several outliers were identified as causes of </w:t>
      </w:r>
      <w:r>
        <w:lastRenderedPageBreak/>
        <w:t xml:space="preserve">relatively high estimates of kurtosis. Those extreme values were pulled out to remedy the problem, and the recalculated kurtosis values demonstrated new acceptable levels. </w:t>
      </w:r>
    </w:p>
    <w:p w:rsidR="00B668C0" w:rsidRDefault="00B668C0" w:rsidP="003F2FB2">
      <w:pPr>
        <w:spacing w:line="480" w:lineRule="auto"/>
        <w:jc w:val="center"/>
        <w:rPr>
          <w:b/>
        </w:rPr>
      </w:pPr>
    </w:p>
    <w:p w:rsidR="003F2FB2" w:rsidRDefault="003F2FB2" w:rsidP="003F2FB2">
      <w:pPr>
        <w:spacing w:line="480" w:lineRule="auto"/>
        <w:jc w:val="center"/>
        <w:rPr>
          <w:b/>
        </w:rPr>
      </w:pPr>
      <w:r>
        <w:rPr>
          <w:b/>
        </w:rPr>
        <w:t>Table 4.2 Pre-Test Descriptive Statistics</w:t>
      </w:r>
    </w:p>
    <w:tbl>
      <w:tblPr>
        <w:tblW w:w="9400" w:type="dxa"/>
        <w:tblInd w:w="93" w:type="dxa"/>
        <w:tblLook w:val="04A0"/>
      </w:tblPr>
      <w:tblGrid>
        <w:gridCol w:w="1600"/>
        <w:gridCol w:w="1240"/>
        <w:gridCol w:w="1260"/>
        <w:gridCol w:w="1360"/>
        <w:gridCol w:w="1320"/>
        <w:gridCol w:w="1340"/>
        <w:gridCol w:w="1280"/>
      </w:tblGrid>
      <w:tr w:rsidR="003F2FB2" w:rsidRPr="0017240F" w:rsidTr="00007EA8">
        <w:trPr>
          <w:cantSplit/>
          <w:trHeight w:val="30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 </w:t>
            </w:r>
          </w:p>
        </w:tc>
        <w:tc>
          <w:tcPr>
            <w:tcW w:w="1240" w:type="dxa"/>
            <w:tcBorders>
              <w:top w:val="single" w:sz="8" w:space="0" w:color="auto"/>
              <w:left w:val="nil"/>
              <w:bottom w:val="single" w:sz="4"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Minimum</w:t>
            </w:r>
          </w:p>
        </w:tc>
        <w:tc>
          <w:tcPr>
            <w:tcW w:w="1260" w:type="dxa"/>
            <w:tcBorders>
              <w:top w:val="single" w:sz="8" w:space="0" w:color="auto"/>
              <w:left w:val="nil"/>
              <w:bottom w:val="single" w:sz="4"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Maximum</w:t>
            </w:r>
          </w:p>
        </w:tc>
        <w:tc>
          <w:tcPr>
            <w:tcW w:w="1360" w:type="dxa"/>
            <w:tcBorders>
              <w:top w:val="single" w:sz="8" w:space="0" w:color="auto"/>
              <w:left w:val="nil"/>
              <w:bottom w:val="single" w:sz="4"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Mean</w:t>
            </w:r>
          </w:p>
        </w:tc>
        <w:tc>
          <w:tcPr>
            <w:tcW w:w="1320" w:type="dxa"/>
            <w:tcBorders>
              <w:top w:val="single" w:sz="8" w:space="0" w:color="auto"/>
              <w:left w:val="nil"/>
              <w:bottom w:val="single" w:sz="4"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Std. Deviation</w:t>
            </w:r>
          </w:p>
        </w:tc>
        <w:tc>
          <w:tcPr>
            <w:tcW w:w="2620" w:type="dxa"/>
            <w:gridSpan w:val="2"/>
            <w:tcBorders>
              <w:top w:val="single" w:sz="8" w:space="0" w:color="auto"/>
              <w:left w:val="nil"/>
              <w:bottom w:val="single" w:sz="4" w:space="0" w:color="auto"/>
              <w:right w:val="single" w:sz="8" w:space="0" w:color="000000"/>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Kurtosis</w:t>
            </w:r>
          </w:p>
        </w:tc>
      </w:tr>
      <w:tr w:rsidR="003F2FB2" w:rsidRPr="0017240F" w:rsidTr="00007EA8">
        <w:trPr>
          <w:trHeight w:val="31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3F2FB2" w:rsidRPr="004B48D8" w:rsidRDefault="003F2FB2" w:rsidP="00007EA8">
            <w:pPr>
              <w:rPr>
                <w:color w:val="000000"/>
                <w:sz w:val="20"/>
                <w:szCs w:val="20"/>
              </w:rPr>
            </w:pPr>
          </w:p>
        </w:tc>
        <w:tc>
          <w:tcPr>
            <w:tcW w:w="1240" w:type="dxa"/>
            <w:tcBorders>
              <w:top w:val="nil"/>
              <w:left w:val="nil"/>
              <w:bottom w:val="single" w:sz="8"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Statistic</w:t>
            </w:r>
          </w:p>
        </w:tc>
        <w:tc>
          <w:tcPr>
            <w:tcW w:w="1260" w:type="dxa"/>
            <w:tcBorders>
              <w:top w:val="nil"/>
              <w:left w:val="nil"/>
              <w:bottom w:val="single" w:sz="8"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Statistic</w:t>
            </w:r>
          </w:p>
        </w:tc>
        <w:tc>
          <w:tcPr>
            <w:tcW w:w="1360" w:type="dxa"/>
            <w:tcBorders>
              <w:top w:val="nil"/>
              <w:left w:val="nil"/>
              <w:bottom w:val="single" w:sz="8"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Statistic</w:t>
            </w:r>
          </w:p>
        </w:tc>
        <w:tc>
          <w:tcPr>
            <w:tcW w:w="1320" w:type="dxa"/>
            <w:tcBorders>
              <w:top w:val="nil"/>
              <w:left w:val="nil"/>
              <w:bottom w:val="single" w:sz="8"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Statistic</w:t>
            </w:r>
          </w:p>
        </w:tc>
        <w:tc>
          <w:tcPr>
            <w:tcW w:w="1340" w:type="dxa"/>
            <w:tcBorders>
              <w:top w:val="nil"/>
              <w:left w:val="nil"/>
              <w:bottom w:val="single" w:sz="8" w:space="0" w:color="auto"/>
              <w:right w:val="single" w:sz="4"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Statistic</w:t>
            </w:r>
          </w:p>
        </w:tc>
        <w:tc>
          <w:tcPr>
            <w:tcW w:w="1280" w:type="dxa"/>
            <w:tcBorders>
              <w:top w:val="nil"/>
              <w:left w:val="nil"/>
              <w:bottom w:val="single" w:sz="8" w:space="0" w:color="auto"/>
              <w:right w:val="single" w:sz="8" w:space="0" w:color="auto"/>
            </w:tcBorders>
            <w:shd w:val="clear" w:color="000000" w:fill="FFFFFF"/>
            <w:vAlign w:val="bottom"/>
            <w:hideMark/>
          </w:tcPr>
          <w:p w:rsidR="003F2FB2" w:rsidRPr="004B48D8" w:rsidRDefault="003F2FB2" w:rsidP="00007EA8">
            <w:pPr>
              <w:jc w:val="center"/>
              <w:rPr>
                <w:color w:val="000000"/>
                <w:sz w:val="20"/>
                <w:szCs w:val="20"/>
              </w:rPr>
            </w:pPr>
            <w:r w:rsidRPr="004B48D8">
              <w:rPr>
                <w:color w:val="000000"/>
                <w:sz w:val="20"/>
                <w:szCs w:val="20"/>
              </w:rPr>
              <w:t>Std. Error</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RMO1</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5.46</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1.413</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0.85</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RMO2</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5.47</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1.345</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1.221</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RMO3</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5.83</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1.219</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2.426</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RMO4</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5.26</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1.408</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0.591</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RMO5</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5.36</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1.384</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0.476</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RMO6</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6.08</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1.308</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4.318</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RMO7</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5.17</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1.388</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0.627</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EU1</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4.13</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1.708</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-1.224</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EU2</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3.91</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1.717</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-1.133</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EU3</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5.10</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1.199</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1.304</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EU4</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5.43</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1.121</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2.06</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EU5</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4.78</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1.588</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-0.814</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EU6</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5.28</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1.444</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-0.133</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r w:rsidR="003F2FB2" w:rsidRPr="0017240F" w:rsidTr="00007EA8">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007EA8">
            <w:pPr>
              <w:rPr>
                <w:color w:val="000000"/>
                <w:sz w:val="20"/>
                <w:szCs w:val="20"/>
              </w:rPr>
            </w:pPr>
            <w:r w:rsidRPr="004B48D8">
              <w:rPr>
                <w:color w:val="000000"/>
                <w:sz w:val="20"/>
                <w:szCs w:val="20"/>
              </w:rPr>
              <w:t>EU7</w:t>
            </w:r>
          </w:p>
        </w:tc>
        <w:tc>
          <w:tcPr>
            <w:tcW w:w="12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4.58</w:t>
            </w:r>
          </w:p>
        </w:tc>
        <w:tc>
          <w:tcPr>
            <w:tcW w:w="132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1.598</w:t>
            </w:r>
          </w:p>
        </w:tc>
        <w:tc>
          <w:tcPr>
            <w:tcW w:w="1340" w:type="dxa"/>
            <w:tcBorders>
              <w:top w:val="nil"/>
              <w:left w:val="nil"/>
              <w:bottom w:val="single" w:sz="4" w:space="0" w:color="auto"/>
              <w:right w:val="single" w:sz="4"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-0.989</w:t>
            </w:r>
          </w:p>
        </w:tc>
        <w:tc>
          <w:tcPr>
            <w:tcW w:w="1280" w:type="dxa"/>
            <w:tcBorders>
              <w:top w:val="nil"/>
              <w:left w:val="nil"/>
              <w:bottom w:val="single" w:sz="4" w:space="0" w:color="auto"/>
              <w:right w:val="single" w:sz="8" w:space="0" w:color="auto"/>
            </w:tcBorders>
            <w:shd w:val="clear" w:color="000000" w:fill="FFFFFF"/>
            <w:hideMark/>
          </w:tcPr>
          <w:p w:rsidR="003F2FB2" w:rsidRPr="004B48D8" w:rsidRDefault="003F2FB2" w:rsidP="00007EA8">
            <w:pPr>
              <w:jc w:val="right"/>
              <w:rPr>
                <w:color w:val="000000"/>
                <w:sz w:val="20"/>
                <w:szCs w:val="20"/>
              </w:rPr>
            </w:pPr>
            <w:r w:rsidRPr="004B48D8">
              <w:rPr>
                <w:color w:val="000000"/>
                <w:sz w:val="20"/>
                <w:szCs w:val="20"/>
              </w:rPr>
              <w:t>0.239</w:t>
            </w:r>
          </w:p>
        </w:tc>
      </w:tr>
    </w:tbl>
    <w:p w:rsidR="003F2FB2" w:rsidRDefault="003F2FB2" w:rsidP="003F2FB2">
      <w:pPr>
        <w:spacing w:line="480" w:lineRule="auto"/>
        <w:jc w:val="center"/>
        <w:rPr>
          <w:b/>
        </w:rPr>
      </w:pPr>
    </w:p>
    <w:p w:rsidR="00B668C0" w:rsidRDefault="00B668C0" w:rsidP="003F2FB2">
      <w:pPr>
        <w:spacing w:line="480" w:lineRule="auto"/>
        <w:jc w:val="center"/>
        <w:rPr>
          <w:b/>
        </w:rPr>
      </w:pPr>
    </w:p>
    <w:p w:rsidR="00B668C0" w:rsidRDefault="00B668C0" w:rsidP="003F2FB2">
      <w:pPr>
        <w:spacing w:line="480" w:lineRule="auto"/>
        <w:jc w:val="center"/>
        <w:rPr>
          <w:b/>
        </w:rPr>
      </w:pPr>
    </w:p>
    <w:p w:rsidR="00B668C0" w:rsidRDefault="0075213B" w:rsidP="00B668C0">
      <w:pPr>
        <w:spacing w:line="480" w:lineRule="auto"/>
        <w:jc w:val="center"/>
        <w:rPr>
          <w:b/>
        </w:rPr>
      </w:pPr>
      <w:r>
        <w:rPr>
          <w:b/>
        </w:rPr>
        <w:lastRenderedPageBreak/>
        <w:t>Table 4.2 Continued</w:t>
      </w:r>
    </w:p>
    <w:tbl>
      <w:tblPr>
        <w:tblW w:w="9400" w:type="dxa"/>
        <w:tblInd w:w="93" w:type="dxa"/>
        <w:tblLook w:val="04A0"/>
      </w:tblPr>
      <w:tblGrid>
        <w:gridCol w:w="1600"/>
        <w:gridCol w:w="1240"/>
        <w:gridCol w:w="1260"/>
        <w:gridCol w:w="1360"/>
        <w:gridCol w:w="1320"/>
        <w:gridCol w:w="1340"/>
        <w:gridCol w:w="1280"/>
      </w:tblGrid>
      <w:tr w:rsidR="00376049" w:rsidRPr="0017240F" w:rsidTr="00376049">
        <w:trPr>
          <w:cantSplit/>
          <w:trHeight w:val="30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 </w:t>
            </w:r>
          </w:p>
        </w:tc>
        <w:tc>
          <w:tcPr>
            <w:tcW w:w="124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Minimum</w:t>
            </w:r>
          </w:p>
        </w:tc>
        <w:tc>
          <w:tcPr>
            <w:tcW w:w="126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Maximum</w:t>
            </w:r>
          </w:p>
        </w:tc>
        <w:tc>
          <w:tcPr>
            <w:tcW w:w="136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Mean</w:t>
            </w:r>
          </w:p>
        </w:tc>
        <w:tc>
          <w:tcPr>
            <w:tcW w:w="132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Std. Deviation</w:t>
            </w:r>
          </w:p>
        </w:tc>
        <w:tc>
          <w:tcPr>
            <w:tcW w:w="2620" w:type="dxa"/>
            <w:gridSpan w:val="2"/>
            <w:tcBorders>
              <w:top w:val="single" w:sz="8" w:space="0" w:color="auto"/>
              <w:left w:val="nil"/>
              <w:bottom w:val="single" w:sz="4" w:space="0" w:color="auto"/>
              <w:right w:val="single" w:sz="8" w:space="0" w:color="000000"/>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Kurtosis</w:t>
            </w:r>
          </w:p>
        </w:tc>
      </w:tr>
      <w:tr w:rsidR="00376049" w:rsidRPr="0017240F" w:rsidTr="00376049">
        <w:trPr>
          <w:trHeight w:val="31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376049" w:rsidRPr="004B48D8" w:rsidRDefault="00376049" w:rsidP="00376049">
            <w:pPr>
              <w:rPr>
                <w:color w:val="000000"/>
                <w:sz w:val="20"/>
                <w:szCs w:val="20"/>
              </w:rPr>
            </w:pPr>
          </w:p>
        </w:tc>
        <w:tc>
          <w:tcPr>
            <w:tcW w:w="124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26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36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32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34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280" w:type="dxa"/>
            <w:tcBorders>
              <w:top w:val="nil"/>
              <w:left w:val="nil"/>
              <w:bottom w:val="single" w:sz="8" w:space="0" w:color="auto"/>
              <w:right w:val="single" w:sz="8"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Std. Error</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SCV1</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5.26</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1.288</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0.574</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SCV2</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5.06</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1.356</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-0.127</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SCV3</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4.94</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1.407</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-0.312</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SCV4</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5.12</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1.528</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-0.099</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SCV5</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4.30</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1.518</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-1.029</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SCO1</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5.54</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1.13</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1.904</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SCO2</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5.65</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1.044</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2.022</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SCO3</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5.61</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1.076</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2.011</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SCO4</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5.89</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1.019</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2.108</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SCO5</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5.82</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1.132</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1.837</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SCO6</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6.39</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0.867</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6.762</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SCO7</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5.09</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1.174</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0.158</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SCO8</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4.51</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1.358</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-0.494</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SCO9</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2</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6.06</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1.052</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3.59</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SCO10</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5.86</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1.216</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1.95</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SCO11</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5.59</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1.31</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1.605</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SCO12</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5.27</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1.388</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0.566</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SCR1</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4.88</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1.289</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-0.038</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0.24</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SCR2</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4.94</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1.28</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-0.033</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SCR3</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4.66</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1.276</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-0.144</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0.24</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SCR4</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4.84</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1.329</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-0.075</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r w:rsidR="0075213B" w:rsidRPr="0017240F"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75213B" w:rsidRPr="004B48D8" w:rsidRDefault="0075213B" w:rsidP="00376049">
            <w:pPr>
              <w:rPr>
                <w:color w:val="000000"/>
                <w:sz w:val="20"/>
                <w:szCs w:val="20"/>
              </w:rPr>
            </w:pPr>
            <w:r w:rsidRPr="004B48D8">
              <w:rPr>
                <w:color w:val="000000"/>
                <w:sz w:val="20"/>
                <w:szCs w:val="20"/>
              </w:rPr>
              <w:t>SCR5</w:t>
            </w:r>
          </w:p>
        </w:tc>
        <w:tc>
          <w:tcPr>
            <w:tcW w:w="12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5.15</w:t>
            </w:r>
          </w:p>
        </w:tc>
        <w:tc>
          <w:tcPr>
            <w:tcW w:w="132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1.195</w:t>
            </w:r>
          </w:p>
        </w:tc>
        <w:tc>
          <w:tcPr>
            <w:tcW w:w="1340" w:type="dxa"/>
            <w:tcBorders>
              <w:top w:val="nil"/>
              <w:left w:val="nil"/>
              <w:bottom w:val="single" w:sz="4" w:space="0" w:color="auto"/>
              <w:right w:val="single" w:sz="4"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0.668</w:t>
            </w:r>
          </w:p>
        </w:tc>
        <w:tc>
          <w:tcPr>
            <w:tcW w:w="1280" w:type="dxa"/>
            <w:tcBorders>
              <w:top w:val="nil"/>
              <w:left w:val="nil"/>
              <w:bottom w:val="single" w:sz="4" w:space="0" w:color="auto"/>
              <w:right w:val="single" w:sz="8" w:space="0" w:color="auto"/>
            </w:tcBorders>
            <w:shd w:val="clear" w:color="000000" w:fill="FFFFFF"/>
            <w:hideMark/>
          </w:tcPr>
          <w:p w:rsidR="0075213B" w:rsidRPr="004B48D8" w:rsidRDefault="0075213B" w:rsidP="00376049">
            <w:pPr>
              <w:jc w:val="right"/>
              <w:rPr>
                <w:color w:val="000000"/>
                <w:sz w:val="20"/>
                <w:szCs w:val="20"/>
              </w:rPr>
            </w:pPr>
            <w:r w:rsidRPr="004B48D8">
              <w:rPr>
                <w:color w:val="000000"/>
                <w:sz w:val="20"/>
                <w:szCs w:val="20"/>
              </w:rPr>
              <w:t>0.239</w:t>
            </w:r>
          </w:p>
        </w:tc>
      </w:tr>
    </w:tbl>
    <w:p w:rsidR="00B668C0" w:rsidRDefault="00B668C0" w:rsidP="0075213B">
      <w:pPr>
        <w:spacing w:line="480" w:lineRule="auto"/>
        <w:jc w:val="center"/>
        <w:rPr>
          <w:b/>
        </w:rPr>
      </w:pPr>
    </w:p>
    <w:p w:rsidR="0075213B" w:rsidRDefault="0075213B" w:rsidP="0075213B">
      <w:pPr>
        <w:spacing w:line="480" w:lineRule="auto"/>
        <w:jc w:val="center"/>
        <w:rPr>
          <w:b/>
        </w:rPr>
      </w:pPr>
      <w:r>
        <w:rPr>
          <w:b/>
        </w:rPr>
        <w:lastRenderedPageBreak/>
        <w:t>Table 4.2 Continued</w:t>
      </w:r>
    </w:p>
    <w:tbl>
      <w:tblPr>
        <w:tblW w:w="9400" w:type="dxa"/>
        <w:tblInd w:w="93" w:type="dxa"/>
        <w:tblLook w:val="04A0"/>
      </w:tblPr>
      <w:tblGrid>
        <w:gridCol w:w="1600"/>
        <w:gridCol w:w="1240"/>
        <w:gridCol w:w="1260"/>
        <w:gridCol w:w="1360"/>
        <w:gridCol w:w="1320"/>
        <w:gridCol w:w="1340"/>
        <w:gridCol w:w="1280"/>
      </w:tblGrid>
      <w:tr w:rsidR="00376049" w:rsidRPr="004B48D8" w:rsidTr="00376049">
        <w:trPr>
          <w:cantSplit/>
          <w:trHeight w:val="30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 </w:t>
            </w:r>
          </w:p>
        </w:tc>
        <w:tc>
          <w:tcPr>
            <w:tcW w:w="124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Minimum</w:t>
            </w:r>
          </w:p>
        </w:tc>
        <w:tc>
          <w:tcPr>
            <w:tcW w:w="126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Maximum</w:t>
            </w:r>
          </w:p>
        </w:tc>
        <w:tc>
          <w:tcPr>
            <w:tcW w:w="136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Mean</w:t>
            </w:r>
          </w:p>
        </w:tc>
        <w:tc>
          <w:tcPr>
            <w:tcW w:w="1320" w:type="dxa"/>
            <w:tcBorders>
              <w:top w:val="single" w:sz="8" w:space="0" w:color="auto"/>
              <w:left w:val="nil"/>
              <w:bottom w:val="single" w:sz="4"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Std. Deviation</w:t>
            </w:r>
          </w:p>
        </w:tc>
        <w:tc>
          <w:tcPr>
            <w:tcW w:w="2620" w:type="dxa"/>
            <w:gridSpan w:val="2"/>
            <w:tcBorders>
              <w:top w:val="single" w:sz="8" w:space="0" w:color="auto"/>
              <w:left w:val="nil"/>
              <w:bottom w:val="single" w:sz="4" w:space="0" w:color="auto"/>
              <w:right w:val="single" w:sz="8" w:space="0" w:color="000000"/>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Kurtosis</w:t>
            </w:r>
          </w:p>
        </w:tc>
      </w:tr>
      <w:tr w:rsidR="00376049" w:rsidRPr="004B48D8" w:rsidTr="00376049">
        <w:trPr>
          <w:trHeight w:val="31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376049" w:rsidRPr="004B48D8" w:rsidRDefault="00376049" w:rsidP="00376049">
            <w:pPr>
              <w:rPr>
                <w:color w:val="000000"/>
                <w:sz w:val="20"/>
                <w:szCs w:val="20"/>
              </w:rPr>
            </w:pPr>
          </w:p>
        </w:tc>
        <w:tc>
          <w:tcPr>
            <w:tcW w:w="124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26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36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32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340" w:type="dxa"/>
            <w:tcBorders>
              <w:top w:val="nil"/>
              <w:left w:val="nil"/>
              <w:bottom w:val="single" w:sz="8" w:space="0" w:color="auto"/>
              <w:right w:val="single" w:sz="4"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Statistic</w:t>
            </w:r>
          </w:p>
        </w:tc>
        <w:tc>
          <w:tcPr>
            <w:tcW w:w="1280" w:type="dxa"/>
            <w:tcBorders>
              <w:top w:val="nil"/>
              <w:left w:val="nil"/>
              <w:bottom w:val="single" w:sz="8" w:space="0" w:color="auto"/>
              <w:right w:val="single" w:sz="8" w:space="0" w:color="auto"/>
            </w:tcBorders>
            <w:shd w:val="clear" w:color="000000" w:fill="FFFFFF"/>
            <w:vAlign w:val="bottom"/>
            <w:hideMark/>
          </w:tcPr>
          <w:p w:rsidR="00376049" w:rsidRPr="004B48D8" w:rsidRDefault="00376049" w:rsidP="00376049">
            <w:pPr>
              <w:jc w:val="center"/>
              <w:rPr>
                <w:color w:val="000000"/>
                <w:sz w:val="20"/>
                <w:szCs w:val="20"/>
              </w:rPr>
            </w:pPr>
            <w:r w:rsidRPr="004B48D8">
              <w:rPr>
                <w:color w:val="000000"/>
                <w:sz w:val="20"/>
                <w:szCs w:val="20"/>
              </w:rPr>
              <w:t>Std. Error</w:t>
            </w:r>
          </w:p>
        </w:tc>
      </w:tr>
      <w:tr w:rsidR="00B668C0" w:rsidRPr="004B48D8" w:rsidTr="00C1325D">
        <w:trPr>
          <w:trHeight w:val="315"/>
        </w:trPr>
        <w:tc>
          <w:tcPr>
            <w:tcW w:w="1600" w:type="dxa"/>
            <w:tcBorders>
              <w:top w:val="single" w:sz="8" w:space="0" w:color="auto"/>
              <w:left w:val="single" w:sz="8" w:space="0" w:color="auto"/>
              <w:bottom w:val="single" w:sz="8" w:space="0" w:color="000000"/>
              <w:right w:val="single" w:sz="4" w:space="0" w:color="auto"/>
            </w:tcBorders>
            <w:hideMark/>
          </w:tcPr>
          <w:p w:rsidR="00B668C0" w:rsidRPr="004B48D8" w:rsidRDefault="00B668C0" w:rsidP="00C1325D">
            <w:pPr>
              <w:rPr>
                <w:color w:val="000000"/>
                <w:sz w:val="20"/>
                <w:szCs w:val="20"/>
              </w:rPr>
            </w:pPr>
            <w:r w:rsidRPr="004B48D8">
              <w:rPr>
                <w:color w:val="000000"/>
                <w:sz w:val="20"/>
                <w:szCs w:val="20"/>
              </w:rPr>
              <w:t>SCR6</w:t>
            </w:r>
          </w:p>
        </w:tc>
        <w:tc>
          <w:tcPr>
            <w:tcW w:w="12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w:t>
            </w:r>
          </w:p>
        </w:tc>
        <w:tc>
          <w:tcPr>
            <w:tcW w:w="12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7</w:t>
            </w:r>
          </w:p>
        </w:tc>
        <w:tc>
          <w:tcPr>
            <w:tcW w:w="13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4.98</w:t>
            </w:r>
          </w:p>
        </w:tc>
        <w:tc>
          <w:tcPr>
            <w:tcW w:w="132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1.226</w:t>
            </w:r>
          </w:p>
        </w:tc>
        <w:tc>
          <w:tcPr>
            <w:tcW w:w="13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0.133</w:t>
            </w:r>
          </w:p>
        </w:tc>
        <w:tc>
          <w:tcPr>
            <w:tcW w:w="1280" w:type="dxa"/>
            <w:tcBorders>
              <w:top w:val="nil"/>
              <w:left w:val="nil"/>
              <w:bottom w:val="single" w:sz="8" w:space="0" w:color="auto"/>
              <w:right w:val="single" w:sz="8"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0.239</w:t>
            </w:r>
          </w:p>
        </w:tc>
      </w:tr>
      <w:tr w:rsidR="00B668C0" w:rsidRPr="004B48D8" w:rsidTr="00C1325D">
        <w:trPr>
          <w:trHeight w:val="315"/>
        </w:trPr>
        <w:tc>
          <w:tcPr>
            <w:tcW w:w="1600" w:type="dxa"/>
            <w:tcBorders>
              <w:top w:val="single" w:sz="8" w:space="0" w:color="auto"/>
              <w:left w:val="single" w:sz="8" w:space="0" w:color="auto"/>
              <w:bottom w:val="single" w:sz="8" w:space="0" w:color="000000"/>
              <w:right w:val="single" w:sz="4" w:space="0" w:color="auto"/>
            </w:tcBorders>
            <w:hideMark/>
          </w:tcPr>
          <w:p w:rsidR="00B668C0" w:rsidRPr="004B48D8" w:rsidRDefault="00B668C0" w:rsidP="00C1325D">
            <w:pPr>
              <w:rPr>
                <w:color w:val="000000"/>
                <w:sz w:val="20"/>
                <w:szCs w:val="20"/>
              </w:rPr>
            </w:pPr>
            <w:r w:rsidRPr="004B48D8">
              <w:rPr>
                <w:color w:val="000000"/>
                <w:sz w:val="20"/>
                <w:szCs w:val="20"/>
              </w:rPr>
              <w:t>SCR7</w:t>
            </w:r>
          </w:p>
        </w:tc>
        <w:tc>
          <w:tcPr>
            <w:tcW w:w="12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w:t>
            </w:r>
          </w:p>
        </w:tc>
        <w:tc>
          <w:tcPr>
            <w:tcW w:w="12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7</w:t>
            </w:r>
          </w:p>
        </w:tc>
        <w:tc>
          <w:tcPr>
            <w:tcW w:w="13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4.98</w:t>
            </w:r>
          </w:p>
        </w:tc>
        <w:tc>
          <w:tcPr>
            <w:tcW w:w="132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1.289</w:t>
            </w:r>
          </w:p>
        </w:tc>
        <w:tc>
          <w:tcPr>
            <w:tcW w:w="13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0.504</w:t>
            </w:r>
          </w:p>
        </w:tc>
        <w:tc>
          <w:tcPr>
            <w:tcW w:w="1280" w:type="dxa"/>
            <w:tcBorders>
              <w:top w:val="nil"/>
              <w:left w:val="nil"/>
              <w:bottom w:val="single" w:sz="8" w:space="0" w:color="auto"/>
              <w:right w:val="single" w:sz="8"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SMC1</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5.32</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1.212</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1.192</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SMC2</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5.20</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1.407</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0.787</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SMC3</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4.91</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1.343</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0.383</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SMC4</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5.26</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1.144</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1.401</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IMC1</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5.00</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1.452</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0.389</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IMC2</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4.64</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1.486</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-0.267</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IMC3</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4.63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1.684</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-0.777</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IMC4</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5.03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1.362</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0.385</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IMC5</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4.73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1.605</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-0.453</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IMC6</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4.83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1.587</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-0.339</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IMC7</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4.37</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1.713</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-0.916</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IMC8</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5.13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1.308</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1.026</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IMC9</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4.83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1.679</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-0.46</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IMC10</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5.05</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1.419</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0.392</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IMC11</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4.69</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1.489</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-0.55</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IMC12</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3.46</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1.87</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-1.293</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SCC1</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5.13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1.288</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0.542</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SCC2</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5.16</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1.48</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0.372</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SCC3</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4.47</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1.495</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-0.7</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r w:rsidR="00B668C0" w:rsidRPr="004B48D8" w:rsidTr="00376049">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376049">
            <w:pPr>
              <w:rPr>
                <w:color w:val="000000"/>
                <w:sz w:val="20"/>
                <w:szCs w:val="20"/>
              </w:rPr>
            </w:pPr>
            <w:r w:rsidRPr="004B48D8">
              <w:rPr>
                <w:color w:val="000000"/>
                <w:sz w:val="20"/>
                <w:szCs w:val="20"/>
              </w:rPr>
              <w:t>SCC4</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4.92</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1.377</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0.337</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376049">
            <w:pPr>
              <w:jc w:val="right"/>
              <w:rPr>
                <w:color w:val="000000"/>
                <w:sz w:val="20"/>
                <w:szCs w:val="20"/>
              </w:rPr>
            </w:pPr>
            <w:r w:rsidRPr="004B48D8">
              <w:rPr>
                <w:color w:val="000000"/>
                <w:sz w:val="20"/>
                <w:szCs w:val="20"/>
              </w:rPr>
              <w:t>0.239</w:t>
            </w:r>
          </w:p>
        </w:tc>
      </w:tr>
    </w:tbl>
    <w:p w:rsidR="0075213B" w:rsidRPr="004B48D8" w:rsidRDefault="0075213B" w:rsidP="0075213B">
      <w:pPr>
        <w:spacing w:line="480" w:lineRule="auto"/>
        <w:jc w:val="center"/>
        <w:rPr>
          <w:b/>
          <w:szCs w:val="24"/>
        </w:rPr>
      </w:pPr>
      <w:r w:rsidRPr="004B48D8">
        <w:rPr>
          <w:b/>
          <w:szCs w:val="24"/>
        </w:rPr>
        <w:lastRenderedPageBreak/>
        <w:t>Table 4.2 Continued</w:t>
      </w:r>
    </w:p>
    <w:tbl>
      <w:tblPr>
        <w:tblW w:w="9400" w:type="dxa"/>
        <w:tblInd w:w="93" w:type="dxa"/>
        <w:tblLook w:val="04A0"/>
      </w:tblPr>
      <w:tblGrid>
        <w:gridCol w:w="1600"/>
        <w:gridCol w:w="1240"/>
        <w:gridCol w:w="1260"/>
        <w:gridCol w:w="1360"/>
        <w:gridCol w:w="1320"/>
        <w:gridCol w:w="1340"/>
        <w:gridCol w:w="1280"/>
      </w:tblGrid>
      <w:tr w:rsidR="0075213B" w:rsidRPr="004B48D8" w:rsidTr="00D24844">
        <w:trPr>
          <w:cantSplit/>
          <w:trHeight w:val="300"/>
        </w:trPr>
        <w:tc>
          <w:tcPr>
            <w:tcW w:w="1600" w:type="dxa"/>
            <w:vMerge w:val="restart"/>
            <w:tcBorders>
              <w:top w:val="single" w:sz="8" w:space="0" w:color="auto"/>
              <w:left w:val="single" w:sz="8" w:space="0" w:color="auto"/>
              <w:bottom w:val="single" w:sz="8" w:space="0" w:color="000000"/>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 </w:t>
            </w:r>
          </w:p>
        </w:tc>
        <w:tc>
          <w:tcPr>
            <w:tcW w:w="1240" w:type="dxa"/>
            <w:tcBorders>
              <w:top w:val="single" w:sz="8" w:space="0" w:color="auto"/>
              <w:left w:val="nil"/>
              <w:bottom w:val="single" w:sz="4"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Minimum</w:t>
            </w:r>
          </w:p>
        </w:tc>
        <w:tc>
          <w:tcPr>
            <w:tcW w:w="1260" w:type="dxa"/>
            <w:tcBorders>
              <w:top w:val="single" w:sz="8" w:space="0" w:color="auto"/>
              <w:left w:val="nil"/>
              <w:bottom w:val="single" w:sz="4"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Maximum</w:t>
            </w:r>
          </w:p>
        </w:tc>
        <w:tc>
          <w:tcPr>
            <w:tcW w:w="1360" w:type="dxa"/>
            <w:tcBorders>
              <w:top w:val="single" w:sz="8" w:space="0" w:color="auto"/>
              <w:left w:val="nil"/>
              <w:bottom w:val="single" w:sz="4"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Mean</w:t>
            </w:r>
          </w:p>
        </w:tc>
        <w:tc>
          <w:tcPr>
            <w:tcW w:w="1320" w:type="dxa"/>
            <w:tcBorders>
              <w:top w:val="single" w:sz="8" w:space="0" w:color="auto"/>
              <w:left w:val="nil"/>
              <w:bottom w:val="single" w:sz="4"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Std. Deviation</w:t>
            </w:r>
          </w:p>
        </w:tc>
        <w:tc>
          <w:tcPr>
            <w:tcW w:w="2620" w:type="dxa"/>
            <w:gridSpan w:val="2"/>
            <w:tcBorders>
              <w:top w:val="single" w:sz="8" w:space="0" w:color="auto"/>
              <w:left w:val="nil"/>
              <w:bottom w:val="single" w:sz="4" w:space="0" w:color="auto"/>
              <w:right w:val="single" w:sz="8" w:space="0" w:color="000000"/>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Kurtosis</w:t>
            </w:r>
          </w:p>
        </w:tc>
      </w:tr>
      <w:tr w:rsidR="0075213B" w:rsidRPr="004B48D8" w:rsidTr="00D24844">
        <w:trPr>
          <w:trHeight w:val="315"/>
        </w:trPr>
        <w:tc>
          <w:tcPr>
            <w:tcW w:w="1600" w:type="dxa"/>
            <w:vMerge/>
            <w:tcBorders>
              <w:top w:val="single" w:sz="8" w:space="0" w:color="auto"/>
              <w:left w:val="single" w:sz="8" w:space="0" w:color="auto"/>
              <w:bottom w:val="single" w:sz="8" w:space="0" w:color="000000"/>
              <w:right w:val="single" w:sz="4" w:space="0" w:color="auto"/>
            </w:tcBorders>
            <w:vAlign w:val="center"/>
            <w:hideMark/>
          </w:tcPr>
          <w:p w:rsidR="0075213B" w:rsidRPr="004B48D8" w:rsidRDefault="0075213B" w:rsidP="00D24844">
            <w:pPr>
              <w:rPr>
                <w:color w:val="000000"/>
                <w:sz w:val="22"/>
              </w:rPr>
            </w:pPr>
          </w:p>
        </w:tc>
        <w:tc>
          <w:tcPr>
            <w:tcW w:w="1240" w:type="dxa"/>
            <w:tcBorders>
              <w:top w:val="nil"/>
              <w:left w:val="nil"/>
              <w:bottom w:val="single" w:sz="8"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Statistic</w:t>
            </w:r>
          </w:p>
        </w:tc>
        <w:tc>
          <w:tcPr>
            <w:tcW w:w="1260" w:type="dxa"/>
            <w:tcBorders>
              <w:top w:val="nil"/>
              <w:left w:val="nil"/>
              <w:bottom w:val="single" w:sz="8"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Statistic</w:t>
            </w:r>
          </w:p>
        </w:tc>
        <w:tc>
          <w:tcPr>
            <w:tcW w:w="1360" w:type="dxa"/>
            <w:tcBorders>
              <w:top w:val="nil"/>
              <w:left w:val="nil"/>
              <w:bottom w:val="single" w:sz="8"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Statistic</w:t>
            </w:r>
          </w:p>
        </w:tc>
        <w:tc>
          <w:tcPr>
            <w:tcW w:w="1320" w:type="dxa"/>
            <w:tcBorders>
              <w:top w:val="nil"/>
              <w:left w:val="nil"/>
              <w:bottom w:val="single" w:sz="8"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Statistic</w:t>
            </w:r>
          </w:p>
        </w:tc>
        <w:tc>
          <w:tcPr>
            <w:tcW w:w="1340" w:type="dxa"/>
            <w:tcBorders>
              <w:top w:val="nil"/>
              <w:left w:val="nil"/>
              <w:bottom w:val="single" w:sz="8" w:space="0" w:color="auto"/>
              <w:right w:val="single" w:sz="4"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Statistic</w:t>
            </w:r>
          </w:p>
        </w:tc>
        <w:tc>
          <w:tcPr>
            <w:tcW w:w="1280" w:type="dxa"/>
            <w:tcBorders>
              <w:top w:val="nil"/>
              <w:left w:val="nil"/>
              <w:bottom w:val="single" w:sz="8" w:space="0" w:color="auto"/>
              <w:right w:val="single" w:sz="8" w:space="0" w:color="auto"/>
            </w:tcBorders>
            <w:shd w:val="clear" w:color="000000" w:fill="FFFFFF"/>
            <w:vAlign w:val="bottom"/>
            <w:hideMark/>
          </w:tcPr>
          <w:p w:rsidR="0075213B" w:rsidRPr="004B48D8" w:rsidRDefault="0075213B" w:rsidP="00D24844">
            <w:pPr>
              <w:jc w:val="center"/>
              <w:rPr>
                <w:color w:val="000000"/>
                <w:sz w:val="22"/>
              </w:rPr>
            </w:pPr>
            <w:r w:rsidRPr="004B48D8">
              <w:rPr>
                <w:color w:val="000000"/>
                <w:sz w:val="22"/>
              </w:rPr>
              <w:t>Std. Error</w:t>
            </w:r>
          </w:p>
        </w:tc>
      </w:tr>
      <w:tr w:rsidR="00B668C0" w:rsidRPr="004B48D8" w:rsidTr="00C1325D">
        <w:trPr>
          <w:trHeight w:val="315"/>
        </w:trPr>
        <w:tc>
          <w:tcPr>
            <w:tcW w:w="1600" w:type="dxa"/>
            <w:tcBorders>
              <w:top w:val="single" w:sz="8" w:space="0" w:color="auto"/>
              <w:left w:val="single" w:sz="8" w:space="0" w:color="auto"/>
              <w:bottom w:val="single" w:sz="8" w:space="0" w:color="000000"/>
              <w:right w:val="single" w:sz="4" w:space="0" w:color="auto"/>
            </w:tcBorders>
            <w:hideMark/>
          </w:tcPr>
          <w:p w:rsidR="00B668C0" w:rsidRPr="004B48D8" w:rsidRDefault="00B668C0" w:rsidP="00C1325D">
            <w:pPr>
              <w:rPr>
                <w:color w:val="000000"/>
                <w:sz w:val="20"/>
                <w:szCs w:val="20"/>
              </w:rPr>
            </w:pPr>
            <w:r w:rsidRPr="004B48D8">
              <w:rPr>
                <w:color w:val="000000"/>
                <w:sz w:val="20"/>
                <w:szCs w:val="20"/>
              </w:rPr>
              <w:t>SCC5</w:t>
            </w:r>
          </w:p>
        </w:tc>
        <w:tc>
          <w:tcPr>
            <w:tcW w:w="12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w:t>
            </w:r>
          </w:p>
        </w:tc>
        <w:tc>
          <w:tcPr>
            <w:tcW w:w="12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7</w:t>
            </w:r>
          </w:p>
        </w:tc>
        <w:tc>
          <w:tcPr>
            <w:tcW w:w="13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5.06</w:t>
            </w:r>
          </w:p>
        </w:tc>
        <w:tc>
          <w:tcPr>
            <w:tcW w:w="132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1.381</w:t>
            </w:r>
          </w:p>
        </w:tc>
        <w:tc>
          <w:tcPr>
            <w:tcW w:w="13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0.51</w:t>
            </w:r>
          </w:p>
        </w:tc>
        <w:tc>
          <w:tcPr>
            <w:tcW w:w="1280" w:type="dxa"/>
            <w:tcBorders>
              <w:top w:val="nil"/>
              <w:left w:val="nil"/>
              <w:bottom w:val="single" w:sz="8" w:space="0" w:color="auto"/>
              <w:right w:val="single" w:sz="8"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0.239</w:t>
            </w:r>
          </w:p>
        </w:tc>
      </w:tr>
      <w:tr w:rsidR="00B668C0" w:rsidRPr="004B48D8" w:rsidTr="00C1325D">
        <w:trPr>
          <w:trHeight w:val="315"/>
        </w:trPr>
        <w:tc>
          <w:tcPr>
            <w:tcW w:w="1600" w:type="dxa"/>
            <w:tcBorders>
              <w:top w:val="single" w:sz="8" w:space="0" w:color="auto"/>
              <w:left w:val="single" w:sz="8" w:space="0" w:color="auto"/>
              <w:bottom w:val="single" w:sz="8" w:space="0" w:color="000000"/>
              <w:right w:val="single" w:sz="4" w:space="0" w:color="auto"/>
            </w:tcBorders>
            <w:hideMark/>
          </w:tcPr>
          <w:p w:rsidR="00B668C0" w:rsidRPr="004B48D8" w:rsidRDefault="00B668C0" w:rsidP="00C1325D">
            <w:pPr>
              <w:rPr>
                <w:color w:val="000000"/>
                <w:sz w:val="20"/>
                <w:szCs w:val="20"/>
              </w:rPr>
            </w:pPr>
            <w:r w:rsidRPr="004B48D8">
              <w:rPr>
                <w:color w:val="000000"/>
                <w:sz w:val="20"/>
                <w:szCs w:val="20"/>
              </w:rPr>
              <w:t>SCC6</w:t>
            </w:r>
          </w:p>
        </w:tc>
        <w:tc>
          <w:tcPr>
            <w:tcW w:w="12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w:t>
            </w:r>
          </w:p>
        </w:tc>
        <w:tc>
          <w:tcPr>
            <w:tcW w:w="12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7</w:t>
            </w:r>
          </w:p>
        </w:tc>
        <w:tc>
          <w:tcPr>
            <w:tcW w:w="13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5.07</w:t>
            </w:r>
          </w:p>
        </w:tc>
        <w:tc>
          <w:tcPr>
            <w:tcW w:w="132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1.325</w:t>
            </w:r>
          </w:p>
        </w:tc>
        <w:tc>
          <w:tcPr>
            <w:tcW w:w="13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0.243</w:t>
            </w:r>
          </w:p>
        </w:tc>
        <w:tc>
          <w:tcPr>
            <w:tcW w:w="1280" w:type="dxa"/>
            <w:tcBorders>
              <w:top w:val="nil"/>
              <w:left w:val="nil"/>
              <w:bottom w:val="single" w:sz="8" w:space="0" w:color="auto"/>
              <w:right w:val="single" w:sz="8"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0.239</w:t>
            </w:r>
          </w:p>
        </w:tc>
      </w:tr>
      <w:tr w:rsidR="00B668C0" w:rsidRPr="004B48D8" w:rsidTr="00C1325D">
        <w:trPr>
          <w:trHeight w:val="315"/>
        </w:trPr>
        <w:tc>
          <w:tcPr>
            <w:tcW w:w="1600" w:type="dxa"/>
            <w:tcBorders>
              <w:top w:val="single" w:sz="8" w:space="0" w:color="auto"/>
              <w:left w:val="single" w:sz="8" w:space="0" w:color="auto"/>
              <w:bottom w:val="single" w:sz="8" w:space="0" w:color="000000"/>
              <w:right w:val="single" w:sz="4" w:space="0" w:color="auto"/>
            </w:tcBorders>
            <w:hideMark/>
          </w:tcPr>
          <w:p w:rsidR="00B668C0" w:rsidRPr="004B48D8" w:rsidRDefault="00B668C0" w:rsidP="00C1325D">
            <w:pPr>
              <w:rPr>
                <w:color w:val="000000"/>
                <w:sz w:val="20"/>
                <w:szCs w:val="20"/>
              </w:rPr>
            </w:pPr>
            <w:r w:rsidRPr="004B48D8">
              <w:rPr>
                <w:color w:val="000000"/>
                <w:sz w:val="20"/>
                <w:szCs w:val="20"/>
              </w:rPr>
              <w:t>SCC7</w:t>
            </w:r>
          </w:p>
        </w:tc>
        <w:tc>
          <w:tcPr>
            <w:tcW w:w="12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w:t>
            </w:r>
          </w:p>
        </w:tc>
        <w:tc>
          <w:tcPr>
            <w:tcW w:w="12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7</w:t>
            </w:r>
          </w:p>
        </w:tc>
        <w:tc>
          <w:tcPr>
            <w:tcW w:w="136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5.32</w:t>
            </w:r>
          </w:p>
        </w:tc>
        <w:tc>
          <w:tcPr>
            <w:tcW w:w="132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1.222</w:t>
            </w:r>
          </w:p>
        </w:tc>
        <w:tc>
          <w:tcPr>
            <w:tcW w:w="1340" w:type="dxa"/>
            <w:tcBorders>
              <w:top w:val="nil"/>
              <w:left w:val="nil"/>
              <w:bottom w:val="single" w:sz="8" w:space="0" w:color="auto"/>
              <w:right w:val="single" w:sz="4"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1.12</w:t>
            </w:r>
          </w:p>
        </w:tc>
        <w:tc>
          <w:tcPr>
            <w:tcW w:w="1280" w:type="dxa"/>
            <w:tcBorders>
              <w:top w:val="nil"/>
              <w:left w:val="nil"/>
              <w:bottom w:val="single" w:sz="8" w:space="0" w:color="auto"/>
              <w:right w:val="single" w:sz="8" w:space="0" w:color="auto"/>
            </w:tcBorders>
            <w:shd w:val="clear" w:color="000000" w:fill="FFFFFF"/>
            <w:hideMark/>
          </w:tcPr>
          <w:p w:rsidR="00B668C0" w:rsidRPr="004B48D8" w:rsidRDefault="00B668C0" w:rsidP="00C1325D">
            <w:pPr>
              <w:jc w:val="right"/>
              <w:rPr>
                <w:color w:val="000000"/>
                <w:sz w:val="20"/>
                <w:szCs w:val="20"/>
              </w:rPr>
            </w:pPr>
            <w:r w:rsidRPr="004B48D8">
              <w:rPr>
                <w:color w:val="000000"/>
                <w:sz w:val="20"/>
                <w:szCs w:val="20"/>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SCKD1</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5.24</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1.218</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1.093</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SCKD2</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4.92</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1.358</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0.26</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SCKD3</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5.19</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1.397</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0.632</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SCPV1</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5.10</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1.401</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0.365</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SCPV2</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5.56</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1.28</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0.973</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SCPV3</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4.83</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1.539</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-0.334</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r w:rsidR="00B668C0" w:rsidRPr="004B48D8" w:rsidTr="00D24844">
        <w:trPr>
          <w:cantSplit/>
          <w:trHeight w:val="300"/>
        </w:trPr>
        <w:tc>
          <w:tcPr>
            <w:tcW w:w="1600" w:type="dxa"/>
            <w:tcBorders>
              <w:top w:val="nil"/>
              <w:left w:val="single" w:sz="8" w:space="0" w:color="auto"/>
              <w:bottom w:val="single" w:sz="4" w:space="0" w:color="auto"/>
              <w:right w:val="single" w:sz="4" w:space="0" w:color="auto"/>
            </w:tcBorders>
            <w:shd w:val="clear" w:color="000000" w:fill="FFFFFF"/>
            <w:hideMark/>
          </w:tcPr>
          <w:p w:rsidR="00B668C0" w:rsidRPr="004B48D8" w:rsidRDefault="00B668C0" w:rsidP="00D24844">
            <w:pPr>
              <w:rPr>
                <w:color w:val="000000"/>
                <w:sz w:val="22"/>
              </w:rPr>
            </w:pPr>
            <w:r w:rsidRPr="004B48D8">
              <w:rPr>
                <w:color w:val="000000"/>
                <w:sz w:val="22"/>
              </w:rPr>
              <w:t>SCPV4</w:t>
            </w:r>
          </w:p>
        </w:tc>
        <w:tc>
          <w:tcPr>
            <w:tcW w:w="12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w:t>
            </w:r>
          </w:p>
        </w:tc>
        <w:tc>
          <w:tcPr>
            <w:tcW w:w="12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7</w:t>
            </w:r>
          </w:p>
        </w:tc>
        <w:tc>
          <w:tcPr>
            <w:tcW w:w="136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5.12</w:t>
            </w:r>
          </w:p>
        </w:tc>
        <w:tc>
          <w:tcPr>
            <w:tcW w:w="132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1.376</w:t>
            </w:r>
          </w:p>
        </w:tc>
        <w:tc>
          <w:tcPr>
            <w:tcW w:w="1340" w:type="dxa"/>
            <w:tcBorders>
              <w:top w:val="nil"/>
              <w:left w:val="nil"/>
              <w:bottom w:val="single" w:sz="4" w:space="0" w:color="auto"/>
              <w:right w:val="single" w:sz="4"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0.186</w:t>
            </w:r>
          </w:p>
        </w:tc>
        <w:tc>
          <w:tcPr>
            <w:tcW w:w="1280" w:type="dxa"/>
            <w:tcBorders>
              <w:top w:val="nil"/>
              <w:left w:val="nil"/>
              <w:bottom w:val="single" w:sz="4" w:space="0" w:color="auto"/>
              <w:right w:val="single" w:sz="8" w:space="0" w:color="auto"/>
            </w:tcBorders>
            <w:shd w:val="clear" w:color="000000" w:fill="FFFFFF"/>
            <w:hideMark/>
          </w:tcPr>
          <w:p w:rsidR="00B668C0" w:rsidRPr="004B48D8" w:rsidRDefault="00B668C0" w:rsidP="00D24844">
            <w:pPr>
              <w:jc w:val="right"/>
              <w:rPr>
                <w:color w:val="000000"/>
                <w:sz w:val="22"/>
              </w:rPr>
            </w:pPr>
            <w:r w:rsidRPr="004B48D8">
              <w:rPr>
                <w:color w:val="000000"/>
                <w:sz w:val="22"/>
              </w:rPr>
              <w:t>0.239</w:t>
            </w:r>
          </w:p>
        </w:tc>
      </w:tr>
    </w:tbl>
    <w:p w:rsidR="0075213B" w:rsidRDefault="0075213B" w:rsidP="00BE4D2A">
      <w:pPr>
        <w:spacing w:after="0" w:line="480" w:lineRule="auto"/>
        <w:jc w:val="center"/>
        <w:rPr>
          <w:b/>
        </w:rPr>
      </w:pPr>
    </w:p>
    <w:p w:rsidR="00891FD7" w:rsidRDefault="00891FD7" w:rsidP="00BE4D2A">
      <w:pPr>
        <w:spacing w:after="0" w:line="480" w:lineRule="auto"/>
      </w:pPr>
    </w:p>
    <w:p w:rsidR="003F2FB2" w:rsidRPr="00891FD7" w:rsidRDefault="00891FD7" w:rsidP="00BE4D2A">
      <w:pPr>
        <w:spacing w:after="0" w:line="480" w:lineRule="auto"/>
        <w:rPr>
          <w:b/>
        </w:rPr>
      </w:pPr>
      <w:r w:rsidRPr="00891FD7">
        <w:rPr>
          <w:b/>
        </w:rPr>
        <w:t>Evaluation of Measures</w:t>
      </w:r>
      <w:r w:rsidR="003F2FB2" w:rsidRPr="00891FD7">
        <w:rPr>
          <w:b/>
        </w:rPr>
        <w:tab/>
      </w:r>
    </w:p>
    <w:p w:rsidR="003F2FB2" w:rsidRDefault="003F2FB2" w:rsidP="00BE4D2A">
      <w:pPr>
        <w:spacing w:after="0" w:line="480" w:lineRule="auto"/>
        <w:ind w:firstLine="720"/>
      </w:pPr>
      <w:r>
        <w:t xml:space="preserve">Both quantitative and qualitative tools were employed to evaluate measures used in the pre-test.  Statistical validity and reliability were assessed quantitatively. Principal component analysis was conducted taking into account the relatively small sample size of the pre-test. Reliability was assessed with </w:t>
      </w:r>
      <w:proofErr w:type="spellStart"/>
      <w:r>
        <w:t>Cronbach’s</w:t>
      </w:r>
      <w:proofErr w:type="spellEnd"/>
      <w:r>
        <w:t xml:space="preserve"> alpha coefficient estimates using the common rule of thumb of 0.70 or higher values of satisfactory correlations (Churchill 1979). Discriminant validity was also assessed through the principal component analysis. All of the scales demonstrated coefficient alpha values of 0.70 or above, and most evaluated items showed strong </w:t>
      </w:r>
      <w:r>
        <w:lastRenderedPageBreak/>
        <w:t xml:space="preserve">loadings on single factors with the exception of several items from the environmental uncertainty and supply chain orientation scales. Those scales were consequently modified in the main survey and some of items were dropped in order to improve the fit of the model.  Additionally, a qualitative assessment was used to clarify and revise the wording of several items in order to avoid any unnecessary confusion among respondents. In summary, the pre-test provided preliminary validation for both the newly developed scales and the scales adapted from the literature. It also helped to identify potential problematic areas, and clarify the items to ensure a higher level of validity of the main test results.  </w:t>
      </w:r>
    </w:p>
    <w:p w:rsidR="00BE4D2A" w:rsidRDefault="00BE4D2A" w:rsidP="00BE4D2A">
      <w:pPr>
        <w:spacing w:after="0" w:line="480" w:lineRule="auto"/>
        <w:rPr>
          <w:b/>
        </w:rPr>
      </w:pPr>
    </w:p>
    <w:p w:rsidR="003F2FB2" w:rsidRDefault="003F2FB2" w:rsidP="00BE4D2A">
      <w:pPr>
        <w:spacing w:after="0" w:line="480" w:lineRule="auto"/>
        <w:rPr>
          <w:b/>
        </w:rPr>
      </w:pPr>
      <w:r>
        <w:rPr>
          <w:b/>
        </w:rPr>
        <w:t>SURVEY MAIN TEST</w:t>
      </w:r>
    </w:p>
    <w:p w:rsidR="003F2FB2" w:rsidRDefault="003F2FB2" w:rsidP="00BE4D2A">
      <w:pPr>
        <w:spacing w:after="0" w:line="480" w:lineRule="auto"/>
      </w:pPr>
      <w:r>
        <w:tab/>
        <w:t>After conducting the pre-test and making all the necessary refinements of the survey measures, the final version of the survey instrument was developed.  This version is presented i</w:t>
      </w:r>
      <w:r w:rsidR="00D025EA">
        <w:t>n the following table (Table 4.3</w:t>
      </w:r>
      <w:r>
        <w:t>).</w:t>
      </w:r>
    </w:p>
    <w:p w:rsidR="00BE4D2A" w:rsidRDefault="00BE4D2A" w:rsidP="00BE4D2A">
      <w:pPr>
        <w:spacing w:after="0" w:line="480" w:lineRule="auto"/>
        <w:jc w:val="center"/>
        <w:rPr>
          <w:b/>
        </w:rPr>
      </w:pPr>
    </w:p>
    <w:p w:rsidR="00B668C0" w:rsidRDefault="00D025EA" w:rsidP="00BE4D2A">
      <w:pPr>
        <w:spacing w:after="0" w:line="480" w:lineRule="auto"/>
        <w:jc w:val="center"/>
        <w:rPr>
          <w:b/>
        </w:rPr>
      </w:pPr>
      <w:r>
        <w:rPr>
          <w:b/>
        </w:rPr>
        <w:t>Table 4.3</w:t>
      </w:r>
      <w:r w:rsidR="003F2FB2" w:rsidRPr="00DD6702">
        <w:rPr>
          <w:b/>
        </w:rPr>
        <w:t xml:space="preserve"> Main Survey</w:t>
      </w:r>
      <w:r>
        <w:rPr>
          <w:b/>
        </w:rPr>
        <w:t xml:space="preserve"> Items</w:t>
      </w:r>
    </w:p>
    <w:tbl>
      <w:tblPr>
        <w:tblW w:w="8927" w:type="dxa"/>
        <w:tblInd w:w="91" w:type="dxa"/>
        <w:tblLook w:val="04A0"/>
      </w:tblPr>
      <w:tblGrid>
        <w:gridCol w:w="1405"/>
        <w:gridCol w:w="7522"/>
      </w:tblGrid>
      <w:tr w:rsidR="003F2FB2" w:rsidTr="00007EA8">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3F2FB2" w:rsidRDefault="003F2FB2" w:rsidP="00007EA8">
            <w:pPr>
              <w:jc w:val="center"/>
              <w:rPr>
                <w:b/>
                <w:bCs/>
                <w:color w:val="000000"/>
                <w:sz w:val="20"/>
                <w:szCs w:val="20"/>
              </w:rPr>
            </w:pPr>
            <w:r>
              <w:rPr>
                <w:b/>
                <w:bCs/>
                <w:color w:val="000000"/>
                <w:sz w:val="20"/>
                <w:szCs w:val="20"/>
              </w:rPr>
              <w:t>Scale</w:t>
            </w:r>
          </w:p>
        </w:tc>
        <w:tc>
          <w:tcPr>
            <w:tcW w:w="7522" w:type="dxa"/>
            <w:tcBorders>
              <w:top w:val="single" w:sz="4" w:space="0" w:color="auto"/>
              <w:left w:val="nil"/>
              <w:bottom w:val="single" w:sz="4" w:space="0" w:color="auto"/>
              <w:right w:val="single" w:sz="4" w:space="0" w:color="auto"/>
            </w:tcBorders>
            <w:vAlign w:val="bottom"/>
            <w:hideMark/>
          </w:tcPr>
          <w:p w:rsidR="00B668C0" w:rsidRDefault="003F2FB2" w:rsidP="00B668C0">
            <w:pPr>
              <w:jc w:val="center"/>
              <w:rPr>
                <w:b/>
                <w:bCs/>
                <w:color w:val="000000"/>
                <w:sz w:val="20"/>
                <w:szCs w:val="20"/>
              </w:rPr>
            </w:pPr>
            <w:r>
              <w:rPr>
                <w:b/>
                <w:bCs/>
                <w:color w:val="000000"/>
                <w:sz w:val="20"/>
                <w:szCs w:val="20"/>
              </w:rPr>
              <w:t>Items</w:t>
            </w:r>
          </w:p>
        </w:tc>
      </w:tr>
      <w:tr w:rsidR="003F2FB2" w:rsidTr="00007EA8">
        <w:trPr>
          <w:trHeight w:val="300"/>
        </w:trPr>
        <w:tc>
          <w:tcPr>
            <w:tcW w:w="1405" w:type="dxa"/>
            <w:vMerge w:val="restart"/>
            <w:tcBorders>
              <w:top w:val="nil"/>
              <w:left w:val="single" w:sz="4" w:space="0" w:color="auto"/>
              <w:bottom w:val="single" w:sz="4" w:space="0" w:color="000000"/>
              <w:right w:val="single" w:sz="4" w:space="0" w:color="auto"/>
            </w:tcBorders>
            <w:vAlign w:val="center"/>
            <w:hideMark/>
          </w:tcPr>
          <w:p w:rsidR="003F2FB2" w:rsidRDefault="003F2FB2" w:rsidP="00007EA8">
            <w:pPr>
              <w:jc w:val="center"/>
              <w:rPr>
                <w:color w:val="000000"/>
                <w:sz w:val="20"/>
                <w:szCs w:val="20"/>
              </w:rPr>
            </w:pPr>
            <w:r>
              <w:rPr>
                <w:color w:val="000000"/>
                <w:sz w:val="20"/>
                <w:szCs w:val="20"/>
              </w:rPr>
              <w:t>Risk Management Orientation (RMO)</w:t>
            </w:r>
          </w:p>
        </w:tc>
        <w:tc>
          <w:tcPr>
            <w:tcW w:w="7522" w:type="dxa"/>
            <w:tcBorders>
              <w:top w:val="nil"/>
              <w:left w:val="nil"/>
              <w:bottom w:val="single" w:sz="4" w:space="0" w:color="auto"/>
              <w:right w:val="single" w:sz="4" w:space="0" w:color="auto"/>
            </w:tcBorders>
            <w:vAlign w:val="bottom"/>
            <w:hideMark/>
          </w:tcPr>
          <w:p w:rsidR="003F2FB2" w:rsidRDefault="003F2FB2" w:rsidP="00007EA8">
            <w:pPr>
              <w:rPr>
                <w:color w:val="000000"/>
                <w:sz w:val="20"/>
                <w:szCs w:val="20"/>
              </w:rPr>
            </w:pPr>
            <w:r>
              <w:rPr>
                <w:color w:val="000000"/>
                <w:sz w:val="20"/>
                <w:szCs w:val="20"/>
              </w:rPr>
              <w:t>RMO1-Our company places a high priority on risk management</w:t>
            </w:r>
          </w:p>
        </w:tc>
      </w:tr>
      <w:tr w:rsidR="003F2FB2" w:rsidTr="00007EA8">
        <w:trPr>
          <w:trHeight w:val="300"/>
        </w:trPr>
        <w:tc>
          <w:tcPr>
            <w:tcW w:w="0" w:type="auto"/>
            <w:vMerge/>
            <w:tcBorders>
              <w:top w:val="nil"/>
              <w:left w:val="single" w:sz="4" w:space="0" w:color="auto"/>
              <w:bottom w:val="single" w:sz="4" w:space="0" w:color="000000"/>
              <w:right w:val="single" w:sz="4" w:space="0" w:color="auto"/>
            </w:tcBorders>
            <w:vAlign w:val="center"/>
            <w:hideMark/>
          </w:tcPr>
          <w:p w:rsidR="003F2FB2" w:rsidRDefault="003F2FB2" w:rsidP="00007EA8">
            <w:pPr>
              <w:rPr>
                <w:color w:val="000000"/>
                <w:sz w:val="20"/>
                <w:szCs w:val="20"/>
              </w:rPr>
            </w:pPr>
          </w:p>
        </w:tc>
        <w:tc>
          <w:tcPr>
            <w:tcW w:w="7522" w:type="dxa"/>
            <w:tcBorders>
              <w:top w:val="nil"/>
              <w:left w:val="nil"/>
              <w:bottom w:val="single" w:sz="4" w:space="0" w:color="auto"/>
              <w:right w:val="single" w:sz="4" w:space="0" w:color="auto"/>
            </w:tcBorders>
            <w:vAlign w:val="center"/>
            <w:hideMark/>
          </w:tcPr>
          <w:p w:rsidR="003F2FB2" w:rsidRDefault="003F2FB2" w:rsidP="00007EA8">
            <w:pPr>
              <w:rPr>
                <w:color w:val="000000"/>
                <w:sz w:val="20"/>
                <w:szCs w:val="20"/>
              </w:rPr>
            </w:pPr>
            <w:r>
              <w:rPr>
                <w:color w:val="000000"/>
                <w:sz w:val="20"/>
                <w:szCs w:val="20"/>
              </w:rPr>
              <w:t>RMO2-Our organizational culture values risk assessment</w:t>
            </w:r>
          </w:p>
        </w:tc>
      </w:tr>
      <w:tr w:rsidR="003F2FB2" w:rsidTr="00007EA8">
        <w:trPr>
          <w:trHeight w:val="300"/>
        </w:trPr>
        <w:tc>
          <w:tcPr>
            <w:tcW w:w="0" w:type="auto"/>
            <w:vMerge/>
            <w:tcBorders>
              <w:top w:val="nil"/>
              <w:left w:val="single" w:sz="4" w:space="0" w:color="auto"/>
              <w:bottom w:val="single" w:sz="4" w:space="0" w:color="000000"/>
              <w:right w:val="single" w:sz="4" w:space="0" w:color="auto"/>
            </w:tcBorders>
            <w:vAlign w:val="center"/>
            <w:hideMark/>
          </w:tcPr>
          <w:p w:rsidR="003F2FB2" w:rsidRDefault="003F2FB2" w:rsidP="00007EA8">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3F2FB2" w:rsidRDefault="003F2FB2" w:rsidP="00007EA8">
            <w:pPr>
              <w:rPr>
                <w:color w:val="000000"/>
                <w:sz w:val="20"/>
                <w:szCs w:val="20"/>
              </w:rPr>
            </w:pPr>
            <w:r>
              <w:rPr>
                <w:color w:val="000000"/>
                <w:sz w:val="20"/>
                <w:szCs w:val="20"/>
              </w:rPr>
              <w:t>RMO3-Risk mitigation is important for our company</w:t>
            </w:r>
          </w:p>
        </w:tc>
      </w:tr>
      <w:tr w:rsidR="003F2FB2" w:rsidTr="00007EA8">
        <w:trPr>
          <w:trHeight w:val="314"/>
        </w:trPr>
        <w:tc>
          <w:tcPr>
            <w:tcW w:w="0" w:type="auto"/>
            <w:vMerge/>
            <w:tcBorders>
              <w:top w:val="nil"/>
              <w:left w:val="single" w:sz="4" w:space="0" w:color="auto"/>
              <w:bottom w:val="single" w:sz="4" w:space="0" w:color="000000"/>
              <w:right w:val="single" w:sz="4" w:space="0" w:color="auto"/>
            </w:tcBorders>
            <w:vAlign w:val="center"/>
            <w:hideMark/>
          </w:tcPr>
          <w:p w:rsidR="003F2FB2" w:rsidRDefault="003F2FB2" w:rsidP="00007EA8">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3F2FB2" w:rsidRDefault="003F2FB2" w:rsidP="00007EA8">
            <w:pPr>
              <w:rPr>
                <w:color w:val="000000"/>
                <w:sz w:val="20"/>
                <w:szCs w:val="20"/>
              </w:rPr>
            </w:pPr>
            <w:r>
              <w:rPr>
                <w:color w:val="000000"/>
                <w:sz w:val="20"/>
                <w:szCs w:val="20"/>
              </w:rPr>
              <w:t>RMO4-Major supply chain risks are addressed through our continuity/contingency plans</w:t>
            </w:r>
          </w:p>
        </w:tc>
      </w:tr>
      <w:tr w:rsidR="003F2FB2" w:rsidTr="00007EA8">
        <w:trPr>
          <w:trHeight w:val="350"/>
        </w:trPr>
        <w:tc>
          <w:tcPr>
            <w:tcW w:w="0" w:type="auto"/>
            <w:vMerge/>
            <w:tcBorders>
              <w:top w:val="nil"/>
              <w:left w:val="single" w:sz="4" w:space="0" w:color="auto"/>
              <w:bottom w:val="single" w:sz="4" w:space="0" w:color="000000"/>
              <w:right w:val="single" w:sz="4" w:space="0" w:color="auto"/>
            </w:tcBorders>
            <w:vAlign w:val="center"/>
            <w:hideMark/>
          </w:tcPr>
          <w:p w:rsidR="003F2FB2" w:rsidRDefault="003F2FB2" w:rsidP="00007EA8">
            <w:pPr>
              <w:rPr>
                <w:color w:val="000000"/>
                <w:sz w:val="20"/>
                <w:szCs w:val="20"/>
              </w:rPr>
            </w:pPr>
          </w:p>
        </w:tc>
        <w:tc>
          <w:tcPr>
            <w:tcW w:w="7522" w:type="dxa"/>
            <w:tcBorders>
              <w:top w:val="nil"/>
              <w:left w:val="nil"/>
              <w:bottom w:val="single" w:sz="4" w:space="0" w:color="auto"/>
              <w:right w:val="single" w:sz="4" w:space="0" w:color="auto"/>
            </w:tcBorders>
            <w:vAlign w:val="bottom"/>
          </w:tcPr>
          <w:p w:rsidR="003F2FB2" w:rsidRDefault="003F2FB2" w:rsidP="00007EA8">
            <w:pPr>
              <w:rPr>
                <w:color w:val="000000"/>
                <w:sz w:val="20"/>
                <w:szCs w:val="20"/>
              </w:rPr>
            </w:pPr>
            <w:r>
              <w:rPr>
                <w:color w:val="000000"/>
                <w:sz w:val="20"/>
                <w:szCs w:val="20"/>
              </w:rPr>
              <w:t>RMO5-We regularly monitor our suppliers for possible supply chain risks</w:t>
            </w:r>
          </w:p>
        </w:tc>
      </w:tr>
      <w:tr w:rsidR="003F2FB2" w:rsidTr="00007EA8">
        <w:trPr>
          <w:trHeight w:val="525"/>
        </w:trPr>
        <w:tc>
          <w:tcPr>
            <w:tcW w:w="0" w:type="auto"/>
            <w:vMerge/>
            <w:tcBorders>
              <w:top w:val="nil"/>
              <w:left w:val="single" w:sz="4" w:space="0" w:color="auto"/>
              <w:bottom w:val="single" w:sz="4" w:space="0" w:color="000000"/>
              <w:right w:val="single" w:sz="4" w:space="0" w:color="auto"/>
            </w:tcBorders>
            <w:vAlign w:val="center"/>
            <w:hideMark/>
          </w:tcPr>
          <w:p w:rsidR="003F2FB2" w:rsidRDefault="003F2FB2" w:rsidP="00007EA8">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3F2FB2" w:rsidRDefault="003F2FB2" w:rsidP="00007EA8">
            <w:pPr>
              <w:rPr>
                <w:color w:val="000000"/>
                <w:sz w:val="20"/>
                <w:szCs w:val="20"/>
              </w:rPr>
            </w:pPr>
            <w:r>
              <w:rPr>
                <w:color w:val="000000"/>
                <w:sz w:val="20"/>
                <w:szCs w:val="20"/>
              </w:rPr>
              <w:t>RMO6-If possible we ensure that excess supplier capacity exists to deal with unplanned variations in demand</w:t>
            </w:r>
          </w:p>
        </w:tc>
      </w:tr>
      <w:tr w:rsidR="00BE4D2A" w:rsidTr="00007EA8">
        <w:trPr>
          <w:trHeight w:val="525"/>
        </w:trPr>
        <w:tc>
          <w:tcPr>
            <w:tcW w:w="0" w:type="auto"/>
            <w:tcBorders>
              <w:top w:val="nil"/>
              <w:left w:val="single" w:sz="4" w:space="0" w:color="auto"/>
              <w:bottom w:val="single" w:sz="4" w:space="0" w:color="000000"/>
              <w:right w:val="single" w:sz="4" w:space="0" w:color="auto"/>
            </w:tcBorders>
            <w:vAlign w:val="center"/>
            <w:hideMark/>
          </w:tcPr>
          <w:p w:rsidR="00BE4D2A" w:rsidRDefault="00BE4D2A" w:rsidP="00007EA8">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007EA8">
            <w:pPr>
              <w:rPr>
                <w:color w:val="000000"/>
                <w:sz w:val="20"/>
                <w:szCs w:val="20"/>
              </w:rPr>
            </w:pPr>
          </w:p>
        </w:tc>
      </w:tr>
    </w:tbl>
    <w:p w:rsidR="001F007B" w:rsidRDefault="00D025EA" w:rsidP="001F007B">
      <w:pPr>
        <w:jc w:val="center"/>
        <w:rPr>
          <w:b/>
        </w:rPr>
      </w:pPr>
      <w:r>
        <w:rPr>
          <w:b/>
        </w:rPr>
        <w:lastRenderedPageBreak/>
        <w:t>Table 4.3</w:t>
      </w:r>
      <w:r w:rsidR="001F007B">
        <w:rPr>
          <w:b/>
        </w:rPr>
        <w:t xml:space="preserve"> Continued</w:t>
      </w:r>
    </w:p>
    <w:tbl>
      <w:tblPr>
        <w:tblW w:w="8927" w:type="dxa"/>
        <w:tblInd w:w="91" w:type="dxa"/>
        <w:tblLook w:val="04A0"/>
      </w:tblPr>
      <w:tblGrid>
        <w:gridCol w:w="1405"/>
        <w:gridCol w:w="7522"/>
      </w:tblGrid>
      <w:tr w:rsidR="001F007B" w:rsidTr="00D24844">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1F007B" w:rsidRPr="00BE4D2A" w:rsidRDefault="001F007B" w:rsidP="00D24844">
            <w:pPr>
              <w:jc w:val="center"/>
              <w:rPr>
                <w:b/>
                <w:bCs/>
                <w:color w:val="000000"/>
                <w:sz w:val="18"/>
                <w:szCs w:val="18"/>
              </w:rPr>
            </w:pPr>
            <w:r w:rsidRPr="00BE4D2A">
              <w:rPr>
                <w:b/>
                <w:bCs/>
                <w:color w:val="000000"/>
                <w:sz w:val="18"/>
                <w:szCs w:val="18"/>
              </w:rPr>
              <w:t>Scale</w:t>
            </w:r>
          </w:p>
        </w:tc>
        <w:tc>
          <w:tcPr>
            <w:tcW w:w="7522" w:type="dxa"/>
            <w:tcBorders>
              <w:top w:val="single" w:sz="4" w:space="0" w:color="auto"/>
              <w:left w:val="nil"/>
              <w:bottom w:val="single" w:sz="4" w:space="0" w:color="auto"/>
              <w:right w:val="single" w:sz="4" w:space="0" w:color="auto"/>
            </w:tcBorders>
            <w:vAlign w:val="bottom"/>
            <w:hideMark/>
          </w:tcPr>
          <w:p w:rsidR="001F007B" w:rsidRPr="00BE4D2A" w:rsidRDefault="001F007B" w:rsidP="00D24844">
            <w:pPr>
              <w:jc w:val="center"/>
              <w:rPr>
                <w:b/>
                <w:bCs/>
                <w:color w:val="000000"/>
                <w:sz w:val="18"/>
                <w:szCs w:val="18"/>
              </w:rPr>
            </w:pPr>
            <w:r w:rsidRPr="00BE4D2A">
              <w:rPr>
                <w:b/>
                <w:bCs/>
                <w:color w:val="000000"/>
                <w:sz w:val="18"/>
                <w:szCs w:val="18"/>
              </w:rPr>
              <w:t>Items</w:t>
            </w:r>
          </w:p>
        </w:tc>
      </w:tr>
      <w:tr w:rsidR="00BE4D2A" w:rsidTr="00C1325D">
        <w:trPr>
          <w:trHeight w:val="600"/>
        </w:trPr>
        <w:tc>
          <w:tcPr>
            <w:tcW w:w="1405" w:type="dxa"/>
            <w:vMerge w:val="restart"/>
            <w:tcBorders>
              <w:top w:val="single" w:sz="4" w:space="0" w:color="auto"/>
              <w:left w:val="single" w:sz="4" w:space="0" w:color="auto"/>
              <w:right w:val="single" w:sz="4" w:space="0" w:color="auto"/>
            </w:tcBorders>
            <w:vAlign w:val="center"/>
            <w:hideMark/>
          </w:tcPr>
          <w:p w:rsidR="00BE4D2A" w:rsidRDefault="00BE4D2A" w:rsidP="00C1325D">
            <w:pPr>
              <w:jc w:val="center"/>
              <w:rPr>
                <w:color w:val="000000"/>
                <w:sz w:val="20"/>
                <w:szCs w:val="20"/>
              </w:rPr>
            </w:pPr>
            <w:r>
              <w:rPr>
                <w:color w:val="000000"/>
                <w:sz w:val="20"/>
                <w:szCs w:val="20"/>
              </w:rPr>
              <w:t>Environmental Uncertainty (EU)`</w:t>
            </w:r>
          </w:p>
        </w:tc>
        <w:tc>
          <w:tcPr>
            <w:tcW w:w="7522" w:type="dxa"/>
            <w:tcBorders>
              <w:top w:val="single" w:sz="4" w:space="0" w:color="auto"/>
              <w:left w:val="nil"/>
              <w:bottom w:val="single" w:sz="4" w:space="0" w:color="auto"/>
              <w:right w:val="single" w:sz="4" w:space="0" w:color="auto"/>
            </w:tcBorders>
            <w:vAlign w:val="bottom"/>
            <w:hideMark/>
          </w:tcPr>
          <w:p w:rsidR="00BE4D2A" w:rsidRDefault="00BE4D2A" w:rsidP="00C1325D">
            <w:pPr>
              <w:rPr>
                <w:color w:val="000000"/>
                <w:sz w:val="20"/>
                <w:szCs w:val="20"/>
              </w:rPr>
            </w:pPr>
            <w:r>
              <w:rPr>
                <w:color w:val="000000"/>
                <w:sz w:val="20"/>
                <w:szCs w:val="20"/>
              </w:rPr>
              <w:t>EU1-Our demand fluctuates drastically from week to week</w:t>
            </w:r>
          </w:p>
        </w:tc>
      </w:tr>
      <w:tr w:rsidR="00BE4D2A" w:rsidTr="00C1325D">
        <w:trPr>
          <w:trHeight w:val="375"/>
        </w:trPr>
        <w:tc>
          <w:tcPr>
            <w:tcW w:w="1405" w:type="dxa"/>
            <w:vMerge/>
            <w:tcBorders>
              <w:left w:val="single" w:sz="4" w:space="0" w:color="auto"/>
              <w:right w:val="single" w:sz="4" w:space="0" w:color="auto"/>
            </w:tcBorders>
            <w:vAlign w:val="center"/>
            <w:hideMark/>
          </w:tcPr>
          <w:p w:rsidR="00BE4D2A" w:rsidRDefault="00BE4D2A" w:rsidP="00C1325D">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C1325D">
            <w:pPr>
              <w:rPr>
                <w:color w:val="000000"/>
                <w:sz w:val="20"/>
                <w:szCs w:val="20"/>
              </w:rPr>
            </w:pPr>
            <w:r>
              <w:rPr>
                <w:color w:val="000000"/>
                <w:sz w:val="20"/>
                <w:szCs w:val="20"/>
              </w:rPr>
              <w:t>EU2-Our supply requirements vary drastically from week to week</w:t>
            </w:r>
          </w:p>
        </w:tc>
      </w:tr>
      <w:tr w:rsidR="00BE4D2A" w:rsidTr="00C1325D">
        <w:trPr>
          <w:trHeight w:val="405"/>
        </w:trPr>
        <w:tc>
          <w:tcPr>
            <w:tcW w:w="0" w:type="auto"/>
            <w:vMerge/>
            <w:tcBorders>
              <w:left w:val="single" w:sz="4" w:space="0" w:color="auto"/>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EU3- Our suppliers consistently meet our requirements</w:t>
            </w:r>
          </w:p>
        </w:tc>
      </w:tr>
      <w:tr w:rsidR="00BE4D2A" w:rsidTr="00C1325D">
        <w:trPr>
          <w:trHeight w:val="390"/>
        </w:trPr>
        <w:tc>
          <w:tcPr>
            <w:tcW w:w="0" w:type="auto"/>
            <w:vMerge/>
            <w:tcBorders>
              <w:left w:val="single" w:sz="4" w:space="0" w:color="auto"/>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EU4-Our suppliers produce materials with consistent quality</w:t>
            </w:r>
          </w:p>
        </w:tc>
      </w:tr>
      <w:tr w:rsidR="00BE4D2A" w:rsidTr="00C1325D">
        <w:trPr>
          <w:trHeight w:val="300"/>
        </w:trPr>
        <w:tc>
          <w:tcPr>
            <w:tcW w:w="0" w:type="auto"/>
            <w:vMerge/>
            <w:tcBorders>
              <w:left w:val="single" w:sz="4" w:space="0" w:color="auto"/>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EU5-Technological changes provide big opportunities in our industry</w:t>
            </w:r>
          </w:p>
        </w:tc>
      </w:tr>
      <w:tr w:rsidR="00BE4D2A" w:rsidTr="00C1325D">
        <w:trPr>
          <w:trHeight w:val="332"/>
        </w:trPr>
        <w:tc>
          <w:tcPr>
            <w:tcW w:w="0" w:type="auto"/>
            <w:vMerge/>
            <w:tcBorders>
              <w:left w:val="single" w:sz="4" w:space="0" w:color="auto"/>
              <w:bottom w:val="nil"/>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EU6-The technology in our industry is changing rapidly</w:t>
            </w:r>
          </w:p>
        </w:tc>
      </w:tr>
      <w:tr w:rsidR="00BE4D2A" w:rsidTr="00D24844">
        <w:trPr>
          <w:trHeight w:val="300"/>
        </w:trPr>
        <w:tc>
          <w:tcPr>
            <w:tcW w:w="1405" w:type="dxa"/>
            <w:vMerge w:val="restart"/>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jc w:val="center"/>
              <w:rPr>
                <w:color w:val="000000"/>
                <w:sz w:val="20"/>
                <w:szCs w:val="20"/>
              </w:rPr>
            </w:pPr>
            <w:r>
              <w:rPr>
                <w:color w:val="000000"/>
                <w:sz w:val="20"/>
                <w:szCs w:val="20"/>
              </w:rPr>
              <w:t>Supply Chain Orientation (SCO)</w:t>
            </w: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SCO1-We trust our key suppliers</w:t>
            </w:r>
          </w:p>
        </w:tc>
      </w:tr>
      <w:tr w:rsidR="00BE4D2A" w:rsidTr="00D24844">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SCO2-We believe that our key suppliers trust us</w:t>
            </w:r>
          </w:p>
        </w:tc>
      </w:tr>
      <w:tr w:rsidR="00BE4D2A" w:rsidTr="00D24844">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SCO3 – We trust our key customers</w:t>
            </w:r>
          </w:p>
        </w:tc>
      </w:tr>
      <w:tr w:rsidR="00BE4D2A" w:rsidTr="00D24844">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SCO4-Our organization places a high priority on maintaining relationships with our key suppliers</w:t>
            </w:r>
          </w:p>
        </w:tc>
      </w:tr>
      <w:tr w:rsidR="00BE4D2A" w:rsidTr="00D24844">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SCO5-Our organization places a high priority on maintaining relationships with our key customers</w:t>
            </w:r>
          </w:p>
        </w:tc>
      </w:tr>
      <w:tr w:rsidR="00BE4D2A" w:rsidTr="00D24844">
        <w:trPr>
          <w:trHeight w:val="368"/>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SCO6-Our objectives are consistent with those of our key suppliers</w:t>
            </w:r>
          </w:p>
        </w:tc>
      </w:tr>
      <w:tr w:rsidR="00BE4D2A" w:rsidTr="00BE4D2A">
        <w:trPr>
          <w:trHeight w:val="611"/>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SCO7 The culture of our company is similar to the culture of our key supply chain partners</w:t>
            </w:r>
          </w:p>
        </w:tc>
      </w:tr>
      <w:tr w:rsidR="00BE4D2A" w:rsidTr="00D24844">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SCO8 – We view our supply chain as a value added piece of our business</w:t>
            </w:r>
          </w:p>
        </w:tc>
      </w:tr>
      <w:tr w:rsidR="00BE4D2A" w:rsidTr="00D24844">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SCO9-Top managers reinforce the need of sharing valuable information with our supply chain members</w:t>
            </w:r>
          </w:p>
        </w:tc>
      </w:tr>
      <w:tr w:rsidR="00BE4D2A" w:rsidTr="00D24844">
        <w:trPr>
          <w:trHeight w:val="52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SCO10-Top managers reinforce the need of building, maintaining, and enhancing long-term relationships with our supply chain members</w:t>
            </w:r>
          </w:p>
        </w:tc>
      </w:tr>
      <w:tr w:rsidR="00BE4D2A" w:rsidTr="00D24844">
        <w:trPr>
          <w:trHeight w:val="377"/>
        </w:trPr>
        <w:tc>
          <w:tcPr>
            <w:tcW w:w="1405" w:type="dxa"/>
            <w:vMerge w:val="restart"/>
            <w:tcBorders>
              <w:top w:val="single" w:sz="4" w:space="0" w:color="auto"/>
              <w:left w:val="single" w:sz="4" w:space="0" w:color="auto"/>
              <w:bottom w:val="single" w:sz="4" w:space="0" w:color="000000"/>
              <w:right w:val="single" w:sz="4" w:space="0" w:color="auto"/>
            </w:tcBorders>
            <w:vAlign w:val="center"/>
            <w:hideMark/>
          </w:tcPr>
          <w:p w:rsidR="00BE4D2A" w:rsidRDefault="00BE4D2A" w:rsidP="00D24844">
            <w:pPr>
              <w:jc w:val="center"/>
              <w:rPr>
                <w:color w:val="000000"/>
                <w:sz w:val="20"/>
                <w:szCs w:val="20"/>
              </w:rPr>
            </w:pPr>
            <w:r>
              <w:rPr>
                <w:color w:val="000000"/>
                <w:sz w:val="20"/>
                <w:szCs w:val="20"/>
              </w:rPr>
              <w:t>Supply Management Capabilities (SMC)</w:t>
            </w:r>
          </w:p>
        </w:tc>
        <w:tc>
          <w:tcPr>
            <w:tcW w:w="7522" w:type="dxa"/>
            <w:tcBorders>
              <w:top w:val="single" w:sz="4" w:space="0" w:color="auto"/>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SMC1-Our firm has increased operational flexibility through collaboration with suppliers</w:t>
            </w:r>
          </w:p>
        </w:tc>
      </w:tr>
      <w:tr w:rsidR="00BE4D2A" w:rsidTr="00D24844">
        <w:trPr>
          <w:trHeight w:val="530"/>
        </w:trPr>
        <w:tc>
          <w:tcPr>
            <w:tcW w:w="0" w:type="auto"/>
            <w:vMerge/>
            <w:tcBorders>
              <w:top w:val="nil"/>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SMC2-Our firm actively pursues business relationships and programs designed to achieve supplier involvement over and above individual sales transactions</w:t>
            </w:r>
          </w:p>
        </w:tc>
      </w:tr>
      <w:tr w:rsidR="00BE4D2A"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SMC3-Our firm’s logistical operations can be synchronized to integrate with supplier operations</w:t>
            </w:r>
          </w:p>
        </w:tc>
      </w:tr>
      <w:tr w:rsidR="00BE4D2A"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BE4D2A" w:rsidRDefault="00BE4D2A"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BE4D2A" w:rsidRDefault="00BE4D2A" w:rsidP="00D24844">
            <w:pPr>
              <w:rPr>
                <w:color w:val="000000"/>
                <w:sz w:val="20"/>
                <w:szCs w:val="20"/>
              </w:rPr>
            </w:pPr>
            <w:r>
              <w:rPr>
                <w:color w:val="000000"/>
                <w:sz w:val="20"/>
                <w:szCs w:val="20"/>
              </w:rPr>
              <w:t>SMC4-Our key suppliers have programs to authorize and perform our special requests</w:t>
            </w:r>
          </w:p>
        </w:tc>
      </w:tr>
    </w:tbl>
    <w:p w:rsidR="00BE4D2A" w:rsidRDefault="00BE4D2A" w:rsidP="001F007B">
      <w:pPr>
        <w:jc w:val="center"/>
        <w:rPr>
          <w:b/>
        </w:rPr>
      </w:pPr>
    </w:p>
    <w:p w:rsidR="001F007B" w:rsidRDefault="00D025EA" w:rsidP="001F007B">
      <w:pPr>
        <w:jc w:val="center"/>
        <w:rPr>
          <w:b/>
        </w:rPr>
      </w:pPr>
      <w:r>
        <w:rPr>
          <w:b/>
        </w:rPr>
        <w:t>Table 4.3</w:t>
      </w:r>
      <w:r w:rsidR="00C03760">
        <w:rPr>
          <w:b/>
        </w:rPr>
        <w:t xml:space="preserve"> Continued</w:t>
      </w:r>
    </w:p>
    <w:tbl>
      <w:tblPr>
        <w:tblW w:w="8927" w:type="dxa"/>
        <w:tblInd w:w="91" w:type="dxa"/>
        <w:tblLook w:val="04A0"/>
      </w:tblPr>
      <w:tblGrid>
        <w:gridCol w:w="1405"/>
        <w:gridCol w:w="7522"/>
      </w:tblGrid>
      <w:tr w:rsidR="001F007B" w:rsidTr="00D24844">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1F007B" w:rsidRDefault="001F007B" w:rsidP="00D24844">
            <w:pPr>
              <w:jc w:val="center"/>
              <w:rPr>
                <w:b/>
                <w:bCs/>
                <w:color w:val="000000"/>
                <w:sz w:val="20"/>
                <w:szCs w:val="20"/>
              </w:rPr>
            </w:pPr>
            <w:r>
              <w:rPr>
                <w:b/>
                <w:bCs/>
                <w:color w:val="000000"/>
                <w:sz w:val="20"/>
                <w:szCs w:val="20"/>
              </w:rPr>
              <w:t>Scale</w:t>
            </w:r>
          </w:p>
        </w:tc>
        <w:tc>
          <w:tcPr>
            <w:tcW w:w="7522" w:type="dxa"/>
            <w:tcBorders>
              <w:top w:val="single" w:sz="4" w:space="0" w:color="auto"/>
              <w:left w:val="nil"/>
              <w:bottom w:val="single" w:sz="4" w:space="0" w:color="auto"/>
              <w:right w:val="single" w:sz="4" w:space="0" w:color="auto"/>
            </w:tcBorders>
            <w:vAlign w:val="bottom"/>
            <w:hideMark/>
          </w:tcPr>
          <w:p w:rsidR="001F007B" w:rsidRDefault="001F007B" w:rsidP="00D24844">
            <w:pPr>
              <w:jc w:val="center"/>
              <w:rPr>
                <w:b/>
                <w:bCs/>
                <w:color w:val="000000"/>
                <w:sz w:val="20"/>
                <w:szCs w:val="20"/>
              </w:rPr>
            </w:pPr>
            <w:r>
              <w:rPr>
                <w:b/>
                <w:bCs/>
                <w:color w:val="000000"/>
                <w:sz w:val="20"/>
                <w:szCs w:val="20"/>
              </w:rPr>
              <w:t>Items</w:t>
            </w:r>
          </w:p>
        </w:tc>
      </w:tr>
      <w:tr w:rsidR="001F007B" w:rsidTr="00D24844">
        <w:trPr>
          <w:trHeight w:val="525"/>
        </w:trPr>
        <w:tc>
          <w:tcPr>
            <w:tcW w:w="1405" w:type="dxa"/>
            <w:vMerge w:val="restart"/>
            <w:tcBorders>
              <w:top w:val="nil"/>
              <w:left w:val="single" w:sz="4" w:space="0" w:color="auto"/>
              <w:bottom w:val="single" w:sz="4" w:space="0" w:color="000000"/>
              <w:right w:val="single" w:sz="4" w:space="0" w:color="auto"/>
            </w:tcBorders>
            <w:vAlign w:val="center"/>
            <w:hideMark/>
          </w:tcPr>
          <w:p w:rsidR="001F007B" w:rsidRDefault="001F007B" w:rsidP="00D24844">
            <w:pPr>
              <w:jc w:val="center"/>
              <w:rPr>
                <w:color w:val="000000"/>
                <w:sz w:val="20"/>
                <w:szCs w:val="20"/>
              </w:rPr>
            </w:pPr>
            <w:r>
              <w:rPr>
                <w:color w:val="000000"/>
                <w:sz w:val="20"/>
                <w:szCs w:val="20"/>
              </w:rPr>
              <w:t>Supply Chain Resilience (SCR)</w:t>
            </w: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SCR1 - Our supply chain-...is able to adequately respond to unexpected disruptions by quickly restoring its product flow</w:t>
            </w:r>
          </w:p>
        </w:tc>
      </w:tr>
      <w:tr w:rsidR="001F007B" w:rsidTr="00D24844">
        <w:trPr>
          <w:trHeight w:val="30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SCR2- Our supply chain-...can quickly return to its original state after being disrupted</w:t>
            </w:r>
          </w:p>
        </w:tc>
      </w:tr>
      <w:tr w:rsidR="001F007B" w:rsidTr="00D24844">
        <w:trPr>
          <w:trHeight w:val="350"/>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SCR3 - Our supply chain-...can move to a new more desirable state after being disrupted</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SCR4 - Our supply chain-...is well prepared to deal with financial outcomes of supply chain disruptions</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SCR5 - Our supply chain-...has the ability to maintain a desired level of connectedness among its members at the time of disruption</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SCR6 - Our supply chain-...has the ability to maintain a desired level of functionality at the time of disruption</w:t>
            </w:r>
          </w:p>
        </w:tc>
      </w:tr>
      <w:tr w:rsidR="001F007B" w:rsidTr="00D24844">
        <w:trPr>
          <w:trHeight w:val="525"/>
        </w:trPr>
        <w:tc>
          <w:tcPr>
            <w:tcW w:w="0" w:type="auto"/>
            <w:vMerge/>
            <w:tcBorders>
              <w:top w:val="nil"/>
              <w:left w:val="single" w:sz="4" w:space="0" w:color="auto"/>
              <w:bottom w:val="single" w:sz="4" w:space="0" w:color="auto"/>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SCR7 - Our supply chain-...has the ability to extract meaningful knowledge from disruptions and unexpected events</w:t>
            </w:r>
          </w:p>
        </w:tc>
      </w:tr>
      <w:tr w:rsidR="001F007B" w:rsidTr="00D24844">
        <w:trPr>
          <w:trHeight w:val="359"/>
        </w:trPr>
        <w:tc>
          <w:tcPr>
            <w:tcW w:w="1405" w:type="dxa"/>
            <w:vMerge w:val="restart"/>
            <w:tcBorders>
              <w:top w:val="nil"/>
              <w:left w:val="single" w:sz="4" w:space="0" w:color="auto"/>
              <w:bottom w:val="single" w:sz="4" w:space="0" w:color="000000"/>
              <w:right w:val="single" w:sz="4" w:space="0" w:color="auto"/>
            </w:tcBorders>
            <w:vAlign w:val="center"/>
            <w:hideMark/>
          </w:tcPr>
          <w:p w:rsidR="001F007B" w:rsidRDefault="001F007B" w:rsidP="00D24844">
            <w:pPr>
              <w:jc w:val="center"/>
              <w:rPr>
                <w:color w:val="000000"/>
                <w:sz w:val="20"/>
                <w:szCs w:val="20"/>
              </w:rPr>
            </w:pPr>
            <w:r>
              <w:rPr>
                <w:color w:val="000000"/>
                <w:sz w:val="20"/>
                <w:szCs w:val="20"/>
              </w:rPr>
              <w:t>Information Management Capabilities (IMC)</w:t>
            </w: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IMC1-Our firm effectively shares operational information between departments</w:t>
            </w:r>
          </w:p>
        </w:tc>
      </w:tr>
      <w:tr w:rsidR="001F007B" w:rsidTr="00D24844">
        <w:trPr>
          <w:trHeight w:val="350"/>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IMC2-Our firm maintains an integrated database to facilitate information sharing</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IMC3-Logistics information systems in our firm are being extended to include more integrated applications</w:t>
            </w:r>
          </w:p>
        </w:tc>
      </w:tr>
      <w:tr w:rsidR="001F007B" w:rsidTr="00D24844">
        <w:trPr>
          <w:trHeight w:val="350"/>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IMC4-Our firm’s logistics information systems capture and maintain timely data</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IMC5-Logistics operating and planning databases are integrated across applications within our firm</w:t>
            </w:r>
          </w:p>
        </w:tc>
      </w:tr>
      <w:tr w:rsidR="001F007B"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IMC6-The information available in our firm is accurate</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IMC7-Our firm has invested in technology designed to facilitate cross-organizational data exchange</w:t>
            </w:r>
          </w:p>
        </w:tc>
      </w:tr>
      <w:tr w:rsidR="001F007B" w:rsidTr="00D24844">
        <w:trPr>
          <w:trHeight w:val="422"/>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IMC8-Our firm has adequate ability to share customized information internally</w:t>
            </w:r>
          </w:p>
        </w:tc>
      </w:tr>
      <w:tr w:rsidR="001F007B"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1F007B" w:rsidRDefault="001F007B"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1F007B" w:rsidRDefault="001F007B" w:rsidP="00D24844">
            <w:pPr>
              <w:rPr>
                <w:color w:val="000000"/>
                <w:sz w:val="20"/>
                <w:szCs w:val="20"/>
              </w:rPr>
            </w:pPr>
            <w:r>
              <w:rPr>
                <w:color w:val="000000"/>
                <w:sz w:val="20"/>
                <w:szCs w:val="20"/>
              </w:rPr>
              <w:t>IMC9-Our firm has adequate ability to share customized information externally with key suppliers</w:t>
            </w:r>
          </w:p>
        </w:tc>
      </w:tr>
    </w:tbl>
    <w:p w:rsidR="001F007B" w:rsidRDefault="001F007B" w:rsidP="003F2FB2">
      <w:pPr>
        <w:rPr>
          <w:rFonts w:ascii="Calibri" w:hAnsi="Calibri"/>
          <w:sz w:val="22"/>
        </w:rPr>
      </w:pPr>
    </w:p>
    <w:p w:rsidR="00C03760" w:rsidRDefault="00C03760" w:rsidP="003F2FB2">
      <w:pPr>
        <w:rPr>
          <w:rFonts w:ascii="Calibri" w:hAnsi="Calibri"/>
          <w:sz w:val="22"/>
        </w:rPr>
      </w:pPr>
    </w:p>
    <w:p w:rsidR="00C03760" w:rsidRDefault="00D025EA" w:rsidP="00C03760">
      <w:pPr>
        <w:jc w:val="center"/>
        <w:rPr>
          <w:b/>
        </w:rPr>
      </w:pPr>
      <w:r>
        <w:rPr>
          <w:b/>
        </w:rPr>
        <w:lastRenderedPageBreak/>
        <w:t>Table 4.3</w:t>
      </w:r>
      <w:r w:rsidR="00C03760">
        <w:rPr>
          <w:b/>
        </w:rPr>
        <w:t xml:space="preserve"> Continued</w:t>
      </w:r>
    </w:p>
    <w:tbl>
      <w:tblPr>
        <w:tblW w:w="8927" w:type="dxa"/>
        <w:tblInd w:w="91" w:type="dxa"/>
        <w:tblLook w:val="04A0"/>
      </w:tblPr>
      <w:tblGrid>
        <w:gridCol w:w="1405"/>
        <w:gridCol w:w="7522"/>
      </w:tblGrid>
      <w:tr w:rsidR="00C03760" w:rsidTr="00D24844">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C03760" w:rsidRDefault="00C03760" w:rsidP="00D24844">
            <w:pPr>
              <w:jc w:val="center"/>
              <w:rPr>
                <w:b/>
                <w:bCs/>
                <w:color w:val="000000"/>
                <w:sz w:val="20"/>
                <w:szCs w:val="20"/>
              </w:rPr>
            </w:pPr>
            <w:r>
              <w:rPr>
                <w:b/>
                <w:bCs/>
                <w:color w:val="000000"/>
                <w:sz w:val="20"/>
                <w:szCs w:val="20"/>
              </w:rPr>
              <w:t>Scale</w:t>
            </w:r>
          </w:p>
        </w:tc>
        <w:tc>
          <w:tcPr>
            <w:tcW w:w="7522" w:type="dxa"/>
            <w:tcBorders>
              <w:top w:val="single" w:sz="4" w:space="0" w:color="auto"/>
              <w:left w:val="nil"/>
              <w:bottom w:val="single" w:sz="4" w:space="0" w:color="auto"/>
              <w:right w:val="single" w:sz="4" w:space="0" w:color="auto"/>
            </w:tcBorders>
            <w:vAlign w:val="bottom"/>
            <w:hideMark/>
          </w:tcPr>
          <w:p w:rsidR="00C03760" w:rsidRDefault="00C03760" w:rsidP="00D24844">
            <w:pPr>
              <w:jc w:val="center"/>
              <w:rPr>
                <w:b/>
                <w:bCs/>
                <w:color w:val="000000"/>
                <w:sz w:val="20"/>
                <w:szCs w:val="20"/>
              </w:rPr>
            </w:pPr>
            <w:r>
              <w:rPr>
                <w:b/>
                <w:bCs/>
                <w:color w:val="000000"/>
                <w:sz w:val="20"/>
                <w:szCs w:val="20"/>
              </w:rPr>
              <w:t>Items</w:t>
            </w:r>
          </w:p>
        </w:tc>
      </w:tr>
      <w:tr w:rsidR="00C03760" w:rsidTr="00D24844">
        <w:trPr>
          <w:trHeight w:val="300"/>
        </w:trPr>
        <w:tc>
          <w:tcPr>
            <w:tcW w:w="1405" w:type="dxa"/>
            <w:vMerge w:val="restart"/>
            <w:tcBorders>
              <w:top w:val="nil"/>
              <w:left w:val="single" w:sz="4" w:space="0" w:color="auto"/>
              <w:bottom w:val="single" w:sz="4" w:space="0" w:color="000000"/>
              <w:right w:val="single" w:sz="4" w:space="0" w:color="auto"/>
            </w:tcBorders>
            <w:vAlign w:val="center"/>
            <w:hideMark/>
          </w:tcPr>
          <w:p w:rsidR="00C03760" w:rsidRDefault="00C03760" w:rsidP="00D24844">
            <w:pPr>
              <w:jc w:val="center"/>
              <w:rPr>
                <w:color w:val="000000"/>
                <w:sz w:val="20"/>
                <w:szCs w:val="20"/>
              </w:rPr>
            </w:pPr>
            <w:r>
              <w:rPr>
                <w:color w:val="000000"/>
                <w:sz w:val="20"/>
                <w:szCs w:val="20"/>
              </w:rPr>
              <w:t>Supply Chain Capital (SCC)</w:t>
            </w: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SCC1-Our firm has a strong channel position within our supply chain</w:t>
            </w:r>
          </w:p>
        </w:tc>
      </w:tr>
      <w:tr w:rsidR="00C03760"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SCC2-Our supply chain has a well defined organizational structure</w:t>
            </w:r>
          </w:p>
        </w:tc>
      </w:tr>
      <w:tr w:rsidR="00C03760"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SCC3-The members of our extended supply chain are connected with each other through structural ties</w:t>
            </w:r>
          </w:p>
        </w:tc>
      </w:tr>
      <w:tr w:rsidR="00C03760" w:rsidTr="00D24844">
        <w:trPr>
          <w:trHeight w:val="368"/>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SCC4-Structural ties are strong among the key members of our supply chain</w:t>
            </w:r>
          </w:p>
        </w:tc>
      </w:tr>
      <w:tr w:rsidR="00C03760"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SCC5-Our firm’s supply chain could be characterized by strong relationships among its members</w:t>
            </w:r>
          </w:p>
        </w:tc>
      </w:tr>
      <w:tr w:rsidR="00C03760"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SCC6-Our firm’s supply chain could be characterized by the longevity of the relationships among its members</w:t>
            </w:r>
          </w:p>
        </w:tc>
      </w:tr>
      <w:tr w:rsidR="00C03760" w:rsidTr="00D24844">
        <w:trPr>
          <w:trHeight w:val="359"/>
        </w:trPr>
        <w:tc>
          <w:tcPr>
            <w:tcW w:w="1405" w:type="dxa"/>
            <w:vMerge w:val="restart"/>
            <w:tcBorders>
              <w:top w:val="nil"/>
              <w:left w:val="single" w:sz="4" w:space="0" w:color="auto"/>
              <w:bottom w:val="single" w:sz="4" w:space="0" w:color="000000"/>
              <w:right w:val="single" w:sz="4" w:space="0" w:color="auto"/>
            </w:tcBorders>
            <w:vAlign w:val="center"/>
            <w:hideMark/>
          </w:tcPr>
          <w:p w:rsidR="00C03760" w:rsidRDefault="00C03760" w:rsidP="00D24844">
            <w:pPr>
              <w:jc w:val="center"/>
              <w:rPr>
                <w:color w:val="000000"/>
                <w:sz w:val="20"/>
                <w:szCs w:val="20"/>
              </w:rPr>
            </w:pPr>
            <w:r>
              <w:rPr>
                <w:color w:val="000000"/>
                <w:sz w:val="20"/>
                <w:szCs w:val="20"/>
              </w:rPr>
              <w:t>Supply Chain Knowledge Development (SCKD)</w:t>
            </w:r>
          </w:p>
        </w:tc>
        <w:tc>
          <w:tcPr>
            <w:tcW w:w="7522" w:type="dxa"/>
            <w:tcBorders>
              <w:top w:val="nil"/>
              <w:left w:val="nil"/>
              <w:bottom w:val="single" w:sz="4" w:space="0" w:color="auto"/>
              <w:right w:val="single" w:sz="4" w:space="0" w:color="auto"/>
            </w:tcBorders>
            <w:vAlign w:val="bottom"/>
          </w:tcPr>
          <w:p w:rsidR="00C03760" w:rsidRDefault="00C03760" w:rsidP="00D24844">
            <w:pPr>
              <w:rPr>
                <w:color w:val="000000"/>
                <w:sz w:val="20"/>
                <w:szCs w:val="20"/>
              </w:rPr>
            </w:pPr>
            <w:r>
              <w:rPr>
                <w:color w:val="000000"/>
                <w:sz w:val="20"/>
                <w:szCs w:val="20"/>
              </w:rPr>
              <w:t>SCKD1- Our firm’s supply chain has developed a strong knowledge base</w:t>
            </w:r>
          </w:p>
        </w:tc>
      </w:tr>
      <w:tr w:rsidR="00C03760" w:rsidTr="00D24844">
        <w:trPr>
          <w:trHeight w:val="341"/>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SCKD2 - Knowledge is freely shared among the members of our supply chain</w:t>
            </w:r>
          </w:p>
        </w:tc>
      </w:tr>
      <w:tr w:rsidR="00C03760" w:rsidTr="00D24844">
        <w:trPr>
          <w:trHeight w:val="350"/>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tcPr>
          <w:p w:rsidR="00C03760" w:rsidRDefault="00C03760" w:rsidP="00D24844">
            <w:pPr>
              <w:rPr>
                <w:color w:val="000000"/>
                <w:sz w:val="20"/>
                <w:szCs w:val="20"/>
              </w:rPr>
            </w:pPr>
            <w:r>
              <w:rPr>
                <w:color w:val="000000"/>
                <w:sz w:val="20"/>
                <w:szCs w:val="20"/>
              </w:rPr>
              <w:t>SCKD3 -Knowledge development has a high value in our supply chain</w:t>
            </w:r>
          </w:p>
        </w:tc>
      </w:tr>
      <w:tr w:rsidR="00C03760" w:rsidTr="00D24844">
        <w:trPr>
          <w:trHeight w:val="300"/>
        </w:trPr>
        <w:tc>
          <w:tcPr>
            <w:tcW w:w="1405" w:type="dxa"/>
            <w:vMerge w:val="restart"/>
            <w:tcBorders>
              <w:top w:val="single" w:sz="4" w:space="0" w:color="auto"/>
              <w:left w:val="single" w:sz="4" w:space="0" w:color="auto"/>
              <w:bottom w:val="single" w:sz="4" w:space="0" w:color="000000"/>
              <w:right w:val="single" w:sz="4" w:space="0" w:color="auto"/>
            </w:tcBorders>
            <w:vAlign w:val="center"/>
            <w:hideMark/>
          </w:tcPr>
          <w:p w:rsidR="00C03760" w:rsidRDefault="00C03760" w:rsidP="00D24844">
            <w:pPr>
              <w:jc w:val="center"/>
              <w:rPr>
                <w:color w:val="000000"/>
                <w:sz w:val="20"/>
                <w:szCs w:val="20"/>
              </w:rPr>
            </w:pPr>
            <w:r>
              <w:rPr>
                <w:color w:val="000000"/>
                <w:sz w:val="20"/>
                <w:szCs w:val="20"/>
              </w:rPr>
              <w:t>Supply Chain Process Variability (SCPV)</w:t>
            </w:r>
          </w:p>
        </w:tc>
        <w:tc>
          <w:tcPr>
            <w:tcW w:w="7522" w:type="dxa"/>
            <w:tcBorders>
              <w:top w:val="single" w:sz="4" w:space="0" w:color="auto"/>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SCPV1 - Amount of time for shipments to arrive from key suppliers</w:t>
            </w:r>
          </w:p>
        </w:tc>
      </w:tr>
      <w:tr w:rsidR="00C03760"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SCPV2 - Amount of time for shipments to reach key customers</w:t>
            </w:r>
          </w:p>
        </w:tc>
      </w:tr>
      <w:tr w:rsidR="00C03760"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SCPV3 - Production lead-time (fixed production schedule)</w:t>
            </w:r>
          </w:p>
        </w:tc>
      </w:tr>
      <w:tr w:rsidR="00C03760"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SCPV4 - Daily production output rate</w:t>
            </w:r>
          </w:p>
        </w:tc>
      </w:tr>
      <w:tr w:rsidR="00C03760" w:rsidTr="00D24844">
        <w:trPr>
          <w:trHeight w:val="525"/>
        </w:trPr>
        <w:tc>
          <w:tcPr>
            <w:tcW w:w="1405" w:type="dxa"/>
            <w:vMerge w:val="restart"/>
            <w:tcBorders>
              <w:top w:val="nil"/>
              <w:left w:val="single" w:sz="4" w:space="0" w:color="auto"/>
              <w:bottom w:val="single" w:sz="4" w:space="0" w:color="000000"/>
              <w:right w:val="single" w:sz="4" w:space="0" w:color="auto"/>
            </w:tcBorders>
            <w:vAlign w:val="center"/>
            <w:hideMark/>
          </w:tcPr>
          <w:p w:rsidR="00C03760" w:rsidRDefault="00C03760" w:rsidP="00D24844">
            <w:pPr>
              <w:jc w:val="center"/>
              <w:rPr>
                <w:color w:val="000000"/>
                <w:sz w:val="20"/>
                <w:szCs w:val="20"/>
              </w:rPr>
            </w:pPr>
            <w:r>
              <w:rPr>
                <w:color w:val="000000"/>
                <w:sz w:val="20"/>
                <w:szCs w:val="20"/>
              </w:rPr>
              <w:t>Marker Variable</w:t>
            </w: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Form1-Internally in my unit, if a written rule is not specified in a certain situation, we make up informal rules as we go along</w:t>
            </w:r>
          </w:p>
        </w:tc>
      </w:tr>
      <w:tr w:rsidR="00C03760" w:rsidTr="00D24844">
        <w:trPr>
          <w:trHeight w:val="440"/>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Form2-Contacts with my company and its representatives are on a formal pre-planned basis</w:t>
            </w:r>
          </w:p>
        </w:tc>
      </w:tr>
      <w:tr w:rsidR="00C03760"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Form3-When rules and procedures exist in my organization they are usually written agreements</w:t>
            </w:r>
          </w:p>
        </w:tc>
      </w:tr>
      <w:tr w:rsidR="00C03760" w:rsidTr="00D24844">
        <w:trPr>
          <w:trHeight w:val="405"/>
        </w:trPr>
        <w:tc>
          <w:tcPr>
            <w:tcW w:w="0" w:type="auto"/>
            <w:vMerge/>
            <w:tcBorders>
              <w:top w:val="nil"/>
              <w:left w:val="single" w:sz="4" w:space="0" w:color="auto"/>
              <w:bottom w:val="single" w:sz="4" w:space="0" w:color="000000"/>
              <w:right w:val="single" w:sz="4" w:space="0" w:color="auto"/>
            </w:tcBorders>
            <w:vAlign w:val="center"/>
            <w:hideMark/>
          </w:tcPr>
          <w:p w:rsidR="00C03760" w:rsidRDefault="00C03760" w:rsidP="00D24844">
            <w:pPr>
              <w:rPr>
                <w:color w:val="000000"/>
                <w:sz w:val="20"/>
                <w:szCs w:val="20"/>
              </w:rPr>
            </w:pPr>
          </w:p>
        </w:tc>
        <w:tc>
          <w:tcPr>
            <w:tcW w:w="7522" w:type="dxa"/>
            <w:tcBorders>
              <w:top w:val="nil"/>
              <w:left w:val="nil"/>
              <w:bottom w:val="single" w:sz="4" w:space="0" w:color="auto"/>
              <w:right w:val="single" w:sz="4" w:space="0" w:color="auto"/>
            </w:tcBorders>
            <w:vAlign w:val="bottom"/>
            <w:hideMark/>
          </w:tcPr>
          <w:p w:rsidR="00C03760" w:rsidRDefault="00C03760" w:rsidP="00D24844">
            <w:pPr>
              <w:rPr>
                <w:color w:val="000000"/>
                <w:sz w:val="20"/>
                <w:szCs w:val="20"/>
              </w:rPr>
            </w:pPr>
            <w:r>
              <w:rPr>
                <w:color w:val="000000"/>
                <w:sz w:val="20"/>
                <w:szCs w:val="20"/>
              </w:rPr>
              <w:t>Form4-Most things in my business unit are covered by formal procedures</w:t>
            </w:r>
          </w:p>
        </w:tc>
      </w:tr>
    </w:tbl>
    <w:p w:rsidR="001F007B" w:rsidRDefault="001F007B" w:rsidP="003F2FB2">
      <w:pPr>
        <w:rPr>
          <w:rFonts w:ascii="Calibri" w:hAnsi="Calibri"/>
          <w:sz w:val="22"/>
        </w:rPr>
      </w:pPr>
    </w:p>
    <w:p w:rsidR="00C03760" w:rsidRDefault="00C03760" w:rsidP="003F2FB2">
      <w:pPr>
        <w:rPr>
          <w:rFonts w:ascii="Calibri" w:hAnsi="Calibri"/>
          <w:sz w:val="22"/>
        </w:rPr>
      </w:pPr>
    </w:p>
    <w:p w:rsidR="00C03760" w:rsidRDefault="00C03760" w:rsidP="003F2FB2">
      <w:pPr>
        <w:rPr>
          <w:rFonts w:ascii="Calibri" w:hAnsi="Calibri"/>
          <w:sz w:val="22"/>
        </w:rPr>
      </w:pPr>
    </w:p>
    <w:p w:rsidR="003F2FB2" w:rsidRDefault="003F2FB2" w:rsidP="003F2FB2">
      <w:pPr>
        <w:spacing w:line="480" w:lineRule="auto"/>
      </w:pPr>
      <w:r>
        <w:lastRenderedPageBreak/>
        <w:tab/>
        <w:t>All potential respondents for the main test were selected from a database obtained from Dun &amp; Bradstreet</w:t>
      </w:r>
      <w:r w:rsidRPr="00684AF6">
        <w:t xml:space="preserve"> </w:t>
      </w:r>
      <w:r>
        <w:t xml:space="preserve">(D&amp;B) marketing firm. Following the selection criteria of desired participants discussed in the previous chapter, names of potential participants were pulled from several categories of titles in the D&amp;B database.  Specifically, supply chain, logistics, operations, and purchasing managers at the Manager, Vice President or Director </w:t>
      </w:r>
      <w:proofErr w:type="gramStart"/>
      <w:r>
        <w:t>levels</w:t>
      </w:r>
      <w:proofErr w:type="gramEnd"/>
      <w:r>
        <w:t xml:space="preserve"> were targeted. The selection criteria included job titles, responsibilities, perceived knowledge of supply chain management processes and firm performance. In order to minimize potential bias from multiple respondents at a single company, only up to two contacts per company were allowed in the final database selection. Based on the described criteria, the final database purchased from D&amp;B contained critical contact information for a </w:t>
      </w:r>
      <w:r w:rsidRPr="008C1A15">
        <w:t xml:space="preserve">total of </w:t>
      </w:r>
      <w:r>
        <w:t>3,050</w:t>
      </w:r>
      <w:r w:rsidRPr="008C1A15">
        <w:t xml:space="preserve"> potential</w:t>
      </w:r>
      <w:r>
        <w:t xml:space="preserve"> respondents.  A personalized e-mail was sent to each potential participant, inviting them to participate in this research. It was followed with reminder e-mails to those participants who did not respond to the first request to complete the survey. Overall, three reminder e-mails were sent through equally distributed time intervals. This procedure resulted in 818 unique visitors to the survey website (26.8% of qualified potential respondents actually assessed the survey). 451 respondents submitted their completed responses (55.1 % of the 818 who accessed the site or 14.8% of the 3,050 targeted respondents). The remaining 47.6% of potential respondents dropped off quickly or within the first few pages of the survey. </w:t>
      </w:r>
    </w:p>
    <w:p w:rsidR="003F2FB2" w:rsidRDefault="003F2FB2" w:rsidP="003F2FB2">
      <w:pPr>
        <w:spacing w:line="480" w:lineRule="auto"/>
      </w:pPr>
      <w:r>
        <w:t>MISSING DATA ANALYSIS</w:t>
      </w:r>
    </w:p>
    <w:p w:rsidR="003F2FB2" w:rsidRDefault="003F2FB2" w:rsidP="003F2FB2">
      <w:pPr>
        <w:spacing w:line="480" w:lineRule="auto"/>
      </w:pPr>
      <w:r>
        <w:tab/>
        <w:t xml:space="preserve">Obtained responses were analyzed for the degree of completeness and missing values. Analysis resulted in 387 fully completed surveys (85.8%) and 64 (14.9%) partially completed responses. Out of those partially completed responses 57 contained more than ten missing </w:t>
      </w:r>
      <w:r>
        <w:lastRenderedPageBreak/>
        <w:t>questions each and were excluded from the final count and further analysis. An additional 11 surveys were missing less than ten questions and were deemed usable. Missing values represented an insignificant number of all responses, and they did not present a threat to the survey data integrity. The patterns of missing values were evaluated using separate variance t-tests, and it was determined that the missing values were missing</w:t>
      </w:r>
      <w:r w:rsidR="00422013">
        <w:t xml:space="preserve"> completely </w:t>
      </w:r>
      <w:r>
        <w:t>at random. Next, the expectation maximization (EM) method was used with the purpose of estimating and replacing values that were missing. This method is based on calculating maximum likelihood estimates and is considered reliable for the purposes of this research. This resulted in 398 usable responses (88.2% out of 451 completed responses) that were included in the final analysis.</w:t>
      </w:r>
    </w:p>
    <w:p w:rsidR="003F2FB2" w:rsidRDefault="003F2FB2" w:rsidP="003F2FB2">
      <w:pPr>
        <w:spacing w:line="480" w:lineRule="auto"/>
      </w:pPr>
      <w:r>
        <w:t>DATA DISTRIBUTION</w:t>
      </w:r>
    </w:p>
    <w:p w:rsidR="003F2FB2" w:rsidRDefault="003F2FB2" w:rsidP="003F2FB2">
      <w:pPr>
        <w:spacing w:line="480" w:lineRule="auto"/>
      </w:pPr>
      <w:r>
        <w:tab/>
        <w:t>Similarly to the pre-test sample analysis, normality distribution analysis was conducted using SPSS statistical software.  Several of the analyzed scales raised normality concerns due to relatively high levels of kurtosis. Additional examination of those responses resulted in identification of potential outliers. For example, responses for cases 17, 134, 155, 194 and 288 included outliers that affected normality measures for several different scales. More specifically, the scaled items RMO3, RMO6, SCO2, SCO6, SCO9, and EU4 were normalized after removing those outliers. This corrective action was followed by two more sequential runs of the analysis for kurtosis statistics and potential outliers. A few more cases had to be removed before obtaining acceptable levels of kurtosis values. The details of this anal</w:t>
      </w:r>
      <w:r w:rsidR="00D025EA">
        <w:t>ysis are summarized in Table 4.4</w:t>
      </w:r>
      <w:r>
        <w:t>.</w:t>
      </w:r>
    </w:p>
    <w:p w:rsidR="00AE3334" w:rsidRDefault="00AE3334" w:rsidP="003F2FB2">
      <w:pPr>
        <w:spacing w:line="480" w:lineRule="auto"/>
      </w:pPr>
    </w:p>
    <w:p w:rsidR="00AE3334" w:rsidRDefault="00AE3334" w:rsidP="003F2FB2">
      <w:pPr>
        <w:spacing w:line="480" w:lineRule="auto"/>
      </w:pPr>
    </w:p>
    <w:p w:rsidR="003F2FB2" w:rsidRDefault="003F2FB2" w:rsidP="003F2FB2">
      <w:pPr>
        <w:spacing w:line="480" w:lineRule="auto"/>
        <w:jc w:val="center"/>
        <w:rPr>
          <w:b/>
        </w:rPr>
      </w:pPr>
    </w:p>
    <w:p w:rsidR="003F2FB2" w:rsidRPr="00A74F1E" w:rsidRDefault="003F2FB2" w:rsidP="003F2FB2">
      <w:pPr>
        <w:spacing w:line="480" w:lineRule="auto"/>
        <w:jc w:val="center"/>
        <w:rPr>
          <w:b/>
        </w:rPr>
      </w:pPr>
      <w:r>
        <w:rPr>
          <w:b/>
        </w:rPr>
        <w:t>Table</w:t>
      </w:r>
      <w:r w:rsidR="00BC6A39">
        <w:rPr>
          <w:b/>
        </w:rPr>
        <w:t xml:space="preserve"> 4.4</w:t>
      </w:r>
      <w:r w:rsidRPr="00A74F1E">
        <w:rPr>
          <w:b/>
        </w:rPr>
        <w:t xml:space="preserve"> </w:t>
      </w:r>
      <w:r>
        <w:rPr>
          <w:b/>
        </w:rPr>
        <w:t>Summary of</w:t>
      </w:r>
      <w:r w:rsidRPr="00A74F1E">
        <w:rPr>
          <w:b/>
        </w:rPr>
        <w:t xml:space="preserve"> Normality Analysis</w:t>
      </w:r>
      <w:r>
        <w:rPr>
          <w:b/>
        </w:rPr>
        <w:t xml:space="preserve"> for the Main Test</w:t>
      </w:r>
    </w:p>
    <w:tbl>
      <w:tblPr>
        <w:tblW w:w="0" w:type="auto"/>
        <w:tblInd w:w="1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76"/>
        <w:gridCol w:w="1976"/>
        <w:gridCol w:w="1976"/>
      </w:tblGrid>
      <w:tr w:rsidR="003F2FB2" w:rsidRPr="00DF77BC" w:rsidTr="00007EA8">
        <w:trPr>
          <w:trHeight w:val="503"/>
        </w:trPr>
        <w:tc>
          <w:tcPr>
            <w:tcW w:w="1976" w:type="dxa"/>
            <w:vAlign w:val="center"/>
          </w:tcPr>
          <w:p w:rsidR="003F2FB2" w:rsidRPr="00DF77BC" w:rsidRDefault="003F2FB2" w:rsidP="00007EA8">
            <w:pPr>
              <w:jc w:val="center"/>
              <w:rPr>
                <w:b/>
              </w:rPr>
            </w:pPr>
            <w:r w:rsidRPr="00DF77BC">
              <w:rPr>
                <w:b/>
              </w:rPr>
              <w:t>Scale</w:t>
            </w:r>
          </w:p>
        </w:tc>
        <w:tc>
          <w:tcPr>
            <w:tcW w:w="1976" w:type="dxa"/>
            <w:vAlign w:val="center"/>
          </w:tcPr>
          <w:p w:rsidR="003F2FB2" w:rsidRPr="00DF77BC" w:rsidRDefault="003F2FB2" w:rsidP="00007EA8">
            <w:pPr>
              <w:jc w:val="center"/>
              <w:rPr>
                <w:b/>
              </w:rPr>
            </w:pPr>
            <w:r w:rsidRPr="00DF77BC">
              <w:rPr>
                <w:b/>
              </w:rPr>
              <w:t>Kurtosis</w:t>
            </w:r>
          </w:p>
        </w:tc>
        <w:tc>
          <w:tcPr>
            <w:tcW w:w="1976" w:type="dxa"/>
            <w:vAlign w:val="center"/>
          </w:tcPr>
          <w:p w:rsidR="003F2FB2" w:rsidRPr="00DF77BC" w:rsidRDefault="003F2FB2" w:rsidP="00007EA8">
            <w:pPr>
              <w:jc w:val="center"/>
              <w:rPr>
                <w:b/>
              </w:rPr>
            </w:pPr>
            <w:r w:rsidRPr="00DF77BC">
              <w:rPr>
                <w:b/>
              </w:rPr>
              <w:t>Outlier Cases</w:t>
            </w:r>
          </w:p>
        </w:tc>
      </w:tr>
      <w:tr w:rsidR="003F2FB2" w:rsidRPr="00DF77BC" w:rsidTr="00007EA8">
        <w:trPr>
          <w:trHeight w:val="194"/>
        </w:trPr>
        <w:tc>
          <w:tcPr>
            <w:tcW w:w="1976" w:type="dxa"/>
            <w:vAlign w:val="center"/>
          </w:tcPr>
          <w:p w:rsidR="003F2FB2" w:rsidRPr="00DF77BC" w:rsidRDefault="003F2FB2" w:rsidP="00007EA8">
            <w:pPr>
              <w:jc w:val="center"/>
            </w:pPr>
            <w:r>
              <w:t>RMO3</w:t>
            </w:r>
          </w:p>
        </w:tc>
        <w:tc>
          <w:tcPr>
            <w:tcW w:w="1976" w:type="dxa"/>
            <w:vAlign w:val="center"/>
          </w:tcPr>
          <w:p w:rsidR="003F2FB2" w:rsidRPr="00DF77BC" w:rsidRDefault="003F2FB2" w:rsidP="00007EA8">
            <w:pPr>
              <w:jc w:val="center"/>
            </w:pPr>
            <w:r>
              <w:t>2.43</w:t>
            </w:r>
          </w:p>
        </w:tc>
        <w:tc>
          <w:tcPr>
            <w:tcW w:w="1976" w:type="dxa"/>
            <w:vAlign w:val="center"/>
          </w:tcPr>
          <w:p w:rsidR="003F2FB2" w:rsidRPr="00DF77BC" w:rsidRDefault="003F2FB2" w:rsidP="00007EA8">
            <w:pPr>
              <w:jc w:val="center"/>
            </w:pPr>
            <w:r>
              <w:t>194, 288</w:t>
            </w:r>
          </w:p>
        </w:tc>
      </w:tr>
      <w:tr w:rsidR="003F2FB2" w:rsidRPr="00DF77BC" w:rsidTr="00007EA8">
        <w:trPr>
          <w:trHeight w:val="305"/>
        </w:trPr>
        <w:tc>
          <w:tcPr>
            <w:tcW w:w="1976" w:type="dxa"/>
            <w:vAlign w:val="center"/>
          </w:tcPr>
          <w:p w:rsidR="003F2FB2" w:rsidRPr="00DF77BC" w:rsidRDefault="003F2FB2" w:rsidP="00007EA8">
            <w:pPr>
              <w:jc w:val="center"/>
            </w:pPr>
            <w:r>
              <w:t>RMO6</w:t>
            </w:r>
          </w:p>
        </w:tc>
        <w:tc>
          <w:tcPr>
            <w:tcW w:w="1976" w:type="dxa"/>
            <w:vAlign w:val="center"/>
          </w:tcPr>
          <w:p w:rsidR="003F2FB2" w:rsidRPr="00DF77BC" w:rsidRDefault="003F2FB2" w:rsidP="00007EA8">
            <w:pPr>
              <w:jc w:val="center"/>
            </w:pPr>
            <w:r>
              <w:t>4.38</w:t>
            </w:r>
          </w:p>
        </w:tc>
        <w:tc>
          <w:tcPr>
            <w:tcW w:w="1976" w:type="dxa"/>
            <w:vAlign w:val="center"/>
          </w:tcPr>
          <w:p w:rsidR="003F2FB2" w:rsidRPr="00DF77BC" w:rsidRDefault="003F2FB2" w:rsidP="00007EA8">
            <w:pPr>
              <w:jc w:val="center"/>
            </w:pPr>
            <w:r>
              <w:t>17, 134</w:t>
            </w:r>
          </w:p>
        </w:tc>
      </w:tr>
      <w:tr w:rsidR="003F2FB2" w:rsidRPr="00DF77BC" w:rsidTr="00007EA8">
        <w:trPr>
          <w:trHeight w:val="305"/>
        </w:trPr>
        <w:tc>
          <w:tcPr>
            <w:tcW w:w="1976" w:type="dxa"/>
            <w:vAlign w:val="center"/>
          </w:tcPr>
          <w:p w:rsidR="003F2FB2" w:rsidRPr="00DF77BC" w:rsidRDefault="003F2FB2" w:rsidP="00007EA8">
            <w:pPr>
              <w:jc w:val="center"/>
            </w:pPr>
            <w:r>
              <w:t>SCO2</w:t>
            </w:r>
          </w:p>
        </w:tc>
        <w:tc>
          <w:tcPr>
            <w:tcW w:w="1976" w:type="dxa"/>
            <w:vAlign w:val="center"/>
          </w:tcPr>
          <w:p w:rsidR="003F2FB2" w:rsidRPr="00DF77BC" w:rsidRDefault="003F2FB2" w:rsidP="00007EA8">
            <w:pPr>
              <w:jc w:val="center"/>
            </w:pPr>
            <w:r>
              <w:t>2.15</w:t>
            </w:r>
          </w:p>
        </w:tc>
        <w:tc>
          <w:tcPr>
            <w:tcW w:w="1976" w:type="dxa"/>
            <w:vAlign w:val="center"/>
          </w:tcPr>
          <w:p w:rsidR="003F2FB2" w:rsidRPr="00DF77BC" w:rsidRDefault="003F2FB2" w:rsidP="00007EA8">
            <w:pPr>
              <w:jc w:val="center"/>
            </w:pPr>
            <w:r>
              <w:t>194</w:t>
            </w:r>
          </w:p>
        </w:tc>
      </w:tr>
      <w:tr w:rsidR="003F2FB2" w:rsidRPr="00DF77BC" w:rsidTr="00007EA8">
        <w:trPr>
          <w:trHeight w:val="278"/>
        </w:trPr>
        <w:tc>
          <w:tcPr>
            <w:tcW w:w="1976" w:type="dxa"/>
            <w:vAlign w:val="center"/>
          </w:tcPr>
          <w:p w:rsidR="003F2FB2" w:rsidRPr="00DF77BC" w:rsidRDefault="003F2FB2" w:rsidP="00007EA8">
            <w:pPr>
              <w:jc w:val="center"/>
            </w:pPr>
            <w:r>
              <w:t>SCO6</w:t>
            </w:r>
          </w:p>
        </w:tc>
        <w:tc>
          <w:tcPr>
            <w:tcW w:w="1976" w:type="dxa"/>
            <w:vAlign w:val="center"/>
          </w:tcPr>
          <w:p w:rsidR="003F2FB2" w:rsidRPr="00DF77BC" w:rsidRDefault="003F2FB2" w:rsidP="00007EA8">
            <w:pPr>
              <w:jc w:val="center"/>
            </w:pPr>
            <w:r>
              <w:t>3.14</w:t>
            </w:r>
          </w:p>
        </w:tc>
        <w:tc>
          <w:tcPr>
            <w:tcW w:w="1976" w:type="dxa"/>
            <w:vAlign w:val="center"/>
          </w:tcPr>
          <w:p w:rsidR="003F2FB2" w:rsidRPr="00DF77BC" w:rsidRDefault="003F2FB2" w:rsidP="00007EA8">
            <w:pPr>
              <w:jc w:val="center"/>
            </w:pPr>
            <w:r>
              <w:t>194, 288</w:t>
            </w:r>
          </w:p>
        </w:tc>
      </w:tr>
      <w:tr w:rsidR="003F2FB2" w:rsidRPr="00DF77BC" w:rsidTr="00007EA8">
        <w:trPr>
          <w:trHeight w:val="305"/>
        </w:trPr>
        <w:tc>
          <w:tcPr>
            <w:tcW w:w="1976" w:type="dxa"/>
            <w:vAlign w:val="center"/>
          </w:tcPr>
          <w:p w:rsidR="003F2FB2" w:rsidRPr="00DF77BC" w:rsidRDefault="003F2FB2" w:rsidP="00007EA8">
            <w:pPr>
              <w:jc w:val="center"/>
            </w:pPr>
            <w:r>
              <w:t>SCO9</w:t>
            </w:r>
          </w:p>
        </w:tc>
        <w:tc>
          <w:tcPr>
            <w:tcW w:w="1976" w:type="dxa"/>
            <w:vAlign w:val="center"/>
          </w:tcPr>
          <w:p w:rsidR="003F2FB2" w:rsidRPr="00DF77BC" w:rsidRDefault="003F2FB2" w:rsidP="00007EA8">
            <w:pPr>
              <w:jc w:val="center"/>
            </w:pPr>
            <w:r>
              <w:t>7.11</w:t>
            </w:r>
          </w:p>
        </w:tc>
        <w:tc>
          <w:tcPr>
            <w:tcW w:w="1976" w:type="dxa"/>
            <w:vAlign w:val="center"/>
          </w:tcPr>
          <w:p w:rsidR="003F2FB2" w:rsidRPr="00DF77BC" w:rsidRDefault="003F2FB2" w:rsidP="00007EA8">
            <w:pPr>
              <w:jc w:val="center"/>
            </w:pPr>
            <w:r>
              <w:t>155, 119, 288</w:t>
            </w:r>
          </w:p>
        </w:tc>
      </w:tr>
      <w:tr w:rsidR="003F2FB2" w:rsidRPr="00DF77BC" w:rsidTr="00007EA8">
        <w:trPr>
          <w:trHeight w:val="305"/>
        </w:trPr>
        <w:tc>
          <w:tcPr>
            <w:tcW w:w="1976" w:type="dxa"/>
            <w:vAlign w:val="center"/>
          </w:tcPr>
          <w:p w:rsidR="003F2FB2" w:rsidRPr="00DF77BC" w:rsidRDefault="003F2FB2" w:rsidP="00007EA8">
            <w:pPr>
              <w:jc w:val="center"/>
            </w:pPr>
            <w:r>
              <w:t>EU4</w:t>
            </w:r>
          </w:p>
        </w:tc>
        <w:tc>
          <w:tcPr>
            <w:tcW w:w="1976" w:type="dxa"/>
            <w:vAlign w:val="center"/>
          </w:tcPr>
          <w:p w:rsidR="003F2FB2" w:rsidRPr="00DF77BC" w:rsidRDefault="003F2FB2" w:rsidP="00007EA8">
            <w:pPr>
              <w:jc w:val="center"/>
            </w:pPr>
            <w:r>
              <w:t>6.77</w:t>
            </w:r>
          </w:p>
        </w:tc>
        <w:tc>
          <w:tcPr>
            <w:tcW w:w="1976" w:type="dxa"/>
            <w:vAlign w:val="center"/>
          </w:tcPr>
          <w:p w:rsidR="003F2FB2" w:rsidRPr="00DF77BC" w:rsidRDefault="003F2FB2" w:rsidP="00007EA8">
            <w:pPr>
              <w:jc w:val="center"/>
            </w:pPr>
            <w:r>
              <w:t>17, 194</w:t>
            </w:r>
          </w:p>
        </w:tc>
      </w:tr>
      <w:tr w:rsidR="003F2FB2" w:rsidRPr="00DF77BC" w:rsidTr="00007EA8">
        <w:trPr>
          <w:trHeight w:val="305"/>
        </w:trPr>
        <w:tc>
          <w:tcPr>
            <w:tcW w:w="1976" w:type="dxa"/>
            <w:vAlign w:val="center"/>
          </w:tcPr>
          <w:p w:rsidR="003F2FB2" w:rsidRPr="00DF77BC" w:rsidRDefault="003F2FB2" w:rsidP="00007EA8">
            <w:pPr>
              <w:jc w:val="center"/>
            </w:pPr>
            <w:r>
              <w:t>EU6</w:t>
            </w:r>
          </w:p>
        </w:tc>
        <w:tc>
          <w:tcPr>
            <w:tcW w:w="1976" w:type="dxa"/>
            <w:vAlign w:val="center"/>
          </w:tcPr>
          <w:p w:rsidR="003F2FB2" w:rsidRPr="00DF77BC" w:rsidRDefault="003F2FB2" w:rsidP="00007EA8">
            <w:pPr>
              <w:jc w:val="center"/>
            </w:pPr>
            <w:r>
              <w:t>3.15</w:t>
            </w:r>
          </w:p>
        </w:tc>
        <w:tc>
          <w:tcPr>
            <w:tcW w:w="1976" w:type="dxa"/>
            <w:vAlign w:val="center"/>
          </w:tcPr>
          <w:p w:rsidR="003F2FB2" w:rsidRPr="00DF77BC" w:rsidRDefault="003F2FB2" w:rsidP="00007EA8">
            <w:pPr>
              <w:jc w:val="center"/>
            </w:pPr>
            <w:r>
              <w:t>288</w:t>
            </w:r>
          </w:p>
        </w:tc>
      </w:tr>
    </w:tbl>
    <w:p w:rsidR="003F2FB2" w:rsidRDefault="003F2FB2" w:rsidP="003F2FB2">
      <w:pPr>
        <w:autoSpaceDE w:val="0"/>
        <w:autoSpaceDN w:val="0"/>
        <w:adjustRightInd w:val="0"/>
        <w:spacing w:line="480" w:lineRule="auto"/>
      </w:pPr>
    </w:p>
    <w:p w:rsidR="003F2FB2" w:rsidRDefault="003F2FB2" w:rsidP="003F2FB2">
      <w:pPr>
        <w:autoSpaceDE w:val="0"/>
        <w:autoSpaceDN w:val="0"/>
        <w:adjustRightInd w:val="0"/>
        <w:spacing w:line="480" w:lineRule="auto"/>
      </w:pPr>
      <w:r>
        <w:tab/>
        <w:t xml:space="preserve">Additionally, </w:t>
      </w:r>
      <w:proofErr w:type="spellStart"/>
      <w:r w:rsidRPr="00FB2B40">
        <w:t>Mahalanobis</w:t>
      </w:r>
      <w:proofErr w:type="spellEnd"/>
      <w:r w:rsidRPr="00FB2B40">
        <w:t xml:space="preserve"> </w:t>
      </w:r>
      <w:proofErr w:type="gramStart"/>
      <w:r w:rsidRPr="00FB2B40">
        <w:t>D</w:t>
      </w:r>
      <w:r w:rsidRPr="00FB2B40">
        <w:rPr>
          <w:vertAlign w:val="superscript"/>
        </w:rPr>
        <w:t>2</w:t>
      </w:r>
      <w:r>
        <w:rPr>
          <w:vertAlign w:val="superscript"/>
        </w:rPr>
        <w:t xml:space="preserve"> </w:t>
      </w:r>
      <w:r>
        <w:t xml:space="preserve"> test</w:t>
      </w:r>
      <w:proofErr w:type="gramEnd"/>
      <w:r>
        <w:t xml:space="preserve"> was conducted using AMOS 18 extension of SPSS software. This test</w:t>
      </w:r>
      <w:r w:rsidRPr="00FB2B40">
        <w:t xml:space="preserve"> estimates </w:t>
      </w:r>
      <w:r>
        <w:t>the</w:t>
      </w:r>
      <w:r w:rsidRPr="00FB2B40">
        <w:t xml:space="preserve"> distance</w:t>
      </w:r>
      <w:r>
        <w:t xml:space="preserve">s between the dataset </w:t>
      </w:r>
      <w:proofErr w:type="spellStart"/>
      <w:r>
        <w:t>centroid</w:t>
      </w:r>
      <w:proofErr w:type="spellEnd"/>
      <w:r>
        <w:t xml:space="preserve">, also known as </w:t>
      </w:r>
      <w:r w:rsidRPr="00FB2B40">
        <w:t xml:space="preserve">the mean center of the </w:t>
      </w:r>
      <w:r>
        <w:t>o</w:t>
      </w:r>
      <w:r w:rsidRPr="00FB2B40">
        <w:t>bservations</w:t>
      </w:r>
      <w:r>
        <w:t xml:space="preserve">, and each of the observations in the multidimensional space. Seven observations were determined to be significantly distant from the </w:t>
      </w:r>
      <w:proofErr w:type="spellStart"/>
      <w:r>
        <w:t>centroid</w:t>
      </w:r>
      <w:proofErr w:type="spellEnd"/>
      <w:r>
        <w:t xml:space="preserve"> and were removed from the further analysis. Thus, the dataset was reduced to 391 useful observations (86.7% of 451collected responses).</w:t>
      </w:r>
    </w:p>
    <w:p w:rsidR="003F2FB2" w:rsidRDefault="003F2FB2" w:rsidP="003F2FB2">
      <w:pPr>
        <w:spacing w:line="480" w:lineRule="auto"/>
        <w:rPr>
          <w:color w:val="000000"/>
        </w:rPr>
      </w:pPr>
      <w:r>
        <w:tab/>
        <w:t>In order to conduct a proper analysis of p</w:t>
      </w:r>
      <w:r w:rsidRPr="008E0867">
        <w:rPr>
          <w:color w:val="000000"/>
        </w:rPr>
        <w:t xml:space="preserve">otential </w:t>
      </w:r>
      <w:r>
        <w:rPr>
          <w:color w:val="000000"/>
        </w:rPr>
        <w:t>non-</w:t>
      </w:r>
      <w:r w:rsidRPr="008E0867">
        <w:rPr>
          <w:color w:val="000000"/>
        </w:rPr>
        <w:t>response bias</w:t>
      </w:r>
      <w:r>
        <w:rPr>
          <w:color w:val="000000"/>
        </w:rPr>
        <w:t>, additional responses to a selected sample of questions were collected next from a sample of 45 potential participants who did not complete their responses during the main survey data collection process described earlier (</w:t>
      </w:r>
      <w:proofErr w:type="spellStart"/>
      <w:r>
        <w:rPr>
          <w:color w:val="000000"/>
        </w:rPr>
        <w:t>Mentzer</w:t>
      </w:r>
      <w:proofErr w:type="spellEnd"/>
      <w:r>
        <w:rPr>
          <w:color w:val="000000"/>
        </w:rPr>
        <w:t xml:space="preserve"> and Flint 1997). These 45 non-respondents were asked to respond to five substantive questions originated from two scales from the survey (</w:t>
      </w:r>
      <w:proofErr w:type="spellStart"/>
      <w:r>
        <w:rPr>
          <w:color w:val="000000"/>
        </w:rPr>
        <w:t>Garver</w:t>
      </w:r>
      <w:proofErr w:type="spellEnd"/>
      <w:r>
        <w:rPr>
          <w:color w:val="000000"/>
        </w:rPr>
        <w:t xml:space="preserve"> and </w:t>
      </w:r>
      <w:proofErr w:type="spellStart"/>
      <w:r>
        <w:rPr>
          <w:color w:val="000000"/>
        </w:rPr>
        <w:t>Mentzer</w:t>
      </w:r>
      <w:proofErr w:type="spellEnd"/>
      <w:r>
        <w:rPr>
          <w:color w:val="000000"/>
        </w:rPr>
        <w:t xml:space="preserve"> 1999).  </w:t>
      </w:r>
      <w:r>
        <w:rPr>
          <w:color w:val="000000"/>
        </w:rPr>
        <w:lastRenderedPageBreak/>
        <w:t>An independent t-test was conducted and resulted in no statistically significant difference (p&lt;0.05) between the answers of these non-responders and the answers of original survey respondents.  An early-late response test was also conducted with the purpose of investigating the existence of potential bias between early and late respondents (Armstrong and Overton 1977). Surveys were classified as early or late based on the time of response and the number of follow-up reminders sent to participants.  No significant differences between those groups (p &lt; 0.05) were indicated after conducting an independent samples t-test. Based on the combination of results mentioned above and an acceptable response rate, potential bias in the responses was not considered a significant concern for this research.</w:t>
      </w:r>
    </w:p>
    <w:p w:rsidR="003F2FB2" w:rsidRDefault="003F2FB2" w:rsidP="003F2FB2">
      <w:pPr>
        <w:spacing w:line="480" w:lineRule="auto"/>
      </w:pPr>
      <w:r>
        <w:t>DESCRIPTIVE STATISTICS</w:t>
      </w:r>
    </w:p>
    <w:p w:rsidR="003F2FB2" w:rsidRDefault="003F2FB2" w:rsidP="003F2FB2">
      <w:pPr>
        <w:spacing w:line="480" w:lineRule="auto"/>
      </w:pPr>
      <w:r>
        <w:tab/>
        <w:t>The breakdown of the main test survey respondents by indu</w:t>
      </w:r>
      <w:r w:rsidR="00BC6A39">
        <w:t>stry is presented in Table 4.5</w:t>
      </w:r>
      <w:r>
        <w:t xml:space="preserve">. Results indicate that the majority of the main test survey participants are from the consumer packaged goods industry (18.41%). The medical/ pharmaceutical industry and industrial products industry contributed 16.11% and 15.09% of participants respectively. Participants from the electronics industry accounted for an additional 10%. Other industries included appliances, automotive, apparel/ textile, aerospace and other industries. </w:t>
      </w:r>
    </w:p>
    <w:p w:rsidR="00AE3334" w:rsidRDefault="00AE3334" w:rsidP="003F2FB2">
      <w:pPr>
        <w:spacing w:line="480" w:lineRule="auto"/>
        <w:jc w:val="center"/>
        <w:rPr>
          <w:b/>
        </w:rPr>
      </w:pPr>
    </w:p>
    <w:p w:rsidR="00AE3334" w:rsidRDefault="00AE3334" w:rsidP="003F2FB2">
      <w:pPr>
        <w:spacing w:line="480" w:lineRule="auto"/>
        <w:jc w:val="center"/>
        <w:rPr>
          <w:b/>
        </w:rPr>
      </w:pPr>
    </w:p>
    <w:p w:rsidR="00AE3334" w:rsidRDefault="00AE3334" w:rsidP="003F2FB2">
      <w:pPr>
        <w:spacing w:line="480" w:lineRule="auto"/>
        <w:jc w:val="center"/>
        <w:rPr>
          <w:b/>
        </w:rPr>
      </w:pPr>
    </w:p>
    <w:p w:rsidR="00AE3334" w:rsidRDefault="00AE3334" w:rsidP="003F2FB2">
      <w:pPr>
        <w:spacing w:line="480" w:lineRule="auto"/>
        <w:jc w:val="center"/>
        <w:rPr>
          <w:b/>
        </w:rPr>
      </w:pPr>
    </w:p>
    <w:p w:rsidR="00AE3334" w:rsidRDefault="00AE3334" w:rsidP="003F2FB2">
      <w:pPr>
        <w:spacing w:line="480" w:lineRule="auto"/>
        <w:jc w:val="center"/>
        <w:rPr>
          <w:b/>
        </w:rPr>
      </w:pPr>
    </w:p>
    <w:p w:rsidR="00AE3334" w:rsidRDefault="00AE3334" w:rsidP="003F2FB2">
      <w:pPr>
        <w:spacing w:line="480" w:lineRule="auto"/>
        <w:jc w:val="center"/>
        <w:rPr>
          <w:b/>
        </w:rPr>
      </w:pPr>
    </w:p>
    <w:p w:rsidR="003F2FB2" w:rsidRDefault="00BC6A39" w:rsidP="003F2FB2">
      <w:pPr>
        <w:spacing w:line="480" w:lineRule="auto"/>
        <w:jc w:val="center"/>
        <w:rPr>
          <w:b/>
        </w:rPr>
      </w:pPr>
      <w:r>
        <w:rPr>
          <w:b/>
        </w:rPr>
        <w:t>Table 4.5</w:t>
      </w:r>
      <w:r w:rsidR="003F2FB2">
        <w:rPr>
          <w:b/>
        </w:rPr>
        <w:t xml:space="preserve"> Main Test Participants by Industry</w:t>
      </w:r>
    </w:p>
    <w:tbl>
      <w:tblPr>
        <w:tblW w:w="6660" w:type="dxa"/>
        <w:tblInd w:w="93" w:type="dxa"/>
        <w:tblLook w:val="04A0"/>
      </w:tblPr>
      <w:tblGrid>
        <w:gridCol w:w="2985"/>
        <w:gridCol w:w="1735"/>
        <w:gridCol w:w="1940"/>
      </w:tblGrid>
      <w:tr w:rsidR="003F2FB2" w:rsidRPr="008D231F" w:rsidTr="00007EA8">
        <w:trPr>
          <w:trHeight w:val="315"/>
        </w:trPr>
        <w:tc>
          <w:tcPr>
            <w:tcW w:w="298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p>
        </w:tc>
        <w:tc>
          <w:tcPr>
            <w:tcW w:w="1735" w:type="dxa"/>
            <w:tcBorders>
              <w:top w:val="single" w:sz="8" w:space="0" w:color="auto"/>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b/>
                <w:bCs/>
                <w:color w:val="000000"/>
                <w:szCs w:val="24"/>
              </w:rPr>
            </w:pPr>
            <w:r w:rsidRPr="004B48D8">
              <w:rPr>
                <w:b/>
                <w:bCs/>
                <w:color w:val="000000"/>
                <w:szCs w:val="24"/>
              </w:rPr>
              <w:t>Frequency</w:t>
            </w:r>
          </w:p>
        </w:tc>
        <w:tc>
          <w:tcPr>
            <w:tcW w:w="1940" w:type="dxa"/>
            <w:tcBorders>
              <w:top w:val="single" w:sz="8" w:space="0" w:color="auto"/>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b/>
                <w:bCs/>
                <w:color w:val="000000"/>
                <w:szCs w:val="24"/>
              </w:rPr>
            </w:pPr>
            <w:r w:rsidRPr="004B48D8">
              <w:rPr>
                <w:b/>
                <w:bCs/>
                <w:color w:val="000000"/>
                <w:szCs w:val="24"/>
              </w:rPr>
              <w:t>(%)</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Automotive</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21</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5.37%</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Aerospace</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14</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3.58%</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Apparel / Textiles</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18</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4.60%</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Appliances</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23</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5.88%</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Electronics</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39</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9.97%</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Industrial Products</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59</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15.09%</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Chemicals/plastics</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28</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7.16%</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Consumer Packaged Goods</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72</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18.41%</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Medical/Pharmaceutical</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63</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16.11%</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color w:val="000000"/>
                <w:szCs w:val="24"/>
              </w:rPr>
            </w:pPr>
            <w:r w:rsidRPr="004B48D8">
              <w:rPr>
                <w:color w:val="000000"/>
                <w:szCs w:val="24"/>
              </w:rPr>
              <w:t>Other</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54</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13.81%</w:t>
            </w:r>
          </w:p>
        </w:tc>
      </w:tr>
      <w:tr w:rsidR="003F2FB2" w:rsidRPr="008D231F" w:rsidTr="00007EA8">
        <w:trPr>
          <w:trHeight w:val="315"/>
        </w:trPr>
        <w:tc>
          <w:tcPr>
            <w:tcW w:w="2985" w:type="dxa"/>
            <w:tcBorders>
              <w:top w:val="nil"/>
              <w:left w:val="single" w:sz="8" w:space="0" w:color="auto"/>
              <w:bottom w:val="single" w:sz="8" w:space="0" w:color="auto"/>
              <w:right w:val="single" w:sz="8" w:space="0" w:color="auto"/>
            </w:tcBorders>
            <w:shd w:val="clear" w:color="auto" w:fill="auto"/>
            <w:noWrap/>
            <w:vAlign w:val="bottom"/>
            <w:hideMark/>
          </w:tcPr>
          <w:p w:rsidR="003F2FB2" w:rsidRPr="004B48D8" w:rsidRDefault="003F2FB2" w:rsidP="00007EA8">
            <w:pPr>
              <w:rPr>
                <w:b/>
                <w:bCs/>
                <w:color w:val="000000"/>
                <w:szCs w:val="24"/>
              </w:rPr>
            </w:pPr>
            <w:r w:rsidRPr="004B48D8">
              <w:rPr>
                <w:b/>
                <w:bCs/>
                <w:color w:val="000000"/>
                <w:szCs w:val="24"/>
              </w:rPr>
              <w:t>TOTAL</w:t>
            </w:r>
          </w:p>
        </w:tc>
        <w:tc>
          <w:tcPr>
            <w:tcW w:w="1735"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b/>
                <w:bCs/>
                <w:color w:val="000000"/>
                <w:szCs w:val="24"/>
              </w:rPr>
            </w:pPr>
            <w:r w:rsidRPr="004B48D8">
              <w:rPr>
                <w:b/>
                <w:bCs/>
                <w:color w:val="000000"/>
                <w:szCs w:val="24"/>
              </w:rPr>
              <w:t>391</w:t>
            </w:r>
          </w:p>
        </w:tc>
        <w:tc>
          <w:tcPr>
            <w:tcW w:w="1940"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b/>
                <w:bCs/>
                <w:color w:val="000000"/>
                <w:szCs w:val="24"/>
              </w:rPr>
            </w:pPr>
            <w:r w:rsidRPr="004B48D8">
              <w:rPr>
                <w:b/>
                <w:bCs/>
                <w:color w:val="000000"/>
                <w:szCs w:val="24"/>
              </w:rPr>
              <w:t>100.00%</w:t>
            </w:r>
          </w:p>
        </w:tc>
      </w:tr>
    </w:tbl>
    <w:p w:rsidR="003F2FB2" w:rsidRDefault="003F2FB2" w:rsidP="003F2FB2">
      <w:pPr>
        <w:spacing w:line="480" w:lineRule="auto"/>
        <w:ind w:firstLine="720"/>
      </w:pPr>
    </w:p>
    <w:p w:rsidR="003F2FB2" w:rsidRDefault="003F2FB2" w:rsidP="003F2FB2">
      <w:pPr>
        <w:spacing w:line="480" w:lineRule="auto"/>
        <w:ind w:firstLine="720"/>
      </w:pPr>
      <w:r>
        <w:t>Annual sales statistics for the companies represented by the survey participants was also collected. The majority of the main test participants (more than 57%) reported they worked for firms with approximate annual sales of between $1 million and $500 million. Another 14% reported approximate annual sales revenue of between $501 million and $1 billion. Almost 28% of participants worked for firms with approximate annual sales of more than $1 billion while the remaining less than 1% of participants worked for firms with annual sales of less than $1 million. The res</w:t>
      </w:r>
      <w:r w:rsidR="00BC6A39">
        <w:t>ults are summarized in Table 4.6</w:t>
      </w:r>
      <w:r>
        <w:t xml:space="preserve">. </w:t>
      </w:r>
    </w:p>
    <w:p w:rsidR="003F2FB2" w:rsidRDefault="003F2FB2" w:rsidP="003F2FB2">
      <w:pPr>
        <w:pStyle w:val="Caption"/>
        <w:jc w:val="center"/>
        <w:rPr>
          <w:sz w:val="24"/>
          <w:szCs w:val="24"/>
        </w:rPr>
      </w:pPr>
      <w:bookmarkStart w:id="1" w:name="_Toc199998069"/>
      <w:bookmarkStart w:id="2" w:name="_Toc201421761"/>
    </w:p>
    <w:p w:rsidR="003F2FB2" w:rsidRDefault="003F2FB2" w:rsidP="003F2FB2">
      <w:pPr>
        <w:pStyle w:val="Caption"/>
        <w:jc w:val="center"/>
        <w:rPr>
          <w:sz w:val="24"/>
          <w:szCs w:val="24"/>
        </w:rPr>
      </w:pPr>
      <w:r w:rsidRPr="00370AB8">
        <w:rPr>
          <w:sz w:val="24"/>
          <w:szCs w:val="24"/>
        </w:rPr>
        <w:t xml:space="preserve">Table </w:t>
      </w:r>
      <w:r w:rsidR="00BC6A39">
        <w:rPr>
          <w:sz w:val="24"/>
          <w:szCs w:val="24"/>
        </w:rPr>
        <w:t>4.6</w:t>
      </w:r>
      <w:r>
        <w:rPr>
          <w:sz w:val="24"/>
          <w:szCs w:val="24"/>
        </w:rPr>
        <w:t xml:space="preserve"> Annual Sales of Participatin</w:t>
      </w:r>
      <w:r w:rsidRPr="00370AB8">
        <w:rPr>
          <w:sz w:val="24"/>
          <w:szCs w:val="24"/>
        </w:rPr>
        <w:t>g Companies</w:t>
      </w:r>
      <w:bookmarkEnd w:id="1"/>
      <w:bookmarkEnd w:id="2"/>
    </w:p>
    <w:p w:rsidR="003F2FB2" w:rsidRPr="00197DEB" w:rsidRDefault="003F2FB2" w:rsidP="003F2FB2"/>
    <w:tbl>
      <w:tblPr>
        <w:tblW w:w="5595" w:type="dxa"/>
        <w:tblInd w:w="93" w:type="dxa"/>
        <w:tblLook w:val="04A0"/>
      </w:tblPr>
      <w:tblGrid>
        <w:gridCol w:w="3169"/>
        <w:gridCol w:w="1310"/>
        <w:gridCol w:w="1116"/>
      </w:tblGrid>
      <w:tr w:rsidR="003F2FB2" w:rsidRPr="004B48D8" w:rsidTr="004B48D8">
        <w:trPr>
          <w:cantSplit/>
          <w:trHeight w:val="510"/>
        </w:trPr>
        <w:tc>
          <w:tcPr>
            <w:tcW w:w="3274" w:type="dxa"/>
            <w:tcBorders>
              <w:top w:val="single" w:sz="8" w:space="0" w:color="auto"/>
              <w:left w:val="single" w:sz="8" w:space="0" w:color="auto"/>
              <w:bottom w:val="single" w:sz="8" w:space="0" w:color="auto"/>
              <w:right w:val="single" w:sz="4" w:space="0" w:color="auto"/>
            </w:tcBorders>
            <w:shd w:val="clear" w:color="000000" w:fill="FFFFFF"/>
            <w:hideMark/>
          </w:tcPr>
          <w:p w:rsidR="003F2FB2" w:rsidRPr="004B48D8" w:rsidRDefault="004B48D8" w:rsidP="004B48D8">
            <w:pPr>
              <w:jc w:val="center"/>
              <w:rPr>
                <w:b/>
                <w:bCs/>
                <w:color w:val="000000"/>
                <w:szCs w:val="24"/>
              </w:rPr>
            </w:pPr>
            <w:r>
              <w:rPr>
                <w:b/>
                <w:bCs/>
                <w:color w:val="000000"/>
                <w:szCs w:val="24"/>
              </w:rPr>
              <w:t>Annual sales</w:t>
            </w:r>
          </w:p>
        </w:tc>
        <w:tc>
          <w:tcPr>
            <w:tcW w:w="1310" w:type="dxa"/>
            <w:tcBorders>
              <w:top w:val="single" w:sz="8" w:space="0" w:color="auto"/>
              <w:left w:val="nil"/>
              <w:bottom w:val="single" w:sz="8" w:space="0" w:color="auto"/>
              <w:right w:val="single" w:sz="4" w:space="0" w:color="auto"/>
            </w:tcBorders>
            <w:shd w:val="clear" w:color="000000" w:fill="FFFFFF"/>
            <w:vAlign w:val="bottom"/>
            <w:hideMark/>
          </w:tcPr>
          <w:p w:rsidR="003F2FB2" w:rsidRPr="004B48D8" w:rsidRDefault="003F2FB2" w:rsidP="004B48D8">
            <w:pPr>
              <w:jc w:val="center"/>
              <w:rPr>
                <w:b/>
                <w:bCs/>
                <w:color w:val="000000"/>
                <w:szCs w:val="24"/>
              </w:rPr>
            </w:pPr>
            <w:r w:rsidRPr="004B48D8">
              <w:rPr>
                <w:b/>
                <w:bCs/>
                <w:color w:val="000000"/>
                <w:szCs w:val="24"/>
              </w:rPr>
              <w:t>Frequency</w:t>
            </w:r>
          </w:p>
        </w:tc>
        <w:tc>
          <w:tcPr>
            <w:tcW w:w="1011" w:type="dxa"/>
            <w:tcBorders>
              <w:top w:val="single" w:sz="8" w:space="0" w:color="auto"/>
              <w:left w:val="nil"/>
              <w:bottom w:val="single" w:sz="8" w:space="0" w:color="auto"/>
              <w:right w:val="single" w:sz="8" w:space="0" w:color="auto"/>
            </w:tcBorders>
            <w:shd w:val="clear" w:color="000000" w:fill="FFFFFF"/>
            <w:vAlign w:val="bottom"/>
            <w:hideMark/>
          </w:tcPr>
          <w:p w:rsidR="003F2FB2" w:rsidRPr="004B48D8" w:rsidRDefault="003F2FB2" w:rsidP="004B48D8">
            <w:pPr>
              <w:jc w:val="center"/>
              <w:rPr>
                <w:b/>
                <w:bCs/>
                <w:color w:val="000000"/>
                <w:szCs w:val="24"/>
              </w:rPr>
            </w:pPr>
            <w:r w:rsidRPr="004B48D8">
              <w:rPr>
                <w:b/>
                <w:bCs/>
                <w:color w:val="000000"/>
                <w:szCs w:val="24"/>
              </w:rPr>
              <w:t>Percent</w:t>
            </w:r>
          </w:p>
        </w:tc>
      </w:tr>
      <w:tr w:rsidR="003F2FB2" w:rsidRPr="004B48D8" w:rsidTr="004B48D8">
        <w:trPr>
          <w:cantSplit/>
          <w:trHeight w:val="300"/>
        </w:trPr>
        <w:tc>
          <w:tcPr>
            <w:tcW w:w="3274"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4B48D8">
            <w:pPr>
              <w:jc w:val="center"/>
              <w:rPr>
                <w:color w:val="000000"/>
                <w:szCs w:val="24"/>
              </w:rPr>
            </w:pPr>
            <w:r w:rsidRPr="004B48D8">
              <w:rPr>
                <w:color w:val="000000"/>
                <w:szCs w:val="24"/>
              </w:rPr>
              <w:t>Less than $1 million</w:t>
            </w:r>
          </w:p>
        </w:tc>
        <w:tc>
          <w:tcPr>
            <w:tcW w:w="1310" w:type="dxa"/>
            <w:tcBorders>
              <w:top w:val="nil"/>
              <w:left w:val="nil"/>
              <w:bottom w:val="single" w:sz="4" w:space="0" w:color="auto"/>
              <w:right w:val="single" w:sz="4"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3</w:t>
            </w:r>
          </w:p>
        </w:tc>
        <w:tc>
          <w:tcPr>
            <w:tcW w:w="1011" w:type="dxa"/>
            <w:tcBorders>
              <w:top w:val="nil"/>
              <w:left w:val="nil"/>
              <w:bottom w:val="single" w:sz="4"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0.77%</w:t>
            </w:r>
          </w:p>
        </w:tc>
      </w:tr>
      <w:tr w:rsidR="003F2FB2" w:rsidRPr="004B48D8" w:rsidTr="004B48D8">
        <w:trPr>
          <w:cantSplit/>
          <w:trHeight w:val="300"/>
        </w:trPr>
        <w:tc>
          <w:tcPr>
            <w:tcW w:w="3274"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4B48D8">
            <w:pPr>
              <w:jc w:val="center"/>
              <w:rPr>
                <w:color w:val="000000"/>
                <w:szCs w:val="24"/>
              </w:rPr>
            </w:pPr>
            <w:r w:rsidRPr="004B48D8">
              <w:rPr>
                <w:color w:val="000000"/>
                <w:szCs w:val="24"/>
              </w:rPr>
              <w:t>$1-50 million</w:t>
            </w:r>
          </w:p>
        </w:tc>
        <w:tc>
          <w:tcPr>
            <w:tcW w:w="1310" w:type="dxa"/>
            <w:tcBorders>
              <w:top w:val="nil"/>
              <w:left w:val="nil"/>
              <w:bottom w:val="single" w:sz="4" w:space="0" w:color="auto"/>
              <w:right w:val="single" w:sz="4"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99</w:t>
            </w:r>
          </w:p>
        </w:tc>
        <w:tc>
          <w:tcPr>
            <w:tcW w:w="1011" w:type="dxa"/>
            <w:tcBorders>
              <w:top w:val="nil"/>
              <w:left w:val="nil"/>
              <w:bottom w:val="single" w:sz="4"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25.32%</w:t>
            </w:r>
          </w:p>
        </w:tc>
      </w:tr>
      <w:tr w:rsidR="003F2FB2" w:rsidRPr="004B48D8" w:rsidTr="004B48D8">
        <w:trPr>
          <w:cantSplit/>
          <w:trHeight w:val="300"/>
        </w:trPr>
        <w:tc>
          <w:tcPr>
            <w:tcW w:w="3274"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4B48D8">
            <w:pPr>
              <w:jc w:val="center"/>
              <w:rPr>
                <w:color w:val="000000"/>
                <w:szCs w:val="24"/>
              </w:rPr>
            </w:pPr>
            <w:r w:rsidRPr="004B48D8">
              <w:rPr>
                <w:color w:val="000000"/>
                <w:szCs w:val="24"/>
              </w:rPr>
              <w:t>$51-500 million</w:t>
            </w:r>
          </w:p>
        </w:tc>
        <w:tc>
          <w:tcPr>
            <w:tcW w:w="1310" w:type="dxa"/>
            <w:tcBorders>
              <w:top w:val="nil"/>
              <w:left w:val="nil"/>
              <w:bottom w:val="single" w:sz="4" w:space="0" w:color="auto"/>
              <w:right w:val="single" w:sz="4"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125</w:t>
            </w:r>
          </w:p>
        </w:tc>
        <w:tc>
          <w:tcPr>
            <w:tcW w:w="1011" w:type="dxa"/>
            <w:tcBorders>
              <w:top w:val="nil"/>
              <w:left w:val="nil"/>
              <w:bottom w:val="single" w:sz="4"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31.97%</w:t>
            </w:r>
          </w:p>
        </w:tc>
      </w:tr>
      <w:tr w:rsidR="003F2FB2" w:rsidRPr="004B48D8" w:rsidTr="004B48D8">
        <w:trPr>
          <w:cantSplit/>
          <w:trHeight w:val="300"/>
        </w:trPr>
        <w:tc>
          <w:tcPr>
            <w:tcW w:w="3274"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4B48D8">
            <w:pPr>
              <w:jc w:val="center"/>
              <w:rPr>
                <w:color w:val="000000"/>
                <w:szCs w:val="24"/>
              </w:rPr>
            </w:pPr>
            <w:r w:rsidRPr="004B48D8">
              <w:rPr>
                <w:color w:val="000000"/>
                <w:szCs w:val="24"/>
              </w:rPr>
              <w:t>$501 million - $1 billion</w:t>
            </w:r>
          </w:p>
        </w:tc>
        <w:tc>
          <w:tcPr>
            <w:tcW w:w="1310" w:type="dxa"/>
            <w:tcBorders>
              <w:top w:val="nil"/>
              <w:left w:val="nil"/>
              <w:bottom w:val="single" w:sz="4" w:space="0" w:color="auto"/>
              <w:right w:val="single" w:sz="4"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55</w:t>
            </w:r>
          </w:p>
        </w:tc>
        <w:tc>
          <w:tcPr>
            <w:tcW w:w="1011" w:type="dxa"/>
            <w:tcBorders>
              <w:top w:val="nil"/>
              <w:left w:val="nil"/>
              <w:bottom w:val="single" w:sz="4"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14.07%</w:t>
            </w:r>
          </w:p>
        </w:tc>
      </w:tr>
      <w:tr w:rsidR="003F2FB2" w:rsidRPr="004B48D8" w:rsidTr="004B48D8">
        <w:trPr>
          <w:cantSplit/>
          <w:trHeight w:val="300"/>
        </w:trPr>
        <w:tc>
          <w:tcPr>
            <w:tcW w:w="3274" w:type="dxa"/>
            <w:tcBorders>
              <w:top w:val="nil"/>
              <w:left w:val="single" w:sz="8" w:space="0" w:color="auto"/>
              <w:bottom w:val="single" w:sz="4" w:space="0" w:color="auto"/>
              <w:right w:val="single" w:sz="4" w:space="0" w:color="auto"/>
            </w:tcBorders>
            <w:shd w:val="clear" w:color="000000" w:fill="FFFFFF"/>
            <w:hideMark/>
          </w:tcPr>
          <w:p w:rsidR="003F2FB2" w:rsidRPr="004B48D8" w:rsidRDefault="003F2FB2" w:rsidP="004B48D8">
            <w:pPr>
              <w:jc w:val="center"/>
              <w:rPr>
                <w:color w:val="000000"/>
                <w:szCs w:val="24"/>
              </w:rPr>
            </w:pPr>
            <w:r w:rsidRPr="004B48D8">
              <w:rPr>
                <w:color w:val="000000"/>
                <w:szCs w:val="24"/>
              </w:rPr>
              <w:t>Greater than $1 billion</w:t>
            </w:r>
          </w:p>
        </w:tc>
        <w:tc>
          <w:tcPr>
            <w:tcW w:w="1310" w:type="dxa"/>
            <w:tcBorders>
              <w:top w:val="nil"/>
              <w:left w:val="nil"/>
              <w:bottom w:val="single" w:sz="4" w:space="0" w:color="auto"/>
              <w:right w:val="single" w:sz="4"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109</w:t>
            </w:r>
          </w:p>
        </w:tc>
        <w:tc>
          <w:tcPr>
            <w:tcW w:w="1011" w:type="dxa"/>
            <w:tcBorders>
              <w:top w:val="nil"/>
              <w:left w:val="nil"/>
              <w:bottom w:val="single" w:sz="4" w:space="0" w:color="auto"/>
              <w:right w:val="single" w:sz="8" w:space="0" w:color="auto"/>
            </w:tcBorders>
            <w:shd w:val="clear" w:color="auto" w:fill="auto"/>
            <w:noWrap/>
            <w:vAlign w:val="bottom"/>
            <w:hideMark/>
          </w:tcPr>
          <w:p w:rsidR="003F2FB2" w:rsidRPr="004B48D8" w:rsidRDefault="003F2FB2" w:rsidP="004B48D8">
            <w:pPr>
              <w:jc w:val="center"/>
              <w:rPr>
                <w:color w:val="000000"/>
                <w:szCs w:val="24"/>
              </w:rPr>
            </w:pPr>
            <w:r w:rsidRPr="004B48D8">
              <w:rPr>
                <w:color w:val="000000"/>
                <w:szCs w:val="24"/>
              </w:rPr>
              <w:t>27.88%</w:t>
            </w:r>
          </w:p>
        </w:tc>
      </w:tr>
      <w:tr w:rsidR="003F2FB2" w:rsidRPr="004B48D8" w:rsidTr="004B48D8">
        <w:trPr>
          <w:cantSplit/>
          <w:trHeight w:val="315"/>
        </w:trPr>
        <w:tc>
          <w:tcPr>
            <w:tcW w:w="3274" w:type="dxa"/>
            <w:tcBorders>
              <w:top w:val="nil"/>
              <w:left w:val="single" w:sz="8" w:space="0" w:color="auto"/>
              <w:bottom w:val="single" w:sz="8" w:space="0" w:color="auto"/>
              <w:right w:val="single" w:sz="4" w:space="0" w:color="auto"/>
            </w:tcBorders>
            <w:shd w:val="clear" w:color="000000" w:fill="FFFFFF"/>
            <w:hideMark/>
          </w:tcPr>
          <w:p w:rsidR="003F2FB2" w:rsidRPr="004B48D8" w:rsidRDefault="003F2FB2" w:rsidP="004B48D8">
            <w:pPr>
              <w:jc w:val="center"/>
              <w:rPr>
                <w:b/>
                <w:color w:val="000000"/>
                <w:szCs w:val="24"/>
              </w:rPr>
            </w:pPr>
            <w:r w:rsidRPr="004B48D8">
              <w:rPr>
                <w:b/>
                <w:color w:val="000000"/>
                <w:szCs w:val="24"/>
              </w:rPr>
              <w:t>Total</w:t>
            </w:r>
          </w:p>
        </w:tc>
        <w:tc>
          <w:tcPr>
            <w:tcW w:w="1310" w:type="dxa"/>
            <w:tcBorders>
              <w:top w:val="nil"/>
              <w:left w:val="nil"/>
              <w:bottom w:val="single" w:sz="8" w:space="0" w:color="auto"/>
              <w:right w:val="single" w:sz="4" w:space="0" w:color="auto"/>
            </w:tcBorders>
            <w:shd w:val="clear" w:color="auto" w:fill="auto"/>
            <w:noWrap/>
            <w:vAlign w:val="bottom"/>
            <w:hideMark/>
          </w:tcPr>
          <w:p w:rsidR="003F2FB2" w:rsidRPr="004B48D8" w:rsidRDefault="003F2FB2" w:rsidP="004B48D8">
            <w:pPr>
              <w:jc w:val="center"/>
              <w:rPr>
                <w:b/>
                <w:color w:val="000000"/>
                <w:szCs w:val="24"/>
              </w:rPr>
            </w:pPr>
            <w:r w:rsidRPr="004B48D8">
              <w:rPr>
                <w:b/>
                <w:color w:val="000000"/>
                <w:szCs w:val="24"/>
              </w:rPr>
              <w:t>391</w:t>
            </w:r>
          </w:p>
        </w:tc>
        <w:tc>
          <w:tcPr>
            <w:tcW w:w="1011" w:type="dxa"/>
            <w:tcBorders>
              <w:top w:val="nil"/>
              <w:left w:val="nil"/>
              <w:bottom w:val="single" w:sz="8" w:space="0" w:color="auto"/>
              <w:right w:val="single" w:sz="8" w:space="0" w:color="auto"/>
            </w:tcBorders>
            <w:shd w:val="clear" w:color="auto" w:fill="auto"/>
            <w:noWrap/>
            <w:vAlign w:val="bottom"/>
            <w:hideMark/>
          </w:tcPr>
          <w:p w:rsidR="003F2FB2" w:rsidRPr="004B48D8" w:rsidRDefault="003F2FB2" w:rsidP="004B48D8">
            <w:pPr>
              <w:jc w:val="center"/>
              <w:rPr>
                <w:b/>
                <w:color w:val="000000"/>
                <w:szCs w:val="24"/>
              </w:rPr>
            </w:pPr>
            <w:r w:rsidRPr="004B48D8">
              <w:rPr>
                <w:b/>
                <w:color w:val="000000"/>
                <w:szCs w:val="24"/>
              </w:rPr>
              <w:t>100.00%</w:t>
            </w:r>
          </w:p>
        </w:tc>
      </w:tr>
    </w:tbl>
    <w:p w:rsidR="003F2FB2" w:rsidRDefault="003F2FB2" w:rsidP="003F2FB2">
      <w:pPr>
        <w:spacing w:line="480" w:lineRule="auto"/>
        <w:ind w:firstLine="720"/>
      </w:pPr>
    </w:p>
    <w:p w:rsidR="003F2FB2" w:rsidRDefault="003F2FB2" w:rsidP="003F2FB2">
      <w:pPr>
        <w:spacing w:line="480" w:lineRule="auto"/>
        <w:ind w:firstLine="720"/>
      </w:pPr>
      <w:r>
        <w:t>An average respondent had approximately 14.5 years of related experience. Only 29 respondents had less than 5 years of related industry experience. Similarly to the pre-test results, the majority of respondents reported job titles at the manager or higher level representing supply chain management, logistics, and purchasing functions. Overall, responses to the questions related to experience, job responsibilities, and knowledge of the participants lend confidence to the suitability of these respondents as the key informants in this research.</w:t>
      </w:r>
    </w:p>
    <w:p w:rsidR="000209E9" w:rsidRDefault="000209E9" w:rsidP="003F2FB2">
      <w:pPr>
        <w:spacing w:before="240" w:line="480" w:lineRule="auto"/>
      </w:pPr>
    </w:p>
    <w:p w:rsidR="003F2FB2" w:rsidRDefault="003F2FB2" w:rsidP="003F2FB2">
      <w:pPr>
        <w:spacing w:before="240" w:line="480" w:lineRule="auto"/>
      </w:pPr>
      <w:r>
        <w:t>EVALUATION OF MEASUREMENT ITEMS</w:t>
      </w:r>
    </w:p>
    <w:p w:rsidR="003F2FB2" w:rsidRDefault="003F2FB2" w:rsidP="003F2FB2">
      <w:pPr>
        <w:pStyle w:val="dissertationtext"/>
        <w:spacing w:line="480" w:lineRule="auto"/>
        <w:ind w:firstLine="720"/>
      </w:pPr>
      <w:r>
        <w:t>A combination of statistical tests and modeling techniques was used in order to evaluate the psychometric properties of the latent variables in the proposed variance model and assess</w:t>
      </w:r>
      <w:r w:rsidRPr="00210D51">
        <w:t xml:space="preserve"> </w:t>
      </w:r>
      <w:r>
        <w:t xml:space="preserve">the </w:t>
      </w:r>
      <w:r w:rsidRPr="00210D51">
        <w:t>u</w:t>
      </w:r>
      <w:r>
        <w:t>nidimensionality, validity and</w:t>
      </w:r>
      <w:r w:rsidRPr="00210D51">
        <w:t xml:space="preserve"> reliability</w:t>
      </w:r>
      <w:r>
        <w:t xml:space="preserve"> of all measures (</w:t>
      </w:r>
      <w:proofErr w:type="spellStart"/>
      <w:r>
        <w:t>Garver</w:t>
      </w:r>
      <w:proofErr w:type="spellEnd"/>
      <w:r>
        <w:t xml:space="preserve"> and </w:t>
      </w:r>
      <w:proofErr w:type="spellStart"/>
      <w:r>
        <w:t>Mentzer</w:t>
      </w:r>
      <w:proofErr w:type="spellEnd"/>
      <w:r>
        <w:t xml:space="preserve"> 1999). SPSS 18 and AMOS 18 statistical software packages were used for the purposes of model development </w:t>
      </w:r>
      <w:r>
        <w:lastRenderedPageBreak/>
        <w:t xml:space="preserve">and statistical analysis. More specifically, the analysis started with first-generation statistical techniques such as principal component factor analysis (PCA), </w:t>
      </w:r>
      <w:proofErr w:type="spellStart"/>
      <w:r>
        <w:t>Cronbach’s</w:t>
      </w:r>
      <w:proofErr w:type="spellEnd"/>
      <w:r>
        <w:t xml:space="preserve"> alpha coefficient estimation and analysis of correlation matrices. It was followed by more robust approaches available within the confirmatory factor analysis component of SEM (Anderson and </w:t>
      </w:r>
      <w:proofErr w:type="spellStart"/>
      <w:r>
        <w:t>Gerbing</w:t>
      </w:r>
      <w:proofErr w:type="spellEnd"/>
      <w:r>
        <w:t xml:space="preserve"> 1982, </w:t>
      </w:r>
      <w:proofErr w:type="spellStart"/>
      <w:r>
        <w:t>Gerbing</w:t>
      </w:r>
      <w:proofErr w:type="spellEnd"/>
      <w:r>
        <w:t xml:space="preserve"> and Anderson 1988). </w:t>
      </w:r>
    </w:p>
    <w:p w:rsidR="003F2FB2" w:rsidRDefault="003F2FB2" w:rsidP="003F2FB2">
      <w:pPr>
        <w:spacing w:line="480" w:lineRule="auto"/>
        <w:rPr>
          <w:lang w:eastAsia="zh-CN"/>
        </w:rPr>
      </w:pPr>
      <w:r>
        <w:rPr>
          <w:lang w:eastAsia="zh-CN"/>
        </w:rPr>
        <w:tab/>
        <w:t>Multiple criteria developed in the literature (</w:t>
      </w:r>
      <w:proofErr w:type="spellStart"/>
      <w:r>
        <w:rPr>
          <w:lang w:eastAsia="zh-CN"/>
        </w:rPr>
        <w:t>Garver</w:t>
      </w:r>
      <w:proofErr w:type="spellEnd"/>
      <w:r>
        <w:rPr>
          <w:lang w:eastAsia="zh-CN"/>
        </w:rPr>
        <w:t xml:space="preserve"> and </w:t>
      </w:r>
      <w:proofErr w:type="spellStart"/>
      <w:r>
        <w:rPr>
          <w:lang w:eastAsia="zh-CN"/>
        </w:rPr>
        <w:t>Mentzer</w:t>
      </w:r>
      <w:proofErr w:type="spellEnd"/>
      <w:r>
        <w:rPr>
          <w:lang w:eastAsia="zh-CN"/>
        </w:rPr>
        <w:t xml:space="preserve"> 1999, Shook et al. 2004) were used to evaluate the goodness of fit of the models. More specifically, the following list of assessment metrics and their heuristics were used in this research as specific guidelines for model fit evaluation and comparison:</w:t>
      </w:r>
    </w:p>
    <w:p w:rsidR="003F2FB2" w:rsidRDefault="003F2FB2" w:rsidP="007743FB">
      <w:pPr>
        <w:pStyle w:val="dissertationtext"/>
        <w:numPr>
          <w:ilvl w:val="0"/>
          <w:numId w:val="54"/>
        </w:numPr>
        <w:spacing w:line="480" w:lineRule="auto"/>
        <w:jc w:val="both"/>
      </w:pPr>
      <w:r w:rsidRPr="008E0867">
        <w:rPr>
          <w:u w:val="single"/>
        </w:rPr>
        <w:t xml:space="preserve">The chi-Square (χ2) goodness of fit </w:t>
      </w:r>
      <w:r>
        <w:t>is known as an</w:t>
      </w:r>
      <w:r w:rsidRPr="008E0867">
        <w:t xml:space="preserve"> absolute measure of fit indicating the degree to which the estimated model corresponds with the pattern of variances and </w:t>
      </w:r>
      <w:proofErr w:type="spellStart"/>
      <w:r w:rsidRPr="008E0867">
        <w:t>covariances</w:t>
      </w:r>
      <w:proofErr w:type="spellEnd"/>
      <w:r w:rsidRPr="008E0867">
        <w:t xml:space="preserve"> in the observed data. </w:t>
      </w:r>
      <w:r>
        <w:t>At the same time, the</w:t>
      </w:r>
      <w:r w:rsidRPr="008E0867">
        <w:t xml:space="preserve"> χ</w:t>
      </w:r>
      <w:r w:rsidRPr="008E0867">
        <w:rPr>
          <w:position w:val="10"/>
          <w:vertAlign w:val="superscript"/>
        </w:rPr>
        <w:t xml:space="preserve">2 </w:t>
      </w:r>
      <w:r w:rsidRPr="008E0867">
        <w:rPr>
          <w:i/>
          <w:iCs/>
        </w:rPr>
        <w:t xml:space="preserve">difference </w:t>
      </w:r>
      <w:r w:rsidRPr="008E0867">
        <w:t xml:space="preserve">test is commonly used as a measure of incremental fit for comparing nested models, e.g., testing for measurement invariance across groups. </w:t>
      </w:r>
      <w:r>
        <w:t>While</w:t>
      </w:r>
      <w:r w:rsidRPr="008E0867">
        <w:t xml:space="preserve"> a significant finding </w:t>
      </w:r>
      <w:r>
        <w:t xml:space="preserve">usually </w:t>
      </w:r>
      <w:r w:rsidRPr="008E0867">
        <w:t xml:space="preserve">indicates </w:t>
      </w:r>
      <w:r>
        <w:t>the lack of fit, it is important to remember that this test is very</w:t>
      </w:r>
      <w:r w:rsidRPr="008E0867">
        <w:t xml:space="preserve"> sensitive to sample size, i.e. the larger the sample size, the more likely negligible and unimportant departures will be detected (Cochran 1952; </w:t>
      </w:r>
      <w:proofErr w:type="spellStart"/>
      <w:r w:rsidRPr="008E0867">
        <w:t>Gulliksen</w:t>
      </w:r>
      <w:proofErr w:type="spellEnd"/>
      <w:r w:rsidRPr="008E0867">
        <w:t xml:space="preserve"> and </w:t>
      </w:r>
      <w:proofErr w:type="spellStart"/>
      <w:r w:rsidRPr="008E0867">
        <w:t>Tukey</w:t>
      </w:r>
      <w:proofErr w:type="spellEnd"/>
      <w:r w:rsidRPr="008E0867">
        <w:t xml:space="preserve"> 1958). </w:t>
      </w:r>
      <w:r>
        <w:t xml:space="preserve">Therefore, </w:t>
      </w:r>
      <w:r w:rsidRPr="008E0867">
        <w:t xml:space="preserve">the chi-square </w:t>
      </w:r>
      <w:r>
        <w:t xml:space="preserve">test is usually used in combination with other fit indices, such as CFI or RMSEA and should be interpreted carefully in light of other statistical results (Mullen 1995, </w:t>
      </w:r>
      <w:proofErr w:type="spellStart"/>
      <w:r>
        <w:t>Garver</w:t>
      </w:r>
      <w:proofErr w:type="spellEnd"/>
      <w:r>
        <w:t xml:space="preserve"> and </w:t>
      </w:r>
      <w:proofErr w:type="spellStart"/>
      <w:r>
        <w:t>Mentzer</w:t>
      </w:r>
      <w:proofErr w:type="spellEnd"/>
      <w:r>
        <w:t xml:space="preserve"> 1999).</w:t>
      </w:r>
    </w:p>
    <w:p w:rsidR="003F2FB2" w:rsidRDefault="003F2FB2" w:rsidP="007743FB">
      <w:pPr>
        <w:numPr>
          <w:ilvl w:val="0"/>
          <w:numId w:val="54"/>
        </w:numPr>
        <w:spacing w:after="0" w:line="480" w:lineRule="auto"/>
        <w:rPr>
          <w:lang w:eastAsia="zh-CN"/>
        </w:rPr>
      </w:pPr>
      <w:r w:rsidRPr="008E0867">
        <w:rPr>
          <w:u w:val="single"/>
        </w:rPr>
        <w:t>The chi-square ratio (CMIN/</w:t>
      </w:r>
      <w:proofErr w:type="spellStart"/>
      <w:r w:rsidRPr="008E0867">
        <w:rPr>
          <w:u w:val="single"/>
        </w:rPr>
        <w:t>df</w:t>
      </w:r>
      <w:proofErr w:type="spellEnd"/>
      <w:r w:rsidRPr="008E0867">
        <w:rPr>
          <w:u w:val="single"/>
        </w:rPr>
        <w:t>)</w:t>
      </w:r>
      <w:r>
        <w:rPr>
          <w:u w:val="single"/>
        </w:rPr>
        <w:t xml:space="preserve"> </w:t>
      </w:r>
      <w:r w:rsidRPr="008E0867">
        <w:rPr>
          <w:u w:val="single"/>
        </w:rPr>
        <w:t xml:space="preserve"> </w:t>
      </w:r>
      <w:r>
        <w:t xml:space="preserve"> takes degrees of freedom into consideration and therefore not as dependent on sample size</w:t>
      </w:r>
      <w:r w:rsidRPr="008E0867">
        <w:t xml:space="preserve"> </w:t>
      </w:r>
      <w:r>
        <w:t xml:space="preserve">as the chi-square fit index by itself. This ratio is calculated as </w:t>
      </w:r>
      <w:r w:rsidRPr="008E0867">
        <w:t>the chi-square fit index divided by degrees of freedom</w:t>
      </w:r>
      <w:r>
        <w:t xml:space="preserve">. Some </w:t>
      </w:r>
      <w:r>
        <w:lastRenderedPageBreak/>
        <w:t>authors consider r</w:t>
      </w:r>
      <w:r w:rsidRPr="008E0867">
        <w:t xml:space="preserve">atios in the range of two to five </w:t>
      </w:r>
      <w:r>
        <w:t xml:space="preserve">as acceptable measures of fit </w:t>
      </w:r>
      <w:r w:rsidRPr="008E0867">
        <w:t xml:space="preserve">(Hair et al. 1998), </w:t>
      </w:r>
      <w:r>
        <w:t>while</w:t>
      </w:r>
      <w:r w:rsidRPr="008E0867">
        <w:t xml:space="preserve"> others </w:t>
      </w:r>
      <w:r>
        <w:t xml:space="preserve">suggest a more conservative approach to evaluation recommending the range of this ratio to be no </w:t>
      </w:r>
      <w:proofErr w:type="spellStart"/>
      <w:r>
        <w:t>too</w:t>
      </w:r>
      <w:proofErr w:type="spellEnd"/>
      <w:r>
        <w:t xml:space="preserve"> exceed two to three </w:t>
      </w:r>
      <w:r w:rsidRPr="008E0867">
        <w:t>threshold (Kline 1998).</w:t>
      </w:r>
    </w:p>
    <w:p w:rsidR="003F2FB2" w:rsidRDefault="003F2FB2" w:rsidP="007743FB">
      <w:pPr>
        <w:numPr>
          <w:ilvl w:val="0"/>
          <w:numId w:val="54"/>
        </w:numPr>
        <w:spacing w:after="0" w:line="480" w:lineRule="auto"/>
        <w:rPr>
          <w:lang w:eastAsia="zh-CN"/>
        </w:rPr>
      </w:pPr>
      <w:r w:rsidRPr="003B01F7">
        <w:rPr>
          <w:u w:val="single"/>
          <w:lang w:eastAsia="zh-CN"/>
        </w:rPr>
        <w:t>The comparative fit index (CFI)</w:t>
      </w:r>
      <w:r>
        <w:rPr>
          <w:lang w:eastAsia="zh-CN"/>
        </w:rPr>
        <w:t xml:space="preserve"> is a commonly accepted incremental statistical measure of fit. This index compares the existing model fit with a fit of the model that assumes uncorrelated latent variables. In general, CFI index could range from 0 to 1, while the value of the index greater than</w:t>
      </w:r>
      <w:r w:rsidRPr="006829DB">
        <w:rPr>
          <w:lang w:eastAsia="zh-CN"/>
        </w:rPr>
        <w:t xml:space="preserve"> </w:t>
      </w:r>
      <w:r>
        <w:rPr>
          <w:lang w:eastAsia="zh-CN"/>
        </w:rPr>
        <w:t xml:space="preserve">0.90 is generally considered as an acceptable measure of fit. Such index value could be interpreted as 90% of the </w:t>
      </w:r>
      <w:proofErr w:type="spellStart"/>
      <w:r>
        <w:rPr>
          <w:lang w:eastAsia="zh-CN"/>
        </w:rPr>
        <w:t>covariation</w:t>
      </w:r>
      <w:proofErr w:type="spellEnd"/>
      <w:r>
        <w:rPr>
          <w:lang w:eastAsia="zh-CN"/>
        </w:rPr>
        <w:t xml:space="preserve"> in the data can be reproduced by the model (</w:t>
      </w:r>
      <w:proofErr w:type="spellStart"/>
      <w:r>
        <w:rPr>
          <w:lang w:eastAsia="zh-CN"/>
        </w:rPr>
        <w:t>Medsker</w:t>
      </w:r>
      <w:proofErr w:type="spellEnd"/>
      <w:r>
        <w:rPr>
          <w:lang w:eastAsia="zh-CN"/>
        </w:rPr>
        <w:t xml:space="preserve"> et al. 1994).</w:t>
      </w:r>
    </w:p>
    <w:p w:rsidR="003F2FB2" w:rsidRDefault="003F2FB2" w:rsidP="007743FB">
      <w:pPr>
        <w:numPr>
          <w:ilvl w:val="0"/>
          <w:numId w:val="54"/>
        </w:numPr>
        <w:spacing w:after="0" w:line="480" w:lineRule="auto"/>
        <w:rPr>
          <w:lang w:eastAsia="zh-CN"/>
        </w:rPr>
      </w:pPr>
      <w:r w:rsidRPr="003B01F7">
        <w:rPr>
          <w:u w:val="single"/>
          <w:lang w:eastAsia="zh-CN"/>
        </w:rPr>
        <w:t>The Tucker-Lewis index (TLI)</w:t>
      </w:r>
      <w:r>
        <w:rPr>
          <w:lang w:eastAsia="zh-CN"/>
        </w:rPr>
        <w:t xml:space="preserve"> is another measure of fit that compares the fit of the proposed model to a null model that serves as a baseline. Additionally, this index evaluates proposed model’s parsimony by comparing the degrees of freedom of proposed and null models </w:t>
      </w:r>
      <w:proofErr w:type="gramStart"/>
      <w:r>
        <w:rPr>
          <w:lang w:eastAsia="zh-CN"/>
        </w:rPr>
        <w:t>Similarly</w:t>
      </w:r>
      <w:proofErr w:type="gramEnd"/>
      <w:r>
        <w:rPr>
          <w:lang w:eastAsia="zh-CN"/>
        </w:rPr>
        <w:t xml:space="preserve"> to the CFI index, TLI could range from 0 to and the value of the index greater than</w:t>
      </w:r>
      <w:r w:rsidRPr="006829DB">
        <w:rPr>
          <w:lang w:eastAsia="zh-CN"/>
        </w:rPr>
        <w:t xml:space="preserve"> </w:t>
      </w:r>
      <w:r>
        <w:rPr>
          <w:lang w:eastAsia="zh-CN"/>
        </w:rPr>
        <w:t>0.90 is generally considered acceptable (</w:t>
      </w:r>
      <w:proofErr w:type="spellStart"/>
      <w:r>
        <w:rPr>
          <w:lang w:eastAsia="zh-CN"/>
        </w:rPr>
        <w:t>Medsker</w:t>
      </w:r>
      <w:proofErr w:type="spellEnd"/>
      <w:r>
        <w:rPr>
          <w:lang w:eastAsia="zh-CN"/>
        </w:rPr>
        <w:t xml:space="preserve"> et al. 1994).</w:t>
      </w:r>
    </w:p>
    <w:p w:rsidR="003F2FB2" w:rsidRPr="008E0867" w:rsidRDefault="003F2FB2" w:rsidP="007743FB">
      <w:pPr>
        <w:pStyle w:val="dissertationtext"/>
        <w:numPr>
          <w:ilvl w:val="0"/>
          <w:numId w:val="54"/>
        </w:numPr>
        <w:spacing w:line="480" w:lineRule="auto"/>
        <w:jc w:val="both"/>
      </w:pPr>
      <w:r w:rsidRPr="008E0867">
        <w:rPr>
          <w:u w:val="single"/>
        </w:rPr>
        <w:t xml:space="preserve">The root mean square error of approximation (RMSEA) </w:t>
      </w:r>
      <w:r w:rsidRPr="008E0867">
        <w:t xml:space="preserve">measures absolute fit </w:t>
      </w:r>
      <w:r>
        <w:t xml:space="preserve">of the proposed model </w:t>
      </w:r>
      <w:r w:rsidRPr="008E0867">
        <w:t xml:space="preserve">by comparing the average difference per degree of freedom expected to occur in the population. </w:t>
      </w:r>
      <w:r>
        <w:t xml:space="preserve">This measure is not affected by sample size and is considered reliable. </w:t>
      </w:r>
      <w:r w:rsidRPr="008E0867">
        <w:t xml:space="preserve">RMSEA values </w:t>
      </w:r>
      <w:r>
        <w:t>between 0.08 and 0.05 (or less) are deemed acceptable (</w:t>
      </w:r>
      <w:proofErr w:type="spellStart"/>
      <w:r>
        <w:t>Medsker</w:t>
      </w:r>
      <w:proofErr w:type="spellEnd"/>
      <w:r>
        <w:t xml:space="preserve"> et a. 1994) indicating a reasonable error of approximation, while</w:t>
      </w:r>
      <w:r w:rsidRPr="008E0867">
        <w:t xml:space="preserve"> </w:t>
      </w:r>
      <w:r>
        <w:t>RMSEA values of less than</w:t>
      </w:r>
      <w:r w:rsidR="00422013">
        <w:t xml:space="preserve"> or equal to</w:t>
      </w:r>
      <w:r>
        <w:t xml:space="preserve"> 0.05 fit</w:t>
      </w:r>
      <w:r w:rsidRPr="008E0867">
        <w:t xml:space="preserve"> a more traditional standard in business research. </w:t>
      </w:r>
    </w:p>
    <w:p w:rsidR="003F2FB2" w:rsidRPr="00F22DB3" w:rsidRDefault="003F2FB2" w:rsidP="003F2FB2">
      <w:pPr>
        <w:spacing w:line="480" w:lineRule="auto"/>
        <w:rPr>
          <w:lang w:eastAsia="zh-CN"/>
        </w:rPr>
      </w:pPr>
      <w:r>
        <w:rPr>
          <w:lang w:eastAsia="zh-CN"/>
        </w:rPr>
        <w:lastRenderedPageBreak/>
        <w:t xml:space="preserve"> </w:t>
      </w:r>
      <w:r>
        <w:rPr>
          <w:lang w:eastAsia="zh-CN"/>
        </w:rPr>
        <w:tab/>
        <w:t>A combination of the above criteria was used in this research for the purposes of model formulation and refinements.</w:t>
      </w:r>
    </w:p>
    <w:p w:rsidR="003F2FB2" w:rsidRDefault="003F2FB2" w:rsidP="003F2FB2">
      <w:pPr>
        <w:spacing w:before="240" w:line="480" w:lineRule="auto"/>
      </w:pPr>
      <w:r>
        <w:t>MEASUREMENT MODEL REFINEMENT</w:t>
      </w:r>
    </w:p>
    <w:p w:rsidR="003F2FB2" w:rsidRDefault="003F2FB2" w:rsidP="003F2FB2">
      <w:pPr>
        <w:pStyle w:val="dissertationtext"/>
        <w:spacing w:line="480" w:lineRule="auto"/>
        <w:ind w:firstLine="720"/>
        <w:jc w:val="both"/>
      </w:pPr>
      <w:r>
        <w:t>A formulated a-priori measurement model was run in AMOS 18 using the refined data set in order to assess overall measurement fit. Initial runs of the CFA model (conducted prior to any model refinements) resulted in marginally acceptable fit statistics</w:t>
      </w:r>
      <w:r w:rsidRPr="00576EB1">
        <w:t xml:space="preserve"> </w:t>
      </w:r>
      <w:r>
        <w:t xml:space="preserve">(χ2=3554, </w:t>
      </w:r>
      <w:proofErr w:type="spellStart"/>
      <w:proofErr w:type="gramStart"/>
      <w:r>
        <w:t>df</w:t>
      </w:r>
      <w:proofErr w:type="spellEnd"/>
      <w:r>
        <w:t>=</w:t>
      </w:r>
      <w:proofErr w:type="gramEnd"/>
      <w:r>
        <w:t>1724, χ2/</w:t>
      </w:r>
      <w:proofErr w:type="spellStart"/>
      <w:r>
        <w:t>df</w:t>
      </w:r>
      <w:proofErr w:type="spellEnd"/>
      <w:r>
        <w:t>=2.06, CFI=0.87, TLI=0.86, and RMSEA=0.055). However, it was evident that further improvements of the initial measurement model were needed. All refinements of the a-priori model were carefully evaluated based on the principles of statistical fit and theoretical justification.</w:t>
      </w:r>
    </w:p>
    <w:p w:rsidR="003F2FB2" w:rsidRDefault="003F2FB2" w:rsidP="00422013">
      <w:pPr>
        <w:spacing w:line="480" w:lineRule="auto"/>
        <w:ind w:firstLine="720"/>
      </w:pPr>
      <w:r>
        <w:t>Further analysis was conducted by examining modification indices, standardized residuals, item weights for each construct, and overall fit statistics, and several problematic areas were flagged as the result. After careful examination of each i</w:t>
      </w:r>
      <w:r w:rsidR="00422013">
        <w:t>tem based on such criteria, several</w:t>
      </w:r>
      <w:r>
        <w:t xml:space="preserve"> items were delete</w:t>
      </w:r>
      <w:r w:rsidR="00422013">
        <w:t>d from further analysis. Additionally, the measurement errors for several items</w:t>
      </w:r>
      <w:r w:rsidR="00F9128C">
        <w:t xml:space="preserve"> (e.g. within supply chain orientation, risk management orientation, and information management capabilities)</w:t>
      </w:r>
      <w:r w:rsidR="00911265">
        <w:t xml:space="preserve"> were allowed to co</w:t>
      </w:r>
      <w:r>
        <w:t>vary</w:t>
      </w:r>
      <w:r w:rsidR="00422013">
        <w:t xml:space="preserve"> based on theoretical and statistical justification.</w:t>
      </w:r>
      <w:r w:rsidR="00F9128C">
        <w:t xml:space="preserve"> Only several measurement errors within each variable were allowed to covary. </w:t>
      </w:r>
      <w:r w:rsidR="00422013">
        <w:t xml:space="preserve"> </w:t>
      </w:r>
      <w:r w:rsidR="00911265">
        <w:t xml:space="preserve">It resulted in significant improvements in modification indices and statistical fit. </w:t>
      </w:r>
      <w:r>
        <w:t xml:space="preserve">All of the final refined scales are shown in Table 4.6, and the refined CFA model formulated after several modifying iterations is provided in Figure 4.1. Overall, the final refined measurement model demonstrated much better fit statistics (χ2=1967, </w:t>
      </w:r>
      <w:proofErr w:type="spellStart"/>
      <w:proofErr w:type="gramStart"/>
      <w:r>
        <w:t>df</w:t>
      </w:r>
      <w:proofErr w:type="spellEnd"/>
      <w:r>
        <w:t>=</w:t>
      </w:r>
      <w:proofErr w:type="gramEnd"/>
      <w:r>
        <w:t>1265, χ2/</w:t>
      </w:r>
      <w:proofErr w:type="spellStart"/>
      <w:r>
        <w:t>df</w:t>
      </w:r>
      <w:proofErr w:type="spellEnd"/>
      <w:r>
        <w:t>=1.55, CFI=0.94, TLI=0.93, and RMSEA=0.038).</w:t>
      </w:r>
    </w:p>
    <w:p w:rsidR="00BD3A38" w:rsidRDefault="00A52A9F" w:rsidP="008D2ECE">
      <w:pPr>
        <w:pStyle w:val="Heading1"/>
        <w:spacing w:line="480" w:lineRule="auto"/>
        <w:jc w:val="center"/>
        <w:rPr>
          <w:rFonts w:ascii="Times New Roman" w:hAnsi="Times New Roman" w:cs="Times New Roman"/>
          <w:color w:val="000000" w:themeColor="text1"/>
          <w:sz w:val="24"/>
          <w:szCs w:val="24"/>
        </w:rPr>
      </w:pPr>
      <w:r>
        <w:rPr>
          <w:b w:val="0"/>
          <w:noProof/>
        </w:rPr>
        <w:lastRenderedPageBreak/>
        <w:drawing>
          <wp:inline distT="0" distB="0" distL="0" distR="0">
            <wp:extent cx="5943600" cy="4173789"/>
            <wp:effectExtent l="19050" t="0" r="0" b="0"/>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srcRect/>
                    <a:stretch>
                      <a:fillRect/>
                    </a:stretch>
                  </pic:blipFill>
                  <pic:spPr bwMode="auto">
                    <a:xfrm>
                      <a:off x="0" y="0"/>
                      <a:ext cx="5943600" cy="4173789"/>
                    </a:xfrm>
                    <a:prstGeom prst="rect">
                      <a:avLst/>
                    </a:prstGeom>
                    <a:noFill/>
                    <a:ln w="9525">
                      <a:noFill/>
                      <a:miter lim="800000"/>
                      <a:headEnd/>
                      <a:tailEnd/>
                    </a:ln>
                  </pic:spPr>
                </pic:pic>
              </a:graphicData>
            </a:graphic>
          </wp:inline>
        </w:drawing>
      </w:r>
    </w:p>
    <w:p w:rsidR="00E201AF" w:rsidRDefault="00E201AF" w:rsidP="00E201AF">
      <w:pPr>
        <w:spacing w:after="0" w:line="240" w:lineRule="auto"/>
        <w:jc w:val="center"/>
        <w:rPr>
          <w:b/>
        </w:rPr>
      </w:pPr>
    </w:p>
    <w:p w:rsidR="00E201AF" w:rsidRDefault="00E201AF" w:rsidP="00E201AF">
      <w:pPr>
        <w:spacing w:after="0" w:line="240" w:lineRule="auto"/>
        <w:jc w:val="center"/>
        <w:rPr>
          <w:b/>
        </w:rPr>
      </w:pPr>
      <w:r>
        <w:rPr>
          <w:b/>
        </w:rPr>
        <w:t xml:space="preserve">Figure 4.1 </w:t>
      </w:r>
    </w:p>
    <w:p w:rsidR="00E201AF" w:rsidRDefault="00E201AF" w:rsidP="00E201AF">
      <w:pPr>
        <w:spacing w:after="0" w:line="240" w:lineRule="auto"/>
        <w:jc w:val="center"/>
        <w:rPr>
          <w:b/>
        </w:rPr>
      </w:pPr>
      <w:r>
        <w:rPr>
          <w:b/>
        </w:rPr>
        <w:t>CFA Measurement Model</w:t>
      </w:r>
    </w:p>
    <w:p w:rsidR="00E201AF" w:rsidRDefault="00E201AF" w:rsidP="00E201AF">
      <w:pPr>
        <w:spacing w:line="480" w:lineRule="auto"/>
      </w:pPr>
    </w:p>
    <w:p w:rsidR="00E201AF" w:rsidRDefault="00E201AF" w:rsidP="00E201AF">
      <w:pPr>
        <w:spacing w:line="480" w:lineRule="auto"/>
      </w:pPr>
    </w:p>
    <w:p w:rsidR="00E201AF" w:rsidRDefault="00E201AF" w:rsidP="00E201AF">
      <w:pPr>
        <w:spacing w:line="480" w:lineRule="auto"/>
      </w:pPr>
    </w:p>
    <w:p w:rsidR="00E201AF" w:rsidRDefault="00E201AF" w:rsidP="00E201AF">
      <w:pPr>
        <w:spacing w:line="480" w:lineRule="auto"/>
      </w:pPr>
    </w:p>
    <w:p w:rsidR="00E201AF" w:rsidRDefault="00E201AF" w:rsidP="00E201AF">
      <w:pPr>
        <w:spacing w:line="480" w:lineRule="auto"/>
      </w:pPr>
    </w:p>
    <w:p w:rsidR="00E201AF" w:rsidRDefault="00E201AF" w:rsidP="00E201AF">
      <w:pPr>
        <w:spacing w:line="480" w:lineRule="auto"/>
      </w:pPr>
    </w:p>
    <w:p w:rsidR="00E201AF" w:rsidRDefault="00E201AF" w:rsidP="00E201AF">
      <w:pPr>
        <w:spacing w:line="480" w:lineRule="auto"/>
      </w:pPr>
    </w:p>
    <w:p w:rsidR="00E201AF" w:rsidRPr="0069426D" w:rsidRDefault="00E201AF" w:rsidP="00E201AF">
      <w:pPr>
        <w:pStyle w:val="NoSpacing"/>
        <w:spacing w:before="240" w:line="480" w:lineRule="auto"/>
        <w:jc w:val="center"/>
        <w:rPr>
          <w:b/>
          <w:szCs w:val="24"/>
          <w:lang w:eastAsia="zh-CN"/>
        </w:rPr>
      </w:pPr>
      <w:r w:rsidRPr="0069426D">
        <w:rPr>
          <w:b/>
          <w:szCs w:val="24"/>
          <w:lang w:eastAsia="zh-CN"/>
        </w:rPr>
        <w:lastRenderedPageBreak/>
        <w:t>Table 4.7 Refined Scales – Main Test</w:t>
      </w:r>
    </w:p>
    <w:tbl>
      <w:tblPr>
        <w:tblW w:w="9740" w:type="dxa"/>
        <w:tblInd w:w="91" w:type="dxa"/>
        <w:tblLook w:val="04A0"/>
      </w:tblPr>
      <w:tblGrid>
        <w:gridCol w:w="1405"/>
        <w:gridCol w:w="1120"/>
        <w:gridCol w:w="5810"/>
        <w:gridCol w:w="705"/>
        <w:gridCol w:w="700"/>
      </w:tblGrid>
      <w:tr w:rsidR="00E201AF" w:rsidTr="00007EA8">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E201AF" w:rsidRDefault="00E201AF" w:rsidP="00007EA8">
            <w:pPr>
              <w:jc w:val="center"/>
              <w:rPr>
                <w:b/>
                <w:bCs/>
                <w:color w:val="000000"/>
                <w:sz w:val="20"/>
                <w:szCs w:val="20"/>
              </w:rPr>
            </w:pPr>
            <w:r>
              <w:rPr>
                <w:b/>
                <w:bCs/>
                <w:color w:val="000000"/>
                <w:sz w:val="20"/>
                <w:szCs w:val="20"/>
              </w:rPr>
              <w:t>Scale</w:t>
            </w:r>
          </w:p>
        </w:tc>
        <w:tc>
          <w:tcPr>
            <w:tcW w:w="1120" w:type="dxa"/>
            <w:tcBorders>
              <w:top w:val="single" w:sz="4" w:space="0" w:color="auto"/>
              <w:left w:val="nil"/>
              <w:bottom w:val="single" w:sz="4" w:space="0" w:color="auto"/>
              <w:right w:val="single" w:sz="4" w:space="0" w:color="auto"/>
            </w:tcBorders>
            <w:vAlign w:val="center"/>
            <w:hideMark/>
          </w:tcPr>
          <w:p w:rsidR="00E201AF" w:rsidRDefault="00E201AF" w:rsidP="00007EA8">
            <w:pPr>
              <w:jc w:val="center"/>
              <w:rPr>
                <w:b/>
                <w:bCs/>
                <w:color w:val="000000"/>
                <w:sz w:val="20"/>
                <w:szCs w:val="20"/>
              </w:rPr>
            </w:pPr>
            <w:r>
              <w:rPr>
                <w:b/>
                <w:bCs/>
                <w:color w:val="000000"/>
                <w:sz w:val="20"/>
                <w:szCs w:val="20"/>
              </w:rPr>
              <w:t>Scale Reliability</w:t>
            </w:r>
          </w:p>
        </w:tc>
        <w:tc>
          <w:tcPr>
            <w:tcW w:w="5810" w:type="dxa"/>
            <w:tcBorders>
              <w:top w:val="single" w:sz="4" w:space="0" w:color="auto"/>
              <w:left w:val="nil"/>
              <w:bottom w:val="single" w:sz="4" w:space="0" w:color="auto"/>
              <w:right w:val="single" w:sz="4" w:space="0" w:color="auto"/>
            </w:tcBorders>
            <w:vAlign w:val="bottom"/>
            <w:hideMark/>
          </w:tcPr>
          <w:p w:rsidR="00E201AF" w:rsidRDefault="00E201AF" w:rsidP="00007EA8">
            <w:pPr>
              <w:jc w:val="center"/>
              <w:rPr>
                <w:b/>
                <w:bCs/>
                <w:color w:val="000000"/>
                <w:sz w:val="20"/>
                <w:szCs w:val="20"/>
              </w:rPr>
            </w:pPr>
            <w:r>
              <w:rPr>
                <w:b/>
                <w:bCs/>
                <w:color w:val="000000"/>
                <w:sz w:val="20"/>
                <w:szCs w:val="20"/>
              </w:rPr>
              <w:t>Items</w:t>
            </w:r>
          </w:p>
        </w:tc>
        <w:tc>
          <w:tcPr>
            <w:tcW w:w="705" w:type="dxa"/>
            <w:tcBorders>
              <w:top w:val="single" w:sz="4" w:space="0" w:color="auto"/>
              <w:left w:val="nil"/>
              <w:bottom w:val="single" w:sz="4" w:space="0" w:color="auto"/>
              <w:right w:val="single" w:sz="4" w:space="0" w:color="auto"/>
            </w:tcBorders>
            <w:vAlign w:val="bottom"/>
            <w:hideMark/>
          </w:tcPr>
          <w:p w:rsidR="00E201AF" w:rsidRDefault="00E201AF" w:rsidP="00007EA8">
            <w:pPr>
              <w:jc w:val="center"/>
              <w:rPr>
                <w:b/>
                <w:bCs/>
                <w:color w:val="000000"/>
                <w:sz w:val="20"/>
                <w:szCs w:val="20"/>
              </w:rPr>
            </w:pPr>
            <w:r>
              <w:rPr>
                <w:b/>
                <w:bCs/>
                <w:color w:val="000000"/>
                <w:sz w:val="20"/>
                <w:szCs w:val="20"/>
              </w:rPr>
              <w:t xml:space="preserve">Mean </w:t>
            </w:r>
          </w:p>
        </w:tc>
        <w:tc>
          <w:tcPr>
            <w:tcW w:w="700" w:type="dxa"/>
            <w:tcBorders>
              <w:top w:val="single" w:sz="4" w:space="0" w:color="auto"/>
              <w:left w:val="nil"/>
              <w:bottom w:val="single" w:sz="4" w:space="0" w:color="auto"/>
              <w:right w:val="single" w:sz="4" w:space="0" w:color="auto"/>
            </w:tcBorders>
            <w:vAlign w:val="bottom"/>
            <w:hideMark/>
          </w:tcPr>
          <w:p w:rsidR="00E201AF" w:rsidRDefault="00E201AF" w:rsidP="00007EA8">
            <w:pPr>
              <w:jc w:val="center"/>
              <w:rPr>
                <w:b/>
                <w:bCs/>
                <w:color w:val="000000"/>
                <w:sz w:val="20"/>
                <w:szCs w:val="20"/>
              </w:rPr>
            </w:pPr>
            <w:r>
              <w:rPr>
                <w:b/>
                <w:bCs/>
                <w:color w:val="000000"/>
                <w:sz w:val="20"/>
                <w:szCs w:val="20"/>
              </w:rPr>
              <w:t>SD</w:t>
            </w:r>
          </w:p>
        </w:tc>
      </w:tr>
      <w:tr w:rsidR="00E201AF" w:rsidTr="00007EA8">
        <w:trPr>
          <w:trHeight w:val="300"/>
        </w:trPr>
        <w:tc>
          <w:tcPr>
            <w:tcW w:w="1405" w:type="dxa"/>
            <w:vMerge w:val="restart"/>
            <w:tcBorders>
              <w:top w:val="nil"/>
              <w:left w:val="single" w:sz="4" w:space="0" w:color="auto"/>
              <w:bottom w:val="single" w:sz="4" w:space="0" w:color="000000"/>
              <w:right w:val="single" w:sz="4" w:space="0" w:color="auto"/>
            </w:tcBorders>
            <w:vAlign w:val="center"/>
            <w:hideMark/>
          </w:tcPr>
          <w:p w:rsidR="00E201AF" w:rsidRDefault="00E201AF" w:rsidP="00007EA8">
            <w:pPr>
              <w:jc w:val="center"/>
              <w:rPr>
                <w:color w:val="000000"/>
                <w:sz w:val="20"/>
                <w:szCs w:val="20"/>
              </w:rPr>
            </w:pPr>
            <w:r>
              <w:rPr>
                <w:color w:val="000000"/>
                <w:sz w:val="20"/>
                <w:szCs w:val="20"/>
              </w:rPr>
              <w:t>Risk Management Orientation (RMO)</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0.86</w:t>
            </w: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RMO-Our company places a high priority on risk management</w:t>
            </w:r>
          </w:p>
        </w:tc>
        <w:tc>
          <w:tcPr>
            <w:tcW w:w="705"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5.56</w:t>
            </w:r>
          </w:p>
        </w:tc>
        <w:tc>
          <w:tcPr>
            <w:tcW w:w="700"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1.288</w:t>
            </w:r>
          </w:p>
        </w:tc>
      </w:tr>
      <w:tr w:rsidR="00E201AF" w:rsidTr="00007EA8">
        <w:trPr>
          <w:trHeight w:val="300"/>
        </w:trPr>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center"/>
            <w:hideMark/>
          </w:tcPr>
          <w:p w:rsidR="00E201AF" w:rsidRDefault="00E201AF" w:rsidP="00007EA8">
            <w:pPr>
              <w:rPr>
                <w:color w:val="000000"/>
                <w:sz w:val="20"/>
                <w:szCs w:val="20"/>
              </w:rPr>
            </w:pPr>
            <w:r>
              <w:rPr>
                <w:color w:val="000000"/>
                <w:sz w:val="20"/>
                <w:szCs w:val="20"/>
              </w:rPr>
              <w:t>RMO-Our organizational culture values risk assessment</w:t>
            </w:r>
          </w:p>
        </w:tc>
        <w:tc>
          <w:tcPr>
            <w:tcW w:w="705"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5.56</w:t>
            </w:r>
          </w:p>
        </w:tc>
        <w:tc>
          <w:tcPr>
            <w:tcW w:w="700"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1.230</w:t>
            </w:r>
          </w:p>
        </w:tc>
      </w:tr>
      <w:tr w:rsidR="00E201AF" w:rsidTr="00007EA8">
        <w:trPr>
          <w:trHeight w:val="300"/>
        </w:trPr>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RMO-Risk mitigation is important for our company</w:t>
            </w:r>
          </w:p>
        </w:tc>
        <w:tc>
          <w:tcPr>
            <w:tcW w:w="705"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5.93</w:t>
            </w:r>
          </w:p>
        </w:tc>
        <w:tc>
          <w:tcPr>
            <w:tcW w:w="700"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1.059</w:t>
            </w:r>
          </w:p>
        </w:tc>
      </w:tr>
      <w:tr w:rsidR="00E201AF" w:rsidTr="00007EA8">
        <w:trPr>
          <w:trHeight w:val="525"/>
        </w:trPr>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RMO-Major supply chain risks are addressed through our continuity/contingency plans</w:t>
            </w:r>
          </w:p>
        </w:tc>
        <w:tc>
          <w:tcPr>
            <w:tcW w:w="705"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5.37</w:t>
            </w:r>
          </w:p>
        </w:tc>
        <w:tc>
          <w:tcPr>
            <w:tcW w:w="700" w:type="dxa"/>
            <w:tcBorders>
              <w:top w:val="nil"/>
              <w:left w:val="nil"/>
              <w:bottom w:val="single" w:sz="4" w:space="0" w:color="auto"/>
              <w:right w:val="single" w:sz="4" w:space="0" w:color="auto"/>
            </w:tcBorders>
            <w:vAlign w:val="center"/>
            <w:hideMark/>
          </w:tcPr>
          <w:p w:rsidR="00E201AF" w:rsidRDefault="00E201AF" w:rsidP="00007EA8">
            <w:pPr>
              <w:jc w:val="center"/>
              <w:rPr>
                <w:color w:val="000000"/>
                <w:sz w:val="20"/>
                <w:szCs w:val="20"/>
              </w:rPr>
            </w:pPr>
            <w:r>
              <w:rPr>
                <w:color w:val="000000"/>
                <w:sz w:val="20"/>
                <w:szCs w:val="20"/>
              </w:rPr>
              <w:t>1.295</w:t>
            </w:r>
          </w:p>
        </w:tc>
      </w:tr>
      <w:tr w:rsidR="00E201AF" w:rsidTr="00382C7A">
        <w:trPr>
          <w:trHeight w:val="593"/>
        </w:trPr>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tcPr>
          <w:p w:rsidR="00E201AF" w:rsidRDefault="00E201AF" w:rsidP="00007EA8">
            <w:pPr>
              <w:rPr>
                <w:color w:val="000000"/>
                <w:sz w:val="20"/>
                <w:szCs w:val="20"/>
              </w:rPr>
            </w:pPr>
            <w:r>
              <w:rPr>
                <w:color w:val="000000"/>
                <w:sz w:val="20"/>
                <w:szCs w:val="20"/>
              </w:rPr>
              <w:t>RMO-We regularly monitor our suppliers for possible supply chain risks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5.47</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1.270</w:t>
            </w:r>
          </w:p>
        </w:tc>
      </w:tr>
      <w:tr w:rsidR="00E201AF" w:rsidTr="00007EA8">
        <w:trPr>
          <w:trHeight w:val="525"/>
        </w:trPr>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RMO-If possible we ensure that excess supplier capacity exists to deal with unplanned variations in demand</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5.29</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1.270</w:t>
            </w:r>
          </w:p>
        </w:tc>
      </w:tr>
      <w:tr w:rsidR="00E201AF" w:rsidTr="00007EA8">
        <w:trPr>
          <w:trHeight w:val="300"/>
        </w:trPr>
        <w:tc>
          <w:tcPr>
            <w:tcW w:w="1405" w:type="dxa"/>
            <w:vMerge w:val="restart"/>
            <w:tcBorders>
              <w:top w:val="nil"/>
              <w:left w:val="single" w:sz="4" w:space="0" w:color="auto"/>
              <w:bottom w:val="nil"/>
              <w:right w:val="single" w:sz="4" w:space="0" w:color="auto"/>
            </w:tcBorders>
            <w:vAlign w:val="center"/>
            <w:hideMark/>
          </w:tcPr>
          <w:p w:rsidR="00E201AF" w:rsidRDefault="00E201AF" w:rsidP="00007EA8">
            <w:pPr>
              <w:jc w:val="center"/>
              <w:rPr>
                <w:color w:val="000000"/>
                <w:sz w:val="20"/>
                <w:szCs w:val="20"/>
              </w:rPr>
            </w:pPr>
            <w:r>
              <w:rPr>
                <w:color w:val="000000"/>
                <w:sz w:val="20"/>
                <w:szCs w:val="20"/>
              </w:rPr>
              <w:t>Environmental Uncertainty (EU)</w:t>
            </w:r>
          </w:p>
        </w:tc>
        <w:tc>
          <w:tcPr>
            <w:tcW w:w="1120" w:type="dxa"/>
            <w:vMerge w:val="restart"/>
            <w:tcBorders>
              <w:top w:val="nil"/>
              <w:left w:val="single" w:sz="4" w:space="0" w:color="auto"/>
              <w:bottom w:val="nil"/>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0.88</w:t>
            </w: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EU-Our demand fluctuates drastically from week to week</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4.14</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1.711</w:t>
            </w:r>
          </w:p>
        </w:tc>
      </w:tr>
      <w:tr w:rsidR="00E201AF" w:rsidTr="00007EA8">
        <w:trPr>
          <w:trHeight w:val="300"/>
        </w:trPr>
        <w:tc>
          <w:tcPr>
            <w:tcW w:w="0" w:type="auto"/>
            <w:vMerge/>
            <w:tcBorders>
              <w:top w:val="nil"/>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EU-Our supply requirements vary drastically from week to week</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3.94</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1.718</w:t>
            </w:r>
          </w:p>
        </w:tc>
      </w:tr>
      <w:tr w:rsidR="00E201AF" w:rsidTr="00007EA8">
        <w:trPr>
          <w:trHeight w:val="300"/>
        </w:trPr>
        <w:tc>
          <w:tcPr>
            <w:tcW w:w="0" w:type="auto"/>
            <w:vMerge/>
            <w:tcBorders>
              <w:top w:val="nil"/>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EU-The technology in our industry is changing rapidly</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4.36</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1.174</w:t>
            </w:r>
          </w:p>
        </w:tc>
      </w:tr>
      <w:tr w:rsidR="00E201AF" w:rsidTr="00007EA8">
        <w:trPr>
          <w:trHeight w:val="375"/>
        </w:trPr>
        <w:tc>
          <w:tcPr>
            <w:tcW w:w="1405" w:type="dxa"/>
            <w:vMerge w:val="restart"/>
            <w:tcBorders>
              <w:top w:val="single" w:sz="4" w:space="0" w:color="auto"/>
              <w:left w:val="single" w:sz="4" w:space="0" w:color="auto"/>
              <w:bottom w:val="nil"/>
              <w:right w:val="single" w:sz="4" w:space="0" w:color="auto"/>
            </w:tcBorders>
            <w:vAlign w:val="center"/>
            <w:hideMark/>
          </w:tcPr>
          <w:p w:rsidR="00E201AF" w:rsidRDefault="00E201AF" w:rsidP="00007EA8">
            <w:pPr>
              <w:jc w:val="center"/>
              <w:rPr>
                <w:color w:val="000000"/>
                <w:sz w:val="20"/>
                <w:szCs w:val="20"/>
              </w:rPr>
            </w:pPr>
            <w:r>
              <w:rPr>
                <w:color w:val="000000"/>
                <w:sz w:val="20"/>
                <w:szCs w:val="20"/>
              </w:rPr>
              <w:t>Supply Chain Vulnerability (SCV)</w:t>
            </w:r>
          </w:p>
        </w:tc>
        <w:tc>
          <w:tcPr>
            <w:tcW w:w="1120" w:type="dxa"/>
            <w:vMerge w:val="restart"/>
            <w:tcBorders>
              <w:top w:val="single" w:sz="4" w:space="0" w:color="auto"/>
              <w:left w:val="single" w:sz="4" w:space="0" w:color="auto"/>
              <w:bottom w:val="single" w:sz="4" w:space="0" w:color="000000"/>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0.86</w:t>
            </w: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SCV - Our supply chain-...is vulnerable to supply-related disruptions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5.24</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1.294</w:t>
            </w:r>
          </w:p>
        </w:tc>
      </w:tr>
      <w:tr w:rsidR="00E201AF" w:rsidTr="00007EA8">
        <w:trPr>
          <w:trHeight w:val="405"/>
        </w:trPr>
        <w:tc>
          <w:tcPr>
            <w:tcW w:w="0" w:type="auto"/>
            <w:vMerge/>
            <w:tcBorders>
              <w:top w:val="single" w:sz="4" w:space="0" w:color="auto"/>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SCV - Our supply chain-...is vulnerable to demand-related disruptions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5.06</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1.346</w:t>
            </w:r>
          </w:p>
        </w:tc>
      </w:tr>
      <w:tr w:rsidR="00E201AF" w:rsidTr="00007EA8">
        <w:trPr>
          <w:trHeight w:val="390"/>
        </w:trPr>
        <w:tc>
          <w:tcPr>
            <w:tcW w:w="0" w:type="auto"/>
            <w:vMerge/>
            <w:tcBorders>
              <w:top w:val="single" w:sz="4" w:space="0" w:color="auto"/>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SCV - Our supply chain-...is vulnerable to operational disruptions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4.92</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1.412</w:t>
            </w:r>
          </w:p>
        </w:tc>
      </w:tr>
      <w:tr w:rsidR="00E201AF" w:rsidTr="00007EA8">
        <w:trPr>
          <w:trHeight w:val="300"/>
        </w:trPr>
        <w:tc>
          <w:tcPr>
            <w:tcW w:w="0" w:type="auto"/>
            <w:vMerge/>
            <w:tcBorders>
              <w:top w:val="single" w:sz="4" w:space="0" w:color="auto"/>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SCV - Our supply chain-...is vulnerable to transportation disruptions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5.10</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1.532</w:t>
            </w:r>
          </w:p>
        </w:tc>
      </w:tr>
      <w:tr w:rsidR="00E201AF" w:rsidTr="00007EA8">
        <w:trPr>
          <w:trHeight w:val="525"/>
        </w:trPr>
        <w:tc>
          <w:tcPr>
            <w:tcW w:w="0" w:type="auto"/>
            <w:vMerge/>
            <w:tcBorders>
              <w:top w:val="single" w:sz="4" w:space="0" w:color="auto"/>
              <w:left w:val="single" w:sz="4" w:space="0" w:color="auto"/>
              <w:bottom w:val="nil"/>
              <w:right w:val="single" w:sz="4" w:space="0" w:color="auto"/>
            </w:tcBorders>
            <w:vAlign w:val="center"/>
            <w:hideMark/>
          </w:tcPr>
          <w:p w:rsidR="00E201AF" w:rsidRDefault="00E201AF" w:rsidP="00007EA8">
            <w:pPr>
              <w:rPr>
                <w:color w:val="000000"/>
                <w:sz w:val="20"/>
                <w:szCs w:val="20"/>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SCV - Our supply chain-...could be characterized as having a high level of vulnerability</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4.27</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1.506</w:t>
            </w:r>
          </w:p>
        </w:tc>
      </w:tr>
      <w:tr w:rsidR="00E201AF" w:rsidTr="00007EA8">
        <w:trPr>
          <w:trHeight w:val="300"/>
        </w:trPr>
        <w:tc>
          <w:tcPr>
            <w:tcW w:w="1405" w:type="dxa"/>
            <w:vMerge w:val="restart"/>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jc w:val="center"/>
              <w:rPr>
                <w:color w:val="000000"/>
                <w:sz w:val="20"/>
                <w:szCs w:val="20"/>
              </w:rPr>
            </w:pPr>
            <w:r>
              <w:rPr>
                <w:color w:val="000000"/>
                <w:sz w:val="20"/>
                <w:szCs w:val="20"/>
              </w:rPr>
              <w:t>Supply Chain Orientation (SCO)</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0.83</w:t>
            </w: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SCO-We trust our key suppliers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5.63</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1.006</w:t>
            </w:r>
          </w:p>
        </w:tc>
      </w:tr>
      <w:tr w:rsidR="00E201AF" w:rsidTr="00007EA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SCO-We believe that our key suppliers trust us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5.72</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.927</w:t>
            </w:r>
          </w:p>
        </w:tc>
      </w:tr>
      <w:tr w:rsidR="00E201AF" w:rsidTr="00007EA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SCO-Our organization places a high priority on maintaining relationships with our key suppliers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5.68</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.987</w:t>
            </w:r>
          </w:p>
        </w:tc>
      </w:tr>
      <w:tr w:rsidR="00E201AF" w:rsidTr="00007EA8">
        <w:trPr>
          <w:trHeight w:val="368"/>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SCO-Our objectives are consistent with those of our key suppliers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5.89</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1.078</w:t>
            </w:r>
          </w:p>
        </w:tc>
      </w:tr>
      <w:tr w:rsidR="00E201AF" w:rsidTr="00007EA8">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D92789" w:rsidP="00007EA8">
            <w:pPr>
              <w:rPr>
                <w:color w:val="000000"/>
                <w:sz w:val="20"/>
                <w:szCs w:val="20"/>
              </w:rPr>
            </w:pPr>
            <w:r>
              <w:rPr>
                <w:color w:val="000000"/>
                <w:sz w:val="20"/>
                <w:szCs w:val="20"/>
              </w:rPr>
              <w:t>SCO-</w:t>
            </w:r>
            <w:r w:rsidR="00E201AF">
              <w:rPr>
                <w:color w:val="000000"/>
                <w:sz w:val="20"/>
                <w:szCs w:val="20"/>
              </w:rPr>
              <w:t>We view our supply chai</w:t>
            </w:r>
            <w:r>
              <w:rPr>
                <w:color w:val="000000"/>
                <w:sz w:val="20"/>
                <w:szCs w:val="20"/>
              </w:rPr>
              <w:t xml:space="preserve">n as a value added piece of </w:t>
            </w:r>
            <w:r w:rsidR="00E201AF">
              <w:rPr>
                <w:color w:val="000000"/>
                <w:sz w:val="20"/>
                <w:szCs w:val="20"/>
              </w:rPr>
              <w:t>business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5.18</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1.094</w:t>
            </w:r>
          </w:p>
        </w:tc>
      </w:tr>
      <w:tr w:rsidR="00E201AF" w:rsidTr="00007EA8">
        <w:trPr>
          <w:trHeight w:val="525"/>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E201AF" w:rsidRDefault="00E201AF" w:rsidP="00007EA8">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E201AF" w:rsidRDefault="00E201AF" w:rsidP="00007EA8">
            <w:pPr>
              <w:rPr>
                <w:color w:val="000000"/>
                <w:sz w:val="20"/>
                <w:szCs w:val="20"/>
              </w:rPr>
            </w:pPr>
            <w:r>
              <w:rPr>
                <w:color w:val="000000"/>
                <w:sz w:val="20"/>
                <w:szCs w:val="20"/>
              </w:rPr>
              <w:t>SCO-Top managers reinforce the need of building, maintaining, and enhancing long-term relationships with our supply chain members</w:t>
            </w:r>
          </w:p>
        </w:tc>
        <w:tc>
          <w:tcPr>
            <w:tcW w:w="705"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5.70</w:t>
            </w:r>
          </w:p>
        </w:tc>
        <w:tc>
          <w:tcPr>
            <w:tcW w:w="700" w:type="dxa"/>
            <w:tcBorders>
              <w:top w:val="nil"/>
              <w:left w:val="nil"/>
              <w:bottom w:val="single" w:sz="4" w:space="0" w:color="auto"/>
              <w:right w:val="single" w:sz="4" w:space="0" w:color="auto"/>
            </w:tcBorders>
            <w:noWrap/>
            <w:vAlign w:val="center"/>
            <w:hideMark/>
          </w:tcPr>
          <w:p w:rsidR="00E201AF" w:rsidRDefault="00E201AF" w:rsidP="00007EA8">
            <w:pPr>
              <w:jc w:val="center"/>
              <w:rPr>
                <w:color w:val="000000"/>
                <w:sz w:val="20"/>
                <w:szCs w:val="20"/>
              </w:rPr>
            </w:pPr>
            <w:r>
              <w:rPr>
                <w:color w:val="000000"/>
                <w:sz w:val="20"/>
                <w:szCs w:val="20"/>
              </w:rPr>
              <w:t>1.183</w:t>
            </w:r>
          </w:p>
        </w:tc>
      </w:tr>
    </w:tbl>
    <w:p w:rsidR="00AE3334" w:rsidRPr="0069426D" w:rsidRDefault="00AE3334" w:rsidP="00AE3334">
      <w:pPr>
        <w:pStyle w:val="NoSpacing"/>
        <w:spacing w:before="240" w:line="480" w:lineRule="auto"/>
        <w:jc w:val="center"/>
        <w:rPr>
          <w:b/>
          <w:szCs w:val="24"/>
          <w:lang w:eastAsia="zh-CN"/>
        </w:rPr>
      </w:pPr>
      <w:r w:rsidRPr="0069426D">
        <w:rPr>
          <w:b/>
          <w:szCs w:val="24"/>
          <w:lang w:eastAsia="zh-CN"/>
        </w:rPr>
        <w:lastRenderedPageBreak/>
        <w:t>Tabl</w:t>
      </w:r>
      <w:r w:rsidR="00CF525E">
        <w:rPr>
          <w:b/>
          <w:szCs w:val="24"/>
          <w:lang w:eastAsia="zh-CN"/>
        </w:rPr>
        <w:t>e 4.7 Continued</w:t>
      </w:r>
    </w:p>
    <w:tbl>
      <w:tblPr>
        <w:tblW w:w="9740" w:type="dxa"/>
        <w:tblInd w:w="91" w:type="dxa"/>
        <w:tblLook w:val="04A0"/>
      </w:tblPr>
      <w:tblGrid>
        <w:gridCol w:w="1405"/>
        <w:gridCol w:w="1120"/>
        <w:gridCol w:w="5810"/>
        <w:gridCol w:w="705"/>
        <w:gridCol w:w="700"/>
      </w:tblGrid>
      <w:tr w:rsidR="00AE3334" w:rsidTr="00D24844">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AE3334" w:rsidRDefault="00AE3334" w:rsidP="00D24844">
            <w:pPr>
              <w:jc w:val="center"/>
              <w:rPr>
                <w:b/>
                <w:bCs/>
                <w:color w:val="000000"/>
                <w:sz w:val="20"/>
                <w:szCs w:val="20"/>
              </w:rPr>
            </w:pPr>
            <w:r>
              <w:rPr>
                <w:b/>
                <w:bCs/>
                <w:color w:val="000000"/>
                <w:sz w:val="20"/>
                <w:szCs w:val="20"/>
              </w:rPr>
              <w:t>Scale</w:t>
            </w:r>
          </w:p>
        </w:tc>
        <w:tc>
          <w:tcPr>
            <w:tcW w:w="1120" w:type="dxa"/>
            <w:tcBorders>
              <w:top w:val="single" w:sz="4" w:space="0" w:color="auto"/>
              <w:left w:val="nil"/>
              <w:bottom w:val="single" w:sz="4" w:space="0" w:color="auto"/>
              <w:right w:val="single" w:sz="4" w:space="0" w:color="auto"/>
            </w:tcBorders>
            <w:vAlign w:val="center"/>
            <w:hideMark/>
          </w:tcPr>
          <w:p w:rsidR="00AE3334" w:rsidRDefault="00AE3334" w:rsidP="00D24844">
            <w:pPr>
              <w:jc w:val="center"/>
              <w:rPr>
                <w:b/>
                <w:bCs/>
                <w:color w:val="000000"/>
                <w:sz w:val="20"/>
                <w:szCs w:val="20"/>
              </w:rPr>
            </w:pPr>
            <w:r>
              <w:rPr>
                <w:b/>
                <w:bCs/>
                <w:color w:val="000000"/>
                <w:sz w:val="20"/>
                <w:szCs w:val="20"/>
              </w:rPr>
              <w:t>Scale Reliability</w:t>
            </w:r>
          </w:p>
        </w:tc>
        <w:tc>
          <w:tcPr>
            <w:tcW w:w="5810" w:type="dxa"/>
            <w:tcBorders>
              <w:top w:val="single" w:sz="4" w:space="0" w:color="auto"/>
              <w:left w:val="nil"/>
              <w:bottom w:val="single" w:sz="4" w:space="0" w:color="auto"/>
              <w:right w:val="single" w:sz="4" w:space="0" w:color="auto"/>
            </w:tcBorders>
            <w:vAlign w:val="bottom"/>
            <w:hideMark/>
          </w:tcPr>
          <w:p w:rsidR="00AE3334" w:rsidRDefault="00AE3334" w:rsidP="00D24844">
            <w:pPr>
              <w:jc w:val="center"/>
              <w:rPr>
                <w:b/>
                <w:bCs/>
                <w:color w:val="000000"/>
                <w:sz w:val="20"/>
                <w:szCs w:val="20"/>
              </w:rPr>
            </w:pPr>
            <w:r>
              <w:rPr>
                <w:b/>
                <w:bCs/>
                <w:color w:val="000000"/>
                <w:sz w:val="20"/>
                <w:szCs w:val="20"/>
              </w:rPr>
              <w:t>Items</w:t>
            </w:r>
          </w:p>
        </w:tc>
        <w:tc>
          <w:tcPr>
            <w:tcW w:w="705" w:type="dxa"/>
            <w:tcBorders>
              <w:top w:val="single" w:sz="4" w:space="0" w:color="auto"/>
              <w:left w:val="nil"/>
              <w:bottom w:val="single" w:sz="4" w:space="0" w:color="auto"/>
              <w:right w:val="single" w:sz="4" w:space="0" w:color="auto"/>
            </w:tcBorders>
            <w:vAlign w:val="bottom"/>
            <w:hideMark/>
          </w:tcPr>
          <w:p w:rsidR="00AE3334" w:rsidRDefault="00AE3334" w:rsidP="00D24844">
            <w:pPr>
              <w:jc w:val="center"/>
              <w:rPr>
                <w:b/>
                <w:bCs/>
                <w:color w:val="000000"/>
                <w:sz w:val="20"/>
                <w:szCs w:val="20"/>
              </w:rPr>
            </w:pPr>
            <w:r>
              <w:rPr>
                <w:b/>
                <w:bCs/>
                <w:color w:val="000000"/>
                <w:sz w:val="20"/>
                <w:szCs w:val="20"/>
              </w:rPr>
              <w:t xml:space="preserve">Mean </w:t>
            </w:r>
          </w:p>
        </w:tc>
        <w:tc>
          <w:tcPr>
            <w:tcW w:w="700" w:type="dxa"/>
            <w:tcBorders>
              <w:top w:val="single" w:sz="4" w:space="0" w:color="auto"/>
              <w:left w:val="nil"/>
              <w:bottom w:val="single" w:sz="4" w:space="0" w:color="auto"/>
              <w:right w:val="single" w:sz="4" w:space="0" w:color="auto"/>
            </w:tcBorders>
            <w:vAlign w:val="bottom"/>
            <w:hideMark/>
          </w:tcPr>
          <w:p w:rsidR="00AE3334" w:rsidRDefault="00AE3334" w:rsidP="00D24844">
            <w:pPr>
              <w:jc w:val="center"/>
              <w:rPr>
                <w:b/>
                <w:bCs/>
                <w:color w:val="000000"/>
                <w:sz w:val="20"/>
                <w:szCs w:val="20"/>
              </w:rPr>
            </w:pPr>
            <w:r>
              <w:rPr>
                <w:b/>
                <w:bCs/>
                <w:color w:val="000000"/>
                <w:sz w:val="20"/>
                <w:szCs w:val="20"/>
              </w:rPr>
              <w:t>SD</w:t>
            </w:r>
          </w:p>
        </w:tc>
      </w:tr>
      <w:tr w:rsidR="00AE3334" w:rsidTr="00D24844">
        <w:trPr>
          <w:trHeight w:val="525"/>
        </w:trPr>
        <w:tc>
          <w:tcPr>
            <w:tcW w:w="1405" w:type="dxa"/>
            <w:vMerge w:val="restart"/>
            <w:tcBorders>
              <w:top w:val="nil"/>
              <w:left w:val="single" w:sz="4" w:space="0" w:color="auto"/>
              <w:bottom w:val="single" w:sz="4" w:space="0" w:color="000000"/>
              <w:right w:val="single" w:sz="4" w:space="0" w:color="auto"/>
            </w:tcBorders>
            <w:vAlign w:val="center"/>
            <w:hideMark/>
          </w:tcPr>
          <w:p w:rsidR="00AE3334" w:rsidRDefault="00AE3334" w:rsidP="00D24844">
            <w:pPr>
              <w:jc w:val="center"/>
              <w:rPr>
                <w:color w:val="000000"/>
                <w:sz w:val="20"/>
                <w:szCs w:val="20"/>
              </w:rPr>
            </w:pPr>
            <w:r>
              <w:rPr>
                <w:color w:val="000000"/>
                <w:sz w:val="20"/>
                <w:szCs w:val="20"/>
              </w:rPr>
              <w:t>Supply Chain Resilience (SCR)</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0.87</w:t>
            </w: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chain-...is able to adequately respond to unexpected disruptions by quickly restoring its product flow</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4.96</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1.256</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chain-...can quickly return to its original state after being disrupted</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4.99</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1.264</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chain-...can move to a new more desirable state after being disrupted</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4.73</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1.231</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chain-...is well prepared to deal with financial outcomes of supply chain disruptions</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4.92</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1.290</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chain-...has the ability to maintain a desired level of connectedness among its members at the time of disruption</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5.23</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1.128</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chain-...has the ability to maintain a desired level of functionality at the time of disruption</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5.07</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1.164</w:t>
            </w:r>
          </w:p>
        </w:tc>
      </w:tr>
      <w:tr w:rsidR="00AE3334" w:rsidTr="00D24844">
        <w:trPr>
          <w:trHeight w:val="525"/>
        </w:trPr>
        <w:tc>
          <w:tcPr>
            <w:tcW w:w="0" w:type="auto"/>
            <w:vMerge/>
            <w:tcBorders>
              <w:top w:val="nil"/>
              <w:left w:val="single" w:sz="4" w:space="0" w:color="auto"/>
              <w:bottom w:val="single" w:sz="4" w:space="0" w:color="auto"/>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auto"/>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SCR - Our supply chain-...has the ability to extract meaningful knowledge from disruptions and unexpected events</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5.06</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1.234</w:t>
            </w:r>
          </w:p>
        </w:tc>
      </w:tr>
      <w:tr w:rsidR="00AE3334" w:rsidTr="00D24844">
        <w:trPr>
          <w:trHeight w:val="525"/>
        </w:trPr>
        <w:tc>
          <w:tcPr>
            <w:tcW w:w="1405" w:type="dxa"/>
            <w:vMerge w:val="restart"/>
            <w:tcBorders>
              <w:top w:val="single" w:sz="4" w:space="0" w:color="auto"/>
              <w:left w:val="single" w:sz="4" w:space="0" w:color="auto"/>
              <w:bottom w:val="single" w:sz="4" w:space="0" w:color="000000"/>
              <w:right w:val="single" w:sz="4" w:space="0" w:color="auto"/>
            </w:tcBorders>
            <w:vAlign w:val="center"/>
            <w:hideMark/>
          </w:tcPr>
          <w:p w:rsidR="00AE3334" w:rsidRDefault="00AE3334" w:rsidP="00D24844">
            <w:pPr>
              <w:jc w:val="center"/>
              <w:rPr>
                <w:color w:val="000000"/>
                <w:sz w:val="20"/>
                <w:szCs w:val="20"/>
              </w:rPr>
            </w:pPr>
            <w:r>
              <w:rPr>
                <w:color w:val="000000"/>
                <w:sz w:val="20"/>
                <w:szCs w:val="20"/>
              </w:rPr>
              <w:t>Supply Management Capabilities (SMC)</w:t>
            </w:r>
          </w:p>
        </w:tc>
        <w:tc>
          <w:tcPr>
            <w:tcW w:w="1120" w:type="dxa"/>
            <w:vMerge w:val="restart"/>
            <w:tcBorders>
              <w:top w:val="single" w:sz="4" w:space="0" w:color="auto"/>
              <w:left w:val="single" w:sz="4" w:space="0" w:color="auto"/>
              <w:bottom w:val="single" w:sz="4" w:space="0" w:color="000000"/>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0.77</w:t>
            </w:r>
          </w:p>
        </w:tc>
        <w:tc>
          <w:tcPr>
            <w:tcW w:w="5810" w:type="dxa"/>
            <w:tcBorders>
              <w:top w:val="single" w:sz="4" w:space="0" w:color="auto"/>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SMC-Our firm has increased operational flexibility through collaboration with suppliers</w:t>
            </w:r>
          </w:p>
        </w:tc>
        <w:tc>
          <w:tcPr>
            <w:tcW w:w="705" w:type="dxa"/>
            <w:tcBorders>
              <w:top w:val="single" w:sz="4" w:space="0" w:color="auto"/>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5.39</w:t>
            </w:r>
          </w:p>
        </w:tc>
        <w:tc>
          <w:tcPr>
            <w:tcW w:w="700" w:type="dxa"/>
            <w:tcBorders>
              <w:top w:val="single" w:sz="4" w:space="0" w:color="auto"/>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1.149</w:t>
            </w:r>
          </w:p>
        </w:tc>
      </w:tr>
      <w:tr w:rsidR="00AE3334" w:rsidTr="00D24844">
        <w:trPr>
          <w:trHeight w:val="780"/>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SMC-Our firm actively pursues business relationships and programs designed to achieve supplier involvement over and above individual sales transactions</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5.26</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1.349</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SMC-Our firm’s logistical operations can be synchronized to integrate with supplier operations</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4.98</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1.283</w:t>
            </w:r>
          </w:p>
        </w:tc>
      </w:tr>
      <w:tr w:rsidR="00AE3334"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SMC-Our key suppliers have established programs to authorize and perform our special requests</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5.34</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1.068</w:t>
            </w:r>
          </w:p>
        </w:tc>
      </w:tr>
      <w:tr w:rsidR="00AE3334" w:rsidTr="00D24844">
        <w:trPr>
          <w:trHeight w:val="390"/>
        </w:trPr>
        <w:tc>
          <w:tcPr>
            <w:tcW w:w="1405" w:type="dxa"/>
            <w:vMerge w:val="restart"/>
            <w:tcBorders>
              <w:top w:val="nil"/>
              <w:left w:val="single" w:sz="4" w:space="0" w:color="auto"/>
              <w:bottom w:val="single" w:sz="4" w:space="0" w:color="000000"/>
              <w:right w:val="single" w:sz="4" w:space="0" w:color="auto"/>
            </w:tcBorders>
            <w:vAlign w:val="center"/>
            <w:hideMark/>
          </w:tcPr>
          <w:p w:rsidR="00AE3334" w:rsidRDefault="00AE3334" w:rsidP="00D24844">
            <w:pPr>
              <w:jc w:val="center"/>
              <w:rPr>
                <w:color w:val="000000"/>
                <w:sz w:val="20"/>
                <w:szCs w:val="20"/>
              </w:rPr>
            </w:pPr>
            <w:r>
              <w:rPr>
                <w:color w:val="000000"/>
                <w:sz w:val="20"/>
                <w:szCs w:val="20"/>
              </w:rPr>
              <w:t>Supply Chain Knowledge Development (SCKD)</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0.84</w:t>
            </w:r>
          </w:p>
        </w:tc>
        <w:tc>
          <w:tcPr>
            <w:tcW w:w="5810" w:type="dxa"/>
            <w:tcBorders>
              <w:top w:val="nil"/>
              <w:left w:val="nil"/>
              <w:bottom w:val="single" w:sz="4" w:space="0" w:color="auto"/>
              <w:right w:val="single" w:sz="4" w:space="0" w:color="auto"/>
            </w:tcBorders>
            <w:vAlign w:val="bottom"/>
          </w:tcPr>
          <w:p w:rsidR="00AE3334" w:rsidRDefault="00AE3334" w:rsidP="00D24844">
            <w:pPr>
              <w:rPr>
                <w:color w:val="000000"/>
                <w:sz w:val="20"/>
                <w:szCs w:val="20"/>
              </w:rPr>
            </w:pPr>
            <w:r>
              <w:rPr>
                <w:color w:val="000000"/>
                <w:sz w:val="20"/>
                <w:szCs w:val="20"/>
              </w:rPr>
              <w:t>SCKD-Our firm’s supply chain has developed a strong knowledge base</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5.32</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1.158</w:t>
            </w:r>
          </w:p>
        </w:tc>
      </w:tr>
      <w:tr w:rsidR="00AE3334" w:rsidTr="00D24844">
        <w:trPr>
          <w:trHeight w:val="510"/>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AE3334" w:rsidRDefault="00AE3334" w:rsidP="00D24844">
            <w:pPr>
              <w:rPr>
                <w:color w:val="000000"/>
                <w:sz w:val="20"/>
                <w:szCs w:val="20"/>
              </w:rPr>
            </w:pPr>
            <w:r>
              <w:rPr>
                <w:color w:val="000000"/>
                <w:sz w:val="20"/>
                <w:szCs w:val="20"/>
              </w:rPr>
              <w:t>SCKD-Knowledge is freely shared among the members of our supply chain</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5.02</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1.281</w:t>
            </w:r>
          </w:p>
        </w:tc>
      </w:tr>
      <w:tr w:rsidR="00AE3334"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AE3334" w:rsidRDefault="00AE3334" w:rsidP="00D24844">
            <w:pPr>
              <w:rPr>
                <w:color w:val="000000"/>
                <w:sz w:val="20"/>
                <w:szCs w:val="20"/>
              </w:rPr>
            </w:pPr>
          </w:p>
        </w:tc>
        <w:tc>
          <w:tcPr>
            <w:tcW w:w="5810" w:type="dxa"/>
            <w:tcBorders>
              <w:top w:val="nil"/>
              <w:left w:val="nil"/>
              <w:bottom w:val="single" w:sz="4" w:space="0" w:color="auto"/>
              <w:right w:val="single" w:sz="4" w:space="0" w:color="auto"/>
            </w:tcBorders>
            <w:vAlign w:val="bottom"/>
          </w:tcPr>
          <w:p w:rsidR="00AE3334" w:rsidRDefault="00AE3334" w:rsidP="00D24844">
            <w:pPr>
              <w:rPr>
                <w:color w:val="000000"/>
                <w:sz w:val="20"/>
                <w:szCs w:val="20"/>
              </w:rPr>
            </w:pPr>
            <w:r>
              <w:rPr>
                <w:color w:val="000000"/>
                <w:sz w:val="20"/>
                <w:szCs w:val="20"/>
              </w:rPr>
              <w:t>SCKD-Knowledge development has a high value in our supply chain</w:t>
            </w:r>
          </w:p>
        </w:tc>
        <w:tc>
          <w:tcPr>
            <w:tcW w:w="705"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5.31</w:t>
            </w:r>
          </w:p>
        </w:tc>
        <w:tc>
          <w:tcPr>
            <w:tcW w:w="700" w:type="dxa"/>
            <w:tcBorders>
              <w:top w:val="nil"/>
              <w:left w:val="nil"/>
              <w:bottom w:val="single" w:sz="4" w:space="0" w:color="auto"/>
              <w:right w:val="single" w:sz="4" w:space="0" w:color="auto"/>
            </w:tcBorders>
            <w:noWrap/>
            <w:vAlign w:val="center"/>
            <w:hideMark/>
          </w:tcPr>
          <w:p w:rsidR="00AE3334" w:rsidRDefault="00AE3334" w:rsidP="00D24844">
            <w:pPr>
              <w:jc w:val="center"/>
              <w:rPr>
                <w:color w:val="000000"/>
                <w:sz w:val="20"/>
                <w:szCs w:val="20"/>
              </w:rPr>
            </w:pPr>
            <w:r>
              <w:rPr>
                <w:color w:val="000000"/>
                <w:sz w:val="20"/>
                <w:szCs w:val="20"/>
              </w:rPr>
              <w:t>1.287</w:t>
            </w:r>
          </w:p>
        </w:tc>
      </w:tr>
    </w:tbl>
    <w:p w:rsidR="00AE3334" w:rsidRDefault="00AE3334" w:rsidP="00E201AF">
      <w:pPr>
        <w:spacing w:before="240" w:line="480" w:lineRule="auto"/>
        <w:rPr>
          <w:b/>
        </w:rPr>
      </w:pPr>
    </w:p>
    <w:p w:rsidR="00CF525E" w:rsidRPr="0069426D" w:rsidRDefault="00CF525E" w:rsidP="00CF525E">
      <w:pPr>
        <w:pStyle w:val="NoSpacing"/>
        <w:spacing w:before="240" w:line="480" w:lineRule="auto"/>
        <w:jc w:val="center"/>
        <w:rPr>
          <w:b/>
          <w:szCs w:val="24"/>
          <w:lang w:eastAsia="zh-CN"/>
        </w:rPr>
      </w:pPr>
      <w:r w:rsidRPr="0069426D">
        <w:rPr>
          <w:b/>
          <w:szCs w:val="24"/>
          <w:lang w:eastAsia="zh-CN"/>
        </w:rPr>
        <w:lastRenderedPageBreak/>
        <w:t>Tabl</w:t>
      </w:r>
      <w:r>
        <w:rPr>
          <w:b/>
          <w:szCs w:val="24"/>
          <w:lang w:eastAsia="zh-CN"/>
        </w:rPr>
        <w:t>e 4.7 Continued</w:t>
      </w:r>
    </w:p>
    <w:tbl>
      <w:tblPr>
        <w:tblW w:w="9740" w:type="dxa"/>
        <w:tblInd w:w="91" w:type="dxa"/>
        <w:tblLook w:val="04A0"/>
      </w:tblPr>
      <w:tblGrid>
        <w:gridCol w:w="1405"/>
        <w:gridCol w:w="1120"/>
        <w:gridCol w:w="5810"/>
        <w:gridCol w:w="705"/>
        <w:gridCol w:w="700"/>
      </w:tblGrid>
      <w:tr w:rsidR="00CF525E" w:rsidTr="00D24844">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Scale</w:t>
            </w:r>
          </w:p>
        </w:tc>
        <w:tc>
          <w:tcPr>
            <w:tcW w:w="1120" w:type="dxa"/>
            <w:tcBorders>
              <w:top w:val="single" w:sz="4" w:space="0" w:color="auto"/>
              <w:left w:val="nil"/>
              <w:bottom w:val="single" w:sz="4" w:space="0" w:color="auto"/>
              <w:right w:val="single" w:sz="4" w:space="0" w:color="auto"/>
            </w:tcBorders>
            <w:vAlign w:val="center"/>
            <w:hideMark/>
          </w:tcPr>
          <w:p w:rsidR="00CF525E" w:rsidRDefault="00CF525E" w:rsidP="00D24844">
            <w:pPr>
              <w:jc w:val="center"/>
              <w:rPr>
                <w:b/>
                <w:bCs/>
                <w:color w:val="000000"/>
                <w:sz w:val="20"/>
                <w:szCs w:val="20"/>
              </w:rPr>
            </w:pPr>
            <w:r>
              <w:rPr>
                <w:b/>
                <w:bCs/>
                <w:color w:val="000000"/>
                <w:sz w:val="20"/>
                <w:szCs w:val="20"/>
              </w:rPr>
              <w:t>Scale Reliability</w:t>
            </w:r>
          </w:p>
        </w:tc>
        <w:tc>
          <w:tcPr>
            <w:tcW w:w="5810" w:type="dxa"/>
            <w:tcBorders>
              <w:top w:val="single" w:sz="4" w:space="0" w:color="auto"/>
              <w:left w:val="nil"/>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Items</w:t>
            </w:r>
          </w:p>
        </w:tc>
        <w:tc>
          <w:tcPr>
            <w:tcW w:w="705" w:type="dxa"/>
            <w:tcBorders>
              <w:top w:val="single" w:sz="4" w:space="0" w:color="auto"/>
              <w:left w:val="nil"/>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 xml:space="preserve">Mean </w:t>
            </w:r>
          </w:p>
        </w:tc>
        <w:tc>
          <w:tcPr>
            <w:tcW w:w="700" w:type="dxa"/>
            <w:tcBorders>
              <w:top w:val="single" w:sz="4" w:space="0" w:color="auto"/>
              <w:left w:val="nil"/>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SD</w:t>
            </w:r>
          </w:p>
        </w:tc>
      </w:tr>
      <w:tr w:rsidR="00CF525E" w:rsidTr="00D24844">
        <w:trPr>
          <w:trHeight w:val="525"/>
        </w:trPr>
        <w:tc>
          <w:tcPr>
            <w:tcW w:w="1405" w:type="dxa"/>
            <w:vMerge w:val="restart"/>
            <w:tcBorders>
              <w:top w:val="nil"/>
              <w:left w:val="single" w:sz="4" w:space="0" w:color="auto"/>
              <w:bottom w:val="single" w:sz="4" w:space="0" w:color="000000"/>
              <w:right w:val="single" w:sz="4" w:space="0" w:color="auto"/>
            </w:tcBorders>
            <w:vAlign w:val="center"/>
            <w:hideMark/>
          </w:tcPr>
          <w:p w:rsidR="00CF525E" w:rsidRDefault="00CF525E" w:rsidP="00D24844">
            <w:pPr>
              <w:jc w:val="center"/>
              <w:rPr>
                <w:color w:val="000000"/>
                <w:sz w:val="20"/>
                <w:szCs w:val="20"/>
              </w:rPr>
            </w:pPr>
            <w:r>
              <w:rPr>
                <w:color w:val="000000"/>
                <w:sz w:val="20"/>
                <w:szCs w:val="20"/>
              </w:rPr>
              <w:t>Information Management Capabilities (IMC)</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0.91</w:t>
            </w: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IMC-Our firm effectively shares operational information between departments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5.08</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1.376</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IMC-Our firm maintains an integrated database to facilitate information sharing</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4.72</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1.628</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IMC-Logistics information systems in our firm are being extended to include more integrated applications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4.81</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1.567</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IMC-Our firm’s logistics information systems capture and maintain timely data</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4.90</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1.536</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IMC-Logistics operating and planning databases are integrated across applications within our firm</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4.44</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1.687</w:t>
            </w:r>
          </w:p>
        </w:tc>
      </w:tr>
      <w:tr w:rsidR="00CF525E"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IMC-The information available in our firm is accurate</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5.22</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1.231</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IMC-Our firm has invested in technology designed to facilitate cross-organizational data exchange</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4.89</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1.651</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IMC-Our firm has adequate ability to share customized information internally</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5.13</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1.346</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  IMC-Our firm has adequate ability to share customized information externally with key suppliers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4.74</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1.459</w:t>
            </w:r>
          </w:p>
        </w:tc>
      </w:tr>
      <w:tr w:rsidR="00CF525E" w:rsidTr="00D24844">
        <w:trPr>
          <w:trHeight w:val="300"/>
        </w:trPr>
        <w:tc>
          <w:tcPr>
            <w:tcW w:w="1405" w:type="dxa"/>
            <w:vMerge w:val="restart"/>
            <w:tcBorders>
              <w:top w:val="nil"/>
              <w:left w:val="single" w:sz="4" w:space="0" w:color="auto"/>
              <w:bottom w:val="single" w:sz="4" w:space="0" w:color="000000"/>
              <w:right w:val="single" w:sz="4" w:space="0" w:color="auto"/>
            </w:tcBorders>
            <w:vAlign w:val="center"/>
            <w:hideMark/>
          </w:tcPr>
          <w:p w:rsidR="00CF525E" w:rsidRDefault="00CF525E" w:rsidP="00D24844">
            <w:pPr>
              <w:jc w:val="center"/>
              <w:rPr>
                <w:color w:val="000000"/>
                <w:sz w:val="20"/>
                <w:szCs w:val="20"/>
              </w:rPr>
            </w:pPr>
            <w:r>
              <w:rPr>
                <w:color w:val="000000"/>
                <w:sz w:val="20"/>
                <w:szCs w:val="20"/>
              </w:rPr>
              <w:t>Supply Chain Capital (SCC)</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0.89</w:t>
            </w: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SCC-Our firm has a strong channel position within our supply chain</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5.20</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1.248</w:t>
            </w:r>
          </w:p>
        </w:tc>
      </w:tr>
      <w:tr w:rsidR="00CF525E"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SCC-Our supply chain has a well defined organizational structure</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5.25</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1.410</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SCC-The members of our extended supply chain are connected with each other through structural ties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4.56</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1.449</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SCC-Structural ties are strong among the key members of our supply chain</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5.01</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1.314</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SCC-Our firm’s supply chain could be characterized by strong relationships among its members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5.16</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1.291</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SCC-Our firm’s supply chain could be characterized by the longevity of the relationships among its members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5.15</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1.265</w:t>
            </w:r>
          </w:p>
        </w:tc>
      </w:tr>
    </w:tbl>
    <w:p w:rsidR="00CF525E" w:rsidRDefault="00CF525E" w:rsidP="00CF525E">
      <w:pPr>
        <w:pStyle w:val="NoSpacing"/>
        <w:spacing w:before="240" w:line="480" w:lineRule="auto"/>
        <w:jc w:val="center"/>
        <w:rPr>
          <w:b/>
          <w:szCs w:val="24"/>
          <w:lang w:eastAsia="zh-CN"/>
        </w:rPr>
      </w:pPr>
    </w:p>
    <w:p w:rsidR="00CF525E" w:rsidRPr="0069426D" w:rsidRDefault="00CF525E" w:rsidP="00CF525E">
      <w:pPr>
        <w:pStyle w:val="NoSpacing"/>
        <w:spacing w:before="240" w:line="480" w:lineRule="auto"/>
        <w:jc w:val="center"/>
        <w:rPr>
          <w:b/>
          <w:szCs w:val="24"/>
          <w:lang w:eastAsia="zh-CN"/>
        </w:rPr>
      </w:pPr>
      <w:r w:rsidRPr="0069426D">
        <w:rPr>
          <w:b/>
          <w:szCs w:val="24"/>
          <w:lang w:eastAsia="zh-CN"/>
        </w:rPr>
        <w:lastRenderedPageBreak/>
        <w:t>Tabl</w:t>
      </w:r>
      <w:r>
        <w:rPr>
          <w:b/>
          <w:szCs w:val="24"/>
          <w:lang w:eastAsia="zh-CN"/>
        </w:rPr>
        <w:t>e 4.7 Continued</w:t>
      </w:r>
    </w:p>
    <w:tbl>
      <w:tblPr>
        <w:tblW w:w="9740" w:type="dxa"/>
        <w:tblInd w:w="91" w:type="dxa"/>
        <w:tblLook w:val="04A0"/>
      </w:tblPr>
      <w:tblGrid>
        <w:gridCol w:w="1405"/>
        <w:gridCol w:w="1120"/>
        <w:gridCol w:w="5810"/>
        <w:gridCol w:w="705"/>
        <w:gridCol w:w="700"/>
      </w:tblGrid>
      <w:tr w:rsidR="00CF525E" w:rsidTr="00D24844">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Scale</w:t>
            </w:r>
          </w:p>
        </w:tc>
        <w:tc>
          <w:tcPr>
            <w:tcW w:w="1120" w:type="dxa"/>
            <w:tcBorders>
              <w:top w:val="single" w:sz="4" w:space="0" w:color="auto"/>
              <w:left w:val="nil"/>
              <w:bottom w:val="single" w:sz="4" w:space="0" w:color="auto"/>
              <w:right w:val="single" w:sz="4" w:space="0" w:color="auto"/>
            </w:tcBorders>
            <w:vAlign w:val="center"/>
            <w:hideMark/>
          </w:tcPr>
          <w:p w:rsidR="00CF525E" w:rsidRDefault="00CF525E" w:rsidP="00D24844">
            <w:pPr>
              <w:jc w:val="center"/>
              <w:rPr>
                <w:b/>
                <w:bCs/>
                <w:color w:val="000000"/>
                <w:sz w:val="20"/>
                <w:szCs w:val="20"/>
              </w:rPr>
            </w:pPr>
            <w:r>
              <w:rPr>
                <w:b/>
                <w:bCs/>
                <w:color w:val="000000"/>
                <w:sz w:val="20"/>
                <w:szCs w:val="20"/>
              </w:rPr>
              <w:t>Scale Reliability</w:t>
            </w:r>
          </w:p>
        </w:tc>
        <w:tc>
          <w:tcPr>
            <w:tcW w:w="5810" w:type="dxa"/>
            <w:tcBorders>
              <w:top w:val="single" w:sz="4" w:space="0" w:color="auto"/>
              <w:left w:val="nil"/>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Items</w:t>
            </w:r>
          </w:p>
        </w:tc>
        <w:tc>
          <w:tcPr>
            <w:tcW w:w="705" w:type="dxa"/>
            <w:tcBorders>
              <w:top w:val="single" w:sz="4" w:space="0" w:color="auto"/>
              <w:left w:val="nil"/>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 xml:space="preserve">Mean </w:t>
            </w:r>
          </w:p>
        </w:tc>
        <w:tc>
          <w:tcPr>
            <w:tcW w:w="700" w:type="dxa"/>
            <w:tcBorders>
              <w:top w:val="single" w:sz="4" w:space="0" w:color="auto"/>
              <w:left w:val="nil"/>
              <w:bottom w:val="single" w:sz="4" w:space="0" w:color="auto"/>
              <w:right w:val="single" w:sz="4" w:space="0" w:color="auto"/>
            </w:tcBorders>
            <w:vAlign w:val="bottom"/>
            <w:hideMark/>
          </w:tcPr>
          <w:p w:rsidR="00CF525E" w:rsidRDefault="00CF525E" w:rsidP="00D24844">
            <w:pPr>
              <w:jc w:val="center"/>
              <w:rPr>
                <w:b/>
                <w:bCs/>
                <w:color w:val="000000"/>
                <w:sz w:val="20"/>
                <w:szCs w:val="20"/>
              </w:rPr>
            </w:pPr>
            <w:r>
              <w:rPr>
                <w:b/>
                <w:bCs/>
                <w:color w:val="000000"/>
                <w:sz w:val="20"/>
                <w:szCs w:val="20"/>
              </w:rPr>
              <w:t>SD</w:t>
            </w:r>
          </w:p>
        </w:tc>
      </w:tr>
      <w:tr w:rsidR="00CF525E" w:rsidTr="00D24844">
        <w:trPr>
          <w:trHeight w:val="300"/>
        </w:trPr>
        <w:tc>
          <w:tcPr>
            <w:tcW w:w="1405" w:type="dxa"/>
            <w:vMerge w:val="restart"/>
            <w:tcBorders>
              <w:top w:val="single" w:sz="4" w:space="0" w:color="auto"/>
              <w:left w:val="single" w:sz="4" w:space="0" w:color="auto"/>
              <w:bottom w:val="single" w:sz="4" w:space="0" w:color="000000"/>
              <w:right w:val="single" w:sz="4" w:space="0" w:color="auto"/>
            </w:tcBorders>
            <w:vAlign w:val="center"/>
            <w:hideMark/>
          </w:tcPr>
          <w:p w:rsidR="00CF525E" w:rsidRDefault="00CF525E" w:rsidP="00D24844">
            <w:pPr>
              <w:jc w:val="center"/>
              <w:rPr>
                <w:color w:val="000000"/>
                <w:sz w:val="20"/>
                <w:szCs w:val="20"/>
              </w:rPr>
            </w:pPr>
            <w:r>
              <w:rPr>
                <w:color w:val="000000"/>
                <w:sz w:val="20"/>
                <w:szCs w:val="20"/>
              </w:rPr>
              <w:t>Supply Chain Process Variability (SCPV)</w:t>
            </w:r>
          </w:p>
        </w:tc>
        <w:tc>
          <w:tcPr>
            <w:tcW w:w="1120" w:type="dxa"/>
            <w:vMerge w:val="restart"/>
            <w:tcBorders>
              <w:top w:val="single" w:sz="4" w:space="0" w:color="auto"/>
              <w:left w:val="single" w:sz="4" w:space="0" w:color="auto"/>
              <w:bottom w:val="single" w:sz="4" w:space="0" w:color="000000"/>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0.80</w:t>
            </w:r>
          </w:p>
        </w:tc>
        <w:tc>
          <w:tcPr>
            <w:tcW w:w="5810" w:type="dxa"/>
            <w:tcBorders>
              <w:top w:val="single" w:sz="4" w:space="0" w:color="auto"/>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SCPV-Amount of time for shipments to arrive from key suppliers</w:t>
            </w:r>
          </w:p>
        </w:tc>
        <w:tc>
          <w:tcPr>
            <w:tcW w:w="705" w:type="dxa"/>
            <w:tcBorders>
              <w:top w:val="single" w:sz="4" w:space="0" w:color="auto"/>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2.82</w:t>
            </w:r>
          </w:p>
        </w:tc>
        <w:tc>
          <w:tcPr>
            <w:tcW w:w="700" w:type="dxa"/>
            <w:tcBorders>
              <w:top w:val="single" w:sz="4" w:space="0" w:color="auto"/>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1.339</w:t>
            </w:r>
          </w:p>
        </w:tc>
      </w:tr>
      <w:tr w:rsidR="00CF525E"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SCPV-Amount of time for shipments to reach key customers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2.37</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1.223</w:t>
            </w:r>
          </w:p>
        </w:tc>
      </w:tr>
      <w:tr w:rsidR="00CF525E"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SCPV-Production lead-time (fixed production schedule)</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3.11</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1.507</w:t>
            </w:r>
          </w:p>
        </w:tc>
      </w:tr>
      <w:tr w:rsidR="00CF525E" w:rsidTr="00D24844">
        <w:trPr>
          <w:trHeight w:val="300"/>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SCPV-Daily production output rate</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2.82</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1.352</w:t>
            </w:r>
          </w:p>
        </w:tc>
      </w:tr>
      <w:tr w:rsidR="00CF525E" w:rsidTr="00D24844">
        <w:trPr>
          <w:trHeight w:val="525"/>
        </w:trPr>
        <w:tc>
          <w:tcPr>
            <w:tcW w:w="1405" w:type="dxa"/>
            <w:vMerge w:val="restart"/>
            <w:tcBorders>
              <w:top w:val="nil"/>
              <w:left w:val="single" w:sz="4" w:space="0" w:color="auto"/>
              <w:bottom w:val="single" w:sz="4" w:space="0" w:color="000000"/>
              <w:right w:val="single" w:sz="4" w:space="0" w:color="auto"/>
            </w:tcBorders>
            <w:vAlign w:val="center"/>
            <w:hideMark/>
          </w:tcPr>
          <w:p w:rsidR="00CF525E" w:rsidRDefault="00CF525E" w:rsidP="00D24844">
            <w:pPr>
              <w:jc w:val="center"/>
              <w:rPr>
                <w:color w:val="000000"/>
                <w:sz w:val="20"/>
                <w:szCs w:val="20"/>
              </w:rPr>
            </w:pPr>
            <w:r>
              <w:rPr>
                <w:color w:val="000000"/>
                <w:sz w:val="20"/>
                <w:szCs w:val="20"/>
              </w:rPr>
              <w:t>Marker Variable</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0.85</w:t>
            </w: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Form-Internally in my unit, if a written rule is not specified in a certain situation, we make up informal rules as we go along</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4.47</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1.542</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Form-Contacts with my company and its representatives are on a formal pre-planned basis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4.86</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1.392</w:t>
            </w:r>
          </w:p>
        </w:tc>
      </w:tr>
      <w:tr w:rsidR="00CF525E" w:rsidTr="00D24844">
        <w:trPr>
          <w:trHeight w:val="52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Form-When rules and procedures exist in my organization they are usually written agreements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5.30</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1.389</w:t>
            </w:r>
          </w:p>
        </w:tc>
      </w:tr>
      <w:tr w:rsidR="00CF525E" w:rsidTr="00D24844">
        <w:trPr>
          <w:trHeight w:val="405"/>
        </w:trPr>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CF525E" w:rsidRDefault="00CF525E" w:rsidP="00D24844">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CF525E" w:rsidRDefault="00CF525E" w:rsidP="00D24844">
            <w:pPr>
              <w:rPr>
                <w:color w:val="000000"/>
                <w:sz w:val="20"/>
                <w:szCs w:val="20"/>
              </w:rPr>
            </w:pPr>
            <w:r>
              <w:rPr>
                <w:color w:val="000000"/>
                <w:sz w:val="20"/>
                <w:szCs w:val="20"/>
              </w:rPr>
              <w:t>Form-Most things in my business unit are covered by formal procedures</w:t>
            </w:r>
          </w:p>
        </w:tc>
        <w:tc>
          <w:tcPr>
            <w:tcW w:w="705"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5.26</w:t>
            </w:r>
          </w:p>
        </w:tc>
        <w:tc>
          <w:tcPr>
            <w:tcW w:w="700" w:type="dxa"/>
            <w:tcBorders>
              <w:top w:val="nil"/>
              <w:left w:val="nil"/>
              <w:bottom w:val="single" w:sz="4" w:space="0" w:color="auto"/>
              <w:right w:val="single" w:sz="4" w:space="0" w:color="auto"/>
            </w:tcBorders>
            <w:noWrap/>
            <w:vAlign w:val="center"/>
            <w:hideMark/>
          </w:tcPr>
          <w:p w:rsidR="00CF525E" w:rsidRDefault="00CF525E" w:rsidP="00D24844">
            <w:pPr>
              <w:jc w:val="center"/>
              <w:rPr>
                <w:color w:val="000000"/>
                <w:sz w:val="20"/>
                <w:szCs w:val="20"/>
              </w:rPr>
            </w:pPr>
            <w:r>
              <w:rPr>
                <w:color w:val="000000"/>
                <w:sz w:val="20"/>
                <w:szCs w:val="20"/>
              </w:rPr>
              <w:t>1.479</w:t>
            </w:r>
          </w:p>
        </w:tc>
      </w:tr>
    </w:tbl>
    <w:p w:rsidR="00CF525E" w:rsidRDefault="00CF525E" w:rsidP="00E201AF">
      <w:pPr>
        <w:spacing w:before="240" w:line="480" w:lineRule="auto"/>
        <w:rPr>
          <w:b/>
        </w:rPr>
      </w:pPr>
    </w:p>
    <w:p w:rsidR="00E201AF" w:rsidRPr="0069426D" w:rsidRDefault="00E201AF" w:rsidP="002B21E0">
      <w:pPr>
        <w:pStyle w:val="NoSpacing"/>
        <w:spacing w:line="480" w:lineRule="auto"/>
        <w:rPr>
          <w:b/>
          <w:szCs w:val="24"/>
          <w:lang w:eastAsia="zh-CN"/>
        </w:rPr>
      </w:pPr>
      <w:r w:rsidRPr="0069426D">
        <w:rPr>
          <w:b/>
          <w:szCs w:val="24"/>
          <w:lang w:eastAsia="zh-CN"/>
        </w:rPr>
        <w:t>Unidimensionality</w:t>
      </w:r>
    </w:p>
    <w:p w:rsidR="00E201AF" w:rsidRPr="0069426D" w:rsidRDefault="00E201AF" w:rsidP="00911265">
      <w:pPr>
        <w:pStyle w:val="NoSpacing"/>
        <w:spacing w:line="480" w:lineRule="auto"/>
        <w:ind w:firstLine="720"/>
        <w:rPr>
          <w:szCs w:val="24"/>
        </w:rPr>
      </w:pPr>
      <w:r w:rsidRPr="0069426D">
        <w:rPr>
          <w:szCs w:val="24"/>
        </w:rPr>
        <w:t xml:space="preserve">To ensure unidimensionality, within-factor items should possess one and only one underlying construct in common (Hair et al. 1998). It was assessed by measuring the overall goodness of model fit and examining convergent and discriminant validity. </w:t>
      </w:r>
      <w:r w:rsidR="00005892" w:rsidRPr="0069426D">
        <w:rPr>
          <w:szCs w:val="24"/>
        </w:rPr>
        <w:t>Only those scales that possess both convergent and discriminant validity are considered unidimensional</w:t>
      </w:r>
      <w:r w:rsidR="00005892">
        <w:rPr>
          <w:szCs w:val="24"/>
        </w:rPr>
        <w:t xml:space="preserve"> (Anderson and </w:t>
      </w:r>
      <w:proofErr w:type="spellStart"/>
      <w:r w:rsidR="00005892">
        <w:rPr>
          <w:szCs w:val="24"/>
        </w:rPr>
        <w:t>Gerbing</w:t>
      </w:r>
      <w:proofErr w:type="spellEnd"/>
      <w:r w:rsidR="00005892">
        <w:rPr>
          <w:szCs w:val="24"/>
        </w:rPr>
        <w:t xml:space="preserve"> 1988; </w:t>
      </w:r>
      <w:proofErr w:type="spellStart"/>
      <w:r w:rsidR="00005892">
        <w:rPr>
          <w:szCs w:val="24"/>
        </w:rPr>
        <w:t>Gerbing</w:t>
      </w:r>
      <w:proofErr w:type="spellEnd"/>
      <w:r w:rsidR="00005892">
        <w:rPr>
          <w:szCs w:val="24"/>
        </w:rPr>
        <w:t xml:space="preserve"> and Anderson 1988). </w:t>
      </w:r>
      <w:r w:rsidR="003D1B70">
        <w:rPr>
          <w:szCs w:val="24"/>
        </w:rPr>
        <w:t>Additionally,</w:t>
      </w:r>
      <w:r w:rsidR="003D1B70" w:rsidRPr="003D1B70">
        <w:rPr>
          <w:szCs w:val="24"/>
        </w:rPr>
        <w:t xml:space="preserve"> </w:t>
      </w:r>
      <w:r w:rsidR="003D1B70">
        <w:rPr>
          <w:szCs w:val="24"/>
        </w:rPr>
        <w:t xml:space="preserve">unidimensional variables should be measured by the items with low modification indices (Anderson and </w:t>
      </w:r>
      <w:proofErr w:type="spellStart"/>
      <w:r w:rsidR="003D1B70">
        <w:rPr>
          <w:szCs w:val="24"/>
        </w:rPr>
        <w:t>Gerbing</w:t>
      </w:r>
      <w:proofErr w:type="spellEnd"/>
      <w:r w:rsidR="003D1B70">
        <w:rPr>
          <w:szCs w:val="24"/>
        </w:rPr>
        <w:t xml:space="preserve"> 1988). After conducting an initial assessment, several </w:t>
      </w:r>
      <w:proofErr w:type="spellStart"/>
      <w:r w:rsidR="003D1B70">
        <w:rPr>
          <w:szCs w:val="24"/>
        </w:rPr>
        <w:t>covariations</w:t>
      </w:r>
      <w:proofErr w:type="spellEnd"/>
      <w:r w:rsidR="003D1B70">
        <w:rPr>
          <w:szCs w:val="24"/>
        </w:rPr>
        <w:t xml:space="preserve"> of the error terms were necessary in order to improve the modification indices. </w:t>
      </w:r>
      <w:r w:rsidR="00911265">
        <w:rPr>
          <w:szCs w:val="24"/>
        </w:rPr>
        <w:t>The selected error terms were allowed to covary</w:t>
      </w:r>
      <w:r w:rsidR="003D1B70">
        <w:rPr>
          <w:szCs w:val="24"/>
        </w:rPr>
        <w:t xml:space="preserve"> only after careful consideration of the items involved with respect to the theor</w:t>
      </w:r>
      <w:r w:rsidR="00911265">
        <w:rPr>
          <w:szCs w:val="24"/>
        </w:rPr>
        <w:t>etical rationale</w:t>
      </w:r>
      <w:r w:rsidR="003D1B70">
        <w:rPr>
          <w:szCs w:val="24"/>
        </w:rPr>
        <w:t xml:space="preserve">. </w:t>
      </w:r>
      <w:r w:rsidR="0069640F">
        <w:rPr>
          <w:szCs w:val="24"/>
        </w:rPr>
        <w:t xml:space="preserve">It is </w:t>
      </w:r>
      <w:r w:rsidR="0069640F">
        <w:rPr>
          <w:szCs w:val="24"/>
        </w:rPr>
        <w:lastRenderedPageBreak/>
        <w:t>important to note, however, that there could be some potential unidimensionality issues for the scales with the error terms that were allowed to covary</w:t>
      </w:r>
      <w:r w:rsidR="00777BA4">
        <w:rPr>
          <w:szCs w:val="24"/>
        </w:rPr>
        <w:t xml:space="preserve"> in this model</w:t>
      </w:r>
      <w:r w:rsidR="0069640F">
        <w:rPr>
          <w:szCs w:val="24"/>
        </w:rPr>
        <w:t xml:space="preserve">.  </w:t>
      </w:r>
      <w:r w:rsidR="00777BA4">
        <w:rPr>
          <w:szCs w:val="24"/>
        </w:rPr>
        <w:t xml:space="preserve">Specifically, it relates to the scales for risk management orientation, supply management orientation, and information management capabilities. </w:t>
      </w:r>
      <w:r w:rsidR="00911265">
        <w:rPr>
          <w:szCs w:val="24"/>
        </w:rPr>
        <w:t>The measurement of these scales will require some additional empirical testing in future research.</w:t>
      </w:r>
    </w:p>
    <w:p w:rsidR="00B77E39" w:rsidRDefault="00B77E39" w:rsidP="002B21E0">
      <w:pPr>
        <w:pStyle w:val="NoSpacing"/>
        <w:spacing w:line="480" w:lineRule="auto"/>
        <w:rPr>
          <w:b/>
          <w:szCs w:val="24"/>
          <w:lang w:eastAsia="zh-CN"/>
        </w:rPr>
      </w:pPr>
    </w:p>
    <w:p w:rsidR="00E201AF" w:rsidRPr="0069426D" w:rsidRDefault="00E201AF" w:rsidP="002B21E0">
      <w:pPr>
        <w:pStyle w:val="NoSpacing"/>
        <w:spacing w:line="480" w:lineRule="auto"/>
        <w:rPr>
          <w:b/>
          <w:szCs w:val="24"/>
          <w:lang w:eastAsia="zh-CN"/>
        </w:rPr>
      </w:pPr>
      <w:r w:rsidRPr="0069426D">
        <w:rPr>
          <w:b/>
          <w:szCs w:val="24"/>
          <w:lang w:eastAsia="zh-CN"/>
        </w:rPr>
        <w:t>Convergent Validity</w:t>
      </w:r>
    </w:p>
    <w:p w:rsidR="00E201AF" w:rsidRPr="00904ED3" w:rsidRDefault="00E201AF" w:rsidP="002B21E0">
      <w:pPr>
        <w:pStyle w:val="dissertationtext"/>
        <w:spacing w:line="480" w:lineRule="auto"/>
        <w:ind w:firstLine="720"/>
      </w:pPr>
      <w:r>
        <w:t>Convergent validity describes the convergence of different measures of the same construct on a common statistical factor (</w:t>
      </w:r>
      <w:proofErr w:type="spellStart"/>
      <w:r>
        <w:t>Mentzer</w:t>
      </w:r>
      <w:proofErr w:type="spellEnd"/>
      <w:r>
        <w:t xml:space="preserve"> and Flint 1997).  It is achieved when items have substantial loadings on the constructs they are intended to measure. The standardized regression loading of an item on its intended dimension or construct is used to measure convergent validity in practice. A good  measure of convergent validity is achieved when item loadings are greater than or equal to 0.70 and they are statistically significant, but even item loadings as low as 0.40 could be acceptable in some instances </w:t>
      </w:r>
      <w:r w:rsidR="00A7040E">
        <w:fldChar w:fldCharType="begin"/>
      </w:r>
      <w:r>
        <w:instrText xml:space="preserve"> ADDIN EN.CITE &lt;EndNote&gt;&lt;Cite&gt;&lt;Author&gt;Garver&lt;/Author&gt;&lt;Year&gt;1999&lt;/Year&gt;&lt;RecNum&gt;445&lt;/RecNum&gt;&lt;record&gt;&lt;rec-number&gt;445&lt;/rec-number&gt;&lt;foreign-keys&gt;&lt;key app="EN" db-id="t2f5t0r0k5zazuezpdax0a98zawa95et290s"&gt;445&lt;/key&gt;&lt;/foreign-keys&gt;&lt;ref-type name="Journal Article"&gt;17&lt;/ref-type&gt;&lt;contributors&gt;&lt;authors&gt;&lt;author&gt;Garver, MS&lt;/author&gt;&lt;author&gt;Mentzer, JT&lt;/author&gt;&lt;/authors&gt;&lt;/contributors&gt;&lt;titles&gt;&lt;title&gt;Logistics Research Methods: Employing Structural Equation Modeling to Test for Construct Validity&lt;/title&gt;&lt;secondary-title&gt;Journal of Business Logistics&lt;/secondary-title&gt;&lt;/titles&gt;&lt;periodical&gt;&lt;full-title&gt;JOURNAL OF BUSINESS LOGISTICS&lt;/full-title&gt;&lt;/periodical&gt;&lt;pages&gt;33-58&lt;/pages&gt;&lt;volume&gt;20&lt;/volume&gt;&lt;number&gt;1&lt;/number&gt;&lt;dates&gt;&lt;year&gt;1999&lt;/year&gt;&lt;/dates&gt;&lt;publisher&gt;COUNCIL OF LOGISTICTS MANAGEMENT&lt;/publisher&gt;&lt;urls&gt;&lt;/urls&gt;&lt;/record&gt;&lt;/Cite&gt;&lt;/EndNote&gt;</w:instrText>
      </w:r>
      <w:r w:rsidR="00A7040E">
        <w:fldChar w:fldCharType="separate"/>
      </w:r>
      <w:r>
        <w:rPr>
          <w:noProof/>
        </w:rPr>
        <w:t>(Garver and Mentzer 1999)</w:t>
      </w:r>
      <w:r w:rsidR="00A7040E">
        <w:fldChar w:fldCharType="end"/>
      </w:r>
      <w:r>
        <w:t>. After examining the</w:t>
      </w:r>
      <w:r w:rsidRPr="00904ED3">
        <w:t xml:space="preserve"> </w:t>
      </w:r>
      <w:r>
        <w:t>a-priori model several items were removed from further analysis based on their low loadings.</w:t>
      </w:r>
    </w:p>
    <w:p w:rsidR="00007EA8" w:rsidRDefault="00007EA8" w:rsidP="002B21E0">
      <w:pPr>
        <w:pStyle w:val="NoSpacing"/>
        <w:spacing w:line="480" w:lineRule="auto"/>
        <w:rPr>
          <w:rFonts w:eastAsia="SimSun"/>
          <w:szCs w:val="24"/>
          <w:lang w:eastAsia="zh-CN"/>
        </w:rPr>
      </w:pPr>
    </w:p>
    <w:p w:rsidR="00E201AF" w:rsidRPr="00007EA8" w:rsidRDefault="00E201AF" w:rsidP="002B21E0">
      <w:pPr>
        <w:pStyle w:val="NoSpacing"/>
        <w:spacing w:line="480" w:lineRule="auto"/>
        <w:rPr>
          <w:b/>
          <w:szCs w:val="24"/>
          <w:lang w:eastAsia="zh-CN"/>
        </w:rPr>
      </w:pPr>
      <w:r w:rsidRPr="00007EA8">
        <w:rPr>
          <w:b/>
          <w:szCs w:val="24"/>
          <w:lang w:eastAsia="zh-CN"/>
        </w:rPr>
        <w:t>Discriminant Validity</w:t>
      </w:r>
    </w:p>
    <w:p w:rsidR="00E201AF" w:rsidRDefault="00E201AF" w:rsidP="002B21E0">
      <w:pPr>
        <w:spacing w:after="0" w:line="480" w:lineRule="auto"/>
        <w:ind w:firstLine="720"/>
        <w:rPr>
          <w:rFonts w:eastAsia="SimSun"/>
          <w:lang w:eastAsia="zh-CN"/>
        </w:rPr>
      </w:pPr>
      <w:r w:rsidRPr="0069426D">
        <w:rPr>
          <w:rFonts w:eastAsia="SimSun"/>
          <w:lang w:eastAsia="zh-CN"/>
        </w:rPr>
        <w:t>Discriminant validity, on the other hand, evaluates how measures of different</w:t>
      </w:r>
      <w:r>
        <w:rPr>
          <w:rFonts w:eastAsia="SimSun"/>
          <w:lang w:eastAsia="zh-CN"/>
        </w:rPr>
        <w:t xml:space="preserve"> </w:t>
      </w:r>
      <w:r w:rsidRPr="0069426D">
        <w:rPr>
          <w:rFonts w:eastAsia="SimSun"/>
          <w:lang w:eastAsia="zh-CN"/>
        </w:rPr>
        <w:t>constructs</w:t>
      </w:r>
      <w:r>
        <w:rPr>
          <w:rFonts w:eastAsia="SimSun"/>
          <w:lang w:eastAsia="zh-CN"/>
        </w:rPr>
        <w:t xml:space="preserve"> </w:t>
      </w:r>
      <w:r w:rsidRPr="0069426D">
        <w:rPr>
          <w:rFonts w:eastAsia="SimSun"/>
          <w:lang w:eastAsia="zh-CN"/>
        </w:rPr>
        <w:t>load on different factors (i.e. discriminate from each other). While</w:t>
      </w:r>
      <w:r w:rsidRPr="00BF674A">
        <w:rPr>
          <w:rFonts w:eastAsia="SimSun"/>
          <w:lang w:eastAsia="zh-CN"/>
        </w:rPr>
        <w:t xml:space="preserve"> certain pairs of constructs are likely to be highly correlated, items from one scale should not converge too closely with items from a different scale, nor should the items that are meant to discriminate different dimensions </w:t>
      </w:r>
      <w:r w:rsidRPr="00BF674A">
        <w:rPr>
          <w:rFonts w:eastAsia="SimSun"/>
          <w:lang w:eastAsia="zh-CN"/>
        </w:rPr>
        <w:lastRenderedPageBreak/>
        <w:t xml:space="preserve">and constructs load together on </w:t>
      </w:r>
      <w:r>
        <w:rPr>
          <w:rFonts w:eastAsia="SimSun"/>
          <w:lang w:eastAsia="zh-CN"/>
        </w:rPr>
        <w:t xml:space="preserve">one variable.  If they do, then </w:t>
      </w:r>
      <w:r w:rsidRPr="00BF674A">
        <w:rPr>
          <w:rFonts w:eastAsia="SimSun"/>
          <w:lang w:eastAsia="zh-CN"/>
        </w:rPr>
        <w:t xml:space="preserve">the model needs to be carefully examined to see if variables should be combined or separated </w:t>
      </w:r>
      <w:r>
        <w:rPr>
          <w:rFonts w:eastAsia="SimSun"/>
          <w:lang w:eastAsia="zh-CN"/>
        </w:rPr>
        <w:t>(</w:t>
      </w:r>
      <w:proofErr w:type="spellStart"/>
      <w:r>
        <w:rPr>
          <w:rFonts w:eastAsia="SimSun"/>
          <w:lang w:eastAsia="zh-CN"/>
        </w:rPr>
        <w:t>Garver</w:t>
      </w:r>
      <w:proofErr w:type="spellEnd"/>
      <w:r>
        <w:rPr>
          <w:rFonts w:eastAsia="SimSun"/>
          <w:lang w:eastAsia="zh-CN"/>
        </w:rPr>
        <w:t xml:space="preserve"> and </w:t>
      </w:r>
      <w:proofErr w:type="spellStart"/>
      <w:r>
        <w:rPr>
          <w:rFonts w:eastAsia="SimSun"/>
          <w:lang w:eastAsia="zh-CN"/>
        </w:rPr>
        <w:t>Mentzer</w:t>
      </w:r>
      <w:proofErr w:type="spellEnd"/>
      <w:r>
        <w:rPr>
          <w:rFonts w:eastAsia="SimSun"/>
          <w:lang w:eastAsia="zh-CN"/>
        </w:rPr>
        <w:t xml:space="preserve"> 1999).</w:t>
      </w:r>
    </w:p>
    <w:p w:rsidR="00395568" w:rsidRDefault="00E201AF" w:rsidP="00395568">
      <w:pPr>
        <w:spacing w:after="0" w:line="480" w:lineRule="auto"/>
        <w:ind w:firstLine="720"/>
        <w:rPr>
          <w:rFonts w:eastAsia="SimSun"/>
          <w:lang w:eastAsia="zh-CN"/>
        </w:rPr>
      </w:pPr>
      <w:r w:rsidRPr="00BF674A">
        <w:rPr>
          <w:rFonts w:eastAsia="SimSun"/>
          <w:lang w:eastAsia="zh-CN"/>
        </w:rPr>
        <w:t xml:space="preserve">Discriminant validity </w:t>
      </w:r>
      <w:r>
        <w:rPr>
          <w:rFonts w:eastAsia="SimSun"/>
          <w:lang w:eastAsia="zh-CN"/>
        </w:rPr>
        <w:t xml:space="preserve">of the measurement model </w:t>
      </w:r>
      <w:r w:rsidRPr="00BF674A">
        <w:rPr>
          <w:rFonts w:eastAsia="SimSun"/>
          <w:lang w:eastAsia="zh-CN"/>
        </w:rPr>
        <w:t xml:space="preserve">was assessed </w:t>
      </w:r>
      <w:r>
        <w:rPr>
          <w:rFonts w:eastAsia="SimSun"/>
          <w:lang w:eastAsia="zh-CN"/>
        </w:rPr>
        <w:t xml:space="preserve">in </w:t>
      </w:r>
      <w:r w:rsidRPr="00BF674A">
        <w:rPr>
          <w:rFonts w:eastAsia="SimSun"/>
          <w:lang w:eastAsia="zh-CN"/>
        </w:rPr>
        <w:t xml:space="preserve">several ways.  </w:t>
      </w:r>
      <w:r>
        <w:rPr>
          <w:rFonts w:eastAsia="SimSun"/>
          <w:lang w:eastAsia="zh-CN"/>
        </w:rPr>
        <w:t xml:space="preserve">First, </w:t>
      </w:r>
      <w:r w:rsidRPr="00BF674A">
        <w:rPr>
          <w:rFonts w:eastAsia="SimSun"/>
          <w:lang w:eastAsia="zh-CN"/>
        </w:rPr>
        <w:t xml:space="preserve">the average variance extracted (AVE) </w:t>
      </w:r>
      <w:r>
        <w:rPr>
          <w:rFonts w:eastAsia="SimSun"/>
          <w:lang w:eastAsia="zh-CN"/>
        </w:rPr>
        <w:t>was</w:t>
      </w:r>
      <w:r w:rsidR="00395568">
        <w:rPr>
          <w:rFonts w:eastAsia="SimSun"/>
          <w:lang w:eastAsia="zh-CN"/>
        </w:rPr>
        <w:t xml:space="preserve"> computed by the equation: </w:t>
      </w:r>
    </w:p>
    <w:p w:rsidR="00395568" w:rsidRPr="00395568" w:rsidRDefault="00395568" w:rsidP="00395568">
      <w:pPr>
        <w:spacing w:after="0" w:line="480" w:lineRule="auto"/>
        <w:ind w:firstLine="720"/>
        <w:jc w:val="center"/>
        <w:rPr>
          <w:color w:val="000000"/>
          <w:sz w:val="28"/>
          <w:szCs w:val="28"/>
        </w:rPr>
      </w:pPr>
      <w:proofErr w:type="spellStart"/>
      <w:r w:rsidRPr="00395568">
        <w:rPr>
          <w:color w:val="000000"/>
          <w:sz w:val="32"/>
          <w:szCs w:val="32"/>
        </w:rPr>
        <w:t>Σλ</w:t>
      </w:r>
      <w:proofErr w:type="spellEnd"/>
      <w:r w:rsidRPr="00395568">
        <w:rPr>
          <w:color w:val="000000"/>
          <w:position w:val="10"/>
          <w:sz w:val="32"/>
          <w:szCs w:val="32"/>
          <w:vertAlign w:val="superscript"/>
        </w:rPr>
        <w:t xml:space="preserve">2 </w:t>
      </w:r>
      <w:r w:rsidRPr="00395568">
        <w:rPr>
          <w:color w:val="000000"/>
          <w:sz w:val="32"/>
          <w:szCs w:val="32"/>
        </w:rPr>
        <w:t>/ [</w:t>
      </w:r>
      <w:proofErr w:type="spellStart"/>
      <w:r w:rsidRPr="00395568">
        <w:rPr>
          <w:color w:val="000000"/>
          <w:sz w:val="32"/>
          <w:szCs w:val="32"/>
        </w:rPr>
        <w:t>Σλ</w:t>
      </w:r>
      <w:proofErr w:type="spellEnd"/>
      <w:r w:rsidRPr="00395568">
        <w:rPr>
          <w:color w:val="000000"/>
          <w:position w:val="10"/>
          <w:sz w:val="32"/>
          <w:szCs w:val="32"/>
          <w:vertAlign w:val="superscript"/>
        </w:rPr>
        <w:t xml:space="preserve">2 </w:t>
      </w:r>
      <w:r w:rsidRPr="00395568">
        <w:rPr>
          <w:color w:val="000000"/>
          <w:sz w:val="32"/>
          <w:szCs w:val="32"/>
        </w:rPr>
        <w:t xml:space="preserve">+ </w:t>
      </w:r>
      <w:proofErr w:type="gramStart"/>
      <w:r w:rsidRPr="00395568">
        <w:rPr>
          <w:color w:val="000000"/>
          <w:sz w:val="32"/>
          <w:szCs w:val="32"/>
        </w:rPr>
        <w:t>Σ(</w:t>
      </w:r>
      <w:proofErr w:type="gramEnd"/>
      <w:r w:rsidRPr="00395568">
        <w:rPr>
          <w:color w:val="000000"/>
          <w:sz w:val="32"/>
          <w:szCs w:val="32"/>
        </w:rPr>
        <w:t>1-λ</w:t>
      </w:r>
      <w:r w:rsidRPr="00395568">
        <w:rPr>
          <w:color w:val="000000"/>
          <w:position w:val="-10"/>
          <w:sz w:val="32"/>
          <w:szCs w:val="32"/>
          <w:vertAlign w:val="subscript"/>
        </w:rPr>
        <w:t>j</w:t>
      </w:r>
      <w:r w:rsidRPr="00395568">
        <w:rPr>
          <w:color w:val="000000"/>
          <w:position w:val="10"/>
          <w:sz w:val="32"/>
          <w:szCs w:val="32"/>
          <w:vertAlign w:val="superscript"/>
        </w:rPr>
        <w:t>2</w:t>
      </w:r>
      <w:r w:rsidRPr="00395568">
        <w:rPr>
          <w:color w:val="000000"/>
          <w:sz w:val="32"/>
          <w:szCs w:val="32"/>
        </w:rPr>
        <w:t>)]</w:t>
      </w:r>
      <w:r w:rsidR="00C775F1">
        <w:rPr>
          <w:color w:val="000000"/>
          <w:sz w:val="28"/>
          <w:szCs w:val="28"/>
        </w:rPr>
        <w:tab/>
      </w:r>
      <w:r w:rsidR="00C775F1">
        <w:rPr>
          <w:color w:val="000000"/>
          <w:sz w:val="28"/>
          <w:szCs w:val="28"/>
        </w:rPr>
        <w:tab/>
      </w:r>
      <w:r w:rsidR="00C775F1">
        <w:rPr>
          <w:color w:val="000000"/>
          <w:sz w:val="28"/>
          <w:szCs w:val="28"/>
        </w:rPr>
        <w:tab/>
      </w:r>
      <w:r w:rsidR="00C775F1">
        <w:rPr>
          <w:color w:val="000000"/>
          <w:sz w:val="28"/>
          <w:szCs w:val="28"/>
        </w:rPr>
        <w:tab/>
      </w:r>
      <w:r w:rsidR="00C775F1" w:rsidRPr="00C775F1">
        <w:rPr>
          <w:color w:val="000000"/>
          <w:sz w:val="32"/>
          <w:szCs w:val="32"/>
        </w:rPr>
        <w:t>(1)</w:t>
      </w:r>
    </w:p>
    <w:p w:rsidR="00E201AF" w:rsidRPr="00BF674A" w:rsidRDefault="00395568" w:rsidP="00395568">
      <w:pPr>
        <w:spacing w:after="0" w:line="480" w:lineRule="auto"/>
        <w:rPr>
          <w:rFonts w:eastAsia="SimSun"/>
          <w:lang w:eastAsia="zh-CN"/>
        </w:rPr>
      </w:pPr>
      <w:r>
        <w:rPr>
          <w:color w:val="000000"/>
        </w:rPr>
        <w:t>where λ</w:t>
      </w:r>
      <w:r>
        <w:rPr>
          <w:rFonts w:eastAsia="SimSun"/>
          <w:lang w:eastAsia="zh-CN"/>
        </w:rPr>
        <w:t xml:space="preserve"> </w:t>
      </w:r>
      <w:r w:rsidR="00E201AF" w:rsidRPr="00BF674A">
        <w:rPr>
          <w:rFonts w:eastAsia="SimSun"/>
          <w:lang w:eastAsia="zh-CN"/>
        </w:rPr>
        <w:t xml:space="preserve">is the standardized regression </w:t>
      </w:r>
      <w:r w:rsidR="00E201AF">
        <w:rPr>
          <w:rFonts w:eastAsia="SimSun"/>
          <w:lang w:eastAsia="zh-CN"/>
        </w:rPr>
        <w:t xml:space="preserve">coefficient </w:t>
      </w:r>
      <w:r w:rsidR="00E201AF" w:rsidRPr="00BF674A">
        <w:rPr>
          <w:rFonts w:eastAsia="SimSun"/>
          <w:lang w:eastAsia="zh-CN"/>
        </w:rPr>
        <w:t xml:space="preserve">of the item </w:t>
      </w:r>
      <w:r w:rsidR="00A7040E" w:rsidRPr="00BF674A">
        <w:rPr>
          <w:rFonts w:eastAsia="SimSun"/>
          <w:lang w:eastAsia="zh-CN"/>
        </w:rPr>
        <w:fldChar w:fldCharType="begin"/>
      </w:r>
      <w:r w:rsidR="00E201AF" w:rsidRPr="00BF674A">
        <w:rPr>
          <w:rFonts w:eastAsia="SimSun"/>
          <w:lang w:eastAsia="zh-CN"/>
        </w:rPr>
        <w:instrText xml:space="preserve"> ADDIN EN.CITE &lt;EndNote&gt;&lt;Cite&gt;&lt;Author&gt;Fornell&lt;/Author&gt;&lt;Year&gt;1981&lt;/Year&gt;&lt;RecNum&gt;544&lt;/RecNum&gt;&lt;record&gt;&lt;rec-number&gt;544&lt;/rec-number&gt;&lt;foreign-keys&gt;&lt;key app="EN" db-id="t2f5t0r0k5zazuezpdax0a98zawa95et290s"&gt;544&lt;/key&gt;&lt;/foreign-keys&gt;&lt;ref-type name="Journal Article"&gt;17&lt;/ref-type&gt;&lt;contributors&gt;&lt;authors&gt;&lt;author&gt;Fornell, C.&lt;/author&gt;&lt;author&gt;Larcker, D.F.&lt;/author&gt;&lt;/authors&gt;&lt;/contributors&gt;&lt;titles&gt;&lt;title&gt;Evaluating Structural Equation Models with Unobservable Variables and Measurement Error&lt;/title&gt;&lt;secondary-title&gt;Journal of Marketing Research&lt;/secondary-title&gt;&lt;/titles&gt;&lt;periodical&gt;&lt;full-title&gt;Journal of Marketing Research&lt;/full-title&gt;&lt;/periodical&gt;&lt;pages&gt;39-50&lt;/pages&gt;&lt;volume&gt;18&lt;/volume&gt;&lt;number&gt;1&lt;/number&gt;&lt;dates&gt;&lt;year&gt;1981&lt;/year&gt;&lt;/dates&gt;&lt;publisher&gt;JSTOR&lt;/publisher&gt;&lt;isbn&gt;0022-2437&lt;/isbn&gt;&lt;urls&gt;&lt;/urls&gt;&lt;/record&gt;&lt;/Cite&gt;&lt;/EndNote&gt;</w:instrText>
      </w:r>
      <w:r w:rsidR="00A7040E" w:rsidRPr="00BF674A">
        <w:rPr>
          <w:rFonts w:eastAsia="SimSun"/>
          <w:lang w:eastAsia="zh-CN"/>
        </w:rPr>
        <w:fldChar w:fldCharType="separate"/>
      </w:r>
      <w:r w:rsidR="00E201AF" w:rsidRPr="00BF674A">
        <w:rPr>
          <w:rFonts w:eastAsia="SimSun"/>
          <w:lang w:eastAsia="zh-CN"/>
        </w:rPr>
        <w:t>(Fornell and Larcker 1981)</w:t>
      </w:r>
      <w:r w:rsidR="00A7040E" w:rsidRPr="00BF674A">
        <w:rPr>
          <w:rFonts w:eastAsia="SimSun"/>
          <w:lang w:eastAsia="zh-CN"/>
        </w:rPr>
        <w:fldChar w:fldCharType="end"/>
      </w:r>
      <w:r w:rsidR="00E201AF" w:rsidRPr="00BF674A">
        <w:rPr>
          <w:rFonts w:eastAsia="SimSun"/>
          <w:lang w:eastAsia="zh-CN"/>
        </w:rPr>
        <w:t xml:space="preserve">. An AVE of .50 or higher is considered a </w:t>
      </w:r>
      <w:r w:rsidR="00E201AF">
        <w:rPr>
          <w:rFonts w:eastAsia="SimSun"/>
          <w:lang w:eastAsia="zh-CN"/>
        </w:rPr>
        <w:t>measure</w:t>
      </w:r>
      <w:r w:rsidR="00E201AF" w:rsidRPr="00BF674A">
        <w:rPr>
          <w:rFonts w:eastAsia="SimSun"/>
          <w:lang w:eastAsia="zh-CN"/>
        </w:rPr>
        <w:t xml:space="preserve"> of acceptable discriminant validity.  </w:t>
      </w:r>
      <w:r w:rsidR="00E201AF">
        <w:rPr>
          <w:rFonts w:eastAsia="SimSun"/>
          <w:lang w:eastAsia="zh-CN"/>
        </w:rPr>
        <w:t>Second,</w:t>
      </w:r>
      <w:r w:rsidR="00E201AF" w:rsidRPr="00BF674A">
        <w:rPr>
          <w:rFonts w:eastAsia="SimSun"/>
          <w:lang w:eastAsia="zh-CN"/>
        </w:rPr>
        <w:t xml:space="preserve"> </w:t>
      </w:r>
      <w:r w:rsidR="00E201AF">
        <w:rPr>
          <w:rFonts w:eastAsia="SimSun"/>
          <w:lang w:eastAsia="zh-CN"/>
        </w:rPr>
        <w:t>the average variance extracted</w:t>
      </w:r>
      <w:r w:rsidR="00E201AF" w:rsidRPr="00BF674A">
        <w:rPr>
          <w:rFonts w:eastAsia="SimSun"/>
          <w:lang w:eastAsia="zh-CN"/>
        </w:rPr>
        <w:t xml:space="preserve"> of a dimension or construct</w:t>
      </w:r>
      <w:r w:rsidR="00E201AF">
        <w:rPr>
          <w:rFonts w:eastAsia="SimSun"/>
          <w:lang w:eastAsia="zh-CN"/>
        </w:rPr>
        <w:t xml:space="preserve"> was compared</w:t>
      </w:r>
      <w:r w:rsidR="00E201AF" w:rsidRPr="00BF674A">
        <w:rPr>
          <w:rFonts w:eastAsia="SimSun"/>
          <w:lang w:eastAsia="zh-CN"/>
        </w:rPr>
        <w:t xml:space="preserve"> to the shared variance between all possible pairs of dimensions or constructs in the model. This test of discriminant validity is </w:t>
      </w:r>
      <w:r w:rsidR="00E201AF">
        <w:rPr>
          <w:rFonts w:eastAsia="SimSun"/>
          <w:lang w:eastAsia="zh-CN"/>
        </w:rPr>
        <w:t xml:space="preserve">more conservative and is only </w:t>
      </w:r>
      <w:r w:rsidR="00E201AF" w:rsidRPr="00BF674A">
        <w:rPr>
          <w:rFonts w:eastAsia="SimSun"/>
          <w:lang w:eastAsia="zh-CN"/>
        </w:rPr>
        <w:t xml:space="preserve">supported when the AVE of a construct exceeds shared variance with </w:t>
      </w:r>
      <w:r w:rsidR="00E201AF">
        <w:rPr>
          <w:rFonts w:eastAsia="SimSun"/>
          <w:lang w:eastAsia="zh-CN"/>
        </w:rPr>
        <w:t xml:space="preserve">all </w:t>
      </w:r>
      <w:r w:rsidR="00BC6A39">
        <w:rPr>
          <w:rFonts w:eastAsia="SimSun"/>
          <w:lang w:eastAsia="zh-CN"/>
        </w:rPr>
        <w:t>other constructs. Table 4.8</w:t>
      </w:r>
      <w:r w:rsidR="00E201AF">
        <w:rPr>
          <w:rFonts w:eastAsia="SimSun"/>
          <w:lang w:eastAsia="zh-CN"/>
        </w:rPr>
        <w:t xml:space="preserve"> provides a summary of average variances extracted for the measurement model. All comparisons met the stated criteria where AVE values exceeded calculated shared variance.</w:t>
      </w:r>
    </w:p>
    <w:p w:rsidR="00E201AF" w:rsidRDefault="00E201AF" w:rsidP="00E201AF">
      <w:pPr>
        <w:spacing w:line="480" w:lineRule="auto"/>
        <w:jc w:val="center"/>
      </w:pPr>
    </w:p>
    <w:p w:rsidR="0033699E" w:rsidRDefault="0033699E" w:rsidP="00E201AF">
      <w:pPr>
        <w:spacing w:line="480" w:lineRule="auto"/>
        <w:jc w:val="center"/>
      </w:pPr>
    </w:p>
    <w:p w:rsidR="0033699E" w:rsidRDefault="0033699E" w:rsidP="00E201AF">
      <w:pPr>
        <w:spacing w:line="480" w:lineRule="auto"/>
        <w:jc w:val="center"/>
      </w:pPr>
    </w:p>
    <w:p w:rsidR="0033699E" w:rsidRDefault="0033699E" w:rsidP="00E201AF">
      <w:pPr>
        <w:spacing w:line="480" w:lineRule="auto"/>
        <w:jc w:val="center"/>
      </w:pPr>
    </w:p>
    <w:p w:rsidR="0033699E" w:rsidRDefault="0033699E" w:rsidP="00E201AF">
      <w:pPr>
        <w:spacing w:line="480" w:lineRule="auto"/>
        <w:jc w:val="center"/>
      </w:pPr>
    </w:p>
    <w:p w:rsidR="0033699E" w:rsidRDefault="0033699E" w:rsidP="00E201AF">
      <w:pPr>
        <w:spacing w:line="480" w:lineRule="auto"/>
        <w:jc w:val="center"/>
      </w:pPr>
    </w:p>
    <w:p w:rsidR="0033699E" w:rsidRDefault="0033699E" w:rsidP="00E201AF">
      <w:pPr>
        <w:spacing w:line="480" w:lineRule="auto"/>
        <w:jc w:val="center"/>
      </w:pPr>
    </w:p>
    <w:p w:rsidR="00E201AF" w:rsidRDefault="00E201AF" w:rsidP="00E201AF">
      <w:pPr>
        <w:spacing w:line="480" w:lineRule="auto"/>
        <w:jc w:val="center"/>
        <w:rPr>
          <w:color w:val="000000"/>
        </w:rPr>
      </w:pPr>
      <w:r>
        <w:lastRenderedPageBreak/>
        <w:t>.</w:t>
      </w:r>
      <w:r w:rsidRPr="0069426D">
        <w:rPr>
          <w:rFonts w:eastAsia="SimSun"/>
          <w:lang w:eastAsia="zh-CN"/>
        </w:rPr>
        <w:t xml:space="preserve"> </w:t>
      </w:r>
      <w:r w:rsidR="002B21E0">
        <w:rPr>
          <w:b/>
        </w:rPr>
        <w:t>Table</w:t>
      </w:r>
      <w:r w:rsidR="00BC6A39">
        <w:rPr>
          <w:b/>
        </w:rPr>
        <w:t xml:space="preserve"> 4.8</w:t>
      </w:r>
      <w:r w:rsidR="00FD1F08">
        <w:rPr>
          <w:b/>
        </w:rPr>
        <w:t xml:space="preserve"> </w:t>
      </w:r>
      <w:r>
        <w:rPr>
          <w:b/>
        </w:rPr>
        <w:t>Average Variance Extracted (AVE)</w:t>
      </w:r>
    </w:p>
    <w:p w:rsidR="00FD1F08" w:rsidRDefault="00FD1F08" w:rsidP="00FD1F08">
      <w:pPr>
        <w:spacing w:line="480" w:lineRule="auto"/>
      </w:pPr>
      <w:r>
        <w:rPr>
          <w:rFonts w:eastAsia="SimSun"/>
          <w:noProof/>
        </w:rPr>
        <w:drawing>
          <wp:inline distT="0" distB="0" distL="0" distR="0">
            <wp:extent cx="5943600" cy="397700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srcRect/>
                    <a:stretch>
                      <a:fillRect/>
                    </a:stretch>
                  </pic:blipFill>
                  <pic:spPr bwMode="auto">
                    <a:xfrm>
                      <a:off x="0" y="0"/>
                      <a:ext cx="5943600" cy="3977005"/>
                    </a:xfrm>
                    <a:prstGeom prst="rect">
                      <a:avLst/>
                    </a:prstGeom>
                    <a:noFill/>
                    <a:ln w="9525">
                      <a:noFill/>
                      <a:miter lim="800000"/>
                      <a:headEnd/>
                      <a:tailEnd/>
                    </a:ln>
                  </pic:spPr>
                </pic:pic>
              </a:graphicData>
            </a:graphic>
          </wp:inline>
        </w:drawing>
      </w:r>
    </w:p>
    <w:p w:rsidR="00FD1F08" w:rsidRDefault="00FD1F08" w:rsidP="00FD1F08">
      <w:pPr>
        <w:rPr>
          <w:sz w:val="20"/>
          <w:szCs w:val="20"/>
        </w:rPr>
      </w:pPr>
      <w:r>
        <w:rPr>
          <w:sz w:val="20"/>
          <w:szCs w:val="20"/>
        </w:rPr>
        <w:t>Diagonal = Average Variance Extracted (AVE)</w:t>
      </w:r>
    </w:p>
    <w:p w:rsidR="00FD1F08" w:rsidRPr="00507E3B" w:rsidRDefault="00FD1F08" w:rsidP="00FD1F08">
      <w:pPr>
        <w:rPr>
          <w:sz w:val="20"/>
          <w:szCs w:val="20"/>
        </w:rPr>
      </w:pPr>
      <w:r>
        <w:rPr>
          <w:sz w:val="20"/>
          <w:szCs w:val="20"/>
        </w:rPr>
        <w:t>Lower Matrix = R</w:t>
      </w:r>
      <w:r>
        <w:rPr>
          <w:sz w:val="20"/>
          <w:szCs w:val="20"/>
          <w:vertAlign w:val="superscript"/>
        </w:rPr>
        <w:t>2</w:t>
      </w:r>
    </w:p>
    <w:p w:rsidR="00A52A9F" w:rsidRDefault="00A52A9F" w:rsidP="00FD1F08">
      <w:pPr>
        <w:spacing w:after="0" w:line="480" w:lineRule="auto"/>
      </w:pPr>
    </w:p>
    <w:p w:rsidR="00FD1F08" w:rsidRPr="00117688" w:rsidRDefault="00FD1F08" w:rsidP="00FD1F08">
      <w:pPr>
        <w:spacing w:after="0" w:line="480" w:lineRule="auto"/>
        <w:rPr>
          <w:b/>
          <w:i/>
          <w:lang w:eastAsia="zh-CN"/>
        </w:rPr>
      </w:pPr>
      <w:r>
        <w:rPr>
          <w:b/>
          <w:i/>
          <w:lang w:eastAsia="zh-CN"/>
        </w:rPr>
        <w:t>Reliability</w:t>
      </w:r>
    </w:p>
    <w:p w:rsidR="007D4411" w:rsidRDefault="00FD1F08" w:rsidP="00FD1F08">
      <w:pPr>
        <w:spacing w:after="0" w:line="480" w:lineRule="auto"/>
        <w:ind w:firstLine="720"/>
      </w:pPr>
      <w:r>
        <w:t xml:space="preserve">Reliability generally refers to an extent to which an experiment, test, or other measurement procedure yields the same result on repeated trials. Traditionally the reliability could be assessed using </w:t>
      </w:r>
      <w:proofErr w:type="spellStart"/>
      <w:r>
        <w:t>Cronbach’s</w:t>
      </w:r>
      <w:proofErr w:type="spellEnd"/>
      <w:r>
        <w:t xml:space="preserve"> alpha coefficient, however this approach tends to underestimate reliability, has several other limitations, and could be inaccurate (</w:t>
      </w:r>
      <w:proofErr w:type="spellStart"/>
      <w:r>
        <w:t>Malhotra</w:t>
      </w:r>
      <w:proofErr w:type="spellEnd"/>
      <w:r>
        <w:t xml:space="preserve"> and Grover 1998, </w:t>
      </w:r>
      <w:proofErr w:type="spellStart"/>
      <w:r>
        <w:t>Garver</w:t>
      </w:r>
      <w:proofErr w:type="spellEnd"/>
      <w:r>
        <w:t xml:space="preserve"> and </w:t>
      </w:r>
      <w:proofErr w:type="spellStart"/>
      <w:r>
        <w:t>Mentzer</w:t>
      </w:r>
      <w:proofErr w:type="spellEnd"/>
      <w:r>
        <w:t xml:space="preserve"> 1999). Therefore, an alternative measure of reliability was </w:t>
      </w:r>
      <w:r>
        <w:lastRenderedPageBreak/>
        <w:t xml:space="preserve">also utilized.  The following equation was used for calculating this alternative measure of construct reliability: </w:t>
      </w:r>
    </w:p>
    <w:p w:rsidR="007D4411" w:rsidRPr="007D4411" w:rsidRDefault="00FD1F08" w:rsidP="007D4411">
      <w:pPr>
        <w:spacing w:after="0" w:line="480" w:lineRule="auto"/>
        <w:ind w:firstLine="720"/>
        <w:jc w:val="center"/>
        <w:rPr>
          <w:rFonts w:eastAsia="SimSun"/>
          <w:sz w:val="32"/>
          <w:szCs w:val="32"/>
          <w:lang w:eastAsia="zh-CN"/>
        </w:rPr>
      </w:pPr>
      <w:r w:rsidRPr="007D4411">
        <w:rPr>
          <w:color w:val="000000"/>
          <w:sz w:val="32"/>
          <w:szCs w:val="32"/>
        </w:rPr>
        <w:t>(</w:t>
      </w:r>
      <w:proofErr w:type="spellStart"/>
      <w:r w:rsidRPr="007D4411">
        <w:rPr>
          <w:color w:val="000000"/>
          <w:sz w:val="32"/>
          <w:szCs w:val="32"/>
        </w:rPr>
        <w:t>Σλ</w:t>
      </w:r>
      <w:proofErr w:type="spellEnd"/>
      <w:proofErr w:type="gramStart"/>
      <w:r w:rsidRPr="007D4411">
        <w:rPr>
          <w:color w:val="000000"/>
          <w:sz w:val="32"/>
          <w:szCs w:val="32"/>
        </w:rPr>
        <w:t>)</w:t>
      </w:r>
      <w:r w:rsidRPr="007D4411">
        <w:rPr>
          <w:color w:val="000000"/>
          <w:position w:val="10"/>
          <w:sz w:val="32"/>
          <w:szCs w:val="32"/>
          <w:vertAlign w:val="superscript"/>
        </w:rPr>
        <w:t>2</w:t>
      </w:r>
      <w:proofErr w:type="gramEnd"/>
      <w:r w:rsidRPr="007D4411">
        <w:rPr>
          <w:color w:val="000000"/>
          <w:position w:val="10"/>
          <w:sz w:val="32"/>
          <w:szCs w:val="32"/>
          <w:vertAlign w:val="superscript"/>
        </w:rPr>
        <w:t xml:space="preserve"> </w:t>
      </w:r>
      <w:r w:rsidRPr="007D4411">
        <w:rPr>
          <w:color w:val="000000"/>
          <w:sz w:val="32"/>
          <w:szCs w:val="32"/>
        </w:rPr>
        <w:t>/ [(</w:t>
      </w:r>
      <w:proofErr w:type="spellStart"/>
      <w:r w:rsidRPr="007D4411">
        <w:rPr>
          <w:color w:val="000000"/>
          <w:sz w:val="32"/>
          <w:szCs w:val="32"/>
        </w:rPr>
        <w:t>Σλ</w:t>
      </w:r>
      <w:proofErr w:type="spellEnd"/>
      <w:r w:rsidRPr="007D4411">
        <w:rPr>
          <w:color w:val="000000"/>
          <w:sz w:val="32"/>
          <w:szCs w:val="32"/>
        </w:rPr>
        <w:t>)</w:t>
      </w:r>
      <w:r w:rsidRPr="007D4411">
        <w:rPr>
          <w:color w:val="000000"/>
          <w:position w:val="10"/>
          <w:sz w:val="32"/>
          <w:szCs w:val="32"/>
          <w:vertAlign w:val="superscript"/>
        </w:rPr>
        <w:t xml:space="preserve">2 </w:t>
      </w:r>
      <w:r w:rsidRPr="007D4411">
        <w:rPr>
          <w:color w:val="000000"/>
          <w:sz w:val="32"/>
          <w:szCs w:val="32"/>
        </w:rPr>
        <w:t>+ Σ(1-λ</w:t>
      </w:r>
      <w:r w:rsidRPr="007D4411">
        <w:rPr>
          <w:color w:val="000000"/>
          <w:position w:val="-10"/>
          <w:sz w:val="32"/>
          <w:szCs w:val="32"/>
          <w:vertAlign w:val="subscript"/>
        </w:rPr>
        <w:t>j</w:t>
      </w:r>
      <w:r w:rsidRPr="007D4411">
        <w:rPr>
          <w:color w:val="000000"/>
          <w:position w:val="10"/>
          <w:sz w:val="32"/>
          <w:szCs w:val="32"/>
          <w:vertAlign w:val="superscript"/>
        </w:rPr>
        <w:t>2</w:t>
      </w:r>
      <w:r w:rsidRPr="007D4411">
        <w:rPr>
          <w:color w:val="000000"/>
          <w:sz w:val="32"/>
          <w:szCs w:val="32"/>
        </w:rPr>
        <w:t>)]</w:t>
      </w:r>
      <w:r w:rsidRPr="007D4411">
        <w:rPr>
          <w:rFonts w:eastAsia="SimSun"/>
          <w:sz w:val="32"/>
          <w:szCs w:val="32"/>
          <w:lang w:eastAsia="zh-CN"/>
        </w:rPr>
        <w:t xml:space="preserve"> </w:t>
      </w:r>
      <w:r w:rsidR="00C775F1">
        <w:rPr>
          <w:rFonts w:eastAsia="SimSun"/>
          <w:sz w:val="32"/>
          <w:szCs w:val="32"/>
          <w:lang w:eastAsia="zh-CN"/>
        </w:rPr>
        <w:tab/>
      </w:r>
      <w:r w:rsidR="00C775F1">
        <w:rPr>
          <w:rFonts w:eastAsia="SimSun"/>
          <w:sz w:val="32"/>
          <w:szCs w:val="32"/>
          <w:lang w:eastAsia="zh-CN"/>
        </w:rPr>
        <w:tab/>
      </w:r>
      <w:r w:rsidR="00C775F1">
        <w:rPr>
          <w:rFonts w:eastAsia="SimSun"/>
          <w:sz w:val="32"/>
          <w:szCs w:val="32"/>
          <w:lang w:eastAsia="zh-CN"/>
        </w:rPr>
        <w:tab/>
        <w:t>(2)</w:t>
      </w:r>
    </w:p>
    <w:p w:rsidR="007D4411" w:rsidRDefault="00FD1F08" w:rsidP="007D4411">
      <w:pPr>
        <w:spacing w:after="0" w:line="480" w:lineRule="auto"/>
        <w:rPr>
          <w:lang w:eastAsia="zh-CN"/>
        </w:rPr>
      </w:pPr>
      <w:proofErr w:type="gramStart"/>
      <w:r w:rsidRPr="00BF674A">
        <w:rPr>
          <w:rFonts w:eastAsia="SimSun"/>
          <w:lang w:eastAsia="zh-CN"/>
        </w:rPr>
        <w:t>where</w:t>
      </w:r>
      <w:proofErr w:type="gramEnd"/>
      <w:r w:rsidRPr="00BF674A">
        <w:rPr>
          <w:rFonts w:eastAsia="SimSun"/>
          <w:lang w:eastAsia="zh-CN"/>
        </w:rPr>
        <w:t xml:space="preserve"> λ is the standardized regression </w:t>
      </w:r>
      <w:r>
        <w:rPr>
          <w:rFonts w:eastAsia="SimSun"/>
          <w:lang w:eastAsia="zh-CN"/>
        </w:rPr>
        <w:t>coefficient of the item (</w:t>
      </w:r>
      <w:proofErr w:type="spellStart"/>
      <w:r>
        <w:rPr>
          <w:lang w:eastAsia="zh-CN"/>
        </w:rPr>
        <w:t>Fornell</w:t>
      </w:r>
      <w:proofErr w:type="spellEnd"/>
      <w:r>
        <w:rPr>
          <w:lang w:eastAsia="zh-CN"/>
        </w:rPr>
        <w:t xml:space="preserve"> and </w:t>
      </w:r>
      <w:proofErr w:type="spellStart"/>
      <w:r>
        <w:rPr>
          <w:lang w:eastAsia="zh-CN"/>
        </w:rPr>
        <w:t>Larcker</w:t>
      </w:r>
      <w:proofErr w:type="spellEnd"/>
      <w:r>
        <w:rPr>
          <w:lang w:eastAsia="zh-CN"/>
        </w:rPr>
        <w:t xml:space="preserve"> 1981). </w:t>
      </w:r>
    </w:p>
    <w:p w:rsidR="00FD1F08" w:rsidRDefault="00FD1F08" w:rsidP="007D4411">
      <w:pPr>
        <w:spacing w:after="0" w:line="480" w:lineRule="auto"/>
      </w:pPr>
      <w:r>
        <w:rPr>
          <w:lang w:eastAsia="zh-CN"/>
        </w:rPr>
        <w:t xml:space="preserve"> All variables in the measurement model exceeded the 0.70 threshold for good construct reliability. Finally, AVE of reliable constructs generally exceeds a 0.50 benchmark (</w:t>
      </w:r>
      <w:proofErr w:type="spellStart"/>
      <w:r>
        <w:rPr>
          <w:lang w:eastAsia="zh-CN"/>
        </w:rPr>
        <w:t>Bagozzi</w:t>
      </w:r>
      <w:proofErr w:type="spellEnd"/>
      <w:r>
        <w:rPr>
          <w:lang w:eastAsia="zh-CN"/>
        </w:rPr>
        <w:t xml:space="preserve"> and Yi 1988). This criterion of construct reliability was also achieved as shown in the Table 4.6.</w:t>
      </w:r>
    </w:p>
    <w:p w:rsidR="00007EA8" w:rsidRDefault="00007EA8" w:rsidP="00FD1F08">
      <w:pPr>
        <w:spacing w:after="0" w:line="480" w:lineRule="auto"/>
      </w:pPr>
    </w:p>
    <w:p w:rsidR="00FD1F08" w:rsidRPr="0069426D" w:rsidRDefault="00FD1F08" w:rsidP="00FD1F08">
      <w:pPr>
        <w:spacing w:after="0" w:line="480" w:lineRule="auto"/>
      </w:pPr>
      <w:r w:rsidRPr="0069426D">
        <w:t>COMMON METHOD VARIANCE</w:t>
      </w:r>
    </w:p>
    <w:p w:rsidR="006E126C" w:rsidRDefault="00FD1F08" w:rsidP="00FD1F08">
      <w:pPr>
        <w:pStyle w:val="NoSpacing"/>
        <w:spacing w:line="480" w:lineRule="auto"/>
        <w:ind w:firstLine="720"/>
        <w:rPr>
          <w:szCs w:val="24"/>
          <w:lang w:eastAsia="zh-CN"/>
        </w:rPr>
      </w:pPr>
      <w:r w:rsidRPr="0069426D">
        <w:rPr>
          <w:szCs w:val="24"/>
          <w:lang w:eastAsia="zh-CN"/>
        </w:rPr>
        <w:t>Common method variance (CMV) or common method bias is known as a potential threat to the validity of the results in survey research (</w:t>
      </w:r>
      <w:proofErr w:type="spellStart"/>
      <w:r w:rsidRPr="0069426D">
        <w:rPr>
          <w:szCs w:val="24"/>
          <w:lang w:eastAsia="zh-CN"/>
        </w:rPr>
        <w:t>Podsakoff</w:t>
      </w:r>
      <w:proofErr w:type="spellEnd"/>
      <w:r w:rsidRPr="0069426D">
        <w:rPr>
          <w:szCs w:val="24"/>
          <w:lang w:eastAsia="zh-CN"/>
        </w:rPr>
        <w:t xml:space="preserve"> et al. 2003). Although some of the researchers suggest that CMV does not always impact the results (e.g. </w:t>
      </w:r>
      <w:proofErr w:type="spellStart"/>
      <w:r w:rsidRPr="0069426D">
        <w:rPr>
          <w:szCs w:val="24"/>
          <w:lang w:eastAsia="zh-CN"/>
        </w:rPr>
        <w:t>Malhortra</w:t>
      </w:r>
      <w:proofErr w:type="spellEnd"/>
      <w:r w:rsidRPr="0069426D">
        <w:rPr>
          <w:szCs w:val="24"/>
          <w:lang w:eastAsia="zh-CN"/>
        </w:rPr>
        <w:t xml:space="preserve"> et al. 2006), there is still a need to control and minimize its potential influence. Several steps were taken to minimize potential common method variance in this study. First, the potential respondents were pre-qualified to ensure that they possess relevant knowledge of the subject area. Second, the respondents were informed about the anonymity of their responses. Next, the order of independent and dependent variables in the survey was distanced and the responses within each construct were randomized.  Finally, following the recommendations of </w:t>
      </w:r>
      <w:proofErr w:type="spellStart"/>
      <w:r w:rsidRPr="0069426D">
        <w:rPr>
          <w:szCs w:val="24"/>
          <w:lang w:eastAsia="zh-CN"/>
        </w:rPr>
        <w:t>Lindell</w:t>
      </w:r>
      <w:proofErr w:type="spellEnd"/>
      <w:r w:rsidRPr="0069426D">
        <w:rPr>
          <w:szCs w:val="24"/>
          <w:lang w:eastAsia="zh-CN"/>
        </w:rPr>
        <w:t xml:space="preserve"> and Whitney (2001) and </w:t>
      </w:r>
      <w:proofErr w:type="spellStart"/>
      <w:r w:rsidRPr="0069426D">
        <w:rPr>
          <w:szCs w:val="24"/>
          <w:lang w:eastAsia="zh-CN"/>
        </w:rPr>
        <w:t>Podsakoff</w:t>
      </w:r>
      <w:proofErr w:type="spellEnd"/>
      <w:r w:rsidRPr="0069426D">
        <w:rPr>
          <w:szCs w:val="24"/>
          <w:lang w:eastAsia="zh-CN"/>
        </w:rPr>
        <w:t xml:space="preserve"> et al. (2003), a marker variable was included in the survey in order to diagnose and control for potential CMV effects. The marker variable in this research was adapted from </w:t>
      </w:r>
      <w:proofErr w:type="spellStart"/>
      <w:r w:rsidRPr="0069426D">
        <w:rPr>
          <w:szCs w:val="24"/>
          <w:lang w:eastAsia="zh-CN"/>
        </w:rPr>
        <w:t>Ferrel</w:t>
      </w:r>
      <w:proofErr w:type="spellEnd"/>
      <w:r w:rsidRPr="0069426D">
        <w:rPr>
          <w:szCs w:val="24"/>
          <w:lang w:eastAsia="zh-CN"/>
        </w:rPr>
        <w:t xml:space="preserve"> and Skinner (1988). It represents a theoretically unrelated construct placed within the survey and allowed to co-vary with all the other constructs. </w:t>
      </w:r>
      <w:r w:rsidR="006E126C">
        <w:rPr>
          <w:szCs w:val="24"/>
          <w:lang w:eastAsia="zh-CN"/>
        </w:rPr>
        <w:t xml:space="preserve">At the same time, this </w:t>
      </w:r>
      <w:r w:rsidR="006E126C">
        <w:rPr>
          <w:szCs w:val="24"/>
          <w:lang w:eastAsia="zh-CN"/>
        </w:rPr>
        <w:lastRenderedPageBreak/>
        <w:t xml:space="preserve">variable is relevant to </w:t>
      </w:r>
      <w:r w:rsidR="004935F4">
        <w:rPr>
          <w:szCs w:val="24"/>
          <w:lang w:eastAsia="zh-CN"/>
        </w:rPr>
        <w:t xml:space="preserve">the decision-making reality in </w:t>
      </w:r>
      <w:r w:rsidR="006E126C">
        <w:rPr>
          <w:szCs w:val="24"/>
          <w:lang w:eastAsia="zh-CN"/>
        </w:rPr>
        <w:t xml:space="preserve">most organizational settings. </w:t>
      </w:r>
      <w:r w:rsidRPr="0069426D">
        <w:rPr>
          <w:szCs w:val="24"/>
          <w:lang w:eastAsia="zh-CN"/>
        </w:rPr>
        <w:t>Four reflective items were</w:t>
      </w:r>
      <w:r w:rsidR="006E126C">
        <w:rPr>
          <w:szCs w:val="24"/>
          <w:lang w:eastAsia="zh-CN"/>
        </w:rPr>
        <w:t xml:space="preserve"> used in this construct (Table 4.</w:t>
      </w:r>
      <w:r w:rsidR="00BC6A39">
        <w:rPr>
          <w:szCs w:val="24"/>
          <w:lang w:eastAsia="zh-CN"/>
        </w:rPr>
        <w:t>8</w:t>
      </w:r>
      <w:r w:rsidRPr="0069426D">
        <w:rPr>
          <w:szCs w:val="24"/>
          <w:lang w:eastAsia="zh-CN"/>
        </w:rPr>
        <w:t xml:space="preserve">). </w:t>
      </w:r>
    </w:p>
    <w:p w:rsidR="006E126C" w:rsidRPr="0069426D" w:rsidRDefault="006E126C" w:rsidP="006E126C">
      <w:pPr>
        <w:pStyle w:val="NoSpacing"/>
        <w:spacing w:before="240" w:line="480" w:lineRule="auto"/>
        <w:jc w:val="center"/>
        <w:rPr>
          <w:b/>
          <w:szCs w:val="24"/>
          <w:lang w:eastAsia="zh-CN"/>
        </w:rPr>
      </w:pPr>
      <w:r w:rsidRPr="0069426D">
        <w:rPr>
          <w:b/>
          <w:szCs w:val="24"/>
          <w:lang w:eastAsia="zh-CN"/>
        </w:rPr>
        <w:t>Tabl</w:t>
      </w:r>
      <w:r>
        <w:rPr>
          <w:b/>
          <w:szCs w:val="24"/>
          <w:lang w:eastAsia="zh-CN"/>
        </w:rPr>
        <w:t>e 4.</w:t>
      </w:r>
      <w:r w:rsidR="00BC6A39">
        <w:rPr>
          <w:b/>
          <w:szCs w:val="24"/>
          <w:lang w:eastAsia="zh-CN"/>
        </w:rPr>
        <w:t>8</w:t>
      </w:r>
      <w:r>
        <w:rPr>
          <w:b/>
          <w:szCs w:val="24"/>
          <w:lang w:eastAsia="zh-CN"/>
        </w:rPr>
        <w:t xml:space="preserve"> Marker Variable Measurement</w:t>
      </w:r>
    </w:p>
    <w:tbl>
      <w:tblPr>
        <w:tblW w:w="9740" w:type="dxa"/>
        <w:tblInd w:w="91" w:type="dxa"/>
        <w:tblLook w:val="04A0"/>
      </w:tblPr>
      <w:tblGrid>
        <w:gridCol w:w="1516"/>
        <w:gridCol w:w="1120"/>
        <w:gridCol w:w="5699"/>
        <w:gridCol w:w="705"/>
        <w:gridCol w:w="700"/>
      </w:tblGrid>
      <w:tr w:rsidR="006E126C" w:rsidTr="00C1325D">
        <w:trPr>
          <w:trHeight w:val="600"/>
        </w:trPr>
        <w:tc>
          <w:tcPr>
            <w:tcW w:w="1405" w:type="dxa"/>
            <w:tcBorders>
              <w:top w:val="single" w:sz="4" w:space="0" w:color="auto"/>
              <w:left w:val="single" w:sz="4" w:space="0" w:color="auto"/>
              <w:bottom w:val="single" w:sz="4" w:space="0" w:color="auto"/>
              <w:right w:val="single" w:sz="4" w:space="0" w:color="auto"/>
            </w:tcBorders>
            <w:vAlign w:val="bottom"/>
            <w:hideMark/>
          </w:tcPr>
          <w:p w:rsidR="006E126C" w:rsidRDefault="006E126C" w:rsidP="00C1325D">
            <w:pPr>
              <w:jc w:val="center"/>
              <w:rPr>
                <w:b/>
                <w:bCs/>
                <w:color w:val="000000"/>
                <w:sz w:val="20"/>
                <w:szCs w:val="20"/>
              </w:rPr>
            </w:pPr>
            <w:r>
              <w:rPr>
                <w:b/>
                <w:bCs/>
                <w:color w:val="000000"/>
                <w:sz w:val="20"/>
                <w:szCs w:val="20"/>
              </w:rPr>
              <w:t>Scale</w:t>
            </w:r>
          </w:p>
        </w:tc>
        <w:tc>
          <w:tcPr>
            <w:tcW w:w="1120" w:type="dxa"/>
            <w:tcBorders>
              <w:top w:val="single" w:sz="4" w:space="0" w:color="auto"/>
              <w:left w:val="nil"/>
              <w:bottom w:val="single" w:sz="4" w:space="0" w:color="auto"/>
              <w:right w:val="single" w:sz="4" w:space="0" w:color="auto"/>
            </w:tcBorders>
            <w:vAlign w:val="center"/>
            <w:hideMark/>
          </w:tcPr>
          <w:p w:rsidR="006E126C" w:rsidRDefault="006E126C" w:rsidP="00C1325D">
            <w:pPr>
              <w:jc w:val="center"/>
              <w:rPr>
                <w:b/>
                <w:bCs/>
                <w:color w:val="000000"/>
                <w:sz w:val="20"/>
                <w:szCs w:val="20"/>
              </w:rPr>
            </w:pPr>
            <w:r>
              <w:rPr>
                <w:b/>
                <w:bCs/>
                <w:color w:val="000000"/>
                <w:sz w:val="20"/>
                <w:szCs w:val="20"/>
              </w:rPr>
              <w:t>Scale Reliability</w:t>
            </w:r>
          </w:p>
        </w:tc>
        <w:tc>
          <w:tcPr>
            <w:tcW w:w="5810" w:type="dxa"/>
            <w:tcBorders>
              <w:top w:val="single" w:sz="4" w:space="0" w:color="auto"/>
              <w:left w:val="nil"/>
              <w:bottom w:val="single" w:sz="4" w:space="0" w:color="auto"/>
              <w:right w:val="single" w:sz="4" w:space="0" w:color="auto"/>
            </w:tcBorders>
            <w:vAlign w:val="bottom"/>
            <w:hideMark/>
          </w:tcPr>
          <w:p w:rsidR="006E126C" w:rsidRDefault="006E126C" w:rsidP="00C1325D">
            <w:pPr>
              <w:jc w:val="center"/>
              <w:rPr>
                <w:b/>
                <w:bCs/>
                <w:color w:val="000000"/>
                <w:sz w:val="20"/>
                <w:szCs w:val="20"/>
              </w:rPr>
            </w:pPr>
            <w:r>
              <w:rPr>
                <w:b/>
                <w:bCs/>
                <w:color w:val="000000"/>
                <w:sz w:val="20"/>
                <w:szCs w:val="20"/>
              </w:rPr>
              <w:t>Items</w:t>
            </w:r>
          </w:p>
        </w:tc>
        <w:tc>
          <w:tcPr>
            <w:tcW w:w="705" w:type="dxa"/>
            <w:tcBorders>
              <w:top w:val="single" w:sz="4" w:space="0" w:color="auto"/>
              <w:left w:val="nil"/>
              <w:bottom w:val="single" w:sz="4" w:space="0" w:color="auto"/>
              <w:right w:val="single" w:sz="4" w:space="0" w:color="auto"/>
            </w:tcBorders>
            <w:vAlign w:val="bottom"/>
            <w:hideMark/>
          </w:tcPr>
          <w:p w:rsidR="006E126C" w:rsidRDefault="006E126C" w:rsidP="00C1325D">
            <w:pPr>
              <w:jc w:val="center"/>
              <w:rPr>
                <w:b/>
                <w:bCs/>
                <w:color w:val="000000"/>
                <w:sz w:val="20"/>
                <w:szCs w:val="20"/>
              </w:rPr>
            </w:pPr>
            <w:r>
              <w:rPr>
                <w:b/>
                <w:bCs/>
                <w:color w:val="000000"/>
                <w:sz w:val="20"/>
                <w:szCs w:val="20"/>
              </w:rPr>
              <w:t xml:space="preserve">Mean </w:t>
            </w:r>
          </w:p>
        </w:tc>
        <w:tc>
          <w:tcPr>
            <w:tcW w:w="700" w:type="dxa"/>
            <w:tcBorders>
              <w:top w:val="single" w:sz="4" w:space="0" w:color="auto"/>
              <w:left w:val="nil"/>
              <w:bottom w:val="single" w:sz="4" w:space="0" w:color="auto"/>
              <w:right w:val="single" w:sz="4" w:space="0" w:color="auto"/>
            </w:tcBorders>
            <w:vAlign w:val="bottom"/>
            <w:hideMark/>
          </w:tcPr>
          <w:p w:rsidR="006E126C" w:rsidRDefault="006E126C" w:rsidP="00C1325D">
            <w:pPr>
              <w:jc w:val="center"/>
              <w:rPr>
                <w:b/>
                <w:bCs/>
                <w:color w:val="000000"/>
                <w:sz w:val="20"/>
                <w:szCs w:val="20"/>
              </w:rPr>
            </w:pPr>
            <w:r>
              <w:rPr>
                <w:b/>
                <w:bCs/>
                <w:color w:val="000000"/>
                <w:sz w:val="20"/>
                <w:szCs w:val="20"/>
              </w:rPr>
              <w:t>SD</w:t>
            </w:r>
          </w:p>
        </w:tc>
      </w:tr>
      <w:tr w:rsidR="006E126C" w:rsidTr="00C1325D">
        <w:trPr>
          <w:trHeight w:val="525"/>
        </w:trPr>
        <w:tc>
          <w:tcPr>
            <w:tcW w:w="1405" w:type="dxa"/>
            <w:vMerge w:val="restart"/>
            <w:tcBorders>
              <w:top w:val="nil"/>
              <w:left w:val="single" w:sz="4" w:space="0" w:color="auto"/>
              <w:bottom w:val="single" w:sz="4" w:space="0" w:color="000000"/>
              <w:right w:val="single" w:sz="4" w:space="0" w:color="auto"/>
            </w:tcBorders>
            <w:vAlign w:val="center"/>
            <w:hideMark/>
          </w:tcPr>
          <w:p w:rsidR="006E126C" w:rsidRDefault="006E126C" w:rsidP="00C1325D">
            <w:pPr>
              <w:jc w:val="center"/>
              <w:rPr>
                <w:color w:val="000000"/>
                <w:sz w:val="20"/>
                <w:szCs w:val="20"/>
              </w:rPr>
            </w:pPr>
            <w:r>
              <w:rPr>
                <w:color w:val="000000"/>
                <w:sz w:val="20"/>
                <w:szCs w:val="20"/>
              </w:rPr>
              <w:t>Marker Variable “Formalization”</w:t>
            </w:r>
          </w:p>
        </w:tc>
        <w:tc>
          <w:tcPr>
            <w:tcW w:w="1120" w:type="dxa"/>
            <w:vMerge w:val="restart"/>
            <w:tcBorders>
              <w:top w:val="nil"/>
              <w:left w:val="single" w:sz="4" w:space="0" w:color="auto"/>
              <w:bottom w:val="single" w:sz="4" w:space="0" w:color="000000"/>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0.85</w:t>
            </w:r>
          </w:p>
        </w:tc>
        <w:tc>
          <w:tcPr>
            <w:tcW w:w="5810" w:type="dxa"/>
            <w:tcBorders>
              <w:top w:val="nil"/>
              <w:left w:val="nil"/>
              <w:bottom w:val="single" w:sz="4" w:space="0" w:color="auto"/>
              <w:right w:val="single" w:sz="4" w:space="0" w:color="auto"/>
            </w:tcBorders>
            <w:vAlign w:val="bottom"/>
            <w:hideMark/>
          </w:tcPr>
          <w:p w:rsidR="006E126C" w:rsidRDefault="006E126C" w:rsidP="00C1325D">
            <w:pPr>
              <w:rPr>
                <w:color w:val="000000"/>
                <w:sz w:val="20"/>
                <w:szCs w:val="20"/>
              </w:rPr>
            </w:pPr>
            <w:r>
              <w:rPr>
                <w:color w:val="000000"/>
                <w:sz w:val="20"/>
                <w:szCs w:val="20"/>
              </w:rPr>
              <w:t>Internally in my unit, if a written rule is not specified in a certain situation, we make up informal rules as we go along</w:t>
            </w:r>
          </w:p>
        </w:tc>
        <w:tc>
          <w:tcPr>
            <w:tcW w:w="705"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4.47</w:t>
            </w:r>
          </w:p>
        </w:tc>
        <w:tc>
          <w:tcPr>
            <w:tcW w:w="700"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1.542</w:t>
            </w:r>
          </w:p>
        </w:tc>
      </w:tr>
      <w:tr w:rsidR="006E126C" w:rsidTr="00C1325D">
        <w:trPr>
          <w:trHeight w:val="525"/>
        </w:trPr>
        <w:tc>
          <w:tcPr>
            <w:tcW w:w="0" w:type="auto"/>
            <w:vMerge/>
            <w:tcBorders>
              <w:top w:val="nil"/>
              <w:left w:val="single" w:sz="4" w:space="0" w:color="auto"/>
              <w:bottom w:val="single" w:sz="4" w:space="0" w:color="000000"/>
              <w:right w:val="single" w:sz="4" w:space="0" w:color="auto"/>
            </w:tcBorders>
            <w:vAlign w:val="center"/>
            <w:hideMark/>
          </w:tcPr>
          <w:p w:rsidR="006E126C" w:rsidRDefault="006E126C" w:rsidP="00C1325D">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6E126C" w:rsidRDefault="006E126C" w:rsidP="00C1325D">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6E126C" w:rsidRDefault="006E126C" w:rsidP="00C1325D">
            <w:pPr>
              <w:rPr>
                <w:color w:val="000000"/>
                <w:sz w:val="20"/>
                <w:szCs w:val="20"/>
              </w:rPr>
            </w:pPr>
            <w:r>
              <w:rPr>
                <w:color w:val="000000"/>
                <w:sz w:val="20"/>
                <w:szCs w:val="20"/>
              </w:rPr>
              <w:t>Contacts with my company and its representatives are on a formal pre-planned basis</w:t>
            </w:r>
          </w:p>
        </w:tc>
        <w:tc>
          <w:tcPr>
            <w:tcW w:w="705"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4.86</w:t>
            </w:r>
          </w:p>
        </w:tc>
        <w:tc>
          <w:tcPr>
            <w:tcW w:w="700"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1.392</w:t>
            </w:r>
          </w:p>
        </w:tc>
      </w:tr>
      <w:tr w:rsidR="006E126C" w:rsidTr="00C1325D">
        <w:trPr>
          <w:trHeight w:val="525"/>
        </w:trPr>
        <w:tc>
          <w:tcPr>
            <w:tcW w:w="0" w:type="auto"/>
            <w:vMerge/>
            <w:tcBorders>
              <w:top w:val="nil"/>
              <w:left w:val="single" w:sz="4" w:space="0" w:color="auto"/>
              <w:bottom w:val="single" w:sz="4" w:space="0" w:color="000000"/>
              <w:right w:val="single" w:sz="4" w:space="0" w:color="auto"/>
            </w:tcBorders>
            <w:vAlign w:val="center"/>
            <w:hideMark/>
          </w:tcPr>
          <w:p w:rsidR="006E126C" w:rsidRDefault="006E126C" w:rsidP="00C1325D">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6E126C" w:rsidRDefault="006E126C" w:rsidP="00C1325D">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6E126C" w:rsidRDefault="006E126C" w:rsidP="00C1325D">
            <w:pPr>
              <w:rPr>
                <w:color w:val="000000"/>
                <w:sz w:val="20"/>
                <w:szCs w:val="20"/>
              </w:rPr>
            </w:pPr>
            <w:r>
              <w:rPr>
                <w:color w:val="000000"/>
                <w:sz w:val="20"/>
                <w:szCs w:val="20"/>
              </w:rPr>
              <w:t>When rules and procedures exist in my organization they are usually written agreements</w:t>
            </w:r>
          </w:p>
        </w:tc>
        <w:tc>
          <w:tcPr>
            <w:tcW w:w="705"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5.30</w:t>
            </w:r>
          </w:p>
        </w:tc>
        <w:tc>
          <w:tcPr>
            <w:tcW w:w="700"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1.389</w:t>
            </w:r>
          </w:p>
        </w:tc>
      </w:tr>
      <w:tr w:rsidR="006E126C" w:rsidTr="00C1325D">
        <w:trPr>
          <w:trHeight w:val="405"/>
        </w:trPr>
        <w:tc>
          <w:tcPr>
            <w:tcW w:w="0" w:type="auto"/>
            <w:vMerge/>
            <w:tcBorders>
              <w:top w:val="nil"/>
              <w:left w:val="single" w:sz="4" w:space="0" w:color="auto"/>
              <w:bottom w:val="single" w:sz="4" w:space="0" w:color="000000"/>
              <w:right w:val="single" w:sz="4" w:space="0" w:color="auto"/>
            </w:tcBorders>
            <w:vAlign w:val="center"/>
            <w:hideMark/>
          </w:tcPr>
          <w:p w:rsidR="006E126C" w:rsidRDefault="006E126C" w:rsidP="00C1325D">
            <w:pPr>
              <w:rPr>
                <w:color w:val="000000"/>
                <w:sz w:val="20"/>
                <w:szCs w:val="20"/>
              </w:rPr>
            </w:pPr>
          </w:p>
        </w:tc>
        <w:tc>
          <w:tcPr>
            <w:tcW w:w="0" w:type="auto"/>
            <w:vMerge/>
            <w:tcBorders>
              <w:top w:val="nil"/>
              <w:left w:val="single" w:sz="4" w:space="0" w:color="auto"/>
              <w:bottom w:val="single" w:sz="4" w:space="0" w:color="000000"/>
              <w:right w:val="single" w:sz="4" w:space="0" w:color="auto"/>
            </w:tcBorders>
            <w:vAlign w:val="center"/>
            <w:hideMark/>
          </w:tcPr>
          <w:p w:rsidR="006E126C" w:rsidRDefault="006E126C" w:rsidP="00C1325D">
            <w:pPr>
              <w:rPr>
                <w:color w:val="000000"/>
                <w:sz w:val="20"/>
                <w:szCs w:val="20"/>
              </w:rPr>
            </w:pPr>
          </w:p>
        </w:tc>
        <w:tc>
          <w:tcPr>
            <w:tcW w:w="5810" w:type="dxa"/>
            <w:tcBorders>
              <w:top w:val="nil"/>
              <w:left w:val="nil"/>
              <w:bottom w:val="single" w:sz="4" w:space="0" w:color="auto"/>
              <w:right w:val="single" w:sz="4" w:space="0" w:color="auto"/>
            </w:tcBorders>
            <w:vAlign w:val="bottom"/>
            <w:hideMark/>
          </w:tcPr>
          <w:p w:rsidR="006E126C" w:rsidRDefault="006E126C" w:rsidP="00C1325D">
            <w:pPr>
              <w:rPr>
                <w:color w:val="000000"/>
                <w:sz w:val="20"/>
                <w:szCs w:val="20"/>
              </w:rPr>
            </w:pPr>
            <w:r>
              <w:rPr>
                <w:color w:val="000000"/>
                <w:sz w:val="20"/>
                <w:szCs w:val="20"/>
              </w:rPr>
              <w:t>Most things in my business unit are covered by formal procedures</w:t>
            </w:r>
          </w:p>
        </w:tc>
        <w:tc>
          <w:tcPr>
            <w:tcW w:w="705"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5.26</w:t>
            </w:r>
          </w:p>
        </w:tc>
        <w:tc>
          <w:tcPr>
            <w:tcW w:w="700" w:type="dxa"/>
            <w:tcBorders>
              <w:top w:val="nil"/>
              <w:left w:val="nil"/>
              <w:bottom w:val="single" w:sz="4" w:space="0" w:color="auto"/>
              <w:right w:val="single" w:sz="4" w:space="0" w:color="auto"/>
            </w:tcBorders>
            <w:noWrap/>
            <w:vAlign w:val="center"/>
            <w:hideMark/>
          </w:tcPr>
          <w:p w:rsidR="006E126C" w:rsidRDefault="006E126C" w:rsidP="00C1325D">
            <w:pPr>
              <w:jc w:val="center"/>
              <w:rPr>
                <w:color w:val="000000"/>
                <w:sz w:val="20"/>
                <w:szCs w:val="20"/>
              </w:rPr>
            </w:pPr>
            <w:r>
              <w:rPr>
                <w:color w:val="000000"/>
                <w:sz w:val="20"/>
                <w:szCs w:val="20"/>
              </w:rPr>
              <w:t>1.479</w:t>
            </w:r>
          </w:p>
        </w:tc>
      </w:tr>
    </w:tbl>
    <w:p w:rsidR="006E126C" w:rsidRDefault="006E126C" w:rsidP="00FD1F08">
      <w:pPr>
        <w:pStyle w:val="NoSpacing"/>
        <w:spacing w:line="480" w:lineRule="auto"/>
        <w:ind w:firstLine="720"/>
        <w:rPr>
          <w:szCs w:val="24"/>
          <w:lang w:eastAsia="zh-CN"/>
        </w:rPr>
      </w:pPr>
    </w:p>
    <w:p w:rsidR="004935F4" w:rsidRDefault="004935F4" w:rsidP="00FD1F08">
      <w:pPr>
        <w:pStyle w:val="NoSpacing"/>
        <w:spacing w:line="480" w:lineRule="auto"/>
        <w:ind w:firstLine="720"/>
        <w:rPr>
          <w:szCs w:val="24"/>
          <w:lang w:eastAsia="zh-CN"/>
        </w:rPr>
      </w:pPr>
    </w:p>
    <w:p w:rsidR="00FD1F08" w:rsidRPr="0069426D" w:rsidRDefault="00FD1F08" w:rsidP="00FD1F08">
      <w:pPr>
        <w:pStyle w:val="NoSpacing"/>
        <w:spacing w:line="480" w:lineRule="auto"/>
        <w:ind w:firstLine="720"/>
        <w:rPr>
          <w:szCs w:val="24"/>
          <w:lang w:eastAsia="zh-CN"/>
        </w:rPr>
      </w:pPr>
      <w:r w:rsidRPr="0069426D">
        <w:rPr>
          <w:szCs w:val="24"/>
          <w:lang w:eastAsia="zh-CN"/>
        </w:rPr>
        <w:t>The constr</w:t>
      </w:r>
      <w:r w:rsidR="006E126C">
        <w:rPr>
          <w:szCs w:val="24"/>
          <w:lang w:eastAsia="zh-CN"/>
        </w:rPr>
        <w:t>uct’s coefficient alpha was 0.85</w:t>
      </w:r>
      <w:r w:rsidRPr="0069426D">
        <w:rPr>
          <w:szCs w:val="24"/>
          <w:lang w:eastAsia="zh-CN"/>
        </w:rPr>
        <w:t xml:space="preserve"> and AVE was 0.75 and exceeded shared variance with all the other constructs. None of the correlations with other survey constructs were significant at the 0.05 level.  In summary, the results indicated that CMV was not a significant concern in this research.</w:t>
      </w:r>
    </w:p>
    <w:p w:rsidR="00FD1F08" w:rsidRDefault="00FD1F08" w:rsidP="00FD1F08">
      <w:pPr>
        <w:spacing w:after="0" w:line="480" w:lineRule="auto"/>
      </w:pPr>
    </w:p>
    <w:p w:rsidR="00FD1F08" w:rsidRDefault="00FD1F08" w:rsidP="00FD1F08">
      <w:pPr>
        <w:spacing w:after="0" w:line="480" w:lineRule="auto"/>
      </w:pPr>
      <w:r w:rsidRPr="0069426D">
        <w:t>HYPOTHESES TESTING</w:t>
      </w:r>
    </w:p>
    <w:p w:rsidR="00FD1F08" w:rsidRPr="0069426D" w:rsidRDefault="00FD1F08" w:rsidP="00FD1F08">
      <w:pPr>
        <w:spacing w:after="0" w:line="480" w:lineRule="auto"/>
      </w:pPr>
      <w:r w:rsidRPr="0069426D">
        <w:tab/>
        <w:t>After measurement model refinement and validation, the hypotheses presented in Chapter 3 were tested.  The structural model results are presented in Figure 4.2 and the standardized regression weights and fit statistics for the structural m</w:t>
      </w:r>
      <w:r w:rsidR="00BC6A39">
        <w:t>odel are summarized in Table 4.9.</w:t>
      </w:r>
    </w:p>
    <w:p w:rsidR="00FD1F08" w:rsidRDefault="00FD1F08" w:rsidP="00FD1F08">
      <w:pPr>
        <w:spacing w:line="480" w:lineRule="auto"/>
      </w:pPr>
      <w:r>
        <w:rPr>
          <w:noProof/>
        </w:rPr>
        <w:lastRenderedPageBreak/>
        <w:drawing>
          <wp:inline distT="0" distB="0" distL="0" distR="0">
            <wp:extent cx="5943600" cy="3778250"/>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943600" cy="3778250"/>
                    </a:xfrm>
                    <a:prstGeom prst="rect">
                      <a:avLst/>
                    </a:prstGeom>
                    <a:noFill/>
                    <a:ln w="9525">
                      <a:noFill/>
                      <a:miter lim="800000"/>
                      <a:headEnd/>
                      <a:tailEnd/>
                    </a:ln>
                  </pic:spPr>
                </pic:pic>
              </a:graphicData>
            </a:graphic>
          </wp:inline>
        </w:drawing>
      </w:r>
    </w:p>
    <w:p w:rsidR="00FD1F08" w:rsidRDefault="00FD1F08" w:rsidP="00007EA8">
      <w:pPr>
        <w:spacing w:after="0" w:line="240" w:lineRule="auto"/>
        <w:jc w:val="center"/>
        <w:rPr>
          <w:b/>
        </w:rPr>
      </w:pPr>
      <w:r w:rsidRPr="001627A9">
        <w:rPr>
          <w:b/>
        </w:rPr>
        <w:t>Fi</w:t>
      </w:r>
      <w:r>
        <w:rPr>
          <w:b/>
        </w:rPr>
        <w:t>gure 4.2</w:t>
      </w:r>
    </w:p>
    <w:p w:rsidR="00FD1F08" w:rsidRPr="001627A9" w:rsidRDefault="00FD1F08" w:rsidP="00007EA8">
      <w:pPr>
        <w:spacing w:after="0" w:line="240" w:lineRule="auto"/>
        <w:jc w:val="center"/>
        <w:rPr>
          <w:b/>
        </w:rPr>
      </w:pPr>
      <w:r w:rsidRPr="001627A9">
        <w:rPr>
          <w:b/>
        </w:rPr>
        <w:t>Structural Model</w:t>
      </w:r>
      <w:r w:rsidR="00007EA8">
        <w:rPr>
          <w:b/>
        </w:rPr>
        <w:t xml:space="preserve"> T</w:t>
      </w:r>
      <w:r>
        <w:rPr>
          <w:b/>
        </w:rPr>
        <w:t>ested</w:t>
      </w:r>
    </w:p>
    <w:p w:rsidR="0086673D" w:rsidRDefault="0086673D" w:rsidP="00FD1F08">
      <w:pPr>
        <w:pStyle w:val="Caption"/>
        <w:jc w:val="center"/>
        <w:rPr>
          <w:sz w:val="24"/>
          <w:szCs w:val="24"/>
        </w:rPr>
      </w:pPr>
    </w:p>
    <w:p w:rsidR="0086673D" w:rsidRDefault="0086673D" w:rsidP="00FD1F08">
      <w:pPr>
        <w:pStyle w:val="Caption"/>
        <w:jc w:val="center"/>
        <w:rPr>
          <w:sz w:val="24"/>
          <w:szCs w:val="24"/>
        </w:rPr>
      </w:pPr>
    </w:p>
    <w:p w:rsidR="00B96D36" w:rsidRDefault="00B96D36" w:rsidP="00B96D36"/>
    <w:p w:rsidR="00B96D36" w:rsidRDefault="00B96D36" w:rsidP="00B96D36"/>
    <w:p w:rsidR="00B96D36" w:rsidRDefault="00B96D36" w:rsidP="00B96D36"/>
    <w:p w:rsidR="00B96D36" w:rsidRDefault="00B96D36" w:rsidP="00B96D36"/>
    <w:p w:rsidR="00B96D36" w:rsidRDefault="00B96D36" w:rsidP="00B96D36"/>
    <w:p w:rsidR="00B96D36" w:rsidRDefault="00B96D36" w:rsidP="00B96D36"/>
    <w:p w:rsidR="0033699E" w:rsidRDefault="0033699E" w:rsidP="00B96D36"/>
    <w:p w:rsidR="0033699E" w:rsidRDefault="0033699E" w:rsidP="00B96D36"/>
    <w:p w:rsidR="0033699E" w:rsidRDefault="0033699E" w:rsidP="00B96D36"/>
    <w:p w:rsidR="0033699E" w:rsidRPr="00B96D36" w:rsidRDefault="0033699E" w:rsidP="00B96D36"/>
    <w:p w:rsidR="00FD1F08" w:rsidRDefault="00BC6A39" w:rsidP="00FD1F08">
      <w:pPr>
        <w:pStyle w:val="Caption"/>
        <w:jc w:val="center"/>
        <w:rPr>
          <w:sz w:val="24"/>
          <w:szCs w:val="24"/>
        </w:rPr>
      </w:pPr>
      <w:r>
        <w:rPr>
          <w:sz w:val="24"/>
          <w:szCs w:val="24"/>
        </w:rPr>
        <w:lastRenderedPageBreak/>
        <w:t>Table 4.9</w:t>
      </w:r>
      <w:r w:rsidR="00007EA8">
        <w:rPr>
          <w:sz w:val="24"/>
          <w:szCs w:val="24"/>
        </w:rPr>
        <w:t xml:space="preserve"> </w:t>
      </w:r>
      <w:r w:rsidR="00FD1F08">
        <w:rPr>
          <w:sz w:val="24"/>
          <w:szCs w:val="24"/>
        </w:rPr>
        <w:t xml:space="preserve">Structural Model Statistics </w:t>
      </w:r>
    </w:p>
    <w:p w:rsidR="00B07BA8" w:rsidRPr="00B07BA8" w:rsidRDefault="00B07BA8" w:rsidP="00B07BA8">
      <w:pPr>
        <w:rPr>
          <w:sz w:val="16"/>
          <w:szCs w:val="16"/>
        </w:rPr>
      </w:pPr>
    </w:p>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96"/>
        <w:gridCol w:w="1350"/>
        <w:gridCol w:w="2339"/>
        <w:gridCol w:w="1260"/>
        <w:gridCol w:w="1530"/>
      </w:tblGrid>
      <w:tr w:rsidR="00FD1F08" w:rsidTr="00007EA8">
        <w:tc>
          <w:tcPr>
            <w:tcW w:w="9375" w:type="dxa"/>
            <w:gridSpan w:val="5"/>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sidRPr="00B3233F">
              <w:rPr>
                <w:b/>
                <w:noProof/>
                <w:sz w:val="22"/>
              </w:rPr>
              <w:t xml:space="preserve">Model Fit: </w:t>
            </w:r>
          </w:p>
        </w:tc>
      </w:tr>
      <w:tr w:rsidR="00FD1F08" w:rsidTr="00C2028B">
        <w:trPr>
          <w:trHeight w:val="773"/>
        </w:trPr>
        <w:tc>
          <w:tcPr>
            <w:tcW w:w="9375" w:type="dxa"/>
            <w:gridSpan w:val="5"/>
            <w:tcBorders>
              <w:top w:val="single" w:sz="4" w:space="0" w:color="000000"/>
              <w:left w:val="single" w:sz="4" w:space="0" w:color="000000"/>
              <w:bottom w:val="single" w:sz="4" w:space="0" w:color="000000"/>
              <w:right w:val="single" w:sz="4" w:space="0" w:color="000000"/>
            </w:tcBorders>
            <w:vAlign w:val="center"/>
          </w:tcPr>
          <w:p w:rsidR="00FD1F08" w:rsidRPr="00B07BA8" w:rsidRDefault="00FD1F08" w:rsidP="00007EA8">
            <w:pPr>
              <w:spacing w:after="0" w:line="240" w:lineRule="auto"/>
              <w:rPr>
                <w:b/>
                <w:noProof/>
              </w:rPr>
            </w:pPr>
            <w:r w:rsidRPr="00B07BA8">
              <w:rPr>
                <w:b/>
                <w:noProof/>
                <w:sz w:val="22"/>
              </w:rPr>
              <w:t>χ2 = 2147.98                                       df = 1290</w:t>
            </w:r>
          </w:p>
          <w:p w:rsidR="00FD1F08" w:rsidRDefault="00FD1F08" w:rsidP="00007EA8">
            <w:pPr>
              <w:spacing w:after="0" w:line="240" w:lineRule="auto"/>
              <w:rPr>
                <w:sz w:val="22"/>
              </w:rPr>
            </w:pPr>
            <w:r w:rsidRPr="00B07BA8">
              <w:rPr>
                <w:b/>
                <w:noProof/>
                <w:sz w:val="22"/>
              </w:rPr>
              <w:t>χ2/df = 1.67                                       CFI = 0.93                                 RMSEA = 0.041</w:t>
            </w:r>
          </w:p>
        </w:tc>
      </w:tr>
      <w:tr w:rsidR="00FD1F08" w:rsidTr="00B07BA8">
        <w:trPr>
          <w:trHeight w:val="620"/>
        </w:trPr>
        <w:tc>
          <w:tcPr>
            <w:tcW w:w="658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D1F08" w:rsidRDefault="00FD1F08" w:rsidP="00007EA8">
            <w:pPr>
              <w:spacing w:after="0" w:line="240" w:lineRule="auto"/>
              <w:jc w:val="center"/>
              <w:rPr>
                <w:sz w:val="22"/>
              </w:rPr>
            </w:pPr>
            <w:r>
              <w:t>Hypothesized Relationship</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FD1F08" w:rsidRDefault="00FD1F08" w:rsidP="00007EA8">
            <w:pPr>
              <w:spacing w:after="0" w:line="240" w:lineRule="auto"/>
              <w:jc w:val="center"/>
            </w:pPr>
            <w:r>
              <w:t>Estimates</w:t>
            </w:r>
          </w:p>
        </w:tc>
        <w:tc>
          <w:tcPr>
            <w:tcW w:w="1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FD1F08" w:rsidRDefault="00B07BA8" w:rsidP="00007EA8">
            <w:pPr>
              <w:spacing w:after="0" w:line="240" w:lineRule="auto"/>
              <w:jc w:val="center"/>
            </w:pPr>
            <w:r>
              <w:t>Result</w:t>
            </w:r>
          </w:p>
        </w:tc>
      </w:tr>
      <w:tr w:rsidR="00FD1F08" w:rsidTr="00B07BA8">
        <w:trPr>
          <w:trHeight w:val="692"/>
        </w:trPr>
        <w:tc>
          <w:tcPr>
            <w:tcW w:w="2896" w:type="dxa"/>
            <w:tcBorders>
              <w:top w:val="single" w:sz="4" w:space="0" w:color="000000"/>
              <w:left w:val="single" w:sz="4" w:space="0" w:color="000000"/>
              <w:bottom w:val="single" w:sz="4" w:space="0" w:color="000000"/>
              <w:right w:val="single" w:sz="4" w:space="0" w:color="000000"/>
            </w:tcBorders>
            <w:vAlign w:val="center"/>
          </w:tcPr>
          <w:p w:rsidR="00FD1F08" w:rsidRDefault="00FD1F08" w:rsidP="00007EA8">
            <w:pPr>
              <w:spacing w:after="0" w:line="240" w:lineRule="auto"/>
              <w:jc w:val="center"/>
            </w:pPr>
            <w:r>
              <w:rPr>
                <w:sz w:val="22"/>
              </w:rPr>
              <w:t>Supply Management Capabilities (SMC)</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A7040E" w:rsidP="00007EA8">
            <w:pPr>
              <w:spacing w:after="0" w:line="240" w:lineRule="auto"/>
              <w:jc w:val="center"/>
            </w:pPr>
            <w:r>
              <w:pict>
                <v:shapetype id="_x0000_t32" coordsize="21600,21600" o:spt="32" o:oned="t" path="m,l21600,21600e" filled="f">
                  <v:path arrowok="t" fillok="f" o:connecttype="none"/>
                  <o:lock v:ext="edit" shapetype="t"/>
                </v:shapetype>
                <v:shape id="_x0000_s1162" type="#_x0000_t32" style="position:absolute;left:0;text-align:left;margin-left:9.85pt;margin-top:22.35pt;width:25.5pt;height:0;z-index:251661312;mso-position-horizontal-relative:text;mso-position-vertical-relative:text"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Supply Chain Resilience (SCR)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0.32</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007EA8">
        <w:tc>
          <w:tcPr>
            <w:tcW w:w="2896" w:type="dxa"/>
            <w:tcBorders>
              <w:top w:val="single" w:sz="4" w:space="0" w:color="000000"/>
              <w:left w:val="single" w:sz="4" w:space="0" w:color="000000"/>
              <w:bottom w:val="single" w:sz="4" w:space="0" w:color="000000"/>
              <w:right w:val="single" w:sz="4" w:space="0" w:color="000000"/>
            </w:tcBorders>
            <w:vAlign w:val="center"/>
            <w:hideMark/>
          </w:tcPr>
          <w:p w:rsidR="00B07BA8" w:rsidRDefault="00B07BA8" w:rsidP="00007EA8">
            <w:pPr>
              <w:spacing w:after="0" w:line="240" w:lineRule="auto"/>
              <w:jc w:val="center"/>
              <w:rPr>
                <w:sz w:val="22"/>
              </w:rPr>
            </w:pPr>
          </w:p>
          <w:p w:rsidR="00FD1F08" w:rsidRPr="00B07BA8" w:rsidRDefault="00FD1F08" w:rsidP="00B07BA8">
            <w:pPr>
              <w:spacing w:after="0" w:line="240" w:lineRule="auto"/>
              <w:jc w:val="center"/>
              <w:rPr>
                <w:sz w:val="22"/>
              </w:rPr>
            </w:pPr>
            <w:r>
              <w:rPr>
                <w:sz w:val="22"/>
              </w:rPr>
              <w:t>Information Management Capabilities (IMC)</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Default="00A7040E" w:rsidP="00007EA8">
            <w:pPr>
              <w:spacing w:after="0" w:line="240" w:lineRule="auto"/>
              <w:jc w:val="center"/>
            </w:pPr>
            <w:r>
              <w:pict>
                <v:shape id="_x0000_s1163" type="#_x0000_t32" style="position:absolute;left:0;text-align:left;margin-left:11.9pt;margin-top:20.7pt;width:25.5pt;height:0;z-index:251662336"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Supply Chain Resilience (SCR)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0.31</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007EA8">
        <w:tc>
          <w:tcPr>
            <w:tcW w:w="2896"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Pr="00B07BA8" w:rsidRDefault="00FD1F08" w:rsidP="00B07BA8">
            <w:pPr>
              <w:spacing w:after="0" w:line="240" w:lineRule="auto"/>
              <w:jc w:val="center"/>
              <w:rPr>
                <w:sz w:val="22"/>
              </w:rPr>
            </w:pPr>
            <w:r>
              <w:rPr>
                <w:sz w:val="22"/>
              </w:rPr>
              <w:t>Supply Chain Vulnerability (SCV)</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p>
          <w:p w:rsidR="00FD1F08" w:rsidRDefault="00A7040E" w:rsidP="00007EA8">
            <w:pPr>
              <w:spacing w:after="0" w:line="240" w:lineRule="auto"/>
              <w:jc w:val="center"/>
            </w:pPr>
            <w:r>
              <w:pict>
                <v:shape id="_x0000_s1165" type="#_x0000_t32" style="position:absolute;left:0;text-align:left;margin-left:11.25pt;margin-top:20.35pt;width:25.5pt;height:0;z-index:251664384"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Supply Chain Resilience (SCR)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-0.03</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 xml:space="preserve">Not </w:t>
            </w:r>
            <w:r w:rsidR="00B07BA8">
              <w:rPr>
                <w:sz w:val="22"/>
              </w:rPr>
              <w:t>supported</w:t>
            </w:r>
          </w:p>
        </w:tc>
      </w:tr>
      <w:tr w:rsidR="00FD1F08" w:rsidTr="00007EA8">
        <w:tc>
          <w:tcPr>
            <w:tcW w:w="2896"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Pr="00B07BA8" w:rsidRDefault="00FD1F08" w:rsidP="00B07BA8">
            <w:pPr>
              <w:spacing w:after="0" w:line="240" w:lineRule="auto"/>
              <w:jc w:val="center"/>
              <w:rPr>
                <w:sz w:val="22"/>
              </w:rPr>
            </w:pPr>
            <w:r>
              <w:rPr>
                <w:sz w:val="22"/>
              </w:rPr>
              <w:t>Environmental Uncertainty (EU)</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Default="00A7040E" w:rsidP="00007EA8">
            <w:pPr>
              <w:spacing w:after="0" w:line="240" w:lineRule="auto"/>
              <w:jc w:val="center"/>
            </w:pPr>
            <w:r>
              <w:pict>
                <v:shape id="_x0000_s1164" type="#_x0000_t32" style="position:absolute;left:0;text-align:left;margin-left:13.3pt;margin-top:18.9pt;width:25.5pt;height:0;z-index:251663360"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Supply Chain Vulnerability (SCV)</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0.31</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B07BA8">
        <w:trPr>
          <w:trHeight w:val="809"/>
        </w:trPr>
        <w:tc>
          <w:tcPr>
            <w:tcW w:w="2896" w:type="dxa"/>
            <w:tcBorders>
              <w:top w:val="single" w:sz="4" w:space="0" w:color="000000"/>
              <w:left w:val="single" w:sz="4" w:space="0" w:color="000000"/>
              <w:bottom w:val="single" w:sz="4" w:space="0" w:color="000000"/>
              <w:right w:val="single" w:sz="4" w:space="0" w:color="000000"/>
            </w:tcBorders>
            <w:vAlign w:val="center"/>
          </w:tcPr>
          <w:p w:rsidR="00FD1F08" w:rsidRDefault="00FD1F08" w:rsidP="00007EA8">
            <w:pPr>
              <w:spacing w:after="0" w:line="240" w:lineRule="auto"/>
              <w:jc w:val="center"/>
            </w:pPr>
            <w:r>
              <w:rPr>
                <w:sz w:val="22"/>
              </w:rPr>
              <w:t>RMO</w:t>
            </w:r>
          </w:p>
          <w:p w:rsidR="00FD1F08" w:rsidRPr="00B07BA8" w:rsidRDefault="00FD1F08" w:rsidP="00B07BA8">
            <w:pPr>
              <w:spacing w:after="0" w:line="240" w:lineRule="auto"/>
              <w:jc w:val="center"/>
              <w:rPr>
                <w:sz w:val="22"/>
              </w:rPr>
            </w:pPr>
            <w:r>
              <w:rPr>
                <w:sz w:val="22"/>
              </w:rPr>
              <w:t>SCO</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noProof/>
              </w:rPr>
            </w:pPr>
            <w:r>
              <w:rPr>
                <w:noProof/>
                <w:sz w:val="22"/>
              </w:rPr>
              <w:t>Moderators</w:t>
            </w:r>
          </w:p>
        </w:tc>
        <w:tc>
          <w:tcPr>
            <w:tcW w:w="2339" w:type="dxa"/>
            <w:tcBorders>
              <w:top w:val="single" w:sz="4" w:space="0" w:color="000000"/>
              <w:left w:val="single" w:sz="4" w:space="0" w:color="000000"/>
              <w:bottom w:val="single" w:sz="4" w:space="0" w:color="000000"/>
              <w:right w:val="single" w:sz="4" w:space="0" w:color="000000"/>
            </w:tcBorders>
            <w:vAlign w:val="center"/>
          </w:tcPr>
          <w:p w:rsidR="00FD1F08" w:rsidRDefault="00FD1F08" w:rsidP="00007EA8">
            <w:pPr>
              <w:spacing w:after="0" w:line="240" w:lineRule="auto"/>
              <w:jc w:val="center"/>
            </w:pPr>
            <w:r>
              <w:rPr>
                <w:sz w:val="22"/>
              </w:rPr>
              <w:t>SMC-SCR</w:t>
            </w:r>
          </w:p>
          <w:p w:rsidR="00FD1F08" w:rsidRDefault="00FD1F08" w:rsidP="00007EA8">
            <w:pPr>
              <w:spacing w:after="0" w:line="240" w:lineRule="auto"/>
              <w:jc w:val="center"/>
            </w:pPr>
            <w:r>
              <w:rPr>
                <w:sz w:val="22"/>
              </w:rPr>
              <w:t>IMC-SCR</w:t>
            </w:r>
          </w:p>
        </w:tc>
        <w:tc>
          <w:tcPr>
            <w:tcW w:w="2790" w:type="dxa"/>
            <w:gridSpan w:val="2"/>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No Moderation Effects</w:t>
            </w:r>
          </w:p>
        </w:tc>
      </w:tr>
      <w:tr w:rsidR="00FD1F08" w:rsidTr="00007EA8">
        <w:tc>
          <w:tcPr>
            <w:tcW w:w="2896"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Pr="005F06B5" w:rsidRDefault="00FD1F08" w:rsidP="00007EA8">
            <w:pPr>
              <w:spacing w:after="0" w:line="240" w:lineRule="auto"/>
              <w:jc w:val="center"/>
              <w:rPr>
                <w:sz w:val="22"/>
              </w:rPr>
            </w:pPr>
            <w:r>
              <w:rPr>
                <w:sz w:val="22"/>
              </w:rPr>
              <w:t>Environmental Uncertainty (EU)</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Default="00A7040E" w:rsidP="00007EA8">
            <w:pPr>
              <w:spacing w:after="0" w:line="240" w:lineRule="auto"/>
              <w:jc w:val="center"/>
            </w:pPr>
            <w:r>
              <w:pict>
                <v:shape id="_x0000_s1166" type="#_x0000_t32" style="position:absolute;left:0;text-align:left;margin-left:9.75pt;margin-top:17.45pt;width:25.5pt;height:0;z-index:251665408"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Risk Management Orientation (RMO)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0.04</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 xml:space="preserve">Not </w:t>
            </w:r>
            <w:r w:rsidR="00B07BA8">
              <w:rPr>
                <w:sz w:val="22"/>
              </w:rPr>
              <w:t>supported</w:t>
            </w:r>
          </w:p>
        </w:tc>
      </w:tr>
      <w:tr w:rsidR="00FD1F08" w:rsidTr="00007EA8">
        <w:trPr>
          <w:trHeight w:val="818"/>
        </w:trPr>
        <w:tc>
          <w:tcPr>
            <w:tcW w:w="2896" w:type="dxa"/>
            <w:tcBorders>
              <w:top w:val="single" w:sz="4" w:space="0" w:color="000000"/>
              <w:left w:val="single" w:sz="4" w:space="0" w:color="000000"/>
              <w:bottom w:val="single" w:sz="4" w:space="0" w:color="000000"/>
              <w:right w:val="single" w:sz="4" w:space="0" w:color="000000"/>
            </w:tcBorders>
            <w:vAlign w:val="center"/>
          </w:tcPr>
          <w:p w:rsidR="00FD1F08" w:rsidRDefault="00FD1F08" w:rsidP="00007EA8">
            <w:pPr>
              <w:spacing w:after="0" w:line="240" w:lineRule="auto"/>
              <w:jc w:val="center"/>
            </w:pPr>
            <w:r>
              <w:t>Supply Chain Resilience</w:t>
            </w:r>
          </w:p>
          <w:p w:rsidR="00FD1F08" w:rsidRDefault="00FD1F08" w:rsidP="00007EA8">
            <w:pPr>
              <w:spacing w:after="0" w:line="240" w:lineRule="auto"/>
              <w:jc w:val="center"/>
            </w:pPr>
            <w:r>
              <w:rPr>
                <w:sz w:val="22"/>
              </w:rPr>
              <w:t>(SCR)</w:t>
            </w: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rPr>
                <w:sz w:val="22"/>
              </w:rPr>
            </w:pPr>
          </w:p>
          <w:p w:rsidR="00FD1F08" w:rsidRDefault="00A7040E" w:rsidP="00007EA8">
            <w:pPr>
              <w:spacing w:after="0" w:line="240" w:lineRule="auto"/>
              <w:jc w:val="center"/>
            </w:pPr>
            <w:r>
              <w:pict>
                <v:shape id="_x0000_s1167" type="#_x0000_t32" style="position:absolute;left:0;text-align:left;margin-left:7.9pt;margin-top:19.95pt;width:25.5pt;height:0;z-index:251666432"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Supply Chain Process Variability (SCPV)</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-0.49</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007EA8">
        <w:tc>
          <w:tcPr>
            <w:tcW w:w="2896" w:type="dxa"/>
            <w:tcBorders>
              <w:top w:val="single" w:sz="4" w:space="0" w:color="000000"/>
              <w:left w:val="single" w:sz="4" w:space="0" w:color="000000"/>
              <w:bottom w:val="single" w:sz="4" w:space="0" w:color="auto"/>
              <w:right w:val="single" w:sz="4" w:space="0" w:color="000000"/>
            </w:tcBorders>
            <w:vAlign w:val="center"/>
          </w:tcPr>
          <w:p w:rsidR="00FD1F08" w:rsidRDefault="00FD1F08" w:rsidP="00007EA8">
            <w:pPr>
              <w:spacing w:after="0" w:line="240" w:lineRule="auto"/>
              <w:jc w:val="center"/>
              <w:rPr>
                <w:noProof/>
              </w:rPr>
            </w:pPr>
          </w:p>
          <w:p w:rsidR="00FD1F08" w:rsidRDefault="00FD1F08" w:rsidP="00007EA8">
            <w:pPr>
              <w:spacing w:after="0" w:line="240" w:lineRule="auto"/>
              <w:jc w:val="center"/>
              <w:rPr>
                <w:noProof/>
              </w:rPr>
            </w:pPr>
            <w:r>
              <w:rPr>
                <w:noProof/>
                <w:sz w:val="22"/>
              </w:rPr>
              <w:t>SCR</w:t>
            </w:r>
          </w:p>
        </w:tc>
        <w:tc>
          <w:tcPr>
            <w:tcW w:w="1350" w:type="dxa"/>
            <w:tcBorders>
              <w:top w:val="single" w:sz="4" w:space="0" w:color="000000"/>
              <w:left w:val="single" w:sz="4" w:space="0" w:color="000000"/>
              <w:bottom w:val="single" w:sz="4" w:space="0" w:color="auto"/>
              <w:right w:val="single" w:sz="4" w:space="0" w:color="000000"/>
            </w:tcBorders>
            <w:vAlign w:val="center"/>
            <w:hideMark/>
          </w:tcPr>
          <w:p w:rsidR="00FD1F08" w:rsidRDefault="00A7040E" w:rsidP="00007EA8">
            <w:pPr>
              <w:spacing w:after="0" w:line="240" w:lineRule="auto"/>
              <w:jc w:val="center"/>
            </w:pPr>
            <w:r>
              <w:pict>
                <v:shape id="_x0000_s1168" type="#_x0000_t32" style="position:absolute;left:0;text-align:left;margin-left:7.25pt;margin-top:18.05pt;width:25.5pt;height:0;z-index:251667456;mso-position-horizontal-relative:text;mso-position-vertical-relative:text"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Supply Chain Capital (SCC)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0.63</w:t>
            </w:r>
            <w:r w:rsidR="00B35A54">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007EA8">
        <w:tc>
          <w:tcPr>
            <w:tcW w:w="2896" w:type="dxa"/>
            <w:tcBorders>
              <w:top w:val="single" w:sz="4" w:space="0" w:color="000000"/>
              <w:left w:val="single" w:sz="4" w:space="0" w:color="000000"/>
              <w:bottom w:val="single" w:sz="4" w:space="0" w:color="auto"/>
              <w:right w:val="single" w:sz="4" w:space="0" w:color="000000"/>
            </w:tcBorders>
            <w:vAlign w:val="center"/>
          </w:tcPr>
          <w:p w:rsidR="00FD1F08" w:rsidRDefault="00FD1F08" w:rsidP="00007EA8">
            <w:pPr>
              <w:spacing w:after="0" w:line="240" w:lineRule="auto"/>
              <w:jc w:val="center"/>
              <w:rPr>
                <w:noProof/>
              </w:rPr>
            </w:pPr>
          </w:p>
          <w:p w:rsidR="00FD1F08" w:rsidRDefault="00FD1F08" w:rsidP="00007EA8">
            <w:pPr>
              <w:spacing w:after="0" w:line="240" w:lineRule="auto"/>
              <w:jc w:val="center"/>
              <w:rPr>
                <w:noProof/>
              </w:rPr>
            </w:pPr>
            <w:r>
              <w:rPr>
                <w:noProof/>
                <w:sz w:val="22"/>
              </w:rPr>
              <w:t>SCR</w:t>
            </w:r>
          </w:p>
        </w:tc>
        <w:tc>
          <w:tcPr>
            <w:tcW w:w="135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rPr>
                <w:sz w:val="22"/>
              </w:rPr>
            </w:pPr>
          </w:p>
          <w:p w:rsidR="00FD1F08" w:rsidRDefault="00A7040E" w:rsidP="00007EA8">
            <w:pPr>
              <w:spacing w:after="0" w:line="240" w:lineRule="auto"/>
              <w:jc w:val="center"/>
              <w:rPr>
                <w:noProof/>
              </w:rPr>
            </w:pPr>
            <w:r>
              <w:pict>
                <v:shape id="_x0000_s1169" type="#_x0000_t32" style="position:absolute;left:0;text-align:left;margin-left:7.35pt;margin-top:21pt;width:25.5pt;height:0;z-index:251668480"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Supply Chain Knowledge Development (SCKD)</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0.29</w:t>
            </w:r>
            <w:r w:rsidR="00B35A54">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007EA8">
        <w:tc>
          <w:tcPr>
            <w:tcW w:w="2896" w:type="dxa"/>
            <w:tcBorders>
              <w:top w:val="single" w:sz="4" w:space="0" w:color="000000"/>
              <w:left w:val="single" w:sz="4" w:space="0" w:color="000000"/>
              <w:bottom w:val="single" w:sz="4" w:space="0" w:color="auto"/>
              <w:right w:val="single" w:sz="4" w:space="0" w:color="000000"/>
            </w:tcBorders>
            <w:vAlign w:val="center"/>
          </w:tcPr>
          <w:p w:rsidR="00FD1F08" w:rsidRDefault="00FD1F08" w:rsidP="00007EA8">
            <w:pPr>
              <w:spacing w:after="0" w:line="240" w:lineRule="auto"/>
              <w:jc w:val="center"/>
              <w:rPr>
                <w:noProof/>
                <w:sz w:val="22"/>
              </w:rPr>
            </w:pPr>
          </w:p>
          <w:p w:rsidR="00FD1F08" w:rsidRDefault="00FD1F08" w:rsidP="00007EA8">
            <w:pPr>
              <w:spacing w:after="0" w:line="240" w:lineRule="auto"/>
              <w:jc w:val="center"/>
              <w:rPr>
                <w:noProof/>
              </w:rPr>
            </w:pPr>
            <w:r>
              <w:rPr>
                <w:noProof/>
                <w:sz w:val="22"/>
              </w:rPr>
              <w:t>SCV</w:t>
            </w:r>
          </w:p>
          <w:p w:rsidR="00FD1F08" w:rsidRDefault="00FD1F08" w:rsidP="00007EA8">
            <w:pPr>
              <w:spacing w:after="0" w:line="240" w:lineRule="auto"/>
              <w:jc w:val="center"/>
              <w:rPr>
                <w:noProof/>
              </w:rPr>
            </w:pPr>
          </w:p>
        </w:tc>
        <w:tc>
          <w:tcPr>
            <w:tcW w:w="135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rPr>
                <w:sz w:val="22"/>
              </w:rPr>
            </w:pPr>
          </w:p>
          <w:p w:rsidR="00FD1F08" w:rsidRDefault="00A7040E" w:rsidP="00007EA8">
            <w:pPr>
              <w:spacing w:after="0" w:line="240" w:lineRule="auto"/>
              <w:jc w:val="center"/>
              <w:rPr>
                <w:noProof/>
              </w:rPr>
            </w:pPr>
            <w:r>
              <w:pict>
                <v:shape id="_x0000_s1170" type="#_x0000_t32" style="position:absolute;left:0;text-align:left;margin-left:7.45pt;margin-top:15.05pt;width:25.5pt;height:0;z-index:251669504"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SCPV</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0.15</w:t>
            </w:r>
            <w:r w:rsidR="00B35A54">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007EA8">
        <w:tc>
          <w:tcPr>
            <w:tcW w:w="2896" w:type="dxa"/>
            <w:tcBorders>
              <w:top w:val="single" w:sz="4" w:space="0" w:color="000000"/>
              <w:left w:val="single" w:sz="4" w:space="0" w:color="000000"/>
              <w:bottom w:val="single" w:sz="4" w:space="0" w:color="auto"/>
              <w:right w:val="single" w:sz="4" w:space="0" w:color="000000"/>
            </w:tcBorders>
            <w:vAlign w:val="center"/>
          </w:tcPr>
          <w:p w:rsidR="00FD1F08" w:rsidRDefault="00FD1F08" w:rsidP="00007EA8">
            <w:pPr>
              <w:spacing w:after="0" w:line="240" w:lineRule="auto"/>
              <w:jc w:val="center"/>
              <w:rPr>
                <w:noProof/>
              </w:rPr>
            </w:pPr>
            <w:r>
              <w:rPr>
                <w:noProof/>
                <w:sz w:val="22"/>
              </w:rPr>
              <w:t>SCPV</w:t>
            </w:r>
          </w:p>
          <w:p w:rsidR="00FD1F08" w:rsidRDefault="00FD1F08" w:rsidP="00007EA8">
            <w:pPr>
              <w:spacing w:after="0" w:line="240" w:lineRule="auto"/>
              <w:jc w:val="center"/>
              <w:rPr>
                <w:noProof/>
              </w:rPr>
            </w:pPr>
          </w:p>
        </w:tc>
        <w:tc>
          <w:tcPr>
            <w:tcW w:w="1350" w:type="dxa"/>
            <w:tcBorders>
              <w:top w:val="single" w:sz="4" w:space="0" w:color="000000"/>
              <w:left w:val="single" w:sz="4" w:space="0" w:color="000000"/>
              <w:bottom w:val="single" w:sz="4" w:space="0" w:color="auto"/>
              <w:right w:val="single" w:sz="4" w:space="0" w:color="000000"/>
            </w:tcBorders>
            <w:vAlign w:val="center"/>
            <w:hideMark/>
          </w:tcPr>
          <w:p w:rsidR="00FD1F08" w:rsidRDefault="00A7040E" w:rsidP="00007EA8">
            <w:pPr>
              <w:spacing w:after="0" w:line="240" w:lineRule="auto"/>
              <w:jc w:val="center"/>
              <w:rPr>
                <w:noProof/>
              </w:rPr>
            </w:pPr>
            <w:r>
              <w:pict>
                <v:shape id="_x0000_s1172" type="#_x0000_t32" style="position:absolute;left:0;text-align:left;margin-left:11.1pt;margin-top:13.4pt;width:25.5pt;height:0;z-index:251671552;mso-position-horizontal-relative:text;mso-position-vertical-relative:text"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SCC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007EA8">
            <w:pPr>
              <w:spacing w:after="0" w:line="240" w:lineRule="auto"/>
              <w:jc w:val="center"/>
            </w:pPr>
            <w:r>
              <w:rPr>
                <w:sz w:val="22"/>
              </w:rPr>
              <w:t>-0.17</w:t>
            </w:r>
            <w:r w:rsidR="00B35A54">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FD1F08" w:rsidRDefault="00B07BA8" w:rsidP="00007EA8">
            <w:pPr>
              <w:spacing w:after="0" w:line="240" w:lineRule="auto"/>
              <w:jc w:val="center"/>
            </w:pPr>
            <w:r>
              <w:rPr>
                <w:sz w:val="22"/>
              </w:rPr>
              <w:t>Supported</w:t>
            </w:r>
          </w:p>
        </w:tc>
      </w:tr>
      <w:tr w:rsidR="00FD1F08" w:rsidTr="005A34B4">
        <w:tc>
          <w:tcPr>
            <w:tcW w:w="2896" w:type="dxa"/>
            <w:tcBorders>
              <w:top w:val="single" w:sz="4" w:space="0" w:color="000000"/>
              <w:left w:val="single" w:sz="4" w:space="0" w:color="000000"/>
              <w:bottom w:val="single" w:sz="4" w:space="0" w:color="000000"/>
              <w:right w:val="single" w:sz="4" w:space="0" w:color="000000"/>
            </w:tcBorders>
            <w:vAlign w:val="center"/>
          </w:tcPr>
          <w:p w:rsidR="00FD1F08" w:rsidRDefault="00FD1F08" w:rsidP="00007EA8">
            <w:pPr>
              <w:spacing w:after="0" w:line="240" w:lineRule="auto"/>
              <w:jc w:val="center"/>
              <w:rPr>
                <w:noProof/>
              </w:rPr>
            </w:pPr>
            <w:r>
              <w:rPr>
                <w:noProof/>
                <w:sz w:val="22"/>
              </w:rPr>
              <w:t>SCC</w:t>
            </w:r>
          </w:p>
          <w:p w:rsidR="00FD1F08" w:rsidRDefault="00FD1F08" w:rsidP="00007EA8">
            <w:pPr>
              <w:spacing w:after="0" w:line="240" w:lineRule="auto"/>
              <w:jc w:val="center"/>
              <w:rPr>
                <w:noProof/>
              </w:rPr>
            </w:pPr>
          </w:p>
        </w:tc>
        <w:tc>
          <w:tcPr>
            <w:tcW w:w="1350" w:type="dxa"/>
            <w:tcBorders>
              <w:top w:val="single" w:sz="4" w:space="0" w:color="000000"/>
              <w:left w:val="single" w:sz="4" w:space="0" w:color="000000"/>
              <w:bottom w:val="single" w:sz="4" w:space="0" w:color="000000"/>
              <w:right w:val="single" w:sz="4" w:space="0" w:color="000000"/>
            </w:tcBorders>
            <w:vAlign w:val="center"/>
            <w:hideMark/>
          </w:tcPr>
          <w:p w:rsidR="00FD1F08" w:rsidRDefault="00A7040E" w:rsidP="00007EA8">
            <w:pPr>
              <w:spacing w:after="0" w:line="240" w:lineRule="auto"/>
              <w:jc w:val="center"/>
              <w:rPr>
                <w:noProof/>
              </w:rPr>
            </w:pPr>
            <w:r>
              <w:pict>
                <v:shape id="_x0000_s1171" type="#_x0000_t32" style="position:absolute;left:0;text-align:left;margin-left:9.1pt;margin-top:15.8pt;width:25.5pt;height:0;z-index:251670528;mso-position-horizontal-relative:text;mso-position-vertical-relative:text"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SCKD</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007EA8">
            <w:pPr>
              <w:spacing w:after="0" w:line="240" w:lineRule="auto"/>
              <w:jc w:val="center"/>
            </w:pPr>
            <w:r>
              <w:rPr>
                <w:sz w:val="22"/>
              </w:rPr>
              <w:t>0.60</w:t>
            </w:r>
            <w:r w:rsidR="00B35A54">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B07BA8" w:rsidP="00007EA8">
            <w:pPr>
              <w:spacing w:after="0" w:line="240" w:lineRule="auto"/>
              <w:jc w:val="center"/>
            </w:pPr>
            <w:r>
              <w:rPr>
                <w:sz w:val="22"/>
              </w:rPr>
              <w:t>Supported</w:t>
            </w:r>
          </w:p>
        </w:tc>
      </w:tr>
      <w:tr w:rsidR="00B07BA8" w:rsidTr="005A34B4">
        <w:tc>
          <w:tcPr>
            <w:tcW w:w="9375" w:type="dxa"/>
            <w:gridSpan w:val="5"/>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B07BA8" w:rsidRDefault="00B07BA8" w:rsidP="00B35A54">
            <w:pPr>
              <w:pStyle w:val="ListParagraph"/>
              <w:spacing w:after="0" w:line="240" w:lineRule="auto"/>
              <w:ind w:left="1440"/>
              <w:rPr>
                <w:sz w:val="22"/>
              </w:rPr>
            </w:pPr>
          </w:p>
          <w:p w:rsidR="00B35A54" w:rsidRPr="00B35A54" w:rsidRDefault="00B35A54" w:rsidP="00B35A54">
            <w:pPr>
              <w:spacing w:after="0" w:line="240" w:lineRule="auto"/>
              <w:rPr>
                <w:b/>
                <w:sz w:val="22"/>
              </w:rPr>
            </w:pPr>
            <w:r w:rsidRPr="00B35A54">
              <w:rPr>
                <w:b/>
                <w:sz w:val="22"/>
              </w:rPr>
              <w:t>*</w:t>
            </w:r>
            <w:r>
              <w:rPr>
                <w:b/>
                <w:sz w:val="22"/>
              </w:rPr>
              <w:t>p&gt;</w:t>
            </w:r>
            <w:r w:rsidRPr="00B35A54">
              <w:rPr>
                <w:b/>
                <w:sz w:val="22"/>
              </w:rPr>
              <w:t>.05;   ** p&lt;.01;   ***p&lt;.001</w:t>
            </w:r>
          </w:p>
        </w:tc>
      </w:tr>
    </w:tbl>
    <w:p w:rsidR="00FD1F08" w:rsidRDefault="00FD1F08" w:rsidP="00007EA8">
      <w:pPr>
        <w:spacing w:after="0" w:line="240" w:lineRule="auto"/>
        <w:rPr>
          <w:b/>
        </w:rPr>
      </w:pPr>
    </w:p>
    <w:p w:rsidR="00B35A54" w:rsidRDefault="00B35A54" w:rsidP="00B07BA8">
      <w:pPr>
        <w:pStyle w:val="Caption"/>
        <w:jc w:val="center"/>
        <w:rPr>
          <w:sz w:val="24"/>
          <w:szCs w:val="24"/>
        </w:rPr>
      </w:pPr>
    </w:p>
    <w:p w:rsidR="00B35A54" w:rsidRDefault="00B35A54" w:rsidP="00B07BA8">
      <w:pPr>
        <w:pStyle w:val="Caption"/>
        <w:jc w:val="center"/>
        <w:rPr>
          <w:sz w:val="24"/>
          <w:szCs w:val="24"/>
        </w:rPr>
      </w:pPr>
    </w:p>
    <w:p w:rsidR="00B35A54" w:rsidRDefault="00B35A54" w:rsidP="00B07BA8">
      <w:pPr>
        <w:pStyle w:val="Caption"/>
        <w:jc w:val="center"/>
        <w:rPr>
          <w:sz w:val="24"/>
          <w:szCs w:val="24"/>
        </w:rPr>
      </w:pPr>
    </w:p>
    <w:p w:rsidR="00B35A54" w:rsidRDefault="00B35A54" w:rsidP="00B07BA8">
      <w:pPr>
        <w:pStyle w:val="Caption"/>
        <w:jc w:val="center"/>
        <w:rPr>
          <w:sz w:val="24"/>
          <w:szCs w:val="24"/>
        </w:rPr>
      </w:pPr>
    </w:p>
    <w:p w:rsidR="00B35A54" w:rsidRDefault="00B35A54" w:rsidP="00B07BA8">
      <w:pPr>
        <w:pStyle w:val="Caption"/>
        <w:jc w:val="center"/>
        <w:rPr>
          <w:sz w:val="24"/>
          <w:szCs w:val="24"/>
        </w:rPr>
      </w:pPr>
    </w:p>
    <w:p w:rsidR="00FD1F08" w:rsidRDefault="00FD1F08" w:rsidP="00FD1F08">
      <w:pPr>
        <w:rPr>
          <w:b/>
        </w:rPr>
      </w:pPr>
      <w:r>
        <w:rPr>
          <w:b/>
        </w:rPr>
        <w:t xml:space="preserve">Summary of </w:t>
      </w:r>
      <w:r w:rsidRPr="006D46C1">
        <w:rPr>
          <w:b/>
        </w:rPr>
        <w:t>Hypotheses Tests</w:t>
      </w:r>
    </w:p>
    <w:p w:rsidR="00FD1F08" w:rsidRDefault="00FD1F08" w:rsidP="00FD1F08">
      <w:pPr>
        <w:autoSpaceDE w:val="0"/>
        <w:autoSpaceDN w:val="0"/>
        <w:adjustRightInd w:val="0"/>
        <w:spacing w:line="480" w:lineRule="auto"/>
        <w:ind w:firstLine="720"/>
      </w:pPr>
      <w:r>
        <w:t xml:space="preserve">The following hypotheses were tested: </w:t>
      </w:r>
    </w:p>
    <w:p w:rsidR="00FD1F08" w:rsidRDefault="00FD1F08" w:rsidP="007743FB">
      <w:pPr>
        <w:numPr>
          <w:ilvl w:val="0"/>
          <w:numId w:val="45"/>
        </w:numPr>
        <w:autoSpaceDE w:val="0"/>
        <w:autoSpaceDN w:val="0"/>
        <w:adjustRightInd w:val="0"/>
        <w:spacing w:after="0" w:line="480" w:lineRule="auto"/>
      </w:pPr>
      <w:r>
        <w:t>Hypotheses related to antecedents of supply chain resilience:</w:t>
      </w:r>
    </w:p>
    <w:p w:rsidR="00FD1F08" w:rsidRPr="00727329" w:rsidRDefault="00FD1F08" w:rsidP="00FD1F08">
      <w:pPr>
        <w:autoSpaceDE w:val="0"/>
        <w:autoSpaceDN w:val="0"/>
        <w:adjustRightInd w:val="0"/>
        <w:ind w:left="720"/>
        <w:rPr>
          <w:b/>
        </w:rPr>
      </w:pPr>
      <w:r w:rsidRPr="00727329">
        <w:rPr>
          <w:b/>
        </w:rPr>
        <w:t>H1a: Supply management capabilities (SMC) have a positive impact on a firm’s supply chain resilience (SCR).</w:t>
      </w:r>
    </w:p>
    <w:p w:rsidR="00FD1F08" w:rsidRPr="00D027E3" w:rsidRDefault="00FD1F08" w:rsidP="00FD1F08">
      <w:pPr>
        <w:autoSpaceDE w:val="0"/>
        <w:autoSpaceDN w:val="0"/>
        <w:adjustRightInd w:val="0"/>
        <w:spacing w:line="480" w:lineRule="auto"/>
        <w:ind w:left="720" w:firstLine="720"/>
      </w:pPr>
      <w:r w:rsidRPr="00D027E3">
        <w:t xml:space="preserve">The path from SMC to SCR was significant (p&lt;0.001), in </w:t>
      </w:r>
      <w:r>
        <w:t xml:space="preserve">the </w:t>
      </w:r>
      <w:r w:rsidRPr="00D027E3">
        <w:t>direction hypothesized, and strong (0.32). The data st</w:t>
      </w:r>
      <w:r>
        <w:t>rongly supported the hypothesis that supply management capabilities are an antecedent to supply chain resilience.</w:t>
      </w:r>
    </w:p>
    <w:p w:rsidR="00FD1F08" w:rsidRPr="00727329" w:rsidRDefault="00FD1F08" w:rsidP="00FD1F08">
      <w:pPr>
        <w:autoSpaceDE w:val="0"/>
        <w:autoSpaceDN w:val="0"/>
        <w:adjustRightInd w:val="0"/>
        <w:ind w:left="720"/>
        <w:rPr>
          <w:b/>
        </w:rPr>
      </w:pPr>
      <w:r w:rsidRPr="00727329">
        <w:rPr>
          <w:b/>
        </w:rPr>
        <w:t xml:space="preserve">H1b: </w:t>
      </w:r>
      <w:r>
        <w:rPr>
          <w:b/>
        </w:rPr>
        <w:t>Information management</w:t>
      </w:r>
      <w:r w:rsidRPr="00727329">
        <w:rPr>
          <w:b/>
        </w:rPr>
        <w:t xml:space="preserve"> capabilities</w:t>
      </w:r>
      <w:r>
        <w:rPr>
          <w:b/>
        </w:rPr>
        <w:t xml:space="preserve"> (IMC)</w:t>
      </w:r>
      <w:r w:rsidRPr="00727329">
        <w:rPr>
          <w:b/>
        </w:rPr>
        <w:t xml:space="preserve"> have a positive impact on a firm’s supply chain resilience</w:t>
      </w:r>
      <w:r>
        <w:rPr>
          <w:b/>
        </w:rPr>
        <w:t xml:space="preserve"> (SCR)</w:t>
      </w:r>
      <w:r w:rsidRPr="00727329">
        <w:rPr>
          <w:b/>
        </w:rPr>
        <w:t>.</w:t>
      </w:r>
    </w:p>
    <w:p w:rsidR="00FD1F08" w:rsidRPr="00D027E3" w:rsidRDefault="00FD1F08" w:rsidP="00FD1F08">
      <w:pPr>
        <w:autoSpaceDE w:val="0"/>
        <w:autoSpaceDN w:val="0"/>
        <w:adjustRightInd w:val="0"/>
        <w:spacing w:line="480" w:lineRule="auto"/>
        <w:ind w:left="720" w:firstLine="720"/>
      </w:pPr>
      <w:r w:rsidRPr="00D027E3">
        <w:t xml:space="preserve">The path from </w:t>
      </w:r>
      <w:r>
        <w:t>I</w:t>
      </w:r>
      <w:r w:rsidRPr="00D027E3">
        <w:t xml:space="preserve">MC to SCR was significant (p&lt;0.001), in </w:t>
      </w:r>
      <w:r>
        <w:t xml:space="preserve">the </w:t>
      </w:r>
      <w:r w:rsidRPr="00D027E3">
        <w:t>direction hypothesized, and stron</w:t>
      </w:r>
      <w:r>
        <w:t>g (0.31</w:t>
      </w:r>
      <w:r w:rsidRPr="00D027E3">
        <w:t>). The data strongly supported the hypothesis.</w:t>
      </w:r>
    </w:p>
    <w:p w:rsidR="00FD1F08" w:rsidRPr="00727329" w:rsidRDefault="00FD1F08" w:rsidP="00FD1F08">
      <w:pPr>
        <w:autoSpaceDE w:val="0"/>
        <w:autoSpaceDN w:val="0"/>
        <w:adjustRightInd w:val="0"/>
        <w:ind w:left="720"/>
        <w:rPr>
          <w:b/>
        </w:rPr>
      </w:pPr>
      <w:r w:rsidRPr="00727329">
        <w:rPr>
          <w:b/>
        </w:rPr>
        <w:t>H2: S</w:t>
      </w:r>
      <w:r>
        <w:rPr>
          <w:b/>
        </w:rPr>
        <w:t>upply chain vulnerability (SCV) has</w:t>
      </w:r>
      <w:r w:rsidRPr="00727329">
        <w:rPr>
          <w:b/>
        </w:rPr>
        <w:t xml:space="preserve"> a negative impact on a firm’s supply chain resilience</w:t>
      </w:r>
      <w:r>
        <w:rPr>
          <w:b/>
        </w:rPr>
        <w:t xml:space="preserve"> (SCR)</w:t>
      </w:r>
      <w:r w:rsidRPr="00727329">
        <w:rPr>
          <w:b/>
        </w:rPr>
        <w:t>.</w:t>
      </w:r>
    </w:p>
    <w:p w:rsidR="00FD1F08" w:rsidRPr="008677B0" w:rsidRDefault="00FD1F08" w:rsidP="00FD1F08">
      <w:pPr>
        <w:autoSpaceDE w:val="0"/>
        <w:autoSpaceDN w:val="0"/>
        <w:adjustRightInd w:val="0"/>
        <w:spacing w:line="480" w:lineRule="auto"/>
        <w:ind w:left="720"/>
      </w:pPr>
      <w:r>
        <w:rPr>
          <w:b/>
        </w:rPr>
        <w:tab/>
      </w:r>
      <w:r w:rsidRPr="008677B0">
        <w:t>The path from SCV to SCR was in the hypothesized direction, but it was not significant (p = -0.03)</w:t>
      </w:r>
      <w:r>
        <w:t>. Therefore, the hypothesis that supply chain vulnerability is an antecedent to supply chain resilience was not supported by the data.</w:t>
      </w:r>
    </w:p>
    <w:p w:rsidR="00FD1F08" w:rsidRPr="008677B0" w:rsidRDefault="00FD1F08" w:rsidP="00FD1F08">
      <w:pPr>
        <w:autoSpaceDE w:val="0"/>
        <w:autoSpaceDN w:val="0"/>
        <w:adjustRightInd w:val="0"/>
        <w:spacing w:line="480" w:lineRule="auto"/>
        <w:ind w:left="720"/>
      </w:pPr>
      <w:r w:rsidRPr="008677B0">
        <w:t>Additionally:</w:t>
      </w:r>
    </w:p>
    <w:p w:rsidR="00FD1F08" w:rsidRPr="00727329" w:rsidRDefault="00FD1F08" w:rsidP="00FD1F08">
      <w:pPr>
        <w:autoSpaceDE w:val="0"/>
        <w:autoSpaceDN w:val="0"/>
        <w:adjustRightInd w:val="0"/>
        <w:ind w:left="720"/>
        <w:rPr>
          <w:b/>
        </w:rPr>
      </w:pPr>
      <w:r w:rsidRPr="00727329">
        <w:rPr>
          <w:b/>
        </w:rPr>
        <w:t xml:space="preserve">H3: A higher level of environmental uncertainty </w:t>
      </w:r>
      <w:r>
        <w:rPr>
          <w:b/>
        </w:rPr>
        <w:t xml:space="preserve">(EU) </w:t>
      </w:r>
      <w:r w:rsidRPr="00727329">
        <w:rPr>
          <w:b/>
        </w:rPr>
        <w:t>results in a higher level</w:t>
      </w:r>
      <w:r>
        <w:rPr>
          <w:b/>
        </w:rPr>
        <w:t xml:space="preserve"> of supply chain vulnerability (SCV)</w:t>
      </w:r>
      <w:r w:rsidRPr="00727329">
        <w:rPr>
          <w:b/>
        </w:rPr>
        <w:t xml:space="preserve">. </w:t>
      </w:r>
    </w:p>
    <w:p w:rsidR="00FD1F08" w:rsidRPr="00D027E3" w:rsidRDefault="00FD1F08" w:rsidP="00FD1F08">
      <w:pPr>
        <w:autoSpaceDE w:val="0"/>
        <w:autoSpaceDN w:val="0"/>
        <w:adjustRightInd w:val="0"/>
        <w:spacing w:line="480" w:lineRule="auto"/>
        <w:ind w:left="720" w:firstLine="720"/>
      </w:pPr>
      <w:r w:rsidRPr="00D027E3">
        <w:t xml:space="preserve">The path from </w:t>
      </w:r>
      <w:r>
        <w:t>EU to SCV</w:t>
      </w:r>
      <w:r w:rsidRPr="00D027E3">
        <w:t xml:space="preserve"> was significant (p&lt;0.001), in </w:t>
      </w:r>
      <w:r>
        <w:t xml:space="preserve">the </w:t>
      </w:r>
      <w:r w:rsidRPr="00D027E3">
        <w:t>direction hypothesized, and stron</w:t>
      </w:r>
      <w:r>
        <w:t>g (0.31</w:t>
      </w:r>
      <w:r w:rsidRPr="00D027E3">
        <w:t xml:space="preserve">). </w:t>
      </w:r>
      <w:r>
        <w:t>This</w:t>
      </w:r>
      <w:r w:rsidRPr="00D027E3">
        <w:t xml:space="preserve"> hypothesis</w:t>
      </w:r>
      <w:r>
        <w:t xml:space="preserve"> was supported by the data</w:t>
      </w:r>
      <w:r w:rsidRPr="00D027E3">
        <w:t>.</w:t>
      </w:r>
    </w:p>
    <w:p w:rsidR="00FD1F08" w:rsidRPr="00727329" w:rsidRDefault="00FD1F08" w:rsidP="007743FB">
      <w:pPr>
        <w:numPr>
          <w:ilvl w:val="0"/>
          <w:numId w:val="45"/>
        </w:numPr>
        <w:autoSpaceDE w:val="0"/>
        <w:autoSpaceDN w:val="0"/>
        <w:adjustRightInd w:val="0"/>
        <w:spacing w:after="0" w:line="480" w:lineRule="auto"/>
        <w:rPr>
          <w:b/>
        </w:rPr>
      </w:pPr>
      <w:r w:rsidRPr="00727329">
        <w:rPr>
          <w:b/>
        </w:rPr>
        <w:lastRenderedPageBreak/>
        <w:t>Moderating Hypotheses:</w:t>
      </w:r>
    </w:p>
    <w:p w:rsidR="00FD1F08" w:rsidRPr="00727329" w:rsidRDefault="00FD1F08" w:rsidP="00FD1F08">
      <w:pPr>
        <w:autoSpaceDE w:val="0"/>
        <w:autoSpaceDN w:val="0"/>
        <w:adjustRightInd w:val="0"/>
        <w:ind w:left="720"/>
        <w:rPr>
          <w:b/>
        </w:rPr>
      </w:pPr>
      <w:r w:rsidRPr="00727329">
        <w:rPr>
          <w:b/>
        </w:rPr>
        <w:t xml:space="preserve">H4a: Risk management orientation positively moderates the relationship between </w:t>
      </w:r>
      <w:r>
        <w:rPr>
          <w:b/>
        </w:rPr>
        <w:t>supply management</w:t>
      </w:r>
      <w:r w:rsidRPr="00727329">
        <w:rPr>
          <w:b/>
        </w:rPr>
        <w:t xml:space="preserve"> capabilities and firm’s supply chain resilience.</w:t>
      </w:r>
    </w:p>
    <w:p w:rsidR="00FD1F08" w:rsidRDefault="00FD1F08" w:rsidP="00FD1F08">
      <w:pPr>
        <w:autoSpaceDE w:val="0"/>
        <w:autoSpaceDN w:val="0"/>
        <w:adjustRightInd w:val="0"/>
        <w:ind w:left="720"/>
        <w:rPr>
          <w:b/>
        </w:rPr>
      </w:pPr>
      <w:r w:rsidRPr="00727329">
        <w:rPr>
          <w:b/>
        </w:rPr>
        <w:t>H4b: Risk management orientation positively moderates the relationship between information-focused capabilities and firm’s supply chain resilience.</w:t>
      </w:r>
    </w:p>
    <w:p w:rsidR="00FD1F08" w:rsidRPr="00727329" w:rsidRDefault="00FD1F08" w:rsidP="00FD1F08">
      <w:pPr>
        <w:autoSpaceDE w:val="0"/>
        <w:autoSpaceDN w:val="0"/>
        <w:adjustRightInd w:val="0"/>
        <w:ind w:left="720"/>
        <w:rPr>
          <w:b/>
        </w:rPr>
      </w:pPr>
      <w:r w:rsidRPr="00727329">
        <w:rPr>
          <w:b/>
        </w:rPr>
        <w:t xml:space="preserve">H5a: Supply chain orientation positively moderates the relationship between </w:t>
      </w:r>
      <w:r>
        <w:rPr>
          <w:b/>
        </w:rPr>
        <w:t>supply management</w:t>
      </w:r>
      <w:r w:rsidRPr="00727329">
        <w:rPr>
          <w:b/>
        </w:rPr>
        <w:t xml:space="preserve"> capabilities and firm’s supply chain resilience.</w:t>
      </w:r>
    </w:p>
    <w:p w:rsidR="00FD1F08" w:rsidRPr="00727329" w:rsidRDefault="00FD1F08" w:rsidP="00FD1F08">
      <w:pPr>
        <w:autoSpaceDE w:val="0"/>
        <w:autoSpaceDN w:val="0"/>
        <w:adjustRightInd w:val="0"/>
        <w:ind w:left="720"/>
        <w:rPr>
          <w:b/>
        </w:rPr>
      </w:pPr>
      <w:r w:rsidRPr="00727329">
        <w:rPr>
          <w:b/>
        </w:rPr>
        <w:t>H5b: Supply chain orientation positively moderates the relationship between information-focused capabilities and firm’s supply chain resilience.</w:t>
      </w:r>
    </w:p>
    <w:p w:rsidR="00FD1F08" w:rsidRPr="00727329" w:rsidRDefault="00FD1F08" w:rsidP="00FD1F08">
      <w:pPr>
        <w:autoSpaceDE w:val="0"/>
        <w:autoSpaceDN w:val="0"/>
        <w:adjustRightInd w:val="0"/>
        <w:spacing w:line="480" w:lineRule="auto"/>
        <w:ind w:left="720" w:firstLine="720"/>
      </w:pPr>
      <w:r w:rsidRPr="00727329">
        <w:t>None of t</w:t>
      </w:r>
      <w:r w:rsidR="00007EA8">
        <w:t>he moderation hypotheses H4a-b and</w:t>
      </w:r>
      <w:r w:rsidRPr="00727329">
        <w:t xml:space="preserve"> H5a-b were supported. The details of the </w:t>
      </w:r>
      <w:r>
        <w:t>moderation analysis are provided</w:t>
      </w:r>
      <w:r w:rsidRPr="00727329">
        <w:t xml:space="preserve"> in the following section.</w:t>
      </w:r>
    </w:p>
    <w:p w:rsidR="00FD1F08" w:rsidRPr="00727329" w:rsidRDefault="00FD1F08" w:rsidP="00FD1F08">
      <w:pPr>
        <w:autoSpaceDE w:val="0"/>
        <w:autoSpaceDN w:val="0"/>
        <w:adjustRightInd w:val="0"/>
        <w:spacing w:line="480" w:lineRule="auto"/>
        <w:ind w:left="720"/>
      </w:pPr>
      <w:r w:rsidRPr="00727329">
        <w:t>Additionally:</w:t>
      </w:r>
    </w:p>
    <w:p w:rsidR="00FD1F08" w:rsidRDefault="00FD1F08" w:rsidP="00FD1F08">
      <w:pPr>
        <w:autoSpaceDE w:val="0"/>
        <w:autoSpaceDN w:val="0"/>
        <w:adjustRightInd w:val="0"/>
        <w:ind w:left="720"/>
        <w:rPr>
          <w:b/>
        </w:rPr>
      </w:pPr>
      <w:r w:rsidRPr="00727329">
        <w:rPr>
          <w:b/>
        </w:rPr>
        <w:t>H6: A higher level of environmental uncertainty</w:t>
      </w:r>
      <w:r>
        <w:rPr>
          <w:b/>
        </w:rPr>
        <w:t xml:space="preserve"> (EU)</w:t>
      </w:r>
      <w:r w:rsidRPr="00727329">
        <w:rPr>
          <w:b/>
        </w:rPr>
        <w:t xml:space="preserve"> has a positive impact on risk management orientation</w:t>
      </w:r>
      <w:r>
        <w:rPr>
          <w:b/>
        </w:rPr>
        <w:t xml:space="preserve"> (RMO)</w:t>
      </w:r>
      <w:r w:rsidRPr="00727329">
        <w:rPr>
          <w:b/>
        </w:rPr>
        <w:t>.</w:t>
      </w:r>
    </w:p>
    <w:p w:rsidR="00FD1F08" w:rsidRPr="008677B0" w:rsidRDefault="00FD1F08" w:rsidP="00FD1F08">
      <w:pPr>
        <w:autoSpaceDE w:val="0"/>
        <w:autoSpaceDN w:val="0"/>
        <w:adjustRightInd w:val="0"/>
        <w:spacing w:line="480" w:lineRule="auto"/>
        <w:ind w:left="720" w:firstLine="720"/>
      </w:pPr>
      <w:r>
        <w:t>The path from EU</w:t>
      </w:r>
      <w:r w:rsidRPr="008677B0">
        <w:t xml:space="preserve"> </w:t>
      </w:r>
      <w:r>
        <w:t>to RMO</w:t>
      </w:r>
      <w:r w:rsidRPr="008677B0">
        <w:t xml:space="preserve"> was in the hypothesized direction, but it was not significant (p </w:t>
      </w:r>
      <w:r>
        <w:t>= 0.04</w:t>
      </w:r>
      <w:r w:rsidRPr="008677B0">
        <w:t>)</w:t>
      </w:r>
      <w:r>
        <w:t>. Therefore, this hypothesis was not supported by the data.</w:t>
      </w:r>
    </w:p>
    <w:p w:rsidR="00FD1F08" w:rsidRPr="00727329" w:rsidRDefault="00FD1F08" w:rsidP="007743FB">
      <w:pPr>
        <w:numPr>
          <w:ilvl w:val="0"/>
          <w:numId w:val="45"/>
        </w:numPr>
        <w:autoSpaceDE w:val="0"/>
        <w:autoSpaceDN w:val="0"/>
        <w:adjustRightInd w:val="0"/>
        <w:spacing w:after="0" w:line="480" w:lineRule="auto"/>
        <w:rPr>
          <w:b/>
        </w:rPr>
      </w:pPr>
      <w:r w:rsidRPr="00727329">
        <w:rPr>
          <w:b/>
        </w:rPr>
        <w:t>Hypotheses related to outcomes of supply chain resilience:</w:t>
      </w:r>
    </w:p>
    <w:p w:rsidR="00FD1F08" w:rsidRDefault="00FD1F08" w:rsidP="00FD1F08">
      <w:pPr>
        <w:autoSpaceDE w:val="0"/>
        <w:autoSpaceDN w:val="0"/>
        <w:adjustRightInd w:val="0"/>
        <w:ind w:left="720"/>
        <w:rPr>
          <w:b/>
        </w:rPr>
      </w:pPr>
      <w:r w:rsidRPr="00727329">
        <w:rPr>
          <w:b/>
        </w:rPr>
        <w:t>H7a: A higher level of the firm’s supply chain resilience</w:t>
      </w:r>
      <w:r>
        <w:rPr>
          <w:b/>
        </w:rPr>
        <w:t xml:space="preserve"> (SCR)</w:t>
      </w:r>
      <w:r w:rsidRPr="00727329">
        <w:rPr>
          <w:b/>
        </w:rPr>
        <w:t xml:space="preserve"> results in a lower level of supply chain process variability</w:t>
      </w:r>
      <w:r>
        <w:rPr>
          <w:b/>
        </w:rPr>
        <w:t xml:space="preserve"> (SCPV)</w:t>
      </w:r>
      <w:r w:rsidRPr="00727329">
        <w:rPr>
          <w:b/>
        </w:rPr>
        <w:t>.</w:t>
      </w:r>
    </w:p>
    <w:p w:rsidR="00FD1F08" w:rsidRPr="00D027E3" w:rsidRDefault="00FD1F08" w:rsidP="00FD1F08">
      <w:pPr>
        <w:autoSpaceDE w:val="0"/>
        <w:autoSpaceDN w:val="0"/>
        <w:adjustRightInd w:val="0"/>
        <w:spacing w:line="480" w:lineRule="auto"/>
        <w:ind w:left="720" w:firstLine="720"/>
      </w:pPr>
      <w:r w:rsidRPr="00D027E3">
        <w:t xml:space="preserve">The path from </w:t>
      </w:r>
      <w:r>
        <w:t>SCR to SCPV</w:t>
      </w:r>
      <w:r w:rsidRPr="00D027E3">
        <w:t xml:space="preserve"> was significant (p&lt;0.001), in </w:t>
      </w:r>
      <w:r>
        <w:t xml:space="preserve">the </w:t>
      </w:r>
      <w:r w:rsidRPr="00D027E3">
        <w:t>direction hypothesized, and strong (</w:t>
      </w:r>
      <w:r>
        <w:t>-0.49</w:t>
      </w:r>
      <w:r w:rsidRPr="00D027E3">
        <w:t>). The data st</w:t>
      </w:r>
      <w:r>
        <w:t>rongly supported the hypothesis that supply chain resilience leads to a reduction of supply chain process variability.</w:t>
      </w:r>
    </w:p>
    <w:p w:rsidR="00FD1F08" w:rsidRDefault="00FD1F08" w:rsidP="00FD1F08">
      <w:pPr>
        <w:autoSpaceDE w:val="0"/>
        <w:autoSpaceDN w:val="0"/>
        <w:adjustRightInd w:val="0"/>
        <w:ind w:left="720"/>
        <w:rPr>
          <w:b/>
        </w:rPr>
      </w:pPr>
      <w:r w:rsidRPr="00727329">
        <w:rPr>
          <w:b/>
        </w:rPr>
        <w:t>H7b: A higher level of the firm’s supply chain resilience results in a higher level of supply chain capital.</w:t>
      </w:r>
    </w:p>
    <w:p w:rsidR="00FD1F08" w:rsidRPr="00727329" w:rsidRDefault="00FD1F08" w:rsidP="00FD1F08">
      <w:pPr>
        <w:autoSpaceDE w:val="0"/>
        <w:autoSpaceDN w:val="0"/>
        <w:adjustRightInd w:val="0"/>
        <w:ind w:left="720"/>
        <w:rPr>
          <w:b/>
        </w:rPr>
      </w:pPr>
    </w:p>
    <w:p w:rsidR="00FD1F08" w:rsidRPr="00D027E3" w:rsidRDefault="00FD1F08" w:rsidP="00FD1F08">
      <w:pPr>
        <w:autoSpaceDE w:val="0"/>
        <w:autoSpaceDN w:val="0"/>
        <w:adjustRightInd w:val="0"/>
        <w:spacing w:line="480" w:lineRule="auto"/>
        <w:ind w:left="720" w:firstLine="720"/>
      </w:pPr>
      <w:r w:rsidRPr="00D027E3">
        <w:lastRenderedPageBreak/>
        <w:t xml:space="preserve">The path from </w:t>
      </w:r>
      <w:r>
        <w:t>SCR to SCC</w:t>
      </w:r>
      <w:r w:rsidRPr="00D027E3">
        <w:t xml:space="preserve"> was</w:t>
      </w:r>
      <w:r>
        <w:t xml:space="preserve"> also</w:t>
      </w:r>
      <w:r w:rsidRPr="00D027E3">
        <w:t xml:space="preserve"> significant (p&lt;0.001), in</w:t>
      </w:r>
      <w:r>
        <w:t xml:space="preserve"> the</w:t>
      </w:r>
      <w:r w:rsidRPr="00D027E3">
        <w:t xml:space="preserve"> direction hypothesized, and strong (</w:t>
      </w:r>
      <w:r>
        <w:t>0.69</w:t>
      </w:r>
      <w:r w:rsidRPr="00D027E3">
        <w:t>). The data st</w:t>
      </w:r>
      <w:r>
        <w:t>rongly supported the hypothesis that supply chain resilience leads to an increase in supply chain capital.</w:t>
      </w:r>
    </w:p>
    <w:p w:rsidR="00FD1F08" w:rsidRPr="00727329" w:rsidRDefault="00FD1F08" w:rsidP="00FD1F08">
      <w:pPr>
        <w:autoSpaceDE w:val="0"/>
        <w:autoSpaceDN w:val="0"/>
        <w:adjustRightInd w:val="0"/>
        <w:ind w:left="720"/>
        <w:rPr>
          <w:b/>
        </w:rPr>
      </w:pPr>
      <w:r>
        <w:rPr>
          <w:b/>
        </w:rPr>
        <w:t>H7c</w:t>
      </w:r>
      <w:r w:rsidRPr="00727329">
        <w:rPr>
          <w:b/>
        </w:rPr>
        <w:t>: A higher level of the firm’s supply chain resilience</w:t>
      </w:r>
      <w:r>
        <w:rPr>
          <w:b/>
        </w:rPr>
        <w:t xml:space="preserve"> (SCR)</w:t>
      </w:r>
      <w:r w:rsidRPr="00727329">
        <w:rPr>
          <w:b/>
        </w:rPr>
        <w:t xml:space="preserve"> results in a highe</w:t>
      </w:r>
      <w:r>
        <w:rPr>
          <w:b/>
        </w:rPr>
        <w:t>r level of supply chain knowledge development (SCKD)</w:t>
      </w:r>
      <w:r w:rsidRPr="00727329">
        <w:rPr>
          <w:b/>
        </w:rPr>
        <w:t>.</w:t>
      </w:r>
    </w:p>
    <w:p w:rsidR="00FD1F08" w:rsidRPr="00D027E3" w:rsidRDefault="00FD1F08" w:rsidP="00FD1F08">
      <w:pPr>
        <w:autoSpaceDE w:val="0"/>
        <w:autoSpaceDN w:val="0"/>
        <w:adjustRightInd w:val="0"/>
        <w:spacing w:line="480" w:lineRule="auto"/>
        <w:ind w:left="720" w:firstLine="720"/>
      </w:pPr>
      <w:r w:rsidRPr="00D027E3">
        <w:t xml:space="preserve">The path from </w:t>
      </w:r>
      <w:r>
        <w:t>SCR to SCKD</w:t>
      </w:r>
      <w:r w:rsidRPr="00D027E3">
        <w:t xml:space="preserve"> was</w:t>
      </w:r>
      <w:r>
        <w:t xml:space="preserve"> also</w:t>
      </w:r>
      <w:r w:rsidRPr="00D027E3">
        <w:t xml:space="preserve"> significant (p&lt;0.001), in </w:t>
      </w:r>
      <w:r>
        <w:t xml:space="preserve">the </w:t>
      </w:r>
      <w:r w:rsidRPr="00D027E3">
        <w:t>direction hypothesized, and strong (</w:t>
      </w:r>
      <w:r>
        <w:t>0.29</w:t>
      </w:r>
      <w:r w:rsidRPr="00D027E3">
        <w:t>). The data st</w:t>
      </w:r>
      <w:r>
        <w:t>rongly supported the hypothesis that supply chain resilience leads to increase in supply chain knowledge development.</w:t>
      </w:r>
    </w:p>
    <w:p w:rsidR="00FD1F08" w:rsidRPr="00727329" w:rsidRDefault="00FD1F08" w:rsidP="00FD1F08">
      <w:pPr>
        <w:autoSpaceDE w:val="0"/>
        <w:autoSpaceDN w:val="0"/>
        <w:adjustRightInd w:val="0"/>
        <w:ind w:left="720"/>
      </w:pPr>
      <w:r>
        <w:t>Other outcomes</w:t>
      </w:r>
      <w:r w:rsidRPr="00727329">
        <w:t>:</w:t>
      </w:r>
    </w:p>
    <w:p w:rsidR="00FD1F08" w:rsidRDefault="00FD1F08" w:rsidP="00FD1F08">
      <w:pPr>
        <w:autoSpaceDE w:val="0"/>
        <w:autoSpaceDN w:val="0"/>
        <w:adjustRightInd w:val="0"/>
        <w:ind w:left="720"/>
        <w:rPr>
          <w:b/>
        </w:rPr>
      </w:pPr>
      <w:r w:rsidRPr="00727329">
        <w:rPr>
          <w:b/>
        </w:rPr>
        <w:t>H8: Supply chain vulnerability</w:t>
      </w:r>
      <w:r>
        <w:rPr>
          <w:b/>
        </w:rPr>
        <w:t xml:space="preserve"> (SCV)</w:t>
      </w:r>
      <w:r w:rsidRPr="00727329">
        <w:rPr>
          <w:b/>
        </w:rPr>
        <w:t xml:space="preserve"> is positively associated with supply chain process variability</w:t>
      </w:r>
      <w:r>
        <w:rPr>
          <w:b/>
        </w:rPr>
        <w:t xml:space="preserve"> (SCPV)</w:t>
      </w:r>
      <w:r w:rsidRPr="00727329">
        <w:rPr>
          <w:b/>
        </w:rPr>
        <w:t>.</w:t>
      </w:r>
    </w:p>
    <w:p w:rsidR="00FD1F08" w:rsidRDefault="00FD1F08" w:rsidP="00FD1F08">
      <w:pPr>
        <w:autoSpaceDE w:val="0"/>
        <w:autoSpaceDN w:val="0"/>
        <w:adjustRightInd w:val="0"/>
        <w:spacing w:line="480" w:lineRule="auto"/>
      </w:pPr>
      <w:r w:rsidRPr="00D027E3">
        <w:t xml:space="preserve">The path from </w:t>
      </w:r>
      <w:r>
        <w:t>SCV to SCPV was significant (p&lt;0.</w:t>
      </w:r>
      <w:r w:rsidRPr="00D027E3">
        <w:t xml:space="preserve">01), in </w:t>
      </w:r>
      <w:r>
        <w:t xml:space="preserve">the </w:t>
      </w:r>
      <w:r w:rsidRPr="00D027E3">
        <w:t>direct</w:t>
      </w:r>
      <w:r>
        <w:t>ion hypothesized, but not very</w:t>
      </w:r>
      <w:r w:rsidRPr="00D027E3">
        <w:t xml:space="preserve"> stron</w:t>
      </w:r>
      <w:r>
        <w:t>g (0.15</w:t>
      </w:r>
      <w:r w:rsidRPr="00D027E3">
        <w:t xml:space="preserve">). </w:t>
      </w:r>
      <w:r>
        <w:t>This</w:t>
      </w:r>
      <w:r w:rsidRPr="00D027E3">
        <w:t xml:space="preserve"> hypothesis</w:t>
      </w:r>
      <w:r>
        <w:t xml:space="preserve"> was supported by the data</w:t>
      </w:r>
      <w:r w:rsidRPr="00D027E3">
        <w:t>.</w:t>
      </w:r>
    </w:p>
    <w:p w:rsidR="00FD1F08" w:rsidRDefault="00FD1F08" w:rsidP="00FD1F08">
      <w:pPr>
        <w:autoSpaceDE w:val="0"/>
        <w:autoSpaceDN w:val="0"/>
        <w:adjustRightInd w:val="0"/>
        <w:ind w:left="720"/>
        <w:rPr>
          <w:b/>
        </w:rPr>
      </w:pPr>
      <w:r w:rsidRPr="00727329">
        <w:rPr>
          <w:b/>
        </w:rPr>
        <w:t xml:space="preserve">H9: Supply chain process variability </w:t>
      </w:r>
      <w:r>
        <w:rPr>
          <w:b/>
        </w:rPr>
        <w:t xml:space="preserve">(SCPV) </w:t>
      </w:r>
      <w:r w:rsidRPr="00727329">
        <w:rPr>
          <w:b/>
        </w:rPr>
        <w:t>is negatively associated with supply chain capital</w:t>
      </w:r>
      <w:r>
        <w:rPr>
          <w:b/>
        </w:rPr>
        <w:t xml:space="preserve"> (SCC)</w:t>
      </w:r>
      <w:r w:rsidRPr="00727329">
        <w:rPr>
          <w:b/>
        </w:rPr>
        <w:t>.</w:t>
      </w:r>
    </w:p>
    <w:p w:rsidR="00FD1F08" w:rsidRPr="00D027E3" w:rsidRDefault="00FD1F08" w:rsidP="00FD1F08">
      <w:pPr>
        <w:autoSpaceDE w:val="0"/>
        <w:autoSpaceDN w:val="0"/>
        <w:adjustRightInd w:val="0"/>
        <w:spacing w:line="480" w:lineRule="auto"/>
        <w:ind w:firstLine="720"/>
      </w:pPr>
      <w:r w:rsidRPr="00D027E3">
        <w:t xml:space="preserve">The path from </w:t>
      </w:r>
      <w:r>
        <w:t>SCPV to SCC</w:t>
      </w:r>
      <w:r w:rsidRPr="00D027E3">
        <w:t xml:space="preserve"> was significant (p&lt;0.01), in </w:t>
      </w:r>
      <w:r>
        <w:t xml:space="preserve">the </w:t>
      </w:r>
      <w:r w:rsidRPr="00D027E3">
        <w:t>direct</w:t>
      </w:r>
      <w:r>
        <w:t>ion hypothesized, but not very strong (-0.17</w:t>
      </w:r>
      <w:r w:rsidRPr="00D027E3">
        <w:t xml:space="preserve">). </w:t>
      </w:r>
      <w:r>
        <w:t>This</w:t>
      </w:r>
      <w:r w:rsidRPr="00D027E3">
        <w:t xml:space="preserve"> hypothesis</w:t>
      </w:r>
      <w:r>
        <w:t xml:space="preserve"> was supported by the data</w:t>
      </w:r>
      <w:r w:rsidRPr="00D027E3">
        <w:t>.</w:t>
      </w:r>
    </w:p>
    <w:p w:rsidR="00FD1F08" w:rsidRDefault="00FD1F08" w:rsidP="00FD1F08">
      <w:pPr>
        <w:autoSpaceDE w:val="0"/>
        <w:autoSpaceDN w:val="0"/>
        <w:adjustRightInd w:val="0"/>
        <w:ind w:left="720"/>
        <w:rPr>
          <w:b/>
        </w:rPr>
      </w:pPr>
      <w:r>
        <w:rPr>
          <w:b/>
        </w:rPr>
        <w:t>H10:  Increased supply chain capital (SCC) increases supply chain knowledge development (SCKD).</w:t>
      </w:r>
    </w:p>
    <w:p w:rsidR="00FD1F08" w:rsidRPr="00D027E3" w:rsidRDefault="00FD1F08" w:rsidP="00FD1F08">
      <w:pPr>
        <w:autoSpaceDE w:val="0"/>
        <w:autoSpaceDN w:val="0"/>
        <w:adjustRightInd w:val="0"/>
        <w:spacing w:line="480" w:lineRule="auto"/>
        <w:ind w:firstLine="720"/>
      </w:pPr>
      <w:r w:rsidRPr="00D027E3">
        <w:t xml:space="preserve">The path from </w:t>
      </w:r>
      <w:r>
        <w:t>SCC to SCKD</w:t>
      </w:r>
      <w:r w:rsidRPr="00D027E3">
        <w:t xml:space="preserve"> was significant (p&lt;0.001), in </w:t>
      </w:r>
      <w:r>
        <w:t xml:space="preserve">the </w:t>
      </w:r>
      <w:r w:rsidRPr="00D027E3">
        <w:t xml:space="preserve">direction hypothesized, and </w:t>
      </w:r>
      <w:r>
        <w:t xml:space="preserve">very </w:t>
      </w:r>
      <w:r w:rsidRPr="00D027E3">
        <w:t>stron</w:t>
      </w:r>
      <w:r>
        <w:t>g (0.60</w:t>
      </w:r>
      <w:r w:rsidRPr="00D027E3">
        <w:t xml:space="preserve">). </w:t>
      </w:r>
      <w:r>
        <w:t>This</w:t>
      </w:r>
      <w:r w:rsidRPr="00D027E3">
        <w:t xml:space="preserve"> hypothesis</w:t>
      </w:r>
      <w:r>
        <w:t xml:space="preserve"> was strongly supported by the data</w:t>
      </w:r>
      <w:r w:rsidRPr="00D027E3">
        <w:t>.</w:t>
      </w:r>
    </w:p>
    <w:p w:rsidR="00723D46" w:rsidRDefault="00723D46" w:rsidP="00007EA8">
      <w:pPr>
        <w:spacing w:after="0" w:line="480" w:lineRule="auto"/>
      </w:pPr>
    </w:p>
    <w:p w:rsidR="00C2028B" w:rsidRDefault="00C2028B" w:rsidP="00007EA8">
      <w:pPr>
        <w:spacing w:after="0" w:line="480" w:lineRule="auto"/>
      </w:pPr>
    </w:p>
    <w:p w:rsidR="00FD1F08" w:rsidRDefault="00FD1F08" w:rsidP="00007EA8">
      <w:pPr>
        <w:spacing w:after="0" w:line="480" w:lineRule="auto"/>
      </w:pPr>
      <w:r>
        <w:lastRenderedPageBreak/>
        <w:t>MODERATING EFFECTS OF FIRM ORIENTATIONS</w:t>
      </w:r>
    </w:p>
    <w:p w:rsidR="00FD1F08" w:rsidRDefault="00FD1F08" w:rsidP="00007EA8">
      <w:pPr>
        <w:spacing w:after="0" w:line="480" w:lineRule="auto"/>
      </w:pPr>
      <w:r>
        <w:tab/>
        <w:t xml:space="preserve">Testing for moderating effects of a variable in SEM is similar to testing for group differences. The moderating effects of supply chain orientation and risk management orientation were tested one at a time. The responses were divided into two groups and treated as categorical data. While identical models are used for the groups tested, parameters take on different values for the different groups based on the theoretical justification (Arbuckle and </w:t>
      </w:r>
      <w:proofErr w:type="spellStart"/>
      <w:r>
        <w:t>Wothke</w:t>
      </w:r>
      <w:proofErr w:type="spellEnd"/>
      <w:r>
        <w:t xml:space="preserve"> 1999). More specifically, splitting the data into groups permitted analysis of the moderating effect of risk management orientation (RMO) under two conditions relevant to this study:  High RMO and Low RMO. Similarly, supply chain orientation (SCO) was categorized as High SCO and Low SCO.  Next, the parameters of interest (paths from Supply Management Capabilities (SMC) and Information Management Capabilities (IMC) to Supply Chain Resilience (SCR) were labeled in order to constrain the estimates of their values and the fit statistical parameters of the constrained model were  compared to  the fit statistics of the unconstrained model. Two models were compared for each of the moderators. The paths were set free to vary in the first (moderated) model to allow for differences in RMO (or SCO) to change the path weights. In the second (no-moderation) model, on the other hand, each path was constrained once (Path 1 High = Path1 Low etc.) such that the path weights were set to be the same regardless of the level of RMO (or SCO). Next, the two models were compared to check for statistical and practical differences in fit. The same procedure was conducted for the other firm orientation. Upon comparison, the calculated Chi-square change between models was minimal and statistically not significant (p&gt;0.05). Thus, the results indicated that Risk Management Orientation was not a significant moderator for both hypothesized antecedents of Supply Chain Resilience (Supply Management and Information </w:t>
      </w:r>
      <w:r>
        <w:lastRenderedPageBreak/>
        <w:t>Management capabilities). Similarly, Supply Chain Orientation was not found to be a significant moderator for both hypothesized antecedents of Supply Chain Resilience.</w:t>
      </w:r>
    </w:p>
    <w:p w:rsidR="00FD1F08" w:rsidRDefault="00FD1F08" w:rsidP="00007EA8">
      <w:pPr>
        <w:spacing w:after="0" w:line="480" w:lineRule="auto"/>
      </w:pPr>
      <w:r>
        <w:tab/>
        <w:t>In the final analysis, it was not totally surprising to find hypotheses H4a-b and H5a-b (moderating effects of two firm orientations) not significant since the literature on this issue is scarce and an alternative view of the role of these orientations could be proposed. Therefore, a post-hoc analysis was conducted to further explore the role of risk management and supply chain orientations in the hypothesized framework of relationships among the constructs of interest.</w:t>
      </w:r>
    </w:p>
    <w:p w:rsidR="00723D46" w:rsidRDefault="00723D46" w:rsidP="00007EA8">
      <w:pPr>
        <w:spacing w:after="0" w:line="480" w:lineRule="auto"/>
      </w:pPr>
    </w:p>
    <w:p w:rsidR="00FD1F08" w:rsidRDefault="00D24844" w:rsidP="00007EA8">
      <w:pPr>
        <w:spacing w:after="0" w:line="480" w:lineRule="auto"/>
      </w:pPr>
      <w:r>
        <w:t>ALTERNATE MODEL</w:t>
      </w:r>
      <w:r w:rsidR="00FD1F08">
        <w:t xml:space="preserve"> ANALYSIS</w:t>
      </w:r>
    </w:p>
    <w:p w:rsidR="00FD1F08" w:rsidRDefault="00FD1F08" w:rsidP="00007EA8">
      <w:pPr>
        <w:spacing w:after="0" w:line="480" w:lineRule="auto"/>
      </w:pPr>
      <w:r>
        <w:tab/>
      </w:r>
      <w:r w:rsidR="00CE5927">
        <w:t xml:space="preserve">It has been suggested in the literature that researchers </w:t>
      </w:r>
      <w:r w:rsidR="00674B47">
        <w:t>should</w:t>
      </w:r>
      <w:r w:rsidR="00CE5927">
        <w:t xml:space="preserve"> propose and analyze rival models by conducting post hoc analysis (</w:t>
      </w:r>
      <w:proofErr w:type="spellStart"/>
      <w:r w:rsidR="00CE5927">
        <w:t>Bollen</w:t>
      </w:r>
      <w:proofErr w:type="spellEnd"/>
      <w:r w:rsidR="00CE5927">
        <w:t xml:space="preserve"> and Long 1992</w:t>
      </w:r>
      <w:r w:rsidR="00674B47">
        <w:t>, Min et al. 2007</w:t>
      </w:r>
      <w:r w:rsidR="00CE5927">
        <w:t xml:space="preserve">). </w:t>
      </w:r>
      <w:r>
        <w:t>Based on the results of the hypotheses testing and additional theoretical insights fro</w:t>
      </w:r>
      <w:r w:rsidR="00CE5927">
        <w:t>m the literature, an alternate</w:t>
      </w:r>
      <w:r>
        <w:t xml:space="preserve"> model was proposed to examine the role of firm orientations in the updated theoretical framework. This </w:t>
      </w:r>
      <w:r w:rsidR="00D24844">
        <w:t>alternate</w:t>
      </w:r>
      <w:r>
        <w:t xml:space="preserve"> model is presented in Figure 4.3.</w:t>
      </w:r>
      <w:r w:rsidR="00CE5927">
        <w:t xml:space="preserve"> While no moderation eff</w:t>
      </w:r>
      <w:r w:rsidR="00723D46">
        <w:t>ects were found in the original</w:t>
      </w:r>
      <w:r w:rsidR="00CE5927">
        <w:t xml:space="preserve"> model, an alternate model </w:t>
      </w:r>
      <w:r w:rsidR="00723D46">
        <w:t>might be able to explain</w:t>
      </w:r>
      <w:r w:rsidR="00CE5927">
        <w:t xml:space="preserve"> </w:t>
      </w:r>
      <w:r w:rsidR="00723D46">
        <w:t xml:space="preserve">how risk management orientation and supply chain orientation fit in the theorized conceptual framework. </w:t>
      </w:r>
      <w:r>
        <w:t xml:space="preserve">Alternatively to the initial framework, risk management orientation and supply chain orientation are viewed in this model as antecedents of logistics capabilities. In addition to an empirical support from the preliminary analysis, such a view of the role of firm orientations is supported by the </w:t>
      </w:r>
      <w:r w:rsidR="00D24844">
        <w:t>Strategy-Structure-P</w:t>
      </w:r>
      <w:r>
        <w:t xml:space="preserve">erformance (SSP) paradigm and related stream of literature (Chow et al. 1995, Stock et al. 1998, Stank and </w:t>
      </w:r>
      <w:proofErr w:type="spellStart"/>
      <w:r>
        <w:t>Traichal</w:t>
      </w:r>
      <w:proofErr w:type="spellEnd"/>
      <w:r>
        <w:t xml:space="preserve"> 1998, </w:t>
      </w:r>
      <w:proofErr w:type="spellStart"/>
      <w:r>
        <w:t>Defee</w:t>
      </w:r>
      <w:proofErr w:type="spellEnd"/>
      <w:r>
        <w:t xml:space="preserve"> and Stank 2005).</w:t>
      </w:r>
      <w:r w:rsidR="00CE5927">
        <w:t xml:space="preserve"> </w:t>
      </w:r>
    </w:p>
    <w:p w:rsidR="00FD1F08" w:rsidRDefault="00FD1F08" w:rsidP="00007EA8">
      <w:pPr>
        <w:spacing w:after="0" w:line="480" w:lineRule="auto"/>
      </w:pPr>
    </w:p>
    <w:p w:rsidR="00FD1F08" w:rsidRPr="0069426D" w:rsidRDefault="00FD1F08" w:rsidP="00FD1F08">
      <w:pPr>
        <w:spacing w:line="480" w:lineRule="auto"/>
      </w:pPr>
      <w:r>
        <w:rPr>
          <w:noProof/>
        </w:rPr>
        <w:lastRenderedPageBreak/>
        <w:drawing>
          <wp:inline distT="0" distB="0" distL="0" distR="0">
            <wp:extent cx="5848350" cy="3927854"/>
            <wp:effectExtent l="19050" t="0" r="0" b="0"/>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5848829" cy="3928176"/>
                    </a:xfrm>
                    <a:prstGeom prst="rect">
                      <a:avLst/>
                    </a:prstGeom>
                    <a:noFill/>
                    <a:ln w="9525">
                      <a:noFill/>
                      <a:miter lim="800000"/>
                      <a:headEnd/>
                      <a:tailEnd/>
                    </a:ln>
                  </pic:spPr>
                </pic:pic>
              </a:graphicData>
            </a:graphic>
          </wp:inline>
        </w:drawing>
      </w:r>
    </w:p>
    <w:p w:rsidR="00FD1F08" w:rsidRDefault="00FD1F08" w:rsidP="00FD1F08"/>
    <w:p w:rsidR="00007EA8" w:rsidRDefault="00FD1F08" w:rsidP="00007EA8">
      <w:pPr>
        <w:spacing w:after="0" w:line="240" w:lineRule="auto"/>
        <w:jc w:val="center"/>
        <w:rPr>
          <w:b/>
        </w:rPr>
      </w:pPr>
      <w:r>
        <w:rPr>
          <w:b/>
        </w:rPr>
        <w:t>Figure 4.3</w:t>
      </w:r>
    </w:p>
    <w:p w:rsidR="00FD1F08" w:rsidRDefault="00D24844" w:rsidP="00007EA8">
      <w:pPr>
        <w:spacing w:after="0" w:line="240" w:lineRule="auto"/>
        <w:jc w:val="center"/>
        <w:rPr>
          <w:b/>
        </w:rPr>
      </w:pPr>
      <w:r>
        <w:rPr>
          <w:b/>
        </w:rPr>
        <w:t>Alternate</w:t>
      </w:r>
      <w:r w:rsidR="00FD1F08">
        <w:rPr>
          <w:b/>
        </w:rPr>
        <w:t xml:space="preserve"> Model tested</w:t>
      </w:r>
    </w:p>
    <w:p w:rsidR="00007EA8" w:rsidRDefault="00007EA8" w:rsidP="00007EA8">
      <w:pPr>
        <w:spacing w:after="0" w:line="240" w:lineRule="auto"/>
        <w:jc w:val="center"/>
        <w:rPr>
          <w:b/>
        </w:rPr>
      </w:pPr>
    </w:p>
    <w:p w:rsidR="00BC6A39" w:rsidRDefault="00BC6A39" w:rsidP="00FD1F08">
      <w:pPr>
        <w:spacing w:line="480" w:lineRule="auto"/>
      </w:pPr>
    </w:p>
    <w:p w:rsidR="00BC6A39" w:rsidRDefault="00BC6A39" w:rsidP="00FD1F08">
      <w:pPr>
        <w:spacing w:line="480" w:lineRule="auto"/>
      </w:pPr>
    </w:p>
    <w:p w:rsidR="00FD1F08" w:rsidRDefault="00FD1F08" w:rsidP="00FD1F08">
      <w:pPr>
        <w:spacing w:line="480" w:lineRule="auto"/>
      </w:pPr>
      <w:r>
        <w:t xml:space="preserve">The selected results of the </w:t>
      </w:r>
      <w:r w:rsidR="00D24844">
        <w:t>alternate</w:t>
      </w:r>
      <w:r>
        <w:t xml:space="preserve"> model analysis are summa</w:t>
      </w:r>
      <w:r w:rsidR="00BC6A39">
        <w:t>rized and presented in Table 4.10</w:t>
      </w:r>
      <w:r>
        <w:t>.</w:t>
      </w:r>
    </w:p>
    <w:p w:rsidR="00FD1F08" w:rsidRDefault="00FD1F08"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C2028B" w:rsidRDefault="00C2028B" w:rsidP="00723D46">
      <w:pPr>
        <w:spacing w:after="0" w:line="240" w:lineRule="auto"/>
      </w:pPr>
    </w:p>
    <w:p w:rsidR="00FD1F08" w:rsidRDefault="00007EA8" w:rsidP="00723D46">
      <w:pPr>
        <w:pStyle w:val="Caption"/>
        <w:jc w:val="center"/>
        <w:rPr>
          <w:sz w:val="24"/>
          <w:szCs w:val="24"/>
        </w:rPr>
      </w:pPr>
      <w:r>
        <w:rPr>
          <w:sz w:val="24"/>
          <w:szCs w:val="24"/>
        </w:rPr>
        <w:t>Table</w:t>
      </w:r>
      <w:r w:rsidR="00FD1F08">
        <w:rPr>
          <w:sz w:val="24"/>
          <w:szCs w:val="24"/>
        </w:rPr>
        <w:t xml:space="preserve"> </w:t>
      </w:r>
      <w:r w:rsidR="00BC6A39">
        <w:rPr>
          <w:sz w:val="24"/>
          <w:szCs w:val="24"/>
        </w:rPr>
        <w:t>4.10</w:t>
      </w:r>
      <w:r w:rsidR="00723D46">
        <w:rPr>
          <w:sz w:val="24"/>
          <w:szCs w:val="24"/>
        </w:rPr>
        <w:t xml:space="preserve"> Structural</w:t>
      </w:r>
      <w:r w:rsidR="00FD1F08">
        <w:rPr>
          <w:sz w:val="24"/>
          <w:szCs w:val="24"/>
        </w:rPr>
        <w:t xml:space="preserve"> Model Statistics </w:t>
      </w:r>
      <w:r w:rsidR="00C2028B">
        <w:rPr>
          <w:sz w:val="24"/>
          <w:szCs w:val="24"/>
        </w:rPr>
        <w:t>(Alternate Model)</w:t>
      </w:r>
    </w:p>
    <w:p w:rsidR="00723D46" w:rsidRPr="00723D46" w:rsidRDefault="00723D46" w:rsidP="00723D46"/>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1078"/>
        <w:gridCol w:w="2339"/>
        <w:gridCol w:w="1260"/>
        <w:gridCol w:w="1530"/>
      </w:tblGrid>
      <w:tr w:rsidR="00FD1F08" w:rsidTr="00007EA8">
        <w:tc>
          <w:tcPr>
            <w:tcW w:w="9375" w:type="dxa"/>
            <w:gridSpan w:val="5"/>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b/>
              </w:rPr>
            </w:pPr>
            <w:r w:rsidRPr="00B3233F">
              <w:rPr>
                <w:b/>
              </w:rPr>
              <w:t>Model Fit:</w:t>
            </w:r>
          </w:p>
          <w:p w:rsidR="00723D46" w:rsidRDefault="00723D46" w:rsidP="00723D46">
            <w:pPr>
              <w:spacing w:after="0" w:line="240" w:lineRule="auto"/>
              <w:jc w:val="center"/>
            </w:pPr>
          </w:p>
        </w:tc>
      </w:tr>
      <w:tr w:rsidR="00FD1F08" w:rsidTr="00C2028B">
        <w:trPr>
          <w:trHeight w:val="413"/>
        </w:trPr>
        <w:tc>
          <w:tcPr>
            <w:tcW w:w="9375" w:type="dxa"/>
            <w:gridSpan w:val="5"/>
            <w:tcBorders>
              <w:top w:val="single" w:sz="4" w:space="0" w:color="000000"/>
              <w:left w:val="single" w:sz="4" w:space="0" w:color="000000"/>
              <w:bottom w:val="single" w:sz="4" w:space="0" w:color="000000"/>
              <w:right w:val="single" w:sz="4" w:space="0" w:color="000000"/>
            </w:tcBorders>
            <w:vAlign w:val="center"/>
          </w:tcPr>
          <w:p w:rsidR="00FD1F08" w:rsidRDefault="00FD1F08" w:rsidP="00723D46">
            <w:pPr>
              <w:spacing w:after="0" w:line="240" w:lineRule="auto"/>
              <w:rPr>
                <w:noProof/>
              </w:rPr>
            </w:pPr>
            <w:r>
              <w:rPr>
                <w:noProof/>
                <w:sz w:val="22"/>
              </w:rPr>
              <w:t>χ2 = 2047.98                                       df = 1287</w:t>
            </w:r>
          </w:p>
          <w:p w:rsidR="00FD1F08" w:rsidRDefault="00FD1F08" w:rsidP="00723D46">
            <w:pPr>
              <w:spacing w:after="0" w:line="240" w:lineRule="auto"/>
              <w:rPr>
                <w:noProof/>
                <w:sz w:val="22"/>
              </w:rPr>
            </w:pPr>
            <w:r>
              <w:rPr>
                <w:noProof/>
                <w:sz w:val="22"/>
              </w:rPr>
              <w:t>χ2/df = 1.59                                       CFI = 0.934                                 RMSEA = 0.039</w:t>
            </w:r>
          </w:p>
          <w:p w:rsidR="00FD1F08" w:rsidRDefault="00FD1F08" w:rsidP="00723D46">
            <w:pPr>
              <w:spacing w:after="0" w:line="240" w:lineRule="auto"/>
              <w:rPr>
                <w:sz w:val="22"/>
              </w:rPr>
            </w:pPr>
          </w:p>
        </w:tc>
      </w:tr>
      <w:tr w:rsidR="00FD1F08" w:rsidTr="00C2028B">
        <w:trPr>
          <w:trHeight w:val="530"/>
        </w:trPr>
        <w:tc>
          <w:tcPr>
            <w:tcW w:w="658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FD1F08" w:rsidRDefault="00FD1F08" w:rsidP="00723D46">
            <w:pPr>
              <w:spacing w:after="0" w:line="240" w:lineRule="auto"/>
              <w:jc w:val="center"/>
            </w:pPr>
            <w:r>
              <w:t>Hypothesized Relationship</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FD1F08" w:rsidRDefault="00FD1F08" w:rsidP="00723D46">
            <w:pPr>
              <w:spacing w:after="0" w:line="240" w:lineRule="auto"/>
              <w:jc w:val="center"/>
            </w:pPr>
            <w:r>
              <w:t>Estimates</w:t>
            </w:r>
          </w:p>
        </w:tc>
        <w:tc>
          <w:tcPr>
            <w:tcW w:w="1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FD1F08" w:rsidRDefault="00C2028B" w:rsidP="00723D46">
            <w:pPr>
              <w:spacing w:after="0" w:line="240" w:lineRule="auto"/>
              <w:jc w:val="center"/>
            </w:pPr>
            <w:r>
              <w:t>Result</w:t>
            </w:r>
          </w:p>
        </w:tc>
      </w:tr>
      <w:tr w:rsidR="00FD1F08" w:rsidTr="00007EA8">
        <w:trPr>
          <w:trHeight w:val="1160"/>
        </w:trPr>
        <w:tc>
          <w:tcPr>
            <w:tcW w:w="3168" w:type="dxa"/>
            <w:tcBorders>
              <w:top w:val="single" w:sz="4" w:space="0" w:color="000000"/>
              <w:left w:val="single" w:sz="4" w:space="0" w:color="000000"/>
              <w:bottom w:val="single" w:sz="4" w:space="0" w:color="000000"/>
              <w:right w:val="single" w:sz="4" w:space="0" w:color="000000"/>
            </w:tcBorders>
            <w:vAlign w:val="center"/>
          </w:tcPr>
          <w:p w:rsidR="00FD1F08" w:rsidRDefault="00FD1F08" w:rsidP="00723D46">
            <w:pPr>
              <w:spacing w:after="0" w:line="240" w:lineRule="auto"/>
              <w:jc w:val="center"/>
              <w:rPr>
                <w:sz w:val="22"/>
              </w:rPr>
            </w:pPr>
            <w:r>
              <w:rPr>
                <w:sz w:val="22"/>
              </w:rPr>
              <w:t xml:space="preserve">Supply Management </w:t>
            </w:r>
          </w:p>
          <w:p w:rsidR="00FD1F08" w:rsidRDefault="00FD1F08" w:rsidP="00723D46">
            <w:pPr>
              <w:spacing w:after="0" w:line="240" w:lineRule="auto"/>
              <w:jc w:val="center"/>
            </w:pPr>
            <w:r>
              <w:rPr>
                <w:sz w:val="22"/>
              </w:rPr>
              <w:t>Capabilities (SMC)</w:t>
            </w: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FD1F08" w:rsidP="00723D46">
            <w:pPr>
              <w:spacing w:after="0" w:line="240" w:lineRule="auto"/>
              <w:jc w:val="center"/>
              <w:rPr>
                <w:sz w:val="22"/>
              </w:rPr>
            </w:pPr>
          </w:p>
          <w:p w:rsidR="00FD1F08" w:rsidRDefault="00A7040E" w:rsidP="00723D46">
            <w:pPr>
              <w:spacing w:after="0" w:line="240" w:lineRule="auto"/>
              <w:jc w:val="center"/>
            </w:pPr>
            <w:r>
              <w:pict>
                <v:shape id="_x0000_s1173" type="#_x0000_t32" style="position:absolute;left:0;text-align:left;margin-left:.75pt;margin-top:20.9pt;width:25.5pt;height:0;z-index:251672576"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Supply Chain Resilience (SCR)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0.34</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C2028B" w:rsidP="00723D46">
            <w:pPr>
              <w:spacing w:after="0" w:line="240" w:lineRule="auto"/>
              <w:jc w:val="center"/>
            </w:pPr>
            <w:r>
              <w:rPr>
                <w:sz w:val="22"/>
              </w:rPr>
              <w:t>Supported</w:t>
            </w:r>
          </w:p>
        </w:tc>
      </w:tr>
      <w:tr w:rsidR="00FD1F08" w:rsidTr="00007EA8">
        <w:trPr>
          <w:trHeight w:val="800"/>
        </w:trPr>
        <w:tc>
          <w:tcPr>
            <w:tcW w:w="3168" w:type="dxa"/>
            <w:tcBorders>
              <w:top w:val="single" w:sz="4" w:space="0" w:color="000000"/>
              <w:left w:val="single" w:sz="4" w:space="0" w:color="000000"/>
              <w:bottom w:val="single" w:sz="4" w:space="0" w:color="000000"/>
              <w:right w:val="single" w:sz="4" w:space="0" w:color="000000"/>
            </w:tcBorders>
            <w:vAlign w:val="center"/>
          </w:tcPr>
          <w:p w:rsidR="00FD1F08" w:rsidRDefault="00FD1F08" w:rsidP="00723D46">
            <w:pPr>
              <w:spacing w:after="0" w:line="240" w:lineRule="auto"/>
              <w:jc w:val="center"/>
              <w:rPr>
                <w:sz w:val="22"/>
              </w:rPr>
            </w:pPr>
          </w:p>
          <w:p w:rsidR="00FD1F08" w:rsidRDefault="00FD1F08" w:rsidP="00723D46">
            <w:pPr>
              <w:spacing w:after="0" w:line="240" w:lineRule="auto"/>
              <w:jc w:val="center"/>
              <w:rPr>
                <w:sz w:val="22"/>
              </w:rPr>
            </w:pPr>
            <w:r>
              <w:rPr>
                <w:sz w:val="22"/>
              </w:rPr>
              <w:t>Information Management Capabilities (IMC)</w:t>
            </w:r>
          </w:p>
          <w:p w:rsidR="00FD1F08" w:rsidRDefault="00FD1F08" w:rsidP="00723D46">
            <w:pPr>
              <w:spacing w:after="0" w:line="240" w:lineRule="auto"/>
              <w:jc w:val="center"/>
            </w:pP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A7040E" w:rsidP="00723D46">
            <w:pPr>
              <w:spacing w:after="0" w:line="240" w:lineRule="auto"/>
              <w:jc w:val="center"/>
            </w:pPr>
            <w:r>
              <w:pict>
                <v:shape id="_x0000_s1186" type="#_x0000_t32" style="position:absolute;left:0;text-align:left;margin-left:.85pt;margin-top:19.9pt;width:25.5pt;height:0;z-index:251685888"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Supply Chain Resilience (SCR)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0.31</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C2028B" w:rsidP="00723D46">
            <w:pPr>
              <w:spacing w:after="0" w:line="240" w:lineRule="auto"/>
              <w:jc w:val="center"/>
            </w:pPr>
            <w:r>
              <w:rPr>
                <w:sz w:val="22"/>
              </w:rPr>
              <w:t>Supported</w:t>
            </w:r>
          </w:p>
        </w:tc>
      </w:tr>
      <w:tr w:rsidR="00FD1F08" w:rsidTr="00007EA8">
        <w:tc>
          <w:tcPr>
            <w:tcW w:w="316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FD1F08" w:rsidP="00723D46">
            <w:pPr>
              <w:spacing w:after="0" w:line="240" w:lineRule="auto"/>
              <w:jc w:val="center"/>
              <w:rPr>
                <w:sz w:val="22"/>
              </w:rPr>
            </w:pPr>
            <w:r>
              <w:rPr>
                <w:sz w:val="22"/>
              </w:rPr>
              <w:t>Information Management Capabilities (IMC)</w:t>
            </w:r>
          </w:p>
          <w:p w:rsidR="00FD1F08" w:rsidRDefault="00FD1F08" w:rsidP="00723D46">
            <w:pPr>
              <w:spacing w:after="0" w:line="240" w:lineRule="auto"/>
              <w:jc w:val="center"/>
            </w:pP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A7040E" w:rsidP="00723D46">
            <w:pPr>
              <w:spacing w:after="0" w:line="240" w:lineRule="auto"/>
              <w:jc w:val="center"/>
            </w:pPr>
            <w:r>
              <w:pict>
                <v:shape id="_x0000_s1174" type="#_x0000_t32" style="position:absolute;left:0;text-align:left;margin-left:.85pt;margin-top:19.9pt;width:25.5pt;height:0;z-index:251673600"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Supply Management Capabilities (SMC)</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0.27</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C2028B" w:rsidP="00723D46">
            <w:pPr>
              <w:spacing w:after="0" w:line="240" w:lineRule="auto"/>
              <w:jc w:val="center"/>
            </w:pPr>
            <w:r>
              <w:rPr>
                <w:sz w:val="22"/>
              </w:rPr>
              <w:t>Supported</w:t>
            </w:r>
          </w:p>
        </w:tc>
      </w:tr>
      <w:tr w:rsidR="00FD1F08" w:rsidTr="00007EA8">
        <w:tc>
          <w:tcPr>
            <w:tcW w:w="316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FD1F08" w:rsidP="00723D46">
            <w:pPr>
              <w:spacing w:after="0" w:line="240" w:lineRule="auto"/>
              <w:jc w:val="center"/>
              <w:rPr>
                <w:sz w:val="22"/>
              </w:rPr>
            </w:pPr>
            <w:r>
              <w:rPr>
                <w:sz w:val="22"/>
              </w:rPr>
              <w:t>Supply Chain Vulnerability (SCV)</w:t>
            </w:r>
          </w:p>
          <w:p w:rsidR="00FD1F08" w:rsidRDefault="00FD1F08" w:rsidP="00723D46">
            <w:pPr>
              <w:spacing w:after="0" w:line="240" w:lineRule="auto"/>
              <w:jc w:val="center"/>
            </w:pP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p>
          <w:p w:rsidR="00FD1F08" w:rsidRDefault="00A7040E" w:rsidP="00723D46">
            <w:pPr>
              <w:spacing w:after="0" w:line="240" w:lineRule="auto"/>
              <w:jc w:val="center"/>
            </w:pPr>
            <w:r>
              <w:pict>
                <v:shape id="_x0000_s1176" type="#_x0000_t32" style="position:absolute;left:0;text-align:left;margin-left:.9pt;margin-top:20.35pt;width:25.5pt;height:0;z-index:251675648"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Supply Chain Resilience (SCR)</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-0.03</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Not s</w:t>
            </w:r>
            <w:r w:rsidR="00C2028B">
              <w:rPr>
                <w:sz w:val="22"/>
              </w:rPr>
              <w:t>upported</w:t>
            </w:r>
          </w:p>
        </w:tc>
      </w:tr>
      <w:tr w:rsidR="00FD1F08" w:rsidTr="00007EA8">
        <w:tc>
          <w:tcPr>
            <w:tcW w:w="316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FD1F08" w:rsidP="00723D46">
            <w:pPr>
              <w:spacing w:after="0" w:line="240" w:lineRule="auto"/>
              <w:jc w:val="center"/>
              <w:rPr>
                <w:sz w:val="22"/>
              </w:rPr>
            </w:pPr>
            <w:r>
              <w:rPr>
                <w:sz w:val="22"/>
              </w:rPr>
              <w:t>Environmental Uncertainty (EU)</w:t>
            </w:r>
          </w:p>
          <w:p w:rsidR="00FD1F08" w:rsidRDefault="00FD1F08" w:rsidP="00723D46">
            <w:pPr>
              <w:spacing w:after="0" w:line="240" w:lineRule="auto"/>
              <w:jc w:val="center"/>
            </w:pP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A7040E" w:rsidP="00723D46">
            <w:pPr>
              <w:spacing w:after="0" w:line="240" w:lineRule="auto"/>
              <w:jc w:val="center"/>
            </w:pPr>
            <w:r>
              <w:pict>
                <v:shape id="_x0000_s1175" type="#_x0000_t32" style="position:absolute;left:0;text-align:left;margin-left:3.55pt;margin-top:18.4pt;width:25.5pt;height:0;z-index:251674624"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Supply Chain Vulnerability (SCV)</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0.29</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C2028B" w:rsidP="00723D46">
            <w:pPr>
              <w:spacing w:after="0" w:line="240" w:lineRule="auto"/>
              <w:jc w:val="center"/>
            </w:pPr>
            <w:r>
              <w:rPr>
                <w:sz w:val="22"/>
              </w:rPr>
              <w:t>Supported</w:t>
            </w:r>
          </w:p>
        </w:tc>
      </w:tr>
      <w:tr w:rsidR="00FD1F08" w:rsidTr="00007EA8">
        <w:tc>
          <w:tcPr>
            <w:tcW w:w="316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Pr="005F06B5" w:rsidRDefault="00FD1F08" w:rsidP="00723D46">
            <w:pPr>
              <w:spacing w:after="0" w:line="240" w:lineRule="auto"/>
              <w:jc w:val="center"/>
              <w:rPr>
                <w:sz w:val="22"/>
              </w:rPr>
            </w:pPr>
            <w:r>
              <w:rPr>
                <w:sz w:val="22"/>
              </w:rPr>
              <w:t>Environmental Uncertainty (EU)</w:t>
            </w: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A7040E" w:rsidP="00723D46">
            <w:pPr>
              <w:spacing w:after="0" w:line="240" w:lineRule="auto"/>
              <w:jc w:val="center"/>
            </w:pPr>
            <w:r>
              <w:pict>
                <v:shape id="_x0000_s1177" type="#_x0000_t32" style="position:absolute;left:0;text-align:left;margin-left:5pt;margin-top:19.05pt;width:25.5pt;height:0;z-index:251676672"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Risk Management Orientation (RMO)</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0.03</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23D46" w:rsidRDefault="00723D46" w:rsidP="00723D46">
            <w:pPr>
              <w:spacing w:after="0" w:line="240" w:lineRule="auto"/>
              <w:jc w:val="center"/>
              <w:rPr>
                <w:sz w:val="22"/>
              </w:rPr>
            </w:pPr>
          </w:p>
          <w:p w:rsidR="00FD1F08" w:rsidRDefault="00C2028B" w:rsidP="00723D46">
            <w:pPr>
              <w:spacing w:after="0" w:line="240" w:lineRule="auto"/>
              <w:jc w:val="center"/>
              <w:rPr>
                <w:sz w:val="22"/>
              </w:rPr>
            </w:pPr>
            <w:r>
              <w:rPr>
                <w:sz w:val="22"/>
              </w:rPr>
              <w:t>Not supported</w:t>
            </w:r>
          </w:p>
          <w:p w:rsidR="00FD1F08" w:rsidRDefault="00FD1F08" w:rsidP="00723D46">
            <w:pPr>
              <w:spacing w:after="0" w:line="240" w:lineRule="auto"/>
              <w:jc w:val="center"/>
            </w:pPr>
          </w:p>
        </w:tc>
      </w:tr>
      <w:tr w:rsidR="00FD1F08" w:rsidTr="00007EA8">
        <w:trPr>
          <w:trHeight w:val="818"/>
        </w:trPr>
        <w:tc>
          <w:tcPr>
            <w:tcW w:w="3168" w:type="dxa"/>
            <w:tcBorders>
              <w:top w:val="single" w:sz="4" w:space="0" w:color="000000"/>
              <w:left w:val="single" w:sz="4" w:space="0" w:color="000000"/>
              <w:bottom w:val="single" w:sz="4" w:space="0" w:color="000000"/>
              <w:right w:val="single" w:sz="4" w:space="0" w:color="000000"/>
            </w:tcBorders>
            <w:vAlign w:val="center"/>
          </w:tcPr>
          <w:p w:rsidR="00FD1F08" w:rsidRDefault="00FD1F08" w:rsidP="00723D46">
            <w:pPr>
              <w:spacing w:after="0" w:line="240" w:lineRule="auto"/>
              <w:jc w:val="center"/>
            </w:pPr>
          </w:p>
          <w:p w:rsidR="00FD1F08" w:rsidRDefault="00FD1F08" w:rsidP="00723D46">
            <w:pPr>
              <w:spacing w:after="0" w:line="240" w:lineRule="auto"/>
              <w:jc w:val="center"/>
            </w:pPr>
            <w:r>
              <w:t>Supply Chain Resilience</w:t>
            </w:r>
          </w:p>
          <w:p w:rsidR="00FD1F08" w:rsidRDefault="00FD1F08" w:rsidP="00723D46">
            <w:pPr>
              <w:spacing w:after="0" w:line="240" w:lineRule="auto"/>
              <w:jc w:val="center"/>
              <w:rPr>
                <w:sz w:val="22"/>
              </w:rPr>
            </w:pPr>
            <w:r>
              <w:rPr>
                <w:sz w:val="22"/>
              </w:rPr>
              <w:t>(SCR)</w:t>
            </w:r>
          </w:p>
          <w:p w:rsidR="00FD1F08" w:rsidRDefault="00FD1F08" w:rsidP="00723D46">
            <w:pPr>
              <w:spacing w:after="0" w:line="240" w:lineRule="auto"/>
              <w:jc w:val="center"/>
            </w:pP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p>
          <w:p w:rsidR="00FD1F08" w:rsidRDefault="00A7040E" w:rsidP="00723D46">
            <w:pPr>
              <w:spacing w:after="0" w:line="240" w:lineRule="auto"/>
              <w:jc w:val="center"/>
            </w:pPr>
            <w:r>
              <w:pict>
                <v:shape id="_x0000_s1178" type="#_x0000_t32" style="position:absolute;left:0;text-align:left;margin-left:6.55pt;margin-top:19.75pt;width:25.5pt;height:0;z-index:251677696"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rPr>
                <w:sz w:val="22"/>
              </w:rPr>
            </w:pPr>
            <w:r>
              <w:rPr>
                <w:sz w:val="22"/>
              </w:rPr>
              <w:t>Supply Chain Process Variability (SCPV)</w:t>
            </w:r>
          </w:p>
          <w:p w:rsidR="00FD1F08" w:rsidRDefault="00FD1F08" w:rsidP="00723D46">
            <w:pPr>
              <w:spacing w:after="0" w:line="240" w:lineRule="auto"/>
              <w:jc w:val="center"/>
            </w:pP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-0.51</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C2028B" w:rsidP="00723D46">
            <w:pPr>
              <w:spacing w:after="0" w:line="240" w:lineRule="auto"/>
              <w:jc w:val="center"/>
            </w:pPr>
            <w:r>
              <w:rPr>
                <w:sz w:val="22"/>
              </w:rPr>
              <w:t>Supported</w:t>
            </w:r>
          </w:p>
        </w:tc>
      </w:tr>
      <w:tr w:rsidR="00FD1F08" w:rsidTr="00007EA8">
        <w:tc>
          <w:tcPr>
            <w:tcW w:w="3168" w:type="dxa"/>
            <w:tcBorders>
              <w:top w:val="single" w:sz="4" w:space="0" w:color="000000"/>
              <w:left w:val="single" w:sz="4" w:space="0" w:color="000000"/>
              <w:bottom w:val="single" w:sz="4" w:space="0" w:color="auto"/>
              <w:right w:val="single" w:sz="4" w:space="0" w:color="000000"/>
            </w:tcBorders>
            <w:vAlign w:val="center"/>
          </w:tcPr>
          <w:p w:rsidR="00FD1F08" w:rsidRDefault="00FD1F08" w:rsidP="00723D46">
            <w:pPr>
              <w:spacing w:after="0" w:line="240" w:lineRule="auto"/>
              <w:jc w:val="center"/>
              <w:rPr>
                <w:noProof/>
              </w:rPr>
            </w:pPr>
          </w:p>
          <w:p w:rsidR="00FD1F08" w:rsidRDefault="00FD1F08" w:rsidP="00723D46">
            <w:pPr>
              <w:spacing w:after="0" w:line="240" w:lineRule="auto"/>
              <w:jc w:val="center"/>
              <w:rPr>
                <w:noProof/>
              </w:rPr>
            </w:pPr>
            <w:r>
              <w:rPr>
                <w:noProof/>
                <w:sz w:val="22"/>
              </w:rPr>
              <w:t>SCR</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FD1F08" w:rsidRDefault="00A7040E" w:rsidP="00723D46">
            <w:pPr>
              <w:spacing w:after="0" w:line="240" w:lineRule="auto"/>
              <w:jc w:val="center"/>
            </w:pPr>
            <w:r>
              <w:pict>
                <v:shape id="_x0000_s1183" type="#_x0000_t32" style="position:absolute;left:0;text-align:left;margin-left:7.25pt;margin-top:18.05pt;width:25.5pt;height:0;z-index:251682816;mso-position-horizontal-relative:text;mso-position-vertical-relative:text"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723D46">
            <w:pPr>
              <w:spacing w:after="0" w:line="240" w:lineRule="auto"/>
              <w:jc w:val="center"/>
            </w:pPr>
            <w:r>
              <w:rPr>
                <w:sz w:val="22"/>
              </w:rPr>
              <w:t>Supply Chain Capital (SCC)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FD1F08" w:rsidRDefault="00FD1F08" w:rsidP="00723D46">
            <w:pPr>
              <w:spacing w:after="0" w:line="240" w:lineRule="auto"/>
              <w:jc w:val="center"/>
            </w:pPr>
            <w:r>
              <w:rPr>
                <w:sz w:val="22"/>
              </w:rPr>
              <w:t>0.30</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FD1F08" w:rsidRDefault="00C2028B" w:rsidP="00723D46">
            <w:pPr>
              <w:spacing w:after="0" w:line="240" w:lineRule="auto"/>
              <w:jc w:val="center"/>
            </w:pPr>
            <w:r>
              <w:rPr>
                <w:sz w:val="22"/>
              </w:rPr>
              <w:t>Supported</w:t>
            </w:r>
          </w:p>
        </w:tc>
      </w:tr>
      <w:tr w:rsidR="00FD1F08" w:rsidTr="00827C52">
        <w:tc>
          <w:tcPr>
            <w:tcW w:w="3168" w:type="dxa"/>
            <w:tcBorders>
              <w:top w:val="single" w:sz="4" w:space="0" w:color="000000"/>
              <w:left w:val="single" w:sz="4" w:space="0" w:color="000000"/>
              <w:bottom w:val="single" w:sz="4" w:space="0" w:color="000000"/>
              <w:right w:val="single" w:sz="4" w:space="0" w:color="000000"/>
            </w:tcBorders>
            <w:vAlign w:val="center"/>
          </w:tcPr>
          <w:p w:rsidR="00FD1F08" w:rsidRDefault="00FD1F08" w:rsidP="00723D46">
            <w:pPr>
              <w:spacing w:after="0" w:line="240" w:lineRule="auto"/>
              <w:jc w:val="center"/>
              <w:rPr>
                <w:noProof/>
              </w:rPr>
            </w:pPr>
          </w:p>
          <w:p w:rsidR="00FD1F08" w:rsidRDefault="00FD1F08" w:rsidP="00723D46">
            <w:pPr>
              <w:spacing w:after="0" w:line="240" w:lineRule="auto"/>
              <w:jc w:val="center"/>
              <w:rPr>
                <w:noProof/>
              </w:rPr>
            </w:pPr>
            <w:r>
              <w:rPr>
                <w:noProof/>
                <w:sz w:val="22"/>
              </w:rPr>
              <w:t>SCR</w:t>
            </w: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FD1F08" w:rsidRDefault="00A7040E" w:rsidP="00723D46">
            <w:pPr>
              <w:spacing w:after="0" w:line="240" w:lineRule="auto"/>
              <w:jc w:val="center"/>
              <w:rPr>
                <w:noProof/>
              </w:rPr>
            </w:pPr>
            <w:r>
              <w:pict>
                <v:shape id="_x0000_s1179" type="#_x0000_t32" style="position:absolute;left:0;text-align:left;margin-left:7.35pt;margin-top:21pt;width:25.5pt;height:0;z-index:251678720;mso-position-horizontal-relative:text;mso-position-vertical-relative:text" o:connectortype="straight">
                  <v:stroke endarrow="block"/>
                </v:shape>
              </w:pict>
            </w:r>
            <w:r w:rsidR="00FD1F08">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Supply Chain Knowledge Development (SCKD)</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FD1F08" w:rsidRDefault="00FD1F08" w:rsidP="00723D46">
            <w:pPr>
              <w:spacing w:after="0" w:line="240" w:lineRule="auto"/>
              <w:jc w:val="center"/>
            </w:pPr>
            <w:r>
              <w:rPr>
                <w:sz w:val="22"/>
              </w:rPr>
              <w:t>0.25</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FD1F08" w:rsidRDefault="00C2028B" w:rsidP="00723D46">
            <w:pPr>
              <w:spacing w:after="0" w:line="240" w:lineRule="auto"/>
              <w:jc w:val="center"/>
            </w:pPr>
            <w:r>
              <w:rPr>
                <w:sz w:val="22"/>
              </w:rPr>
              <w:t>Supported</w:t>
            </w:r>
          </w:p>
        </w:tc>
      </w:tr>
      <w:tr w:rsidR="00C2028B" w:rsidTr="00827C52">
        <w:tc>
          <w:tcPr>
            <w:tcW w:w="9375" w:type="dxa"/>
            <w:gridSpan w:val="5"/>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827C52" w:rsidRDefault="00827C52" w:rsidP="00827C52">
            <w:pPr>
              <w:spacing w:after="0" w:line="240" w:lineRule="auto"/>
              <w:rPr>
                <w:b/>
                <w:sz w:val="22"/>
              </w:rPr>
            </w:pPr>
          </w:p>
          <w:p w:rsidR="00C2028B" w:rsidRDefault="00827C52" w:rsidP="00827C52">
            <w:pPr>
              <w:spacing w:after="0" w:line="240" w:lineRule="auto"/>
              <w:rPr>
                <w:sz w:val="22"/>
              </w:rPr>
            </w:pPr>
            <w:r w:rsidRPr="00B35A54">
              <w:rPr>
                <w:b/>
                <w:sz w:val="22"/>
              </w:rPr>
              <w:t>*</w:t>
            </w:r>
            <w:r>
              <w:rPr>
                <w:b/>
                <w:sz w:val="22"/>
              </w:rPr>
              <w:t>p&gt;</w:t>
            </w:r>
            <w:r w:rsidRPr="00B35A54">
              <w:rPr>
                <w:b/>
                <w:sz w:val="22"/>
              </w:rPr>
              <w:t>.05;   ** p&lt;.01;   ***p&lt;.001</w:t>
            </w:r>
          </w:p>
        </w:tc>
      </w:tr>
    </w:tbl>
    <w:p w:rsidR="00FD1F08" w:rsidRDefault="00FD1F08" w:rsidP="00723D46">
      <w:pPr>
        <w:spacing w:after="0" w:line="240" w:lineRule="auto"/>
      </w:pPr>
    </w:p>
    <w:p w:rsidR="00723D46" w:rsidRDefault="00723D46" w:rsidP="00723D46">
      <w:pPr>
        <w:pStyle w:val="Caption"/>
        <w:jc w:val="center"/>
        <w:rPr>
          <w:sz w:val="24"/>
          <w:szCs w:val="24"/>
        </w:rPr>
      </w:pPr>
      <w:r>
        <w:rPr>
          <w:sz w:val="24"/>
          <w:szCs w:val="24"/>
        </w:rPr>
        <w:lastRenderedPageBreak/>
        <w:t xml:space="preserve">Table </w:t>
      </w:r>
      <w:r w:rsidR="00BC6A39">
        <w:rPr>
          <w:sz w:val="24"/>
          <w:szCs w:val="24"/>
        </w:rPr>
        <w:t>4.10</w:t>
      </w:r>
      <w:r>
        <w:rPr>
          <w:sz w:val="24"/>
          <w:szCs w:val="24"/>
        </w:rPr>
        <w:t xml:space="preserve"> </w:t>
      </w:r>
      <w:r w:rsidR="00710D9F">
        <w:rPr>
          <w:sz w:val="24"/>
          <w:szCs w:val="24"/>
        </w:rPr>
        <w:t>Continued</w:t>
      </w:r>
      <w:r>
        <w:rPr>
          <w:sz w:val="24"/>
          <w:szCs w:val="24"/>
        </w:rPr>
        <w:t xml:space="preserve"> </w:t>
      </w:r>
    </w:p>
    <w:p w:rsidR="00723D46" w:rsidRPr="00723D46" w:rsidRDefault="00723D46" w:rsidP="00723D46"/>
    <w:tbl>
      <w:tblPr>
        <w:tblW w:w="9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1078"/>
        <w:gridCol w:w="2339"/>
        <w:gridCol w:w="1260"/>
        <w:gridCol w:w="1530"/>
      </w:tblGrid>
      <w:tr w:rsidR="00723D46" w:rsidTr="00C1325D">
        <w:tc>
          <w:tcPr>
            <w:tcW w:w="9375" w:type="dxa"/>
            <w:gridSpan w:val="5"/>
            <w:tcBorders>
              <w:top w:val="single" w:sz="4" w:space="0" w:color="000000"/>
              <w:left w:val="single" w:sz="4" w:space="0" w:color="000000"/>
              <w:bottom w:val="single" w:sz="4" w:space="0" w:color="000000"/>
              <w:right w:val="single" w:sz="4" w:space="0" w:color="000000"/>
            </w:tcBorders>
            <w:vAlign w:val="center"/>
            <w:hideMark/>
          </w:tcPr>
          <w:p w:rsidR="00723D46" w:rsidRDefault="00723D46" w:rsidP="00C1325D">
            <w:pPr>
              <w:spacing w:after="0" w:line="240" w:lineRule="auto"/>
              <w:jc w:val="center"/>
              <w:rPr>
                <w:b/>
              </w:rPr>
            </w:pPr>
            <w:r w:rsidRPr="00B3233F">
              <w:rPr>
                <w:b/>
              </w:rPr>
              <w:t>Model Fit:</w:t>
            </w:r>
          </w:p>
          <w:p w:rsidR="00723D46" w:rsidRDefault="00723D46" w:rsidP="00C1325D">
            <w:pPr>
              <w:spacing w:after="0" w:line="240" w:lineRule="auto"/>
              <w:jc w:val="center"/>
            </w:pPr>
          </w:p>
        </w:tc>
      </w:tr>
      <w:tr w:rsidR="00723D46" w:rsidTr="00827C52">
        <w:trPr>
          <w:trHeight w:val="413"/>
        </w:trPr>
        <w:tc>
          <w:tcPr>
            <w:tcW w:w="9375" w:type="dxa"/>
            <w:gridSpan w:val="5"/>
            <w:tcBorders>
              <w:top w:val="single" w:sz="4" w:space="0" w:color="000000"/>
              <w:left w:val="single" w:sz="4" w:space="0" w:color="000000"/>
              <w:bottom w:val="single" w:sz="4" w:space="0" w:color="000000"/>
              <w:right w:val="single" w:sz="4" w:space="0" w:color="000000"/>
            </w:tcBorders>
            <w:vAlign w:val="center"/>
          </w:tcPr>
          <w:p w:rsidR="00723D46" w:rsidRDefault="00723D46" w:rsidP="00C1325D">
            <w:pPr>
              <w:spacing w:after="0" w:line="240" w:lineRule="auto"/>
              <w:rPr>
                <w:noProof/>
              </w:rPr>
            </w:pPr>
            <w:r>
              <w:rPr>
                <w:noProof/>
                <w:sz w:val="22"/>
              </w:rPr>
              <w:t>χ2 = 2047.98                                       df = 1287</w:t>
            </w:r>
          </w:p>
          <w:p w:rsidR="00723D46" w:rsidRDefault="00723D46" w:rsidP="00C1325D">
            <w:pPr>
              <w:spacing w:after="0" w:line="240" w:lineRule="auto"/>
              <w:rPr>
                <w:noProof/>
                <w:sz w:val="22"/>
              </w:rPr>
            </w:pPr>
            <w:r>
              <w:rPr>
                <w:noProof/>
                <w:sz w:val="22"/>
              </w:rPr>
              <w:t>χ2/df = 1.59                                       CFI = 0.934                                 RMSEA = 0.039</w:t>
            </w:r>
          </w:p>
          <w:p w:rsidR="00723D46" w:rsidRDefault="00723D46" w:rsidP="00C1325D">
            <w:pPr>
              <w:spacing w:after="0" w:line="240" w:lineRule="auto"/>
              <w:rPr>
                <w:sz w:val="22"/>
              </w:rPr>
            </w:pPr>
          </w:p>
        </w:tc>
      </w:tr>
      <w:tr w:rsidR="00723D46" w:rsidTr="00827C52">
        <w:trPr>
          <w:trHeight w:val="530"/>
        </w:trPr>
        <w:tc>
          <w:tcPr>
            <w:tcW w:w="658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723D46" w:rsidRDefault="00723D46" w:rsidP="00C1325D">
            <w:pPr>
              <w:spacing w:after="0" w:line="240" w:lineRule="auto"/>
              <w:jc w:val="center"/>
            </w:pPr>
            <w:r>
              <w:t>Hypothesized Relationship</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723D46" w:rsidRDefault="00723D46" w:rsidP="00C1325D">
            <w:pPr>
              <w:spacing w:after="0" w:line="240" w:lineRule="auto"/>
              <w:jc w:val="center"/>
            </w:pPr>
            <w:r>
              <w:t>Estimates</w:t>
            </w:r>
          </w:p>
        </w:tc>
        <w:tc>
          <w:tcPr>
            <w:tcW w:w="1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723D46" w:rsidRDefault="00C2028B" w:rsidP="00C2028B">
            <w:pPr>
              <w:spacing w:after="0" w:line="240" w:lineRule="auto"/>
              <w:jc w:val="center"/>
            </w:pPr>
            <w:r>
              <w:t>Result</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10D9F" w:rsidRDefault="00710D9F" w:rsidP="00C1325D">
            <w:pPr>
              <w:spacing w:after="0" w:line="240" w:lineRule="auto"/>
              <w:jc w:val="center"/>
              <w:rPr>
                <w:b/>
                <w:noProof/>
                <w:sz w:val="22"/>
              </w:rPr>
            </w:pPr>
          </w:p>
          <w:p w:rsidR="00723D46" w:rsidRPr="000C34F0" w:rsidRDefault="00723D46" w:rsidP="00C1325D">
            <w:pPr>
              <w:spacing w:after="0" w:line="240" w:lineRule="auto"/>
              <w:jc w:val="center"/>
              <w:rPr>
                <w:b/>
                <w:noProof/>
                <w:sz w:val="22"/>
              </w:rPr>
            </w:pPr>
            <w:r w:rsidRPr="000C34F0">
              <w:rPr>
                <w:b/>
                <w:noProof/>
                <w:sz w:val="22"/>
              </w:rPr>
              <w:t>Supply Chain Orientation:</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2028B">
            <w:pPr>
              <w:spacing w:after="0" w:line="240" w:lineRule="auto"/>
              <w:jc w:val="center"/>
            </w:pP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SCO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r>
              <w:rPr>
                <w:noProof/>
              </w:rPr>
              <w:pict>
                <v:shape id="_x0000_s1199" type="#_x0000_t32" style="position:absolute;left:0;text-align:left;margin-left:9.35pt;margin-top:5.65pt;width:25.5pt;height:0;z-index:251699200;mso-position-horizontal-relative:text;mso-position-vertical-relative:text" o:connectortype="straight">
                  <v:stroke endarrow="block"/>
                </v:shape>
              </w:pic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SMC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0.48</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C2028B"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SCO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IMC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0.40</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C2028B"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SCO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RMO</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0.66</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C2028B"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SCO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SCR</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0.07</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2028B">
            <w:pPr>
              <w:spacing w:after="0" w:line="240" w:lineRule="auto"/>
              <w:jc w:val="center"/>
              <w:rPr>
                <w:sz w:val="22"/>
              </w:rPr>
            </w:pPr>
            <w:r>
              <w:rPr>
                <w:sz w:val="22"/>
              </w:rPr>
              <w:t xml:space="preserve">Not </w:t>
            </w:r>
            <w:r w:rsidR="00C2028B">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SCO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SCC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0.29</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C2028B"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10D9F" w:rsidRDefault="00710D9F" w:rsidP="00C1325D">
            <w:pPr>
              <w:spacing w:after="0" w:line="240" w:lineRule="auto"/>
              <w:jc w:val="center"/>
              <w:rPr>
                <w:b/>
                <w:noProof/>
                <w:sz w:val="22"/>
              </w:rPr>
            </w:pPr>
          </w:p>
          <w:p w:rsidR="00723D46" w:rsidRPr="000C34F0" w:rsidRDefault="00723D46" w:rsidP="00C1325D">
            <w:pPr>
              <w:spacing w:after="0" w:line="240" w:lineRule="auto"/>
              <w:jc w:val="center"/>
              <w:rPr>
                <w:b/>
                <w:noProof/>
                <w:sz w:val="22"/>
              </w:rPr>
            </w:pPr>
            <w:r w:rsidRPr="000C34F0">
              <w:rPr>
                <w:b/>
                <w:noProof/>
                <w:sz w:val="22"/>
              </w:rPr>
              <w:t>Risk Management Orientation:</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2028B">
            <w:pPr>
              <w:spacing w:after="0" w:line="240" w:lineRule="auto"/>
              <w:jc w:val="center"/>
              <w:rPr>
                <w:sz w:val="22"/>
              </w:rPr>
            </w:pP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RMO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r>
              <w:rPr>
                <w:noProof/>
              </w:rPr>
              <w:pict>
                <v:shape id="_x0000_s1200" type="#_x0000_t32" style="position:absolute;left:0;text-align:left;margin-left:10.4pt;margin-top:7.05pt;width:25.5pt;height:0;z-index:251700224;mso-position-horizontal-relative:text;mso-position-vertical-relative:text" o:connectortype="straight">
                  <v:stroke endarrow="block"/>
                </v:shape>
              </w:pic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SMC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0.21</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827C52"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RMO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IMC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0.34</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827C52"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RMO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SCR</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0.20</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827C52"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RMO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SCPV</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-0.32</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827C52"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r>
              <w:rPr>
                <w:noProof/>
              </w:rPr>
              <w:t>RMO</w:t>
            </w: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10D9F" w:rsidP="00C1325D">
            <w:pPr>
              <w:spacing w:after="0" w:line="240" w:lineRule="auto"/>
              <w:jc w:val="center"/>
            </w:pPr>
            <w: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SCC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r>
              <w:rPr>
                <w:sz w:val="22"/>
              </w:rPr>
              <w:t>0.27</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827C52" w:rsidP="00C2028B">
            <w:pPr>
              <w:spacing w:after="0" w:line="240" w:lineRule="auto"/>
              <w:jc w:val="center"/>
              <w:rPr>
                <w:sz w:val="22"/>
              </w:rP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rPr>
            </w:pP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sz w:val="22"/>
              </w:rPr>
            </w:pP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2028B">
            <w:pPr>
              <w:spacing w:after="0" w:line="240" w:lineRule="auto"/>
              <w:jc w:val="center"/>
              <w:rPr>
                <w:sz w:val="22"/>
              </w:rPr>
            </w:pP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723D46" w:rsidRDefault="00723D46" w:rsidP="00C1325D">
            <w:pPr>
              <w:spacing w:after="0" w:line="240" w:lineRule="auto"/>
              <w:jc w:val="center"/>
              <w:rPr>
                <w:noProof/>
                <w:sz w:val="22"/>
              </w:rPr>
            </w:pPr>
          </w:p>
          <w:p w:rsidR="00723D46" w:rsidRDefault="00723D46" w:rsidP="00C1325D">
            <w:pPr>
              <w:spacing w:after="0" w:line="240" w:lineRule="auto"/>
              <w:jc w:val="center"/>
              <w:rPr>
                <w:noProof/>
              </w:rPr>
            </w:pPr>
            <w:r>
              <w:rPr>
                <w:noProof/>
                <w:sz w:val="22"/>
              </w:rPr>
              <w:t>SCV</w:t>
            </w:r>
          </w:p>
          <w:p w:rsidR="00723D46" w:rsidRDefault="00723D46" w:rsidP="00C1325D">
            <w:pPr>
              <w:spacing w:after="0" w:line="240" w:lineRule="auto"/>
              <w:jc w:val="center"/>
              <w:rPr>
                <w:noProof/>
              </w:rPr>
            </w:pP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noProof/>
              </w:rPr>
            </w:pPr>
            <w:r>
              <w:pict>
                <v:shape id="_x0000_s1195" type="#_x0000_t32" style="position:absolute;left:0;text-align:left;margin-left:7.45pt;margin-top:15.05pt;width:25.5pt;height:0;z-index:251695104;mso-position-horizontal-relative:text;mso-position-vertical-relative:text" o:connectortype="straight">
                  <v:stroke endarrow="block"/>
                </v:shape>
              </w:pict>
            </w:r>
            <w:r>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r>
              <w:rPr>
                <w:sz w:val="22"/>
              </w:rPr>
              <w:t>SCPV</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r>
              <w:rPr>
                <w:sz w:val="22"/>
              </w:rPr>
              <w:t>0.14</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827C52" w:rsidP="00C2028B">
            <w:pPr>
              <w:spacing w:after="0" w:line="240" w:lineRule="auto"/>
              <w:jc w:val="center"/>
            </w:pPr>
            <w:r>
              <w:rPr>
                <w:sz w:val="22"/>
              </w:rPr>
              <w:t>Supported</w:t>
            </w:r>
          </w:p>
        </w:tc>
      </w:tr>
      <w:tr w:rsidR="00723D46" w:rsidTr="00C1325D">
        <w:tc>
          <w:tcPr>
            <w:tcW w:w="3168" w:type="dxa"/>
            <w:tcBorders>
              <w:top w:val="single" w:sz="4" w:space="0" w:color="000000"/>
              <w:left w:val="single" w:sz="4" w:space="0" w:color="000000"/>
              <w:bottom w:val="single" w:sz="4" w:space="0" w:color="auto"/>
              <w:right w:val="single" w:sz="4" w:space="0" w:color="000000"/>
            </w:tcBorders>
            <w:vAlign w:val="center"/>
          </w:tcPr>
          <w:p w:rsidR="00C2028B" w:rsidRDefault="00C2028B" w:rsidP="00C1325D">
            <w:pPr>
              <w:spacing w:after="0" w:line="240" w:lineRule="auto"/>
              <w:jc w:val="center"/>
              <w:rPr>
                <w:noProof/>
                <w:sz w:val="22"/>
              </w:rPr>
            </w:pPr>
          </w:p>
          <w:p w:rsidR="00723D46" w:rsidRDefault="00723D46" w:rsidP="00C1325D">
            <w:pPr>
              <w:spacing w:after="0" w:line="240" w:lineRule="auto"/>
              <w:jc w:val="center"/>
              <w:rPr>
                <w:noProof/>
              </w:rPr>
            </w:pPr>
            <w:r>
              <w:rPr>
                <w:noProof/>
                <w:sz w:val="22"/>
              </w:rPr>
              <w:t>SCPV</w:t>
            </w:r>
          </w:p>
          <w:p w:rsidR="00723D46" w:rsidRDefault="00723D46" w:rsidP="00C1325D">
            <w:pPr>
              <w:spacing w:after="0" w:line="240" w:lineRule="auto"/>
              <w:jc w:val="center"/>
              <w:rPr>
                <w:noProof/>
              </w:rPr>
            </w:pPr>
          </w:p>
        </w:tc>
        <w:tc>
          <w:tcPr>
            <w:tcW w:w="1078"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rPr>
                <w:noProof/>
              </w:rPr>
            </w:pPr>
            <w:r>
              <w:pict>
                <v:shape id="_x0000_s1197" type="#_x0000_t32" style="position:absolute;left:0;text-align:left;margin-left:11.1pt;margin-top:13.4pt;width:25.5pt;height:0;z-index:251697152;mso-position-horizontal-relative:text;mso-position-vertical-relative:text" o:connectortype="straight">
                  <v:stroke endarrow="block"/>
                </v:shape>
              </w:pict>
            </w:r>
            <w:r>
              <w:rPr>
                <w:sz w:val="22"/>
              </w:rPr>
              <w:t>(-)</w:t>
            </w:r>
          </w:p>
        </w:tc>
        <w:tc>
          <w:tcPr>
            <w:tcW w:w="2339"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r>
              <w:rPr>
                <w:sz w:val="22"/>
              </w:rPr>
              <w:t>SCC</w:t>
            </w:r>
          </w:p>
        </w:tc>
        <w:tc>
          <w:tcPr>
            <w:tcW w:w="126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1325D">
            <w:pPr>
              <w:spacing w:after="0" w:line="240" w:lineRule="auto"/>
              <w:jc w:val="center"/>
            </w:pPr>
            <w:r>
              <w:rPr>
                <w:sz w:val="22"/>
              </w:rPr>
              <w:t>-0.08</w:t>
            </w:r>
            <w:r w:rsidR="00827C52">
              <w:rPr>
                <w:sz w:val="22"/>
              </w:rPr>
              <w:t>*</w:t>
            </w:r>
          </w:p>
        </w:tc>
        <w:tc>
          <w:tcPr>
            <w:tcW w:w="1530" w:type="dxa"/>
            <w:tcBorders>
              <w:top w:val="single" w:sz="4" w:space="0" w:color="000000"/>
              <w:left w:val="single" w:sz="4" w:space="0" w:color="000000"/>
              <w:bottom w:val="single" w:sz="4" w:space="0" w:color="auto"/>
              <w:right w:val="single" w:sz="4" w:space="0" w:color="000000"/>
            </w:tcBorders>
            <w:vAlign w:val="center"/>
            <w:hideMark/>
          </w:tcPr>
          <w:p w:rsidR="00723D46" w:rsidRDefault="00723D46" w:rsidP="00C2028B">
            <w:pPr>
              <w:spacing w:after="0" w:line="240" w:lineRule="auto"/>
              <w:jc w:val="center"/>
            </w:pPr>
            <w:r>
              <w:rPr>
                <w:sz w:val="22"/>
              </w:rPr>
              <w:t>Not s</w:t>
            </w:r>
            <w:r w:rsidR="00827C52">
              <w:rPr>
                <w:sz w:val="22"/>
              </w:rPr>
              <w:t>upported</w:t>
            </w:r>
          </w:p>
        </w:tc>
      </w:tr>
      <w:tr w:rsidR="00723D46" w:rsidTr="00827C52">
        <w:tc>
          <w:tcPr>
            <w:tcW w:w="3168" w:type="dxa"/>
            <w:tcBorders>
              <w:top w:val="single" w:sz="4" w:space="0" w:color="000000"/>
              <w:left w:val="single" w:sz="4" w:space="0" w:color="000000"/>
              <w:bottom w:val="single" w:sz="4" w:space="0" w:color="000000"/>
              <w:right w:val="single" w:sz="4" w:space="0" w:color="000000"/>
            </w:tcBorders>
            <w:vAlign w:val="center"/>
          </w:tcPr>
          <w:p w:rsidR="00C2028B" w:rsidRDefault="00C2028B" w:rsidP="00C1325D">
            <w:pPr>
              <w:spacing w:after="0" w:line="240" w:lineRule="auto"/>
              <w:jc w:val="center"/>
              <w:rPr>
                <w:noProof/>
                <w:sz w:val="22"/>
              </w:rPr>
            </w:pPr>
          </w:p>
          <w:p w:rsidR="00723D46" w:rsidRDefault="00723D46" w:rsidP="00C1325D">
            <w:pPr>
              <w:spacing w:after="0" w:line="240" w:lineRule="auto"/>
              <w:jc w:val="center"/>
              <w:rPr>
                <w:noProof/>
              </w:rPr>
            </w:pPr>
            <w:r>
              <w:rPr>
                <w:noProof/>
                <w:sz w:val="22"/>
              </w:rPr>
              <w:t>SCC</w:t>
            </w:r>
          </w:p>
          <w:p w:rsidR="00723D46" w:rsidRDefault="00723D46" w:rsidP="00C1325D">
            <w:pPr>
              <w:spacing w:after="0" w:line="240" w:lineRule="auto"/>
              <w:jc w:val="center"/>
              <w:rPr>
                <w:noProof/>
              </w:rPr>
            </w:pPr>
          </w:p>
        </w:tc>
        <w:tc>
          <w:tcPr>
            <w:tcW w:w="1078" w:type="dxa"/>
            <w:tcBorders>
              <w:top w:val="single" w:sz="4" w:space="0" w:color="000000"/>
              <w:left w:val="single" w:sz="4" w:space="0" w:color="000000"/>
              <w:bottom w:val="single" w:sz="4" w:space="0" w:color="000000"/>
              <w:right w:val="single" w:sz="4" w:space="0" w:color="000000"/>
            </w:tcBorders>
            <w:vAlign w:val="center"/>
            <w:hideMark/>
          </w:tcPr>
          <w:p w:rsidR="00723D46" w:rsidRDefault="00723D46" w:rsidP="00C1325D">
            <w:pPr>
              <w:spacing w:after="0" w:line="240" w:lineRule="auto"/>
              <w:jc w:val="center"/>
              <w:rPr>
                <w:noProof/>
              </w:rPr>
            </w:pPr>
            <w:r>
              <w:pict>
                <v:shape id="_x0000_s1196" type="#_x0000_t32" style="position:absolute;left:0;text-align:left;margin-left:9.1pt;margin-top:15.8pt;width:25.5pt;height:0;z-index:251696128;mso-position-horizontal-relative:text;mso-position-vertical-relative:text" o:connectortype="straight">
                  <v:stroke endarrow="block"/>
                </v:shape>
              </w:pict>
            </w:r>
            <w:r>
              <w:rPr>
                <w:sz w:val="22"/>
              </w:rPr>
              <w:t>(+)</w:t>
            </w:r>
          </w:p>
        </w:tc>
        <w:tc>
          <w:tcPr>
            <w:tcW w:w="2339" w:type="dxa"/>
            <w:tcBorders>
              <w:top w:val="single" w:sz="4" w:space="0" w:color="000000"/>
              <w:left w:val="single" w:sz="4" w:space="0" w:color="000000"/>
              <w:bottom w:val="single" w:sz="4" w:space="0" w:color="000000"/>
              <w:right w:val="single" w:sz="4" w:space="0" w:color="000000"/>
            </w:tcBorders>
            <w:vAlign w:val="center"/>
            <w:hideMark/>
          </w:tcPr>
          <w:p w:rsidR="00723D46" w:rsidRDefault="00723D46" w:rsidP="00C1325D">
            <w:pPr>
              <w:spacing w:after="0" w:line="240" w:lineRule="auto"/>
              <w:jc w:val="center"/>
            </w:pPr>
            <w:r>
              <w:rPr>
                <w:sz w:val="22"/>
              </w:rPr>
              <w:t>SCKD</w:t>
            </w:r>
          </w:p>
        </w:tc>
        <w:tc>
          <w:tcPr>
            <w:tcW w:w="1260" w:type="dxa"/>
            <w:tcBorders>
              <w:top w:val="single" w:sz="4" w:space="0" w:color="000000"/>
              <w:left w:val="single" w:sz="4" w:space="0" w:color="000000"/>
              <w:bottom w:val="single" w:sz="4" w:space="0" w:color="000000"/>
              <w:right w:val="single" w:sz="4" w:space="0" w:color="000000"/>
            </w:tcBorders>
            <w:vAlign w:val="center"/>
            <w:hideMark/>
          </w:tcPr>
          <w:p w:rsidR="00723D46" w:rsidRDefault="00723D46" w:rsidP="00C1325D">
            <w:pPr>
              <w:spacing w:after="0" w:line="240" w:lineRule="auto"/>
              <w:jc w:val="center"/>
            </w:pPr>
            <w:r>
              <w:rPr>
                <w:sz w:val="22"/>
              </w:rPr>
              <w:t>0.65</w:t>
            </w:r>
            <w:r w:rsidR="00827C52">
              <w:rPr>
                <w:sz w:val="22"/>
              </w:rPr>
              <w:t>***</w:t>
            </w:r>
          </w:p>
        </w:tc>
        <w:tc>
          <w:tcPr>
            <w:tcW w:w="1530" w:type="dxa"/>
            <w:tcBorders>
              <w:top w:val="single" w:sz="4" w:space="0" w:color="000000"/>
              <w:left w:val="single" w:sz="4" w:space="0" w:color="000000"/>
              <w:bottom w:val="single" w:sz="4" w:space="0" w:color="000000"/>
              <w:right w:val="single" w:sz="4" w:space="0" w:color="000000"/>
            </w:tcBorders>
            <w:vAlign w:val="center"/>
            <w:hideMark/>
          </w:tcPr>
          <w:p w:rsidR="00723D46" w:rsidRDefault="00827C52" w:rsidP="00C2028B">
            <w:pPr>
              <w:spacing w:after="0" w:line="240" w:lineRule="auto"/>
              <w:jc w:val="center"/>
            </w:pPr>
            <w:r>
              <w:rPr>
                <w:sz w:val="22"/>
              </w:rPr>
              <w:t>Supported</w:t>
            </w:r>
          </w:p>
        </w:tc>
      </w:tr>
      <w:tr w:rsidR="00827C52" w:rsidTr="00827C52">
        <w:tc>
          <w:tcPr>
            <w:tcW w:w="9375" w:type="dxa"/>
            <w:gridSpan w:val="5"/>
            <w:tcBorders>
              <w:top w:val="single" w:sz="4" w:space="0" w:color="000000"/>
              <w:left w:val="single" w:sz="4" w:space="0" w:color="000000"/>
              <w:bottom w:val="single" w:sz="4" w:space="0" w:color="auto"/>
              <w:right w:val="single" w:sz="4" w:space="0" w:color="000000"/>
            </w:tcBorders>
            <w:shd w:val="clear" w:color="auto" w:fill="D9D9D9" w:themeFill="background1" w:themeFillShade="D9"/>
            <w:vAlign w:val="center"/>
          </w:tcPr>
          <w:p w:rsidR="00827C52" w:rsidRDefault="00827C52" w:rsidP="00827C52">
            <w:pPr>
              <w:spacing w:after="0" w:line="240" w:lineRule="auto"/>
              <w:rPr>
                <w:b/>
                <w:sz w:val="22"/>
              </w:rPr>
            </w:pPr>
          </w:p>
          <w:p w:rsidR="00827C52" w:rsidRDefault="00827C52" w:rsidP="00827C52">
            <w:pPr>
              <w:spacing w:after="0" w:line="240" w:lineRule="auto"/>
              <w:rPr>
                <w:sz w:val="22"/>
              </w:rPr>
            </w:pPr>
            <w:r w:rsidRPr="00B35A54">
              <w:rPr>
                <w:b/>
                <w:sz w:val="22"/>
              </w:rPr>
              <w:t>*</w:t>
            </w:r>
            <w:r>
              <w:rPr>
                <w:b/>
                <w:sz w:val="22"/>
              </w:rPr>
              <w:t>p&gt;</w:t>
            </w:r>
            <w:r w:rsidRPr="00B35A54">
              <w:rPr>
                <w:b/>
                <w:sz w:val="22"/>
              </w:rPr>
              <w:t>.05;   ** p&lt;.01;   ***p&lt;.001</w:t>
            </w:r>
          </w:p>
        </w:tc>
      </w:tr>
      <w:tr w:rsidR="00723D46" w:rsidTr="00C1325D">
        <w:tc>
          <w:tcPr>
            <w:tcW w:w="9375" w:type="dxa"/>
            <w:gridSpan w:val="5"/>
            <w:tcBorders>
              <w:top w:val="single" w:sz="4" w:space="0" w:color="auto"/>
              <w:left w:val="single" w:sz="4" w:space="0" w:color="000000"/>
              <w:bottom w:val="single" w:sz="4" w:space="0" w:color="000000"/>
              <w:right w:val="single" w:sz="4" w:space="0" w:color="000000"/>
            </w:tcBorders>
            <w:vAlign w:val="center"/>
            <w:hideMark/>
          </w:tcPr>
          <w:p w:rsidR="00723D46" w:rsidRDefault="00723D46" w:rsidP="00C1325D">
            <w:pPr>
              <w:spacing w:after="0" w:line="240" w:lineRule="auto"/>
              <w:rPr>
                <w:noProof/>
              </w:rPr>
            </w:pPr>
          </w:p>
        </w:tc>
      </w:tr>
    </w:tbl>
    <w:p w:rsidR="00723D46" w:rsidRDefault="00723D46" w:rsidP="00723D46">
      <w:pPr>
        <w:spacing w:after="0" w:line="240" w:lineRule="auto"/>
      </w:pPr>
    </w:p>
    <w:p w:rsidR="00C2028B" w:rsidRDefault="00C2028B" w:rsidP="00007EA8">
      <w:pPr>
        <w:spacing w:after="0" w:line="480" w:lineRule="auto"/>
      </w:pPr>
    </w:p>
    <w:p w:rsidR="00674B47" w:rsidRDefault="00FD1F08" w:rsidP="00007EA8">
      <w:pPr>
        <w:spacing w:after="0" w:line="480" w:lineRule="auto"/>
      </w:pPr>
      <w:r>
        <w:tab/>
        <w:t xml:space="preserve">This model also has a very good statistical fit (χ2=2047.98, </w:t>
      </w:r>
      <w:proofErr w:type="spellStart"/>
      <w:r>
        <w:t>df</w:t>
      </w:r>
      <w:proofErr w:type="spellEnd"/>
      <w:r>
        <w:t>=1287, χ2/</w:t>
      </w:r>
      <w:proofErr w:type="spellStart"/>
      <w:r>
        <w:t>df</w:t>
      </w:r>
      <w:proofErr w:type="spellEnd"/>
      <w:r>
        <w:t xml:space="preserve">=1.59, CFI=0.934, TLI=0.92, and RMSEA=0.039), and, most importantly, highlights the role of risk management and supply chain orientations as shown by their strong direct effects on logistics capabilities, supply chain resilience, and other outcomes of interest. Perhaps the most intriguing </w:t>
      </w:r>
      <w:r>
        <w:lastRenderedPageBreak/>
        <w:t xml:space="preserve">result from the post-hoc model was that </w:t>
      </w:r>
      <w:r w:rsidRPr="00B252B5">
        <w:t>the direct path between supply chain orientation and supply chain resilience is not significant,</w:t>
      </w:r>
      <w:r>
        <w:t xml:space="preserve"> while both the path from risk management orientation to supply chain resilience and the path from supply chain orientation to risk management orientation are strong and statistically significant. This might indicate the existence of hierarchical structure in the network of firm orientations under different contextual conditions and such relationships should be further explored. For example, in the context of supply chain management the results of analysis indicate that supply chain orientation is an antecedent not only to logistics capabilities, but also to risk management orientation. Similarly, such hierarchical relationships could exist on a capabilities level. For example, information management capabilities could be viewed as an antecedent to supply management capabilities. </w:t>
      </w:r>
    </w:p>
    <w:p w:rsidR="00FD1F08" w:rsidRDefault="00674B47" w:rsidP="00007EA8">
      <w:pPr>
        <w:spacing w:after="0" w:line="480" w:lineRule="auto"/>
      </w:pPr>
      <w:r>
        <w:t xml:space="preserve">However, not all hypothesized relationships were supported. For example, no significant </w:t>
      </w:r>
      <w:r w:rsidR="00583344">
        <w:t xml:space="preserve">direct </w:t>
      </w:r>
      <w:r>
        <w:t>relationship</w:t>
      </w:r>
      <w:r w:rsidR="00583344">
        <w:t xml:space="preserve"> was</w:t>
      </w:r>
      <w:r>
        <w:t xml:space="preserve"> found between Supply Chain Orientation</w:t>
      </w:r>
      <w:r w:rsidR="00583344">
        <w:t xml:space="preserve"> (SCO</w:t>
      </w:r>
      <w:r>
        <w:t xml:space="preserve"> and Supply Chain Resilience</w:t>
      </w:r>
      <w:r w:rsidR="00583344">
        <w:t xml:space="preserve"> (SCR) which could be explained by existence of the mediating effects of Risk Management Orientation and logistics capabilities. Similarly, the relationships between Environmental Uncertainty (EU) and Risk Management Orientation (RMO) as well as between Supply Chain Vulnerability (SCV) and Supply Chain Resilience were not significant. These and other important</w:t>
      </w:r>
      <w:r w:rsidR="00FD1F08">
        <w:t xml:space="preserve"> findings are discussed in more detail in the next chapter. </w:t>
      </w:r>
    </w:p>
    <w:p w:rsidR="00007EA8" w:rsidRDefault="00007EA8" w:rsidP="00007EA8">
      <w:pPr>
        <w:spacing w:after="0" w:line="480" w:lineRule="auto"/>
      </w:pPr>
    </w:p>
    <w:p w:rsidR="00FD1F08" w:rsidRDefault="00FD1F08" w:rsidP="00007EA8">
      <w:pPr>
        <w:spacing w:after="0" w:line="480" w:lineRule="auto"/>
      </w:pPr>
      <w:r>
        <w:t>CHAPTER SUMMARY</w:t>
      </w:r>
    </w:p>
    <w:p w:rsidR="00FD1F08" w:rsidRDefault="00FD1F08" w:rsidP="00007EA8">
      <w:pPr>
        <w:spacing w:after="0" w:line="480" w:lineRule="auto"/>
      </w:pPr>
      <w:r>
        <w:tab/>
        <w:t xml:space="preserve">This chapter provided details of the pre-test and main study data analyses. The data and quality of measurement were evaluated and the proposed model was tested. Structural equation modeling was used to test hypothesized theoretical relationships as formulated in Chapter 3. </w:t>
      </w:r>
    </w:p>
    <w:p w:rsidR="00FD1F08" w:rsidRDefault="00FD1F08" w:rsidP="00007EA8">
      <w:pPr>
        <w:spacing w:after="0" w:line="480" w:lineRule="auto"/>
        <w:ind w:firstLine="720"/>
      </w:pPr>
      <w:r>
        <w:lastRenderedPageBreak/>
        <w:t>Based on the results of the analysis, the structural model had an overall good fit. Nine of the hypothesized relationships including those related to antecedents and outcomes of Supply Chain Resilience (SCR) were also found statistically significant.  The significance of these relationships provides evidence of the role of logistics capabilities in creating SCR as well as the evidence of the role and importance of SCR in creating value-based performance outcomes. At the same time, the relationship between Supply Chain Vulnerability (SCV) and SCR as well as the relationship between Environmental Orientation (EU) and RMO were not found statistically significant.  Moreover, the hypothesized moderating roles of RMO and SCO in the relationships between logistics capabilities and SCR were not supported.</w:t>
      </w:r>
    </w:p>
    <w:p w:rsidR="00FD1F08" w:rsidRDefault="00FD1F08" w:rsidP="00007EA8">
      <w:pPr>
        <w:spacing w:after="0" w:line="480" w:lineRule="auto"/>
        <w:ind w:firstLine="720"/>
      </w:pPr>
      <w:r>
        <w:t>Additionally, a post-hoc analysis was conducted in order to test the alternative model. It was concluded that Risk Management Orientation (RMO) and Supply Chain Orientation (SCO) in fact play significant roles is the hypothesized relationships. These orientations, however, serve as antecedents instead of moderators.  RMO has significant direct effects on SMC, IMC, SCR, SCPV, and SCC, while SCO has significant direct effects on SMC, IMC, SCR, RMO, SCR, and SCC. The empirical findings of a</w:t>
      </w:r>
      <w:r w:rsidR="00073CEE">
        <w:t>n alternate</w:t>
      </w:r>
      <w:r>
        <w:t xml:space="preserve"> post-hoc model find additional theoretical support in the extended literature base.</w:t>
      </w:r>
    </w:p>
    <w:p w:rsidR="00FD1F08" w:rsidRDefault="00FD1F08" w:rsidP="00007EA8">
      <w:pPr>
        <w:spacing w:after="0" w:line="480" w:lineRule="auto"/>
        <w:ind w:firstLine="720"/>
      </w:pPr>
      <w:r>
        <w:t>Chapter 5 illustrates what these and other important results mean in light of the research objectives and contributions to the extant body of knowledge. It provides a detailed explanation of the hypotheses testing results from the main test and a</w:t>
      </w:r>
      <w:r w:rsidR="00674B47">
        <w:t>n alternate</w:t>
      </w:r>
      <w:r>
        <w:t xml:space="preserve"> model, highlights the implications for scholars and managers as well as research limitations and opportunities for future research.</w:t>
      </w:r>
    </w:p>
    <w:p w:rsidR="00FD1F08" w:rsidRPr="00A52A9F" w:rsidRDefault="00FD1F08" w:rsidP="00007EA8">
      <w:pPr>
        <w:spacing w:after="0" w:line="480" w:lineRule="auto"/>
      </w:pPr>
    </w:p>
    <w:p w:rsidR="00FF116A" w:rsidRDefault="00FF116A" w:rsidP="00FF116A"/>
    <w:p w:rsidR="00AF3439" w:rsidRDefault="00AF3439" w:rsidP="00AF3439">
      <w:pPr>
        <w:pStyle w:val="NoSpacing"/>
        <w:widowControl w:val="0"/>
        <w:jc w:val="center"/>
        <w:rPr>
          <w:b/>
        </w:rPr>
      </w:pPr>
      <w:r>
        <w:rPr>
          <w:b/>
        </w:rPr>
        <w:lastRenderedPageBreak/>
        <w:t>CHAPTER 5 – CONCLUSIONS AND IMPLICATIONS</w:t>
      </w:r>
    </w:p>
    <w:p w:rsidR="00AF3439" w:rsidRDefault="00AF3439" w:rsidP="00AF3439">
      <w:pPr>
        <w:pStyle w:val="NoSpacing"/>
        <w:widowControl w:val="0"/>
        <w:jc w:val="center"/>
        <w:rPr>
          <w:b/>
        </w:rPr>
      </w:pPr>
    </w:p>
    <w:p w:rsidR="00AF3439" w:rsidRDefault="00AF3439" w:rsidP="00AF3439">
      <w:pPr>
        <w:pStyle w:val="NoSpacing"/>
        <w:widowControl w:val="0"/>
        <w:rPr>
          <w:b/>
        </w:rPr>
      </w:pPr>
    </w:p>
    <w:p w:rsidR="00AF3439" w:rsidRPr="00FF3AB7" w:rsidRDefault="00AF3439" w:rsidP="00AF3439">
      <w:pPr>
        <w:pStyle w:val="NoSpacing"/>
        <w:widowControl w:val="0"/>
        <w:rPr>
          <w:b/>
        </w:rPr>
      </w:pPr>
      <w:r>
        <w:rPr>
          <w:b/>
        </w:rPr>
        <w:t>OVERVIEW</w:t>
      </w:r>
    </w:p>
    <w:p w:rsidR="00AF3439" w:rsidRDefault="00AF3439" w:rsidP="00AF3439">
      <w:pPr>
        <w:pStyle w:val="NoSpacing"/>
      </w:pPr>
    </w:p>
    <w:p w:rsidR="00AF3439" w:rsidRDefault="00AF3439" w:rsidP="00AF3439">
      <w:pPr>
        <w:spacing w:after="0" w:line="480" w:lineRule="auto"/>
        <w:ind w:firstLine="720"/>
      </w:pPr>
      <w:r>
        <w:t xml:space="preserve">This dissertation set out with the purpose of investigating the phenomenon of supply chain resilience at the firm level of analysis, as well as its antecedents and value-based outcomes. The first three chapters dealt with a review of the relevant literature, the development of a comprehensive conceptual framework, and the formation of an appropriate methodology for collecting data and testing the hypothesized relationships. The results of the quantitative study were reported in Chapter 4. In addition to the main test, a post-hoc analysis was conducted with the purpose of further investigating the role of risk management and supply chain orientations. This phase of the analysis was conducted due to the fact that no significant moderation effects were initially found. Thus, an alternative framework of hypothesized relationships was proposed. This chapter discusses the findings of data analysis, theoretical and managerial contributions, limitations, and directions for future research. </w:t>
      </w:r>
    </w:p>
    <w:p w:rsidR="00AF3439" w:rsidRDefault="00AF3439" w:rsidP="00AF3439">
      <w:pPr>
        <w:spacing w:after="0" w:line="480" w:lineRule="auto"/>
        <w:ind w:firstLine="720"/>
      </w:pPr>
      <w:r>
        <w:t xml:space="preserve">The research that comprises this dissertation is distinct from previous research on supply chain resilience in several ways. First, a holistic perspective that links supply chain resilience to its antecedents and value-based consequences in a cohesive conceptual framework is developed. Second, based on the extensive multidisciplinary literature review, supply chain resilience is defined, </w:t>
      </w:r>
      <w:proofErr w:type="spellStart"/>
      <w:r>
        <w:t>operationalized</w:t>
      </w:r>
      <w:proofErr w:type="spellEnd"/>
      <w:r>
        <w:t>, and empirically tested</w:t>
      </w:r>
      <w:r w:rsidRPr="00CA77FB">
        <w:t xml:space="preserve"> </w:t>
      </w:r>
      <w:r>
        <w:t xml:space="preserve">at the firm level of analysis. Specific measures are proposed and successfully validated and new relationships between supply chain resilience and related constructs, such as risk management orientation and supply chain capital, are discovered. These findings are contributions in that they fill the gaps in the existing literature and they open the doors for future research. Third, this dissertation builds on previous research through its emphasis on the role of logistics capabilities in developing firm-level competencies </w:t>
      </w:r>
      <w:r>
        <w:lastRenderedPageBreak/>
        <w:t>(</w:t>
      </w:r>
      <w:proofErr w:type="spellStart"/>
      <w:r>
        <w:t>Olavarrieta</w:t>
      </w:r>
      <w:proofErr w:type="spellEnd"/>
      <w:r>
        <w:t xml:space="preserve"> and </w:t>
      </w:r>
      <w:proofErr w:type="spellStart"/>
      <w:r>
        <w:t>Ellinger</w:t>
      </w:r>
      <w:proofErr w:type="spellEnd"/>
      <w:r>
        <w:t xml:space="preserve"> 1997, Zhao, </w:t>
      </w:r>
      <w:proofErr w:type="spellStart"/>
      <w:r>
        <w:t>Droge</w:t>
      </w:r>
      <w:proofErr w:type="spellEnd"/>
      <w:r>
        <w:t xml:space="preserve"> and Stank 2001, </w:t>
      </w:r>
      <w:proofErr w:type="spellStart"/>
      <w:r>
        <w:t>Mentzer</w:t>
      </w:r>
      <w:proofErr w:type="spellEnd"/>
      <w:r>
        <w:t>, Min and Bobbitt 2004) and it expands the theoretical reach of the resource-based theory and its dynamic capabilities</w:t>
      </w:r>
      <w:r w:rsidRPr="00627077">
        <w:t xml:space="preserve"> </w:t>
      </w:r>
      <w:r>
        <w:t>extension (</w:t>
      </w:r>
      <w:proofErr w:type="spellStart"/>
      <w:r>
        <w:t>Teece</w:t>
      </w:r>
      <w:proofErr w:type="spellEnd"/>
      <w:r>
        <w:t xml:space="preserve">, Pisano and </w:t>
      </w:r>
      <w:proofErr w:type="spellStart"/>
      <w:r>
        <w:t>Shuen</w:t>
      </w:r>
      <w:proofErr w:type="spellEnd"/>
      <w:r>
        <w:t xml:space="preserve"> 1997, </w:t>
      </w:r>
      <w:proofErr w:type="spellStart"/>
      <w:r>
        <w:t>Eisenhardt</w:t>
      </w:r>
      <w:proofErr w:type="spellEnd"/>
      <w:r>
        <w:t xml:space="preserve"> and Martin 2000). Finally, this research presents a methodological variation which is unique for supply chain resilience studies. Although the combination of survey-based methodology and structural equation modeling applied in this research is widely used in the field of logistics and supply chain management (</w:t>
      </w:r>
      <w:proofErr w:type="spellStart"/>
      <w:r>
        <w:t>Mentzer</w:t>
      </w:r>
      <w:proofErr w:type="spellEnd"/>
      <w:r>
        <w:t xml:space="preserve"> and Kahn 1995, Larson and </w:t>
      </w:r>
      <w:proofErr w:type="spellStart"/>
      <w:r>
        <w:t>Poist</w:t>
      </w:r>
      <w:proofErr w:type="spellEnd"/>
      <w:r>
        <w:t xml:space="preserve"> 2004), it offers a new methodological approach for researching supply chain resilience. Previous studies on supply chain resilience have either been conceptual in nature (</w:t>
      </w:r>
      <w:proofErr w:type="spellStart"/>
      <w:r>
        <w:t>Sheffi</w:t>
      </w:r>
      <w:proofErr w:type="spellEnd"/>
      <w:r>
        <w:t xml:space="preserve"> 2001, Christopher and Peck 2004, </w:t>
      </w:r>
      <w:proofErr w:type="spellStart"/>
      <w:r>
        <w:t>Ponomarov</w:t>
      </w:r>
      <w:proofErr w:type="spellEnd"/>
      <w:r>
        <w:t xml:space="preserve"> and Holcomb 2009) or employed a focus group or case study methodology (</w:t>
      </w:r>
      <w:r w:rsidRPr="00CD203D">
        <w:t xml:space="preserve">Rice and </w:t>
      </w:r>
      <w:proofErr w:type="spellStart"/>
      <w:r w:rsidRPr="00CD203D">
        <w:t>Caniato</w:t>
      </w:r>
      <w:proofErr w:type="spellEnd"/>
      <w:r w:rsidRPr="00CD203D">
        <w:t xml:space="preserve"> 2003, Christopher and Peck 2004, Ch</w:t>
      </w:r>
      <w:r>
        <w:t xml:space="preserve">ristopher 2005, </w:t>
      </w:r>
      <w:proofErr w:type="spellStart"/>
      <w:r>
        <w:t>Sheffi</w:t>
      </w:r>
      <w:proofErr w:type="spellEnd"/>
      <w:r>
        <w:t xml:space="preserve"> 2005, Pettit et al. 2010).  The methodology chosen for this research allows for the collection of a relatively large amount of data in an efficient manner, and it enables the validation of the collected data</w:t>
      </w:r>
      <w:r w:rsidRPr="00707827">
        <w:t xml:space="preserve"> </w:t>
      </w:r>
      <w:r>
        <w:t>through rigorous statistical techniques</w:t>
      </w:r>
      <w:r w:rsidRPr="00707827">
        <w:t xml:space="preserve"> (</w:t>
      </w:r>
      <w:proofErr w:type="spellStart"/>
      <w:r w:rsidRPr="00707827">
        <w:t>Kerlinger</w:t>
      </w:r>
      <w:proofErr w:type="spellEnd"/>
      <w:r w:rsidRPr="00707827">
        <w:t xml:space="preserve"> and Lee 2000).</w:t>
      </w:r>
      <w:r>
        <w:t xml:space="preserve"> The procedures related to data collection and </w:t>
      </w:r>
      <w:proofErr w:type="gramStart"/>
      <w:r>
        <w:t>validation were</w:t>
      </w:r>
      <w:proofErr w:type="gramEnd"/>
      <w:r>
        <w:t xml:space="preserve"> discussed in the previous chapter.  It is important to note, however, that all research methods are flawed and have their own limitations. For this reason, </w:t>
      </w:r>
      <w:r w:rsidRPr="00A10A49">
        <w:t xml:space="preserve">testing the same theory using multiple methods </w:t>
      </w:r>
      <w:r>
        <w:t>and techniques (also known as triangulation) as</w:t>
      </w:r>
      <w:r w:rsidRPr="00A10A49">
        <w:t xml:space="preserve"> a goo</w:t>
      </w:r>
      <w:r>
        <w:t>d way to handle the limitations of</w:t>
      </w:r>
      <w:r w:rsidRPr="00A10A49">
        <w:t xml:space="preserve"> each method</w:t>
      </w:r>
      <w:r>
        <w:t xml:space="preserve"> (McGrath 1982) is suggested in the recommendations for future research. The following sections offer a more comprehensive discussion of the research findings, theoretical and managerial implications, limitations, and future research directions along with concluding thoughts.</w:t>
      </w:r>
    </w:p>
    <w:p w:rsidR="00AF3439" w:rsidRDefault="00AF3439" w:rsidP="00AF3439">
      <w:pPr>
        <w:pStyle w:val="StyleHeading2Heading2SectionTitleTimesNewRoman12pt"/>
      </w:pPr>
      <w:bookmarkStart w:id="3" w:name="_Toc201421723"/>
      <w:r>
        <w:lastRenderedPageBreak/>
        <w:t>DISCUSSION OF THE FINDINGS</w:t>
      </w:r>
      <w:bookmarkEnd w:id="3"/>
    </w:p>
    <w:p w:rsidR="00AF3439" w:rsidRDefault="00AF3439" w:rsidP="00AF3439">
      <w:pPr>
        <w:pStyle w:val="StyleHeading2Heading2SectionTitleTimesNewRoman12pt"/>
      </w:pPr>
    </w:p>
    <w:p w:rsidR="00AF3439" w:rsidRPr="00D70133" w:rsidRDefault="00AF3439" w:rsidP="00AF3439">
      <w:pPr>
        <w:spacing w:after="0" w:line="480" w:lineRule="auto"/>
      </w:pPr>
      <w:bookmarkStart w:id="4" w:name="_Toc201421724"/>
      <w:r>
        <w:tab/>
        <w:t>This section reviews some major findings of the current research. The research findings are combined into several groups, including: antecedents of supply chain resilience and strategic orientations, external factors and their influence, and outcomes of supply chain resilience. Most importantly, the overall emerging research framework of supply chain resilience provides a novel conceptual understanding of the phenomenon of interest as demonstrated by a significant empirical verification of the data analysis results.</w:t>
      </w:r>
    </w:p>
    <w:p w:rsidR="00AF3439" w:rsidRDefault="00AF3439" w:rsidP="00AF3439">
      <w:pPr>
        <w:pStyle w:val="Heading3"/>
        <w:spacing w:before="0" w:line="480" w:lineRule="auto"/>
        <w:jc w:val="both"/>
        <w:rPr>
          <w:rFonts w:ascii="Times New Roman" w:hAnsi="Times New Roman"/>
          <w:b w:val="0"/>
          <w:bCs w:val="0"/>
          <w:color w:val="000000"/>
        </w:rPr>
      </w:pPr>
    </w:p>
    <w:p w:rsidR="00AF3439" w:rsidRPr="00D94D77" w:rsidRDefault="00AF3439" w:rsidP="00AF3439">
      <w:pPr>
        <w:pStyle w:val="Heading3"/>
        <w:spacing w:before="0" w:line="480" w:lineRule="auto"/>
        <w:jc w:val="both"/>
        <w:rPr>
          <w:rFonts w:ascii="Times New Roman" w:hAnsi="Times New Roman"/>
          <w:b w:val="0"/>
          <w:bCs w:val="0"/>
          <w:i/>
          <w:color w:val="000000"/>
        </w:rPr>
      </w:pPr>
      <w:r w:rsidRPr="00D94D77">
        <w:rPr>
          <w:rFonts w:ascii="Times New Roman" w:hAnsi="Times New Roman"/>
          <w:b w:val="0"/>
          <w:bCs w:val="0"/>
          <w:i/>
          <w:color w:val="000000"/>
        </w:rPr>
        <w:t>Findings Related to Antecedents of Supply Chain Resilience</w:t>
      </w:r>
    </w:p>
    <w:p w:rsidR="00AF3439" w:rsidRDefault="00AF3439" w:rsidP="00AF3439">
      <w:pPr>
        <w:spacing w:after="0" w:line="480" w:lineRule="auto"/>
        <w:ind w:firstLine="720"/>
      </w:pPr>
      <w:r>
        <w:t>Logistics capabilities, classified into supply management capabilities and information management capabilities, were hypothesized as antecedents of Supply Chain Resilience (SCR). Specifically, Hypothesis 1a posited that supply management capabilities (SMC) have a positive impact on a firm’s supply chain resilience (SCR) while Hypothesis 1b posited that</w:t>
      </w:r>
      <w:r w:rsidRPr="00F35FD2">
        <w:t xml:space="preserve"> </w:t>
      </w:r>
      <w:r>
        <w:t>information management capabilities (IMC) have a positive impact on a firm’s Supply Chain Resilience (SCR). Both parts of Hypothesis 1 were supported by the main test (Figure 5.1).</w:t>
      </w:r>
    </w:p>
    <w:p w:rsidR="00AF3439" w:rsidRDefault="00AF3439" w:rsidP="00AF3439">
      <w:pPr>
        <w:spacing w:after="0" w:line="480" w:lineRule="auto"/>
        <w:ind w:firstLine="720"/>
      </w:pPr>
      <w:r>
        <w:rPr>
          <w:noProof/>
        </w:rPr>
        <w:lastRenderedPageBreak/>
        <w:drawing>
          <wp:inline distT="0" distB="0" distL="0" distR="0">
            <wp:extent cx="5045323" cy="3209925"/>
            <wp:effectExtent l="19050" t="0" r="2927"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5045323" cy="3209925"/>
                    </a:xfrm>
                    <a:prstGeom prst="rect">
                      <a:avLst/>
                    </a:prstGeom>
                    <a:noFill/>
                    <a:ln w="9525">
                      <a:noFill/>
                      <a:miter lim="800000"/>
                      <a:headEnd/>
                      <a:tailEnd/>
                    </a:ln>
                  </pic:spPr>
                </pic:pic>
              </a:graphicData>
            </a:graphic>
          </wp:inline>
        </w:drawing>
      </w:r>
    </w:p>
    <w:p w:rsidR="00AF3439" w:rsidRDefault="00AF3439" w:rsidP="00AF3439">
      <w:pPr>
        <w:spacing w:after="0" w:line="240" w:lineRule="auto"/>
        <w:ind w:firstLine="720"/>
        <w:jc w:val="center"/>
        <w:rPr>
          <w:b/>
        </w:rPr>
      </w:pPr>
    </w:p>
    <w:p w:rsidR="00AF3439" w:rsidRDefault="00AF3439" w:rsidP="00AF3439">
      <w:pPr>
        <w:spacing w:after="0" w:line="240" w:lineRule="auto"/>
        <w:ind w:firstLine="720"/>
        <w:jc w:val="center"/>
        <w:rPr>
          <w:b/>
        </w:rPr>
      </w:pPr>
      <w:r w:rsidRPr="00137238">
        <w:rPr>
          <w:b/>
        </w:rPr>
        <w:t>Figure 5.1</w:t>
      </w:r>
    </w:p>
    <w:p w:rsidR="00AF3439" w:rsidRPr="00137238" w:rsidRDefault="00AF3439" w:rsidP="00AF3439">
      <w:pPr>
        <w:spacing w:after="0" w:line="240" w:lineRule="auto"/>
        <w:ind w:firstLine="720"/>
        <w:jc w:val="center"/>
        <w:rPr>
          <w:b/>
        </w:rPr>
      </w:pPr>
      <w:r w:rsidRPr="00137238">
        <w:rPr>
          <w:b/>
        </w:rPr>
        <w:t xml:space="preserve">Main </w:t>
      </w:r>
      <w:r>
        <w:rPr>
          <w:b/>
        </w:rPr>
        <w:t>T</w:t>
      </w:r>
      <w:r w:rsidRPr="00137238">
        <w:rPr>
          <w:b/>
        </w:rPr>
        <w:t xml:space="preserve">est </w:t>
      </w:r>
      <w:r>
        <w:rPr>
          <w:b/>
        </w:rPr>
        <w:t>M</w:t>
      </w:r>
      <w:r w:rsidRPr="00137238">
        <w:rPr>
          <w:b/>
        </w:rPr>
        <w:t>odel</w:t>
      </w:r>
      <w:r w:rsidR="00843131">
        <w:rPr>
          <w:b/>
        </w:rPr>
        <w:t xml:space="preserve"> Results</w:t>
      </w:r>
    </w:p>
    <w:p w:rsidR="00AF3439" w:rsidRDefault="00AF3439" w:rsidP="00AF3439">
      <w:pPr>
        <w:spacing w:after="0" w:line="480" w:lineRule="auto"/>
        <w:ind w:firstLine="720"/>
      </w:pPr>
    </w:p>
    <w:p w:rsidR="00AF3439" w:rsidRDefault="00AF3439" w:rsidP="00AF3439">
      <w:pPr>
        <w:spacing w:after="0" w:line="480" w:lineRule="auto"/>
        <w:ind w:firstLine="720"/>
      </w:pPr>
    </w:p>
    <w:p w:rsidR="00AF3439" w:rsidRDefault="00AF3439" w:rsidP="00AF3439">
      <w:pPr>
        <w:spacing w:after="0" w:line="480" w:lineRule="auto"/>
        <w:ind w:firstLine="720"/>
      </w:pPr>
      <w:r>
        <w:t xml:space="preserve"> Results of the analysis indicate that supply management and information management capabilities combined together account for 63% of variation in SCR. It is a significant finding that adds to our understanding of the phenomenon of supply chain resilience. Effective management of supply and information flows is essential for maintaining resiliency and continuity of business operations. These empirical results are especially important for understanding the nature of SCR as well as those factors that contribute significantly to building resilience at the firm level. Moreover, the important role of logistics capabilities as valuable strategic resources is highlighted and emphasized expanding on the related previous research (</w:t>
      </w:r>
      <w:proofErr w:type="spellStart"/>
      <w:r>
        <w:t>Olavarrieta</w:t>
      </w:r>
      <w:proofErr w:type="spellEnd"/>
      <w:r>
        <w:t xml:space="preserve"> and </w:t>
      </w:r>
      <w:proofErr w:type="spellStart"/>
      <w:r>
        <w:t>Ellinger</w:t>
      </w:r>
      <w:proofErr w:type="spellEnd"/>
      <w:r>
        <w:t xml:space="preserve"> 1997, Lynch et al. 2000, Zhao, </w:t>
      </w:r>
      <w:proofErr w:type="spellStart"/>
      <w:r>
        <w:t>Droge</w:t>
      </w:r>
      <w:proofErr w:type="spellEnd"/>
      <w:r>
        <w:t xml:space="preserve"> and Stank 2001).</w:t>
      </w:r>
    </w:p>
    <w:p w:rsidR="00AF3439" w:rsidRDefault="00AF3439" w:rsidP="00AF3439"/>
    <w:p w:rsidR="00AF3439" w:rsidRPr="00AF3439" w:rsidRDefault="00AF3439" w:rsidP="00AF3439">
      <w:pPr>
        <w:rPr>
          <w:i/>
        </w:rPr>
      </w:pPr>
      <w:r w:rsidRPr="00AF3439">
        <w:rPr>
          <w:i/>
        </w:rPr>
        <w:lastRenderedPageBreak/>
        <w:t>The Role of Strategic Firm Orientations</w:t>
      </w:r>
    </w:p>
    <w:p w:rsidR="00AF3439" w:rsidRDefault="00AF3439" w:rsidP="00AF3439">
      <w:pPr>
        <w:spacing w:after="0" w:line="480" w:lineRule="auto"/>
        <w:ind w:firstLine="720"/>
      </w:pPr>
      <w:r>
        <w:t>The role of two strategic orientations was tested in this research. First, supply chain orientation (SCO) was originally hypothesized as a moderating variable in the relationships between logistics capabilities (including supply management capabilities (SMC) and information management capabilities (IMC)) and supply chain resilience (SCR). Similarly, risk management orientation (RMO) was hypothesized as a moderator in the relationships between logistics capabilities and SCR. The moderation tests were not statistically significant, and none of the moderating hypotheses was supported.</w:t>
      </w:r>
      <w:r w:rsidRPr="00F7337D">
        <w:t xml:space="preserve"> </w:t>
      </w:r>
      <w:r>
        <w:t>After further exploration, it was noted that a direct link from risk management orientation (RMO) to supply chain resilience (SCR) is statistically significant, while the link</w:t>
      </w:r>
      <w:r w:rsidRPr="00B914BA">
        <w:t xml:space="preserve"> </w:t>
      </w:r>
      <w:r>
        <w:t xml:space="preserve">from supply chain orientation (SCO) to supply chain resilience (SCR) is not statistically significant. The difference in the effects of the two orientations was one of the surprising findings of this research. Additionally, significant relationships were discovered between the strategic orientations and logistics capabilities. Both orientations were found to play a critical role as potential antecedents of information management and supply management capabilities. Such statistical findings required careful consideration and necessitated additional theoretical justification. Thus, combining the obtained results with an extended literature review resulted in a proposed alternative conceptual framework. </w:t>
      </w:r>
    </w:p>
    <w:p w:rsidR="00AF3439" w:rsidRDefault="00AF3439" w:rsidP="00AF3439">
      <w:pPr>
        <w:spacing w:after="0" w:line="480" w:lineRule="auto"/>
        <w:ind w:firstLine="720"/>
      </w:pPr>
      <w:r>
        <w:t xml:space="preserve">A post-hoc analysis was conducted with the purpose of further exploring the roles of risk management orientation and supply chain orientation in the hypothesized framework of relationships among the constructs of interest (Figure 5.2). </w:t>
      </w:r>
    </w:p>
    <w:p w:rsidR="00AF3439" w:rsidRDefault="00AF3439" w:rsidP="00AF3439">
      <w:pPr>
        <w:spacing w:after="0" w:line="480" w:lineRule="auto"/>
        <w:ind w:firstLine="720"/>
      </w:pPr>
    </w:p>
    <w:p w:rsidR="00AF3439" w:rsidRDefault="00AF3439" w:rsidP="00AF3439">
      <w:pPr>
        <w:spacing w:after="0" w:line="480" w:lineRule="auto"/>
        <w:ind w:firstLine="720"/>
      </w:pPr>
      <w:r>
        <w:rPr>
          <w:noProof/>
        </w:rPr>
        <w:lastRenderedPageBreak/>
        <w:drawing>
          <wp:inline distT="0" distB="0" distL="0" distR="0">
            <wp:extent cx="5534025" cy="3562350"/>
            <wp:effectExtent l="19050" t="0" r="9525"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5534025" cy="3562350"/>
                    </a:xfrm>
                    <a:prstGeom prst="rect">
                      <a:avLst/>
                    </a:prstGeom>
                    <a:noFill/>
                    <a:ln w="9525">
                      <a:noFill/>
                      <a:miter lim="800000"/>
                      <a:headEnd/>
                      <a:tailEnd/>
                    </a:ln>
                  </pic:spPr>
                </pic:pic>
              </a:graphicData>
            </a:graphic>
          </wp:inline>
        </w:drawing>
      </w:r>
    </w:p>
    <w:p w:rsidR="00AF3439" w:rsidRDefault="00AF3439" w:rsidP="00AF3439">
      <w:pPr>
        <w:spacing w:after="0" w:line="240" w:lineRule="auto"/>
        <w:jc w:val="center"/>
        <w:rPr>
          <w:b/>
          <w:szCs w:val="24"/>
        </w:rPr>
      </w:pPr>
    </w:p>
    <w:p w:rsidR="00AF3439" w:rsidRDefault="00AF3439" w:rsidP="00AF3439">
      <w:pPr>
        <w:spacing w:after="0" w:line="240" w:lineRule="auto"/>
        <w:jc w:val="center"/>
        <w:rPr>
          <w:b/>
          <w:szCs w:val="24"/>
        </w:rPr>
      </w:pPr>
      <w:r>
        <w:rPr>
          <w:b/>
          <w:szCs w:val="24"/>
        </w:rPr>
        <w:t>Figure 5.2</w:t>
      </w:r>
    </w:p>
    <w:p w:rsidR="00AF3439" w:rsidRPr="003003C6" w:rsidRDefault="00843131" w:rsidP="00AF3439">
      <w:pPr>
        <w:spacing w:after="0" w:line="240" w:lineRule="auto"/>
        <w:jc w:val="center"/>
      </w:pPr>
      <w:r>
        <w:rPr>
          <w:b/>
          <w:szCs w:val="24"/>
        </w:rPr>
        <w:t>Alternate</w:t>
      </w:r>
      <w:r w:rsidR="00AF3439">
        <w:rPr>
          <w:b/>
          <w:szCs w:val="24"/>
        </w:rPr>
        <w:t xml:space="preserve"> Model</w:t>
      </w:r>
      <w:r>
        <w:rPr>
          <w:b/>
          <w:szCs w:val="24"/>
        </w:rPr>
        <w:t xml:space="preserve"> Results</w:t>
      </w:r>
    </w:p>
    <w:p w:rsidR="00AF3439" w:rsidRDefault="00AF3439" w:rsidP="00AF3439">
      <w:pPr>
        <w:spacing w:after="0" w:line="480" w:lineRule="auto"/>
        <w:ind w:firstLine="720"/>
      </w:pPr>
    </w:p>
    <w:p w:rsidR="00AF3439" w:rsidRDefault="00AF3439" w:rsidP="00AF3439">
      <w:pPr>
        <w:spacing w:after="0" w:line="480" w:lineRule="auto"/>
        <w:ind w:firstLine="720"/>
      </w:pPr>
      <w:r>
        <w:t xml:space="preserve">Additional theoretical justification for the proposed post-hoc model was found in the stream of literature related to the Strategy - Structure - Performance (SSP) paradigm. Briefly, this stream of literature supports the idea that a firm’s strategy, formulated in consideration of the factors of external environment, drives the development of organizational structure, capabilities and processes and leads to the desired performance outcomes (Miles and Snow 1978, Chow et al. 1995, Stock et al. 1998, Stank and </w:t>
      </w:r>
      <w:proofErr w:type="spellStart"/>
      <w:r>
        <w:t>Traichal</w:t>
      </w:r>
      <w:proofErr w:type="spellEnd"/>
      <w:r>
        <w:t xml:space="preserve"> 1998, </w:t>
      </w:r>
      <w:proofErr w:type="spellStart"/>
      <w:r>
        <w:t>Defee</w:t>
      </w:r>
      <w:proofErr w:type="spellEnd"/>
      <w:r>
        <w:t xml:space="preserve"> and Stank 2005).  Expanding on the logic of the SSP paradigm, the proposed alternative model could be viewed in terms </w:t>
      </w:r>
      <w:proofErr w:type="gramStart"/>
      <w:r>
        <w:t>of  Strategic</w:t>
      </w:r>
      <w:proofErr w:type="gramEnd"/>
      <w:r>
        <w:t xml:space="preserve"> Orientations – Capabilities – Performance Outcomes. In this alternative conceptualization, consistent with the theoretical arguments outlined, the firm’s strategic orientations play a vital </w:t>
      </w:r>
      <w:r>
        <w:lastRenderedPageBreak/>
        <w:t>role as important antecedents to logistics capabilities, supply chain resilience, and some of the hypothesized outcomes, such as supply chain capital and supply chain process variability.</w:t>
      </w:r>
    </w:p>
    <w:p w:rsidR="00AF3439" w:rsidRDefault="00AF3439" w:rsidP="00AF3439">
      <w:pPr>
        <w:spacing w:after="0" w:line="480" w:lineRule="auto"/>
        <w:ind w:firstLine="720"/>
      </w:pPr>
      <w:r>
        <w:t xml:space="preserve">A post-hoc analysis revealed new and interesting relationships among the constructs of interest. For example, it was discovered that SCO is a strong antecedent to both information management capabilities (IMC) and supply management capabilities (SMC). Similarly, RMO was also found to be a strong antecedent to both information management capabilities (IMC) and supply management capabilities (SMC). Both orientations combined explain 74% of variance in IMC and 69% of variance in SMC. These research findings extend previous work on logistics capabilities and the relationship between strategy and structure in the supply chain context (Lynch et al. 2000, Zhao, </w:t>
      </w:r>
      <w:proofErr w:type="spellStart"/>
      <w:r>
        <w:t>Droge</w:t>
      </w:r>
      <w:proofErr w:type="spellEnd"/>
      <w:r>
        <w:t xml:space="preserve"> and Stank 2001, </w:t>
      </w:r>
      <w:proofErr w:type="spellStart"/>
      <w:r>
        <w:t>Defee</w:t>
      </w:r>
      <w:proofErr w:type="spellEnd"/>
      <w:r>
        <w:t xml:space="preserve"> and Stank 2005).</w:t>
      </w:r>
    </w:p>
    <w:p w:rsidR="00AF3439" w:rsidRDefault="00AF3439" w:rsidP="00AF3439">
      <w:pPr>
        <w:spacing w:after="0" w:line="480" w:lineRule="auto"/>
        <w:ind w:firstLine="720"/>
      </w:pPr>
      <w:r>
        <w:t xml:space="preserve">Additionally, the post-hoc model findings indicate that RMO is a significant antecedent to supply chain resilience (SCR). In contrast, the findings also indicate no significant relationship between supply chain orientation (SCO) and supply chain resilience (SCR). The later finding seems to be counterintuitive at first; however it could be explained in light of the relationship between the two orientations. Perhaps the most intriguing result is that supply chain orientation (SCO) is an antecedent to risk management orientation (RMO). This might indicate the existence of hierarchical structure. In other words, in the supply chain context, the development of supply chain orientation (SCO) precedes the development of risk management orientation (RMO). Thus, the relationship between SCO and SCR could be fully mediated by risk management orientation. Future research should clarify the nature of the relationship between the two orientations discussed here. Similarly, such hierarchical relationships could exist on a level of logistics capabilities. The results indicate that information management capabilities (IMC) serve as an antecedent to supply management capabilities (SMC).  This could mean that timely and accurate </w:t>
      </w:r>
      <w:r>
        <w:lastRenderedPageBreak/>
        <w:t xml:space="preserve">information is needed before supply management issues could be properly addressed. Both hierarchical structures are intriguing in their own right and require further empirical investigation. </w:t>
      </w:r>
    </w:p>
    <w:p w:rsidR="00AF3439" w:rsidRDefault="00AF3439" w:rsidP="00AF3439">
      <w:pPr>
        <w:spacing w:after="0" w:line="480" w:lineRule="auto"/>
        <w:ind w:firstLine="720"/>
      </w:pPr>
      <w:r>
        <w:t xml:space="preserve">Another set of interesting findings is related to the relationships between orientations and hypothesized outcomes of supply chain resilience. The results of the post-hoc model analysis indicate that an increase in risk management orientation (RMO) leads to a decrease in supply chain process variability (SCPV). Finally, both RMO and SCO serve as important antecedents to supply chain capital (SCC). Combined together these orientations explain about 56% of variation in SCC, while supply chain resilience contributes additional 30%. These research findings contribute to the previous work on supply chain capital (Autry and </w:t>
      </w:r>
      <w:proofErr w:type="spellStart"/>
      <w:r>
        <w:t>Griffis</w:t>
      </w:r>
      <w:proofErr w:type="spellEnd"/>
      <w:r>
        <w:t xml:space="preserve"> 2008, Min et al. 2008).</w:t>
      </w:r>
    </w:p>
    <w:p w:rsidR="006D593B" w:rsidRDefault="006D593B" w:rsidP="00AF3439">
      <w:pPr>
        <w:spacing w:after="0" w:line="480" w:lineRule="auto"/>
        <w:rPr>
          <w:i/>
        </w:rPr>
      </w:pPr>
    </w:p>
    <w:p w:rsidR="00AF3439" w:rsidRPr="009366AA" w:rsidRDefault="00AF3439" w:rsidP="00AF3439">
      <w:pPr>
        <w:spacing w:after="0" w:line="480" w:lineRule="auto"/>
        <w:rPr>
          <w:i/>
        </w:rPr>
      </w:pPr>
      <w:r w:rsidRPr="009366AA">
        <w:rPr>
          <w:i/>
        </w:rPr>
        <w:t>The Role of External Factors</w:t>
      </w:r>
    </w:p>
    <w:p w:rsidR="00AF3439" w:rsidRDefault="00AF3439" w:rsidP="00AF3439">
      <w:pPr>
        <w:spacing w:after="0" w:line="480" w:lineRule="auto"/>
        <w:ind w:firstLine="720"/>
      </w:pPr>
      <w:r>
        <w:t xml:space="preserve">The role of external factors in the resilience framework was acknowledged by testing the impact of environmental uncertainty (EU). It was hypothesized (Hypothesis 6) that a higher level of EU has a positive impact on risk management orientation (RMO). At the same time, another hypothesis (Hypothesis 3) stated that a higher level of EU results in a higher level of supply chain vulnerability (SCV). Hypothesis 3 was supported, while Hypothesis 6 was not supported, suggesting that RMO might play a different role in the conceptual framework. This is consistent with the findings related to an antecedent role of strategic orientations in the conceptual framework discussed earlier. Since it was found that a firm’s RMO plays an important role as an antecedent of IMC, SMC and SCR, the alternative contributors to RMO should be investigated in the future research as well. </w:t>
      </w:r>
    </w:p>
    <w:p w:rsidR="00AF3439" w:rsidRPr="00076731" w:rsidRDefault="00AF3439" w:rsidP="00AF3439">
      <w:pPr>
        <w:spacing w:after="0" w:line="480" w:lineRule="auto"/>
        <w:ind w:firstLine="720"/>
      </w:pPr>
      <w:r>
        <w:lastRenderedPageBreak/>
        <w:t>Subsequently, Hypothesis 2 posited that SCV has a negative impact on the firm’s supply chain resilience (SCR). The directionality of this hypothesis was supported, which is consistent with the earlier findings of negative relationships between vulnerabilities and resilience proposed by Pettit et al. (2010). The proposed relationship, however, was not statistically significant. At the same time, another hypothesis linked</w:t>
      </w:r>
      <w:r w:rsidRPr="00076731">
        <w:t xml:space="preserve"> SCV to performance outcomes. Specifically, Hypothesis 8 stated that </w:t>
      </w:r>
      <w:r>
        <w:t>supply chain v</w:t>
      </w:r>
      <w:r w:rsidRPr="00076731">
        <w:t>ulnerability (SCV)</w:t>
      </w:r>
      <w:r>
        <w:t xml:space="preserve"> is positively associated with supply chain process v</w:t>
      </w:r>
      <w:r w:rsidRPr="00076731">
        <w:t>ariability (SCPV).</w:t>
      </w:r>
      <w:r>
        <w:t xml:space="preserve"> This hypothesis was supported. Interestingly, while no significant relationship between supply chain resilience (SCR) and supply chain vulnerability (SCV) was found, both variables are influencing SCPV, but in different directions. While increases in SCV lead to an increase in SCPV, higher levels of SCR lead to lower levels of SCPV as stated by Hypothesis 7a. As companies try to find ways to decrease supply chain process variability, the findings of this research offer valuable insights on approaching such a task. Additionally, these results lead to a conclusion that further theoretical and empirical exploration of the relationships among environmental uncertainty, supply chain vulnerability, supply chain resilience, and related outcomes is necessary. The discovery of the true nature of the relationship between SCV and SCR would be especially intriguing. </w:t>
      </w:r>
    </w:p>
    <w:p w:rsidR="00AF3439" w:rsidRDefault="00AF3439" w:rsidP="00AF3439">
      <w:pPr>
        <w:pStyle w:val="Heading3"/>
        <w:spacing w:before="0" w:line="480" w:lineRule="auto"/>
        <w:jc w:val="both"/>
        <w:rPr>
          <w:rFonts w:ascii="Times New Roman" w:hAnsi="Times New Roman"/>
          <w:b w:val="0"/>
          <w:bCs w:val="0"/>
          <w:i/>
          <w:color w:val="000000"/>
        </w:rPr>
      </w:pPr>
    </w:p>
    <w:p w:rsidR="00AF3439" w:rsidRPr="00597B29" w:rsidRDefault="00AF3439" w:rsidP="00AF3439">
      <w:pPr>
        <w:pStyle w:val="Heading3"/>
        <w:spacing w:before="0" w:line="480" w:lineRule="auto"/>
        <w:jc w:val="both"/>
        <w:rPr>
          <w:rFonts w:ascii="Times New Roman" w:hAnsi="Times New Roman"/>
          <w:b w:val="0"/>
          <w:bCs w:val="0"/>
          <w:i/>
          <w:color w:val="000000"/>
        </w:rPr>
      </w:pPr>
      <w:r w:rsidRPr="00597B29">
        <w:rPr>
          <w:rFonts w:ascii="Times New Roman" w:hAnsi="Times New Roman"/>
          <w:b w:val="0"/>
          <w:bCs w:val="0"/>
          <w:i/>
          <w:color w:val="000000"/>
        </w:rPr>
        <w:t>Findings Related to the Outcomes of Supply Chain Resilience</w:t>
      </w:r>
    </w:p>
    <w:p w:rsidR="00AF3439" w:rsidRDefault="00AF3439" w:rsidP="00AF3439">
      <w:pPr>
        <w:autoSpaceDE w:val="0"/>
        <w:autoSpaceDN w:val="0"/>
        <w:adjustRightInd w:val="0"/>
        <w:spacing w:after="0" w:line="480" w:lineRule="auto"/>
        <w:ind w:firstLine="720"/>
      </w:pPr>
      <w:r>
        <w:t>Three specific value-based hypothesized outcomes of SCR were tested in this research.</w:t>
      </w:r>
    </w:p>
    <w:p w:rsidR="00AF3439" w:rsidRDefault="00AF3439" w:rsidP="00AF3439">
      <w:pPr>
        <w:autoSpaceDE w:val="0"/>
        <w:autoSpaceDN w:val="0"/>
        <w:adjustRightInd w:val="0"/>
        <w:spacing w:after="0" w:line="480" w:lineRule="auto"/>
      </w:pPr>
      <w:r>
        <w:t>First, Hypothesis 7a posited that</w:t>
      </w:r>
      <w:r w:rsidRPr="00874B63">
        <w:t xml:space="preserve"> </w:t>
      </w:r>
      <w:r>
        <w:t>a</w:t>
      </w:r>
      <w:r w:rsidRPr="00C0456D">
        <w:t xml:space="preserve"> higher level of the firm’s supply chain resilience results in a lower level of supply chain process variability.</w:t>
      </w:r>
      <w:r>
        <w:t xml:space="preserve"> Second, Hypothesis 7b stated that</w:t>
      </w:r>
      <w:r w:rsidRPr="00874B63">
        <w:t xml:space="preserve"> </w:t>
      </w:r>
      <w:r>
        <w:t>a</w:t>
      </w:r>
      <w:r w:rsidRPr="00C0456D">
        <w:t xml:space="preserve"> higher level of the firm’s supply chain resilience results in a higher level of supply chain capital.</w:t>
      </w:r>
      <w:r>
        <w:t xml:space="preserve"> Finally, Hypothesis 7c posited that</w:t>
      </w:r>
      <w:r w:rsidRPr="00874B63">
        <w:t xml:space="preserve"> </w:t>
      </w:r>
      <w:r>
        <w:t>a</w:t>
      </w:r>
      <w:r w:rsidRPr="00C0456D">
        <w:t xml:space="preserve"> higher level of the firm’s supply chain resilience results in a higher </w:t>
      </w:r>
      <w:r w:rsidRPr="00C0456D">
        <w:lastRenderedPageBreak/>
        <w:t>level of supply chain knowledge development.</w:t>
      </w:r>
      <w:r>
        <w:t xml:space="preserve"> All three hypotheses were supported. It is important to note that these relationships have not been established previously.</w:t>
      </w:r>
    </w:p>
    <w:p w:rsidR="00AF3439" w:rsidRPr="00874B63" w:rsidRDefault="00AF3439" w:rsidP="00AF3439">
      <w:pPr>
        <w:autoSpaceDE w:val="0"/>
        <w:autoSpaceDN w:val="0"/>
        <w:adjustRightInd w:val="0"/>
        <w:spacing w:after="0" w:line="480" w:lineRule="auto"/>
        <w:ind w:firstLine="720"/>
      </w:pPr>
      <w:r w:rsidRPr="00874B63">
        <w:t>Additionally, it was hypothesized that supply chain vulnerability</w:t>
      </w:r>
      <w:r>
        <w:t xml:space="preserve"> (SCV)</w:t>
      </w:r>
      <w:r w:rsidRPr="00874B63">
        <w:t xml:space="preserve"> is positively</w:t>
      </w:r>
      <w:r>
        <w:t xml:space="preserve"> </w:t>
      </w:r>
      <w:r w:rsidRPr="00874B63">
        <w:t>associated with supply chain pro</w:t>
      </w:r>
      <w:r>
        <w:t>cess variability (Hypothesis 8);</w:t>
      </w:r>
      <w:r w:rsidRPr="00874B63">
        <w:t xml:space="preserve"> supply chain process variability</w:t>
      </w:r>
      <w:r>
        <w:t xml:space="preserve"> (SCPV)</w:t>
      </w:r>
      <w:r w:rsidRPr="00874B63">
        <w:t xml:space="preserve"> is negatively associated with supp</w:t>
      </w:r>
      <w:r>
        <w:t>ly chain capital (Hypothesis 9),</w:t>
      </w:r>
      <w:r w:rsidRPr="00874B63">
        <w:t xml:space="preserve"> and increased supply chain capital </w:t>
      </w:r>
      <w:r>
        <w:t xml:space="preserve">(SCC) </w:t>
      </w:r>
      <w:r w:rsidRPr="00874B63">
        <w:t>leads to supply chain knowledge development (Hypothesis 10). All three hypotheses</w:t>
      </w:r>
      <w:r>
        <w:t xml:space="preserve"> (8-10) demonstrated right directionality and were statistically significant. They revealed the relationships among the outcomes of supply chain resilience. For example, earlier research has contributed to explaining the link between supply chain capital and supply chain knowledge development and called for further empirical investigation (Autry and </w:t>
      </w:r>
      <w:proofErr w:type="spellStart"/>
      <w:r>
        <w:t>Griffis</w:t>
      </w:r>
      <w:proofErr w:type="spellEnd"/>
      <w:r>
        <w:t xml:space="preserve"> 2008). This research contributes by proposing the operationalization of these constructs and testing the discussed relationship. Furthermore, this research finds that supply chain resilience and risk management orientation positively contribute to supply chain capital, while the relationship between supply chain process variability and supply chain capital are negative, but also statistically significant. These findings are very important for understanding how firms could contribute to increasing their supply chain capital.</w:t>
      </w:r>
    </w:p>
    <w:p w:rsidR="00AF3439" w:rsidRDefault="00AF3439" w:rsidP="00AF3439">
      <w:pPr>
        <w:spacing w:after="0" w:line="480" w:lineRule="auto"/>
        <w:ind w:firstLine="720"/>
      </w:pPr>
      <w:r>
        <w:t xml:space="preserve">This dissertation makes some important and significant contributions to the knowledge base. Both expected and unexpected results add to our understanding of the phenomenon of supply chain resilience and all the related constructs and interrelationships. The importance of supply management and information management capabilities was supported as well as the link between supply chain resilience and value-based outcomes such as supply chain capital and supply chain knowledge development. The role of supply chain resilience in reducing supply chain process variability was also confirmed. On the other hand, the hypothesized role of </w:t>
      </w:r>
      <w:r>
        <w:lastRenderedPageBreak/>
        <w:t>strategic orientations as potential moderators in the relationship between logistics capabilities and supply chain resilience was not supported. An alternative conceptual model, where strategic orientations play a role of antecedents of both capabilities and resilience, was proposed as a result. The hypothesized role of environmental uncertainty and supply chain vulnerability was only partially supported.  These and some other hypothesized relationships require additional empirical and theoretical justification in the future studies. The following narrative describes implications of the research findings as well as specific theoretical and managerial contributions.</w:t>
      </w:r>
    </w:p>
    <w:p w:rsidR="00AF3439" w:rsidRDefault="00AF3439" w:rsidP="00AF3439">
      <w:pPr>
        <w:pStyle w:val="Heading3"/>
        <w:spacing w:before="0" w:line="480" w:lineRule="auto"/>
        <w:jc w:val="both"/>
        <w:rPr>
          <w:rFonts w:ascii="Times New Roman" w:hAnsi="Times New Roman"/>
          <w:b w:val="0"/>
          <w:bCs w:val="0"/>
          <w:color w:val="000000"/>
        </w:rPr>
      </w:pPr>
      <w:bookmarkStart w:id="5" w:name="_Toc201421732"/>
      <w:bookmarkEnd w:id="4"/>
    </w:p>
    <w:p w:rsidR="00AF3439" w:rsidRDefault="00AF3439" w:rsidP="00AF3439">
      <w:pPr>
        <w:pStyle w:val="Heading3"/>
        <w:spacing w:before="0" w:line="480" w:lineRule="auto"/>
        <w:jc w:val="both"/>
        <w:rPr>
          <w:rFonts w:ascii="Times New Roman" w:hAnsi="Times New Roman"/>
          <w:b w:val="0"/>
          <w:bCs w:val="0"/>
          <w:color w:val="000000"/>
        </w:rPr>
      </w:pPr>
      <w:r>
        <w:rPr>
          <w:rFonts w:ascii="Times New Roman" w:hAnsi="Times New Roman"/>
          <w:b w:val="0"/>
          <w:bCs w:val="0"/>
          <w:color w:val="000000"/>
        </w:rPr>
        <w:t>CONTRIBUTION</w:t>
      </w:r>
      <w:bookmarkEnd w:id="5"/>
    </w:p>
    <w:p w:rsidR="00AF3439" w:rsidRDefault="00AF3439" w:rsidP="00AF3439">
      <w:pPr>
        <w:spacing w:after="0" w:line="480" w:lineRule="auto"/>
        <w:ind w:firstLine="720"/>
      </w:pPr>
      <w:r>
        <w:t xml:space="preserve">This dissertation offers several important theoretical and practical contributions. One of the major contributions is that this research provides a better understanding of supply chain resilience by defining it and explaining the relationships between supply chain resilience and the set of antecedents and value-based consequences. </w:t>
      </w:r>
      <w:r>
        <w:rPr>
          <w:bCs/>
        </w:rPr>
        <w:t>Any meaningful</w:t>
      </w:r>
      <w:r w:rsidRPr="00F2204D">
        <w:rPr>
          <w:bCs/>
        </w:rPr>
        <w:t xml:space="preserve"> contribution to the body of knowled</w:t>
      </w:r>
      <w:r>
        <w:rPr>
          <w:bCs/>
        </w:rPr>
        <w:t xml:space="preserve">ge should integrate </w:t>
      </w:r>
      <w:r w:rsidRPr="00F2204D">
        <w:rPr>
          <w:bCs/>
        </w:rPr>
        <w:t>current theories in the lit</w:t>
      </w:r>
      <w:r>
        <w:rPr>
          <w:bCs/>
        </w:rPr>
        <w:t xml:space="preserve">erature and make an attempt to take them to a new level with conceptual thoroughness and rigor (Churchill and Perrault 1982, Flint and </w:t>
      </w:r>
      <w:proofErr w:type="spellStart"/>
      <w:r>
        <w:rPr>
          <w:bCs/>
        </w:rPr>
        <w:t>Mentzer</w:t>
      </w:r>
      <w:proofErr w:type="spellEnd"/>
      <w:r>
        <w:rPr>
          <w:bCs/>
        </w:rPr>
        <w:t xml:space="preserve"> 1999). </w:t>
      </w:r>
      <w:r>
        <w:t xml:space="preserve"> From a theoretical standpoint, this dissertation utilizes existing theories such as resource-based view, resource dependence theory, and strategic choice theory to explain the major antecedents and outcomes of supply chain resilience. Building on previous research, and filling the gaps in the existing literature, this research offers new and valuable insights. It also provides empirical evidence of the potential impact of supply chain resilience, logistics capabilities, and strategic orientations on supply chain process variability, supply chain capital, and supply chain knowledge development. The role of environmental uncertainty and supply chain vulnerability is also researched. Most of investigated constructs and interrelationships </w:t>
      </w:r>
      <w:r>
        <w:lastRenderedPageBreak/>
        <w:t xml:space="preserve">among them were underexplored in the previous literature. Thus, this research opens the doors for new and intriguing questions and fruitful future research, while at the same time serving as a catalyst for further conceptualization and subsequent theory testing. </w:t>
      </w:r>
    </w:p>
    <w:p w:rsidR="00AF3439" w:rsidRDefault="00AF3439" w:rsidP="00AF3439">
      <w:pPr>
        <w:spacing w:after="0" w:line="480" w:lineRule="auto"/>
        <w:ind w:firstLine="720"/>
        <w:rPr>
          <w:color w:val="000000"/>
        </w:rPr>
      </w:pPr>
      <w:r>
        <w:t>From a managerial standpoint, it becomes increasingly important to understand the factors that influence the continuity of business operations and minimize the negative effects of supply chain disruptions.</w:t>
      </w:r>
      <w:r w:rsidRPr="00A62653">
        <w:t xml:space="preserve"> </w:t>
      </w:r>
      <w:r>
        <w:rPr>
          <w:bCs/>
        </w:rPr>
        <w:t>Relevance to practitioners assumes that they could use the research findings by applying the investigated concepts in their specific organizational settings, adjusting and manipulating related variables as needed (</w:t>
      </w:r>
      <w:proofErr w:type="spellStart"/>
      <w:r>
        <w:rPr>
          <w:bCs/>
        </w:rPr>
        <w:t>Varadarajan</w:t>
      </w:r>
      <w:proofErr w:type="spellEnd"/>
      <w:r>
        <w:rPr>
          <w:bCs/>
        </w:rPr>
        <w:t xml:space="preserve"> 2003). </w:t>
      </w:r>
      <w:r w:rsidRPr="00DA77C1">
        <w:t>The increased risks</w:t>
      </w:r>
      <w:r>
        <w:t xml:space="preserve"> and challenges of operating in a global domain require</w:t>
      </w:r>
      <w:r w:rsidRPr="00DA77C1">
        <w:t xml:space="preserve"> that </w:t>
      </w:r>
      <w:r>
        <w:t>managers</w:t>
      </w:r>
      <w:r w:rsidRPr="00DA77C1">
        <w:t xml:space="preserve"> gain a better t</w:t>
      </w:r>
      <w:r>
        <w:t>heoretical understanding of the</w:t>
      </w:r>
      <w:r w:rsidRPr="00DA77C1">
        <w:t xml:space="preserve"> emerging critical topic </w:t>
      </w:r>
      <w:r>
        <w:t xml:space="preserve">of supply chain resilience </w:t>
      </w:r>
      <w:r w:rsidRPr="00DA77C1">
        <w:t>in order to effectively manage</w:t>
      </w:r>
      <w:r>
        <w:t xml:space="preserve"> their companies in the turbulent</w:t>
      </w:r>
      <w:r w:rsidRPr="00DA77C1">
        <w:t xml:space="preserve"> business environment.</w:t>
      </w:r>
      <w:r>
        <w:t xml:space="preserve"> The findings of this research suggest that more attention should be given to cultivating a specific set of strategic orientations, information management and supply chain capabilities with the purpose of creating a resilient enterprise. </w:t>
      </w:r>
      <w:bookmarkStart w:id="6" w:name="_Toc201421733"/>
      <w:r>
        <w:t>More specific t</w:t>
      </w:r>
      <w:r>
        <w:rPr>
          <w:color w:val="000000"/>
        </w:rPr>
        <w:t>heoretical and managerial implications of this research are described in the following sections of this chapter.</w:t>
      </w:r>
    </w:p>
    <w:p w:rsidR="00AF3439" w:rsidRDefault="00AF3439" w:rsidP="00AF3439">
      <w:pPr>
        <w:pStyle w:val="Heading3"/>
        <w:spacing w:before="0" w:line="480" w:lineRule="auto"/>
        <w:jc w:val="both"/>
        <w:rPr>
          <w:rFonts w:ascii="Times New Roman" w:hAnsi="Times New Roman"/>
          <w:b w:val="0"/>
          <w:bCs w:val="0"/>
          <w:color w:val="000000"/>
        </w:rPr>
      </w:pPr>
    </w:p>
    <w:p w:rsidR="00AF3439" w:rsidRDefault="00AF3439" w:rsidP="00AF3439">
      <w:pPr>
        <w:pStyle w:val="Heading3"/>
        <w:spacing w:before="0" w:line="480" w:lineRule="auto"/>
        <w:jc w:val="both"/>
        <w:rPr>
          <w:rFonts w:ascii="Times New Roman" w:hAnsi="Times New Roman"/>
          <w:b w:val="0"/>
          <w:bCs w:val="0"/>
          <w:color w:val="000000"/>
        </w:rPr>
      </w:pPr>
      <w:r>
        <w:rPr>
          <w:rFonts w:ascii="Times New Roman" w:hAnsi="Times New Roman"/>
          <w:b w:val="0"/>
          <w:bCs w:val="0"/>
          <w:color w:val="000000"/>
        </w:rPr>
        <w:t>THEORETICAL IMPLICATIONS</w:t>
      </w:r>
      <w:bookmarkEnd w:id="6"/>
    </w:p>
    <w:p w:rsidR="00AF3439" w:rsidRPr="00AF3439" w:rsidRDefault="00AF3439" w:rsidP="00AF3439">
      <w:pPr>
        <w:pStyle w:val="Heading4"/>
        <w:spacing w:before="0" w:line="480" w:lineRule="auto"/>
        <w:jc w:val="both"/>
        <w:rPr>
          <w:rFonts w:ascii="Times New Roman" w:hAnsi="Times New Roman" w:cs="Times New Roman"/>
          <w:b w:val="0"/>
          <w:bCs w:val="0"/>
          <w:color w:val="auto"/>
          <w:u w:val="single"/>
        </w:rPr>
      </w:pPr>
      <w:r w:rsidRPr="00AF3439">
        <w:rPr>
          <w:rFonts w:ascii="Times New Roman" w:hAnsi="Times New Roman" w:cs="Times New Roman"/>
          <w:b w:val="0"/>
          <w:bCs w:val="0"/>
          <w:color w:val="auto"/>
          <w:u w:val="single"/>
        </w:rPr>
        <w:t>Defining and Measuring Supply Chain Resilience and Risk Management Orientation</w:t>
      </w:r>
    </w:p>
    <w:p w:rsidR="00AF3439" w:rsidRDefault="00AF3439" w:rsidP="00AF3439">
      <w:pPr>
        <w:spacing w:after="0" w:line="480" w:lineRule="auto"/>
        <w:ind w:firstLine="720"/>
      </w:pPr>
      <w:r>
        <w:t xml:space="preserve">One of the important theoretical contributions of this research is defining and measuring the concept of supply chain resilience (SCR). This contribution is important for several reasons. First, it is based on multidisciplinary perspectives adding to our understanding of the phenomenon in the supply chain context. Second, supply chain resilience is conceptualized at the firm level of analysis in the holistic conceptual framework of interrelated antecedents and </w:t>
      </w:r>
      <w:r>
        <w:lastRenderedPageBreak/>
        <w:t>outcomes. Next, this research proposes a psychometrically sound way of measuring supply chain resilience. The appropriate measures were developed, tested, and successfully validated.  This opens the doors for further empirical research and conceptualization. Additionally, this dissertation indicates several opportunities for future research and</w:t>
      </w:r>
      <w:r w:rsidRPr="00375A36">
        <w:t xml:space="preserve"> </w:t>
      </w:r>
      <w:r>
        <w:t>offers specific recommendations for conducting future research projects.</w:t>
      </w:r>
    </w:p>
    <w:p w:rsidR="00AF3439" w:rsidRDefault="00AF3439" w:rsidP="00AF3439">
      <w:pPr>
        <w:spacing w:after="0" w:line="480" w:lineRule="auto"/>
        <w:ind w:firstLine="720"/>
      </w:pPr>
      <w:r>
        <w:t>This research also introduces the conceptualization and measurement of risk management orientation (RMO) which fills the gap in the existing literature. Proposing this concept and testing the role of RMO is important for several reasons. First, supply chain risk management is a relatively new area of research. As with all new areas, it grows by developing and testing new constructs. RMO is one of such constructs. Development of a RMO construct also expands the stream of literature on different organizational orientations such as supply chain management orientation or market orientation. These orientations are important indicators of strategic focus. Finally, similarly to SCR, the appropriate measures of RMO were developed, tested, and successfully validated in this research, opening the door for further conceptual and empirical exploration.</w:t>
      </w:r>
    </w:p>
    <w:p w:rsidR="00AF3439" w:rsidRPr="00AF3439" w:rsidRDefault="00AF3439" w:rsidP="00AF3439">
      <w:pPr>
        <w:pStyle w:val="Heading4"/>
        <w:spacing w:before="0" w:line="480" w:lineRule="auto"/>
        <w:jc w:val="both"/>
        <w:rPr>
          <w:rFonts w:ascii="Times New Roman" w:hAnsi="Times New Roman" w:cs="Times New Roman"/>
          <w:b w:val="0"/>
          <w:bCs w:val="0"/>
          <w:color w:val="auto"/>
          <w:u w:val="single"/>
        </w:rPr>
      </w:pPr>
      <w:r w:rsidRPr="00AF3439">
        <w:rPr>
          <w:rFonts w:ascii="Times New Roman" w:hAnsi="Times New Roman" w:cs="Times New Roman"/>
          <w:b w:val="0"/>
          <w:bCs w:val="0"/>
          <w:color w:val="auto"/>
          <w:u w:val="single"/>
        </w:rPr>
        <w:t>Understanding the Antecedents of Supply Chain Resilience</w:t>
      </w:r>
    </w:p>
    <w:p w:rsidR="00AF3439" w:rsidRDefault="00AF3439" w:rsidP="00AF3439">
      <w:pPr>
        <w:spacing w:after="0" w:line="480" w:lineRule="auto"/>
      </w:pPr>
      <w:r>
        <w:tab/>
        <w:t>Another objective of this research was to determine the antecedents of supply chain resilience at the firm level of analysis. The focus on logistics capabilities not only reveals the significant role of logistics capabilities as antecedents in the proposed theoretical framework, but also suggests that these capabilities are vitally important for the success and even survival of firms following disruptive events. This finding contributes to the established stream of literature related to logistics capabilities and their outcomes (</w:t>
      </w:r>
      <w:proofErr w:type="spellStart"/>
      <w:r>
        <w:t>Olavarrieta</w:t>
      </w:r>
      <w:proofErr w:type="spellEnd"/>
      <w:r>
        <w:t xml:space="preserve"> and </w:t>
      </w:r>
      <w:proofErr w:type="spellStart"/>
      <w:r>
        <w:t>Ellinger</w:t>
      </w:r>
      <w:proofErr w:type="spellEnd"/>
      <w:r>
        <w:t xml:space="preserve"> 1997, Zhao, </w:t>
      </w:r>
      <w:proofErr w:type="spellStart"/>
      <w:r>
        <w:t>Droge</w:t>
      </w:r>
      <w:proofErr w:type="spellEnd"/>
      <w:r>
        <w:t xml:space="preserve"> and Stank 2001, </w:t>
      </w:r>
      <w:proofErr w:type="spellStart"/>
      <w:r>
        <w:t>Mentzer</w:t>
      </w:r>
      <w:proofErr w:type="spellEnd"/>
      <w:r>
        <w:t xml:space="preserve">, Min and Bobbitt 2004). Supply chain resilience in this sense could be </w:t>
      </w:r>
      <w:r>
        <w:lastRenderedPageBreak/>
        <w:t>viewed as one of the missing links between logistics capabilities and sustainable competitive advantage.</w:t>
      </w:r>
    </w:p>
    <w:p w:rsidR="00AF3439" w:rsidRDefault="00AF3439" w:rsidP="00AF3439">
      <w:pPr>
        <w:spacing w:after="0" w:line="480" w:lineRule="auto"/>
        <w:ind w:firstLine="720"/>
      </w:pPr>
      <w:r>
        <w:t xml:space="preserve">The role of strategic orientations was also discussed in detail. An alternative way to </w:t>
      </w:r>
      <w:proofErr w:type="spellStart"/>
      <w:r>
        <w:t>operationalize</w:t>
      </w:r>
      <w:proofErr w:type="spellEnd"/>
      <w:r>
        <w:t xml:space="preserve"> supply chain orientation (SCO) was proposed and successfully tested.  Specifically, the proposed view of SCO in this dissertation is not relationship-specific; the model also measures SCO as a first order construct instead of a second-order construct.  Traditionally SCO has been measured as a second order construct with several dimensions. For purposes of this research such measurement was adjusted and an alternative way of measurement was proposed. The approach presented in this research opens the doors for further theoretical debate and discussion of the role and position of supply chain orientation (SCO) in supply chain management research. Furthermore, this research offers important initial insights into the hierarchical structure of strategic firm orientations and capabilities</w:t>
      </w:r>
      <w:r w:rsidRPr="00206A5B">
        <w:t xml:space="preserve"> </w:t>
      </w:r>
      <w:r>
        <w:t>as discussed in the previous section.</w:t>
      </w:r>
    </w:p>
    <w:p w:rsidR="00AF3439" w:rsidRPr="00AF3439" w:rsidRDefault="00AF3439" w:rsidP="00AF3439">
      <w:pPr>
        <w:pStyle w:val="Heading4"/>
        <w:spacing w:before="0" w:line="480" w:lineRule="auto"/>
        <w:jc w:val="both"/>
        <w:rPr>
          <w:rFonts w:ascii="Times New Roman" w:hAnsi="Times New Roman" w:cs="Times New Roman"/>
          <w:b w:val="0"/>
          <w:bCs w:val="0"/>
          <w:color w:val="auto"/>
          <w:u w:val="single"/>
        </w:rPr>
      </w:pPr>
      <w:r w:rsidRPr="00AF3439">
        <w:rPr>
          <w:rFonts w:ascii="Times New Roman" w:hAnsi="Times New Roman" w:cs="Times New Roman"/>
          <w:b w:val="0"/>
          <w:bCs w:val="0"/>
          <w:color w:val="auto"/>
          <w:u w:val="single"/>
        </w:rPr>
        <w:t>Understanding the Outcomes of Supply Chain Resilience</w:t>
      </w:r>
    </w:p>
    <w:p w:rsidR="00AF3439" w:rsidRDefault="00AF3439" w:rsidP="00AF3439">
      <w:pPr>
        <w:spacing w:after="0" w:line="480" w:lineRule="auto"/>
      </w:pPr>
      <w:r>
        <w:tab/>
        <w:t>In contrast to many studies in the area of supply chain management that focus on measuring performance as the main and only outcome, this research offers an alternative approach focusing on more intermediate value-based performance outcomes, such as supply chain process variability, supply chain capital, and supply chain knowledge development.</w:t>
      </w:r>
    </w:p>
    <w:p w:rsidR="00AF3439" w:rsidRDefault="00AF3439" w:rsidP="00AF3439">
      <w:pPr>
        <w:spacing w:after="0" w:line="480" w:lineRule="auto"/>
      </w:pPr>
      <w:r>
        <w:t xml:space="preserve">This is an important theoretical implication that contributes in two major ways. Firstly, it contributes to the literature stream related to risk management and resilience by proposing and confirming that resilience leads to such value-based outcomes. And secondly, it contributes to the literature stream related to the relatively new area of supply chain capital that also could benefit from additional empirical confirmation (Autry and </w:t>
      </w:r>
      <w:proofErr w:type="spellStart"/>
      <w:r>
        <w:t>Griffis</w:t>
      </w:r>
      <w:proofErr w:type="spellEnd"/>
      <w:r>
        <w:t xml:space="preserve"> 2008). Furthermore, the way to </w:t>
      </w:r>
      <w:r>
        <w:lastRenderedPageBreak/>
        <w:t xml:space="preserve">measure such important new constructs as supply chain capital (SCC) and supply chain knowledge development (SCKD) was proposed, empirically tested, and validated in this research. In summary, proposing and testing an alternative set of intermediate value-based outcomes, this research advances two emerging areas of supply chain management research and opens a new path for further exploration and empirical testing. </w:t>
      </w:r>
    </w:p>
    <w:p w:rsidR="00AF3439" w:rsidRDefault="00AF3439" w:rsidP="00AF3439">
      <w:pPr>
        <w:spacing w:after="0" w:line="480" w:lineRule="auto"/>
      </w:pPr>
    </w:p>
    <w:p w:rsidR="00AF3439" w:rsidRDefault="00AF3439" w:rsidP="00AF3439">
      <w:pPr>
        <w:pStyle w:val="Heading3"/>
        <w:spacing w:before="0" w:line="480" w:lineRule="auto"/>
        <w:rPr>
          <w:rFonts w:ascii="Times New Roman" w:hAnsi="Times New Roman"/>
          <w:b w:val="0"/>
          <w:bCs w:val="0"/>
          <w:color w:val="000000"/>
        </w:rPr>
      </w:pPr>
      <w:bookmarkStart w:id="7" w:name="_Toc201421734"/>
      <w:r>
        <w:rPr>
          <w:rFonts w:ascii="Times New Roman" w:hAnsi="Times New Roman"/>
          <w:b w:val="0"/>
          <w:bCs w:val="0"/>
          <w:color w:val="000000"/>
        </w:rPr>
        <w:t>MANAGERIAL IMPLICATIONS</w:t>
      </w:r>
      <w:bookmarkEnd w:id="7"/>
    </w:p>
    <w:p w:rsidR="00AF3439" w:rsidRDefault="00AF3439" w:rsidP="00AF3439">
      <w:pPr>
        <w:spacing w:after="0" w:line="480" w:lineRule="auto"/>
        <w:ind w:firstLine="720"/>
      </w:pPr>
      <w:r>
        <w:t>There are also important managerial implications arising from this research. Previous studies have discussed the significance of supply chain resilience for success and long-term sustainability of companies. This research makes an impact by defining and measuring supply chain resilience at the firm level of analysis and offering much needed empirical support. It is done by combining important antecedents, external factors, and value-based outcomes of supply chain resilience in a testable conceptual framework. The following two categories of implications are especially important from a managerial perspective.</w:t>
      </w:r>
    </w:p>
    <w:p w:rsidR="00AF3439" w:rsidRDefault="00AF3439" w:rsidP="00AF3439">
      <w:pPr>
        <w:pStyle w:val="Heading4"/>
        <w:spacing w:before="0" w:line="480" w:lineRule="auto"/>
        <w:jc w:val="both"/>
        <w:rPr>
          <w:rFonts w:ascii="Times New Roman" w:hAnsi="Times New Roman" w:cs="Times New Roman"/>
          <w:b w:val="0"/>
          <w:bCs w:val="0"/>
          <w:color w:val="auto"/>
          <w:u w:val="single"/>
        </w:rPr>
      </w:pPr>
    </w:p>
    <w:p w:rsidR="00AF3439" w:rsidRPr="00AF3439" w:rsidRDefault="00AF3439" w:rsidP="00AF3439">
      <w:pPr>
        <w:pStyle w:val="Heading4"/>
        <w:spacing w:before="0" w:line="480" w:lineRule="auto"/>
        <w:jc w:val="both"/>
        <w:rPr>
          <w:rFonts w:ascii="Times New Roman" w:hAnsi="Times New Roman" w:cs="Times New Roman"/>
          <w:b w:val="0"/>
          <w:bCs w:val="0"/>
          <w:color w:val="auto"/>
          <w:u w:val="single"/>
        </w:rPr>
      </w:pPr>
      <w:r w:rsidRPr="00AF3439">
        <w:rPr>
          <w:rFonts w:ascii="Times New Roman" w:hAnsi="Times New Roman" w:cs="Times New Roman"/>
          <w:b w:val="0"/>
          <w:bCs w:val="0"/>
          <w:color w:val="auto"/>
          <w:u w:val="single"/>
        </w:rPr>
        <w:t>Defining and Measuring Supply Chain Resilience and Risk Management Orientation</w:t>
      </w:r>
    </w:p>
    <w:p w:rsidR="00AF3439" w:rsidRDefault="00AF3439" w:rsidP="00AF3439">
      <w:pPr>
        <w:spacing w:after="0" w:line="480" w:lineRule="auto"/>
      </w:pPr>
      <w:r>
        <w:tab/>
        <w:t>Changes to and disruptions of business operations are inevitable in the global marketplace. Taking into account the volatility of the competitive global environment, companies would serve themselves well by preparing to adapt to the threats and challenges of the external environment. Defining and measuring supply chain resilience and risk management orientation equips managers with the knowledge and tools necessary to prepare their companies for various risks and disruptions. This research contributes to such an understanding. Drawing on the dynamic capabilities extension of the resource-based view (</w:t>
      </w:r>
      <w:proofErr w:type="spellStart"/>
      <w:r>
        <w:t>Teece</w:t>
      </w:r>
      <w:proofErr w:type="spellEnd"/>
      <w:r>
        <w:t xml:space="preserve">, Pisano and </w:t>
      </w:r>
      <w:proofErr w:type="spellStart"/>
      <w:r>
        <w:t>Shuen</w:t>
      </w:r>
      <w:proofErr w:type="spellEnd"/>
      <w:r>
        <w:t xml:space="preserve"> 1997, </w:t>
      </w:r>
      <w:proofErr w:type="spellStart"/>
      <w:r>
        <w:lastRenderedPageBreak/>
        <w:t>Eisenhardt</w:t>
      </w:r>
      <w:proofErr w:type="spellEnd"/>
      <w:r>
        <w:t xml:space="preserve"> and Martin 2000), supply chain resilience is defined as a dynamic capability at the firm level, while risk management orientation is viewed in terms of specific organizational culture that should be cultivated and maintained. Additionally, managers need to be aware of the potential benefits related to supply chain resilience. For top level business executives, it is critical to know whether or not their firms should invest in building and maintaining supply chain resilience and where such investments should be directed. This research reveals specific ways to increase supply chain resilience. The findings from this research suggest that in order to increase resilience companies should focus on developing a specific set of strategic orientations and logistics capabilities such as information management and supply management capabilities. For example, making an investment in an integrated database could facilitate information sharing which is important for maintaining resilience. Similarly, managing supplier relationships strategically is also essential for maintaining operational flexibility and resilience at the time of disruptions.</w:t>
      </w:r>
    </w:p>
    <w:p w:rsidR="00AF3439" w:rsidRDefault="00AF3439" w:rsidP="00AF3439">
      <w:pPr>
        <w:pStyle w:val="Heading4"/>
        <w:spacing w:before="0" w:line="480" w:lineRule="auto"/>
        <w:jc w:val="both"/>
        <w:rPr>
          <w:rFonts w:ascii="Times New Roman" w:hAnsi="Times New Roman" w:cs="Times New Roman"/>
          <w:b w:val="0"/>
          <w:bCs w:val="0"/>
          <w:color w:val="auto"/>
          <w:u w:val="single"/>
        </w:rPr>
      </w:pPr>
    </w:p>
    <w:p w:rsidR="00AF3439" w:rsidRPr="00AF3439" w:rsidRDefault="00AF3439" w:rsidP="00AF3439">
      <w:pPr>
        <w:pStyle w:val="Heading4"/>
        <w:spacing w:before="0" w:line="480" w:lineRule="auto"/>
        <w:jc w:val="both"/>
        <w:rPr>
          <w:rFonts w:ascii="Times New Roman" w:hAnsi="Times New Roman" w:cs="Times New Roman"/>
          <w:b w:val="0"/>
          <w:bCs w:val="0"/>
          <w:color w:val="auto"/>
          <w:u w:val="single"/>
        </w:rPr>
      </w:pPr>
      <w:r w:rsidRPr="00AF3439">
        <w:rPr>
          <w:rFonts w:ascii="Times New Roman" w:hAnsi="Times New Roman" w:cs="Times New Roman"/>
          <w:b w:val="0"/>
          <w:bCs w:val="0"/>
          <w:color w:val="auto"/>
          <w:u w:val="single"/>
        </w:rPr>
        <w:t>Understanding the System of Antecedents and Outcomes of Supply Chain Resilience</w:t>
      </w:r>
    </w:p>
    <w:p w:rsidR="00AF3439" w:rsidRDefault="00AF3439" w:rsidP="00AF3439">
      <w:pPr>
        <w:spacing w:after="0" w:line="480" w:lineRule="auto"/>
        <w:ind w:firstLine="720"/>
      </w:pPr>
      <w:r>
        <w:t>This research offers a systemic perspective and shows that it is not wise to wait passively until supply chain disruptions occur. On the opposite, proactively investing in building a risk management orientation and appropriate organizational culture as well as developing a specific set of information management and supply management capabilities would be a much wiser strategy for establishing supply chain resilience. Building such awareness is another important managerial contribution. Furthermore, this research offers the ways to measure the return on such investments by analyzing specific value-based outcomes such as supply chain capital, supply chain process variability, and supply chain knowledge development. Additionally, n</w:t>
      </w:r>
      <w:r w:rsidRPr="00DA77C1">
        <w:t>ew</w:t>
      </w:r>
      <w:r>
        <w:t xml:space="preserve"> </w:t>
      </w:r>
      <w:r>
        <w:lastRenderedPageBreak/>
        <w:t>approaches to evaluating</w:t>
      </w:r>
      <w:r w:rsidRPr="00DA77C1">
        <w:t xml:space="preserve"> logistics performance at the time of disruption </w:t>
      </w:r>
      <w:r>
        <w:t>and maintaining</w:t>
      </w:r>
      <w:r w:rsidRPr="00DA77C1">
        <w:t xml:space="preserve"> continuity of supply chain flows</w:t>
      </w:r>
      <w:r>
        <w:t xml:space="preserve"> are proposed</w:t>
      </w:r>
      <w:r w:rsidRPr="00DA77C1">
        <w:t xml:space="preserve">. </w:t>
      </w:r>
      <w:r>
        <w:t xml:space="preserve">For example, if supply chain managers want to minimize supply chain process variability in terms of unwanted variations in lead time and production output, the appropriate investments in establishing and maintaining supply chain resilience through developing specific capabilities and strategic orientations should be made. </w:t>
      </w:r>
      <w:r w:rsidRPr="00DA77C1">
        <w:t xml:space="preserve">Managers may also consider </w:t>
      </w:r>
      <w:r>
        <w:t xml:space="preserve">the knowledge development aspects of the supply chain resilience framework and strive to proactively learn from previous events in order to manage supply-related risks better in the future. Maintaining a well-functioning organizational system of supply chain knowledge development could help managers create an effective repertoire of responses to the challenges of the external environment and avoid repeating the same mistakes. Those companies that make such proactive efforts a primary focus of managerial attention will be better positioned for long-term survival and sustainability. </w:t>
      </w:r>
    </w:p>
    <w:p w:rsidR="00AF3439" w:rsidRDefault="00AF3439" w:rsidP="00AF3439">
      <w:pPr>
        <w:pStyle w:val="StyleHeading2Heading2SectionTitleTimesNewRoman12pt1"/>
        <w:rPr>
          <w:b/>
          <w:i w:val="0"/>
        </w:rPr>
      </w:pPr>
      <w:bookmarkStart w:id="8" w:name="_Toc201421735"/>
    </w:p>
    <w:p w:rsidR="00AF3439" w:rsidRDefault="00AF3439" w:rsidP="00AF3439">
      <w:pPr>
        <w:pStyle w:val="StyleHeading2Heading2SectionTitleTimesNewRoman12pt1"/>
        <w:rPr>
          <w:b/>
          <w:i w:val="0"/>
        </w:rPr>
      </w:pPr>
      <w:r>
        <w:rPr>
          <w:b/>
          <w:i w:val="0"/>
        </w:rPr>
        <w:t>LIMITATIONS AND FUTURE RESEARCH OPPORTUNITIES</w:t>
      </w:r>
      <w:bookmarkEnd w:id="8"/>
    </w:p>
    <w:p w:rsidR="00AF3439" w:rsidRDefault="00AF3439" w:rsidP="00AF3439">
      <w:pPr>
        <w:rPr>
          <w:color w:val="000000"/>
        </w:rPr>
      </w:pPr>
    </w:p>
    <w:p w:rsidR="00AF3439" w:rsidRDefault="00AF3439" w:rsidP="00AF3439">
      <w:pPr>
        <w:rPr>
          <w:color w:val="000000"/>
        </w:rPr>
      </w:pPr>
      <w:r>
        <w:rPr>
          <w:color w:val="000000"/>
        </w:rPr>
        <w:t>LIMITATIONS</w:t>
      </w:r>
    </w:p>
    <w:p w:rsidR="00AF3439" w:rsidRDefault="00AF3439" w:rsidP="00AF3439">
      <w:pPr>
        <w:spacing w:after="0" w:line="480" w:lineRule="auto"/>
        <w:ind w:firstLine="720"/>
        <w:rPr>
          <w:color w:val="000000"/>
        </w:rPr>
      </w:pPr>
      <w:r>
        <w:rPr>
          <w:color w:val="000000"/>
        </w:rPr>
        <w:t>All research methods and designs have their own flaws and limitations (McGrath 1981).</w:t>
      </w:r>
    </w:p>
    <w:p w:rsidR="00AF3439" w:rsidRDefault="00AF3439" w:rsidP="00AF3439">
      <w:pPr>
        <w:spacing w:after="0" w:line="480" w:lineRule="auto"/>
        <w:rPr>
          <w:color w:val="000000"/>
        </w:rPr>
      </w:pPr>
      <w:r>
        <w:rPr>
          <w:color w:val="000000"/>
        </w:rPr>
        <w:t>The limitations of this research include inherent weaknesses of cross-sectional methodology, limitations associated with the nature of the chosen sample, and constraints related to the scope of the survey as well as the depth of information that could be captured from perceptual measures collected from single informant representatives of each participating company.</w:t>
      </w:r>
    </w:p>
    <w:p w:rsidR="00AF3439" w:rsidRDefault="00AF3439" w:rsidP="00AF3439">
      <w:pPr>
        <w:spacing w:after="0" w:line="480" w:lineRule="auto"/>
        <w:ind w:firstLine="720"/>
        <w:rPr>
          <w:color w:val="000000"/>
        </w:rPr>
      </w:pPr>
      <w:r>
        <w:rPr>
          <w:color w:val="000000"/>
        </w:rPr>
        <w:t xml:space="preserve">One major limitation of a cross-sectional study design is that investigation of the phenomenon of supply chain resilience is limited to a point-in-time assessment.  Longitudinal </w:t>
      </w:r>
      <w:r>
        <w:rPr>
          <w:color w:val="000000"/>
        </w:rPr>
        <w:lastRenderedPageBreak/>
        <w:t>research designs, on the other hand, could capture a dynamic nature of the phenomena of interest, which is especially important for capturing the effects of various supply chain disruptions on resilience and performance outcomes in the long run. Thus, a longitudinal focus is recommended for future studies in order to obtain additional valuable insights that would complement the results of this research. Additionally, it could be recommended to improve the quality of the data by obtaining the data from multiple informants. This was achieved only for some companies in the researched sample. Similarly, a dyadic or triadic data collection could also provide valuable insights as well as extending the reach of the survey to the non US-based companies.</w:t>
      </w:r>
    </w:p>
    <w:p w:rsidR="00AF3439" w:rsidRDefault="00AF3439" w:rsidP="00AF3439">
      <w:pPr>
        <w:spacing w:after="0" w:line="480" w:lineRule="auto"/>
        <w:ind w:firstLine="720"/>
        <w:rPr>
          <w:color w:val="000000"/>
        </w:rPr>
      </w:pPr>
      <w:r>
        <w:rPr>
          <w:color w:val="000000"/>
        </w:rPr>
        <w:t xml:space="preserve">Most latent variables in this research were measured by more than five items.  Environmental uncertainty (EU) and supply chain knowledge development (SCKD) are two notable exceptions that were measured based on the three-item scales. While SCKD was originally conceptualized that way and the scales were properly validated, EU became a three-item construct in the process of scale refinement. While all the scales (including those for EU and SCKD) went through a rigorous process of statistical validation in this study, future research might benefit from a more comprehensive way to </w:t>
      </w:r>
      <w:proofErr w:type="spellStart"/>
      <w:r>
        <w:rPr>
          <w:color w:val="000000"/>
        </w:rPr>
        <w:t>operationalize</w:t>
      </w:r>
      <w:proofErr w:type="spellEnd"/>
      <w:r>
        <w:rPr>
          <w:color w:val="000000"/>
        </w:rPr>
        <w:t xml:space="preserve"> EU, capturing additional dimensions.</w:t>
      </w:r>
    </w:p>
    <w:p w:rsidR="00AF3439" w:rsidRDefault="00AF3439" w:rsidP="00AF3439">
      <w:pPr>
        <w:spacing w:after="0" w:line="480" w:lineRule="auto"/>
        <w:ind w:firstLine="720"/>
        <w:rPr>
          <w:color w:val="000000"/>
        </w:rPr>
      </w:pPr>
      <w:r>
        <w:rPr>
          <w:color w:val="000000"/>
        </w:rPr>
        <w:t xml:space="preserve">While every effort was made to validate the obtained results and address a common-method bias, collecting additional hard data for some of the variables could be additionally recommended. For example, more objective data on lead time variability could be used in the extension of this research if the researcher is provided with access to such database from one or several companies. Additional potential insights from such efforts could be well worth an inevitable sacrifice in </w:t>
      </w:r>
      <w:proofErr w:type="spellStart"/>
      <w:r>
        <w:rPr>
          <w:color w:val="000000"/>
        </w:rPr>
        <w:t>generalizability</w:t>
      </w:r>
      <w:proofErr w:type="spellEnd"/>
      <w:r>
        <w:rPr>
          <w:color w:val="000000"/>
        </w:rPr>
        <w:t xml:space="preserve">.  </w:t>
      </w:r>
    </w:p>
    <w:p w:rsidR="00AF3439" w:rsidRDefault="00AF3439" w:rsidP="00AF3439">
      <w:pPr>
        <w:spacing w:after="0" w:line="480" w:lineRule="auto"/>
        <w:ind w:firstLine="720"/>
        <w:rPr>
          <w:color w:val="000000"/>
        </w:rPr>
      </w:pPr>
      <w:r w:rsidRPr="00A10A49">
        <w:lastRenderedPageBreak/>
        <w:t xml:space="preserve">In general, each method has its own limitations, </w:t>
      </w:r>
      <w:r>
        <w:t xml:space="preserve">strengths and </w:t>
      </w:r>
      <w:r w:rsidRPr="00A10A49">
        <w:t xml:space="preserve">weaknesses. </w:t>
      </w:r>
      <w:r>
        <w:t xml:space="preserve"> Therefore, every research endeavor</w:t>
      </w:r>
      <w:r w:rsidRPr="00A10A49">
        <w:t>, qualitative or quantitative, must be evaluated</w:t>
      </w:r>
      <w:r>
        <w:t xml:space="preserve"> in terms of the specific assumptions</w:t>
      </w:r>
      <w:r w:rsidRPr="00A10A49">
        <w:t xml:space="preserve"> and procedures of </w:t>
      </w:r>
      <w:r>
        <w:t>the research methods that were</w:t>
      </w:r>
      <w:r w:rsidRPr="00A10A49">
        <w:t xml:space="preserve"> used to generate the findings. McGrath (1982) </w:t>
      </w:r>
      <w:r>
        <w:t>recognizes this method-selection process as optimization</w:t>
      </w:r>
      <w:r w:rsidRPr="00A10A49">
        <w:t xml:space="preserve"> and concludes that while research will always be flawed due to the trade-off between strengths and weaknesses inherent in every method, a well thought out select</w:t>
      </w:r>
      <w:r>
        <w:t xml:space="preserve">ion of methods is crucial to the strength </w:t>
      </w:r>
      <w:r w:rsidRPr="00A10A49">
        <w:t xml:space="preserve">of research. </w:t>
      </w:r>
      <w:r>
        <w:t xml:space="preserve"> Thus, it is impossible to do </w:t>
      </w:r>
      <w:r w:rsidRPr="00A10A49">
        <w:t>flawless research, but testing the same theory using multiple methods is a goo</w:t>
      </w:r>
      <w:r>
        <w:t>d way to handle the limitations of</w:t>
      </w:r>
      <w:r w:rsidRPr="00A10A49">
        <w:t xml:space="preserve"> each method.</w:t>
      </w:r>
    </w:p>
    <w:p w:rsidR="00AF3439" w:rsidRDefault="00AF3439" w:rsidP="00AF3439">
      <w:pPr>
        <w:pStyle w:val="Heading3"/>
        <w:spacing w:before="0" w:line="480" w:lineRule="auto"/>
        <w:jc w:val="both"/>
        <w:rPr>
          <w:rStyle w:val="Heading4DissertationChar"/>
          <w:rFonts w:ascii="Times New Roman" w:hAnsi="Times New Roman"/>
          <w:i w:val="0"/>
          <w:iCs w:val="0"/>
        </w:rPr>
      </w:pPr>
      <w:bookmarkStart w:id="9" w:name="_Toc201421737"/>
    </w:p>
    <w:p w:rsidR="00AF3439" w:rsidRPr="0011223C" w:rsidRDefault="00AF3439" w:rsidP="00AF3439">
      <w:pPr>
        <w:pStyle w:val="Heading3"/>
        <w:spacing w:before="0" w:line="480" w:lineRule="auto"/>
        <w:jc w:val="both"/>
        <w:rPr>
          <w:rFonts w:ascii="Times New Roman" w:hAnsi="Times New Roman"/>
          <w:i/>
          <w:iCs/>
          <w:color w:val="000000"/>
        </w:rPr>
      </w:pPr>
      <w:r w:rsidRPr="0011223C">
        <w:rPr>
          <w:rStyle w:val="Heading4DissertationChar"/>
          <w:rFonts w:ascii="Times New Roman" w:hAnsi="Times New Roman"/>
          <w:i w:val="0"/>
        </w:rPr>
        <w:t>SUGGESTIONS FOR FUTURE RESEARCH</w:t>
      </w:r>
      <w:bookmarkEnd w:id="9"/>
    </w:p>
    <w:p w:rsidR="00AF3439" w:rsidRDefault="00AF3439" w:rsidP="00AF3439">
      <w:pPr>
        <w:autoSpaceDE w:val="0"/>
        <w:autoSpaceDN w:val="0"/>
        <w:adjustRightInd w:val="0"/>
        <w:spacing w:after="0" w:line="480" w:lineRule="auto"/>
        <w:ind w:firstLine="720"/>
      </w:pPr>
      <w:r>
        <w:t xml:space="preserve">The opportunities for further research are abundant. This research generates multiple questions that could be answered in the future. For example, the following research questions could be proposed: </w:t>
      </w:r>
    </w:p>
    <w:p w:rsidR="00AF3439" w:rsidRDefault="00AF3439" w:rsidP="007743FB">
      <w:pPr>
        <w:pStyle w:val="ListParagraph"/>
        <w:numPr>
          <w:ilvl w:val="0"/>
          <w:numId w:val="55"/>
        </w:numPr>
        <w:autoSpaceDE w:val="0"/>
        <w:autoSpaceDN w:val="0"/>
        <w:adjustRightInd w:val="0"/>
        <w:spacing w:after="0" w:line="480" w:lineRule="auto"/>
        <w:contextualSpacing/>
      </w:pPr>
      <w:r>
        <w:t>What are some of the other potential antecedents of supply chain resilience at the firm level of analysis? What other capabilities are important for building supply chain resilience?</w:t>
      </w:r>
    </w:p>
    <w:p w:rsidR="00AF3439" w:rsidRDefault="00AF3439" w:rsidP="007743FB">
      <w:pPr>
        <w:pStyle w:val="ListParagraph"/>
        <w:numPr>
          <w:ilvl w:val="0"/>
          <w:numId w:val="55"/>
        </w:numPr>
        <w:autoSpaceDE w:val="0"/>
        <w:autoSpaceDN w:val="0"/>
        <w:adjustRightInd w:val="0"/>
        <w:spacing w:after="0" w:line="480" w:lineRule="auto"/>
        <w:contextualSpacing/>
      </w:pPr>
      <w:r>
        <w:t>What additional variables could be included in the proposed framework? What are some of the potential moderators of the relationships between logistics capabilities and supply chain resilience? For example, could supply chain complexity be a potential moderator?</w:t>
      </w:r>
    </w:p>
    <w:p w:rsidR="00AF3439" w:rsidRDefault="00AF3439" w:rsidP="007743FB">
      <w:pPr>
        <w:pStyle w:val="ListParagraph"/>
        <w:numPr>
          <w:ilvl w:val="0"/>
          <w:numId w:val="55"/>
        </w:numPr>
        <w:autoSpaceDE w:val="0"/>
        <w:autoSpaceDN w:val="0"/>
        <w:adjustRightInd w:val="0"/>
        <w:spacing w:after="0" w:line="480" w:lineRule="auto"/>
        <w:contextualSpacing/>
      </w:pPr>
      <w:r>
        <w:t>What is the nature of the relationship between supply chain vulnerability and supply chain resilience?</w:t>
      </w:r>
    </w:p>
    <w:p w:rsidR="00AF3439" w:rsidRDefault="00AF3439" w:rsidP="007743FB">
      <w:pPr>
        <w:pStyle w:val="ListParagraph"/>
        <w:numPr>
          <w:ilvl w:val="0"/>
          <w:numId w:val="55"/>
        </w:numPr>
        <w:autoSpaceDE w:val="0"/>
        <w:autoSpaceDN w:val="0"/>
        <w:adjustRightInd w:val="0"/>
        <w:spacing w:after="0" w:line="480" w:lineRule="auto"/>
        <w:contextualSpacing/>
      </w:pPr>
      <w:r>
        <w:lastRenderedPageBreak/>
        <w:t>Could a direct link between supply chain resilience and operational performance be established?</w:t>
      </w:r>
    </w:p>
    <w:p w:rsidR="00AF3439" w:rsidRDefault="00AF3439" w:rsidP="007743FB">
      <w:pPr>
        <w:pStyle w:val="ListParagraph"/>
        <w:numPr>
          <w:ilvl w:val="0"/>
          <w:numId w:val="55"/>
        </w:numPr>
        <w:autoSpaceDE w:val="0"/>
        <w:autoSpaceDN w:val="0"/>
        <w:adjustRightInd w:val="0"/>
        <w:spacing w:after="0" w:line="480" w:lineRule="auto"/>
        <w:contextualSpacing/>
      </w:pPr>
      <w:r>
        <w:t>Could the results of this research be replicated under different contextual conditions, such as international settings or dyadic or supply chain network level of analysis?</w:t>
      </w:r>
    </w:p>
    <w:p w:rsidR="00AF3439" w:rsidRDefault="00AF3439" w:rsidP="00AF3439">
      <w:pPr>
        <w:pStyle w:val="ListParagraph"/>
        <w:autoSpaceDE w:val="0"/>
        <w:autoSpaceDN w:val="0"/>
        <w:adjustRightInd w:val="0"/>
        <w:spacing w:after="0" w:line="480" w:lineRule="auto"/>
        <w:ind w:left="1080"/>
      </w:pPr>
      <w:r>
        <w:t>For example, resilience could be further studied in the context of dyadic buyer-supplier relationships.</w:t>
      </w:r>
    </w:p>
    <w:p w:rsidR="00AF3439" w:rsidRDefault="00AF3439" w:rsidP="00AF3439">
      <w:pPr>
        <w:autoSpaceDE w:val="0"/>
        <w:autoSpaceDN w:val="0"/>
        <w:adjustRightInd w:val="0"/>
        <w:spacing w:after="0" w:line="480" w:lineRule="auto"/>
        <w:ind w:firstLine="720"/>
      </w:pPr>
      <w:r>
        <w:t>The following recommendations could assist researchers in answering the questions stated above as well as many other related research questions.</w:t>
      </w:r>
    </w:p>
    <w:p w:rsidR="0011223C" w:rsidRDefault="0011223C" w:rsidP="00AF3439">
      <w:pPr>
        <w:pStyle w:val="Heading4"/>
        <w:spacing w:before="0" w:line="480" w:lineRule="auto"/>
        <w:jc w:val="both"/>
        <w:rPr>
          <w:rStyle w:val="Heading4DissertationChar"/>
          <w:rFonts w:ascii="Times New Roman" w:hAnsi="Times New Roman" w:cs="Times New Roman"/>
          <w:u w:val="single"/>
        </w:rPr>
      </w:pPr>
    </w:p>
    <w:p w:rsidR="00AF3439" w:rsidRPr="0011223C" w:rsidRDefault="00AF3439" w:rsidP="00AF3439">
      <w:pPr>
        <w:pStyle w:val="Heading4"/>
        <w:spacing w:before="0" w:line="480" w:lineRule="auto"/>
        <w:jc w:val="both"/>
        <w:rPr>
          <w:rStyle w:val="Heading4DissertationChar"/>
          <w:rFonts w:ascii="Times New Roman" w:hAnsi="Times New Roman" w:cs="Times New Roman"/>
          <w:u w:val="single"/>
        </w:rPr>
      </w:pPr>
      <w:r w:rsidRPr="0011223C">
        <w:rPr>
          <w:rStyle w:val="Heading4DissertationChar"/>
          <w:rFonts w:ascii="Times New Roman" w:hAnsi="Times New Roman" w:cs="Times New Roman"/>
          <w:u w:val="single"/>
        </w:rPr>
        <w:t>Addressing methodological limitations in future research</w:t>
      </w:r>
    </w:p>
    <w:p w:rsidR="00AF3439" w:rsidRDefault="00AF3439" w:rsidP="00AF3439">
      <w:pPr>
        <w:autoSpaceDE w:val="0"/>
        <w:autoSpaceDN w:val="0"/>
        <w:adjustRightInd w:val="0"/>
        <w:spacing w:after="0" w:line="480" w:lineRule="auto"/>
        <w:ind w:firstLine="720"/>
      </w:pPr>
      <w:r>
        <w:t>First of all, the methodological limitations discussed in the previous section could be addressed in related future research by using the principles of methodological triangulation and employing a variety of quantitative and qualitative methods.  For example, a simulation study could be conducted to investigate the elements of supply chain resilience framework in relation to specific supply chain risks and disruptions. Similarly, several experimental design studies could be also proposed based on developing different scenarios of supply-, demand-, and operations-related disruptions.</w:t>
      </w:r>
      <w:r w:rsidRPr="004619A5">
        <w:t xml:space="preserve"> </w:t>
      </w:r>
      <w:r>
        <w:t xml:space="preserve">Alternatively, conducting a longitudinal study could address the methodological limitations of cross-sectional research and further emphasize the role of importance of the outcomes of supply chain resilience. </w:t>
      </w:r>
    </w:p>
    <w:p w:rsidR="00AF3439" w:rsidRDefault="00AF3439" w:rsidP="00AF3439">
      <w:pPr>
        <w:autoSpaceDE w:val="0"/>
        <w:autoSpaceDN w:val="0"/>
        <w:adjustRightInd w:val="0"/>
        <w:spacing w:after="0" w:line="480" w:lineRule="auto"/>
        <w:ind w:firstLine="720"/>
      </w:pPr>
      <w:r>
        <w:t xml:space="preserve">Additional understanding of the phenomena of interest could be gained by using a qualitative approach.  For example, supply chain resilience could be further researched from the managerial perspective using grounded theory qualitative tradition.  This approach is proven to be useful in generating depth of understanding when complex social processes such as </w:t>
      </w:r>
      <w:r>
        <w:lastRenderedPageBreak/>
        <w:t>managerial decision-making under uncertainty are researched. Future research should enhance our understanding of the resilience framework at the managerial level, emphasizing the division of responsibilities between functional areas and levels of management in the organization.</w:t>
      </w:r>
    </w:p>
    <w:p w:rsidR="00AF3439" w:rsidRDefault="00AF3439" w:rsidP="00AF3439">
      <w:pPr>
        <w:autoSpaceDE w:val="0"/>
        <w:autoSpaceDN w:val="0"/>
        <w:adjustRightInd w:val="0"/>
        <w:spacing w:after="0" w:line="480" w:lineRule="auto"/>
        <w:ind w:firstLine="720"/>
      </w:pPr>
      <w:r>
        <w:t>The future research agenda for supply chain resilience could also benefit from diversifying data sources, times of collecting data, and data collection methods. Investigator triangulation could be also achieved with the help of different investigators collecting data independently. The sources of common method variance could be additionally minimized if a researcher could obtain access to a reliable source of hard data for some of the investigated variables such as supply chain process variability or other variables (</w:t>
      </w:r>
      <w:proofErr w:type="spellStart"/>
      <w:r>
        <w:rPr>
          <w:lang w:eastAsia="zh-CN"/>
        </w:rPr>
        <w:t>Lindell</w:t>
      </w:r>
      <w:proofErr w:type="spellEnd"/>
      <w:r>
        <w:rPr>
          <w:lang w:eastAsia="zh-CN"/>
        </w:rPr>
        <w:t xml:space="preserve"> and Whitney 2001, </w:t>
      </w:r>
      <w:proofErr w:type="spellStart"/>
      <w:r>
        <w:t>Podsakoff</w:t>
      </w:r>
      <w:proofErr w:type="spellEnd"/>
      <w:r>
        <w:t xml:space="preserve"> et al. 2003).</w:t>
      </w:r>
    </w:p>
    <w:p w:rsidR="00AF3439" w:rsidRPr="0011223C" w:rsidRDefault="00AF3439" w:rsidP="00AF3439">
      <w:pPr>
        <w:pStyle w:val="Heading4"/>
        <w:spacing w:line="480" w:lineRule="auto"/>
        <w:jc w:val="both"/>
        <w:rPr>
          <w:rStyle w:val="Heading4DissertationChar"/>
          <w:rFonts w:ascii="Times New Roman" w:hAnsi="Times New Roman" w:cs="Times New Roman"/>
          <w:u w:val="single"/>
        </w:rPr>
      </w:pPr>
      <w:r w:rsidRPr="0011223C">
        <w:rPr>
          <w:rStyle w:val="Heading4DissertationChar"/>
          <w:rFonts w:ascii="Times New Roman" w:hAnsi="Times New Roman" w:cs="Times New Roman"/>
          <w:u w:val="single"/>
        </w:rPr>
        <w:t>Extending this Research by Adding New Variables and Making Conceptual Modifications</w:t>
      </w:r>
    </w:p>
    <w:p w:rsidR="00AF3439" w:rsidRDefault="00AF3439" w:rsidP="00AF3439">
      <w:pPr>
        <w:autoSpaceDE w:val="0"/>
        <w:autoSpaceDN w:val="0"/>
        <w:adjustRightInd w:val="0"/>
        <w:spacing w:line="480" w:lineRule="auto"/>
        <w:ind w:firstLine="720"/>
      </w:pPr>
      <w:r>
        <w:t xml:space="preserve">Analyzing the effects of additional variables could also benefit future research in order to further develop a theory of supply chain resilience. For example, the moderating effects of long-term relationship orientation could be of interest. </w:t>
      </w:r>
      <w:r w:rsidRPr="006B59EB">
        <w:t xml:space="preserve">The construct of long-term relationship orientation (LTRO) in buyer-seller relationships was proposed by </w:t>
      </w:r>
      <w:proofErr w:type="spellStart"/>
      <w:r w:rsidRPr="006B59EB">
        <w:t>Ganesan</w:t>
      </w:r>
      <w:proofErr w:type="spellEnd"/>
      <w:r w:rsidRPr="006B59EB">
        <w:t xml:space="preserve"> (1994) an</w:t>
      </w:r>
      <w:r>
        <w:t>d developed in subsequent</w:t>
      </w:r>
      <w:r w:rsidRPr="006B59EB">
        <w:t xml:space="preserve"> studies. Through a long-term relationship, the supplier becomes </w:t>
      </w:r>
      <w:r>
        <w:t xml:space="preserve">a </w:t>
      </w:r>
      <w:r w:rsidRPr="006B59EB">
        <w:t>part of a well-managed chain and could have a lasting effect on the competitiveness of the entire supply chain (</w:t>
      </w:r>
      <w:proofErr w:type="spellStart"/>
      <w:r w:rsidRPr="006B59EB">
        <w:t>Choi</w:t>
      </w:r>
      <w:proofErr w:type="spellEnd"/>
      <w:r w:rsidRPr="006B59EB">
        <w:t xml:space="preserve"> and Hartley 1996; Ogden et al. 2005).  </w:t>
      </w:r>
      <w:proofErr w:type="spellStart"/>
      <w:r w:rsidRPr="006B59EB">
        <w:t>Heide</w:t>
      </w:r>
      <w:proofErr w:type="spellEnd"/>
      <w:r w:rsidRPr="006B59EB">
        <w:t xml:space="preserve"> and John (1990) find that close long-term relationships emerge in response to the need for protecting relationship-specific assets.</w:t>
      </w:r>
      <w:r>
        <w:t xml:space="preserve"> Using this view in the context of the research presented in this dissertation could potentially contribute to the exploration of the relational dimensions of supply chain resilience and supply chain capital, adding a new interesting perspective.</w:t>
      </w:r>
    </w:p>
    <w:p w:rsidR="00AF3439" w:rsidRDefault="00AF3439" w:rsidP="00AF3439">
      <w:pPr>
        <w:autoSpaceDE w:val="0"/>
        <w:autoSpaceDN w:val="0"/>
        <w:adjustRightInd w:val="0"/>
        <w:spacing w:line="480" w:lineRule="auto"/>
        <w:ind w:firstLine="720"/>
      </w:pPr>
      <w:r>
        <w:lastRenderedPageBreak/>
        <w:t>This research could be also extended by incorporating a feedback loop between the supply chain knowledge development outcome of supply chain resilience and the antecedent strategic orientations with subsequent development of the appropriate combination of capabilities. A social network perspective could be further explored both theoretically and empirically based on the findings related to supply chain capital and supply chain knowledge development.</w:t>
      </w:r>
      <w:r w:rsidRPr="00095A7F">
        <w:t xml:space="preserve"> </w:t>
      </w:r>
      <w:r>
        <w:t xml:space="preserve">Additionally, demand-supply integration aspects of supply chain resilience could be researched by analyzing the influence of customer-focused logistics capabilities and related outcomes, adding them to the proposed conceptual framework. A direct link from supply chain resilience to performance could be separately addressed. Similarly, supply chain process variability, supply chain capital, and supply chain knowledge development could be also directly linked to performance. Subsequent creative modifications of the conceptual model are also possible. </w:t>
      </w:r>
    </w:p>
    <w:p w:rsidR="00AF3439" w:rsidRPr="0011223C" w:rsidRDefault="00AF3439" w:rsidP="00AF3439">
      <w:pPr>
        <w:pStyle w:val="Heading4"/>
        <w:spacing w:line="480" w:lineRule="auto"/>
        <w:jc w:val="both"/>
        <w:rPr>
          <w:rStyle w:val="Heading4DissertationChar"/>
          <w:rFonts w:ascii="Times New Roman" w:hAnsi="Times New Roman" w:cs="Times New Roman"/>
          <w:u w:val="single"/>
        </w:rPr>
      </w:pPr>
      <w:r w:rsidRPr="0011223C">
        <w:rPr>
          <w:rStyle w:val="Heading4DissertationChar"/>
          <w:rFonts w:ascii="Times New Roman" w:hAnsi="Times New Roman" w:cs="Times New Roman"/>
          <w:u w:val="single"/>
        </w:rPr>
        <w:t>Extending this Research to Different Contexts</w:t>
      </w:r>
    </w:p>
    <w:p w:rsidR="00AF3439" w:rsidRPr="00FA6550" w:rsidRDefault="00AF3439" w:rsidP="00AF3439">
      <w:pPr>
        <w:spacing w:after="0" w:line="480" w:lineRule="auto"/>
        <w:ind w:firstLine="720"/>
      </w:pPr>
      <w:r>
        <w:rPr>
          <w:color w:val="000000"/>
        </w:rPr>
        <w:t xml:space="preserve">Direct extensions of this research could incorporate several contextual directions. For example, resilience could be studied in the context of multicultural buyer-supplier relationships. </w:t>
      </w:r>
      <w:r>
        <w:t>Risk management becomes especially important in the international context where buyers and suppliers represent different cultures (Paik 2005). As supply chain risks increase, companies also need to develop resilient logistics processes and capabilities that enable them to adequately respond to such challenges. Incorporating logistics capabilities of both buyers and suppliers into an extended conceptual framework could benefit the supply chain resilience research. The nature of the relationships between buyers and suppliers should also be considered in a future study of this type.</w:t>
      </w:r>
    </w:p>
    <w:p w:rsidR="00AF3439" w:rsidRDefault="00AF3439" w:rsidP="00AF3439">
      <w:pPr>
        <w:autoSpaceDE w:val="0"/>
        <w:autoSpaceDN w:val="0"/>
        <w:adjustRightInd w:val="0"/>
        <w:spacing w:after="0" w:line="480" w:lineRule="auto"/>
        <w:ind w:firstLine="720"/>
      </w:pPr>
      <w:r>
        <w:lastRenderedPageBreak/>
        <w:t xml:space="preserve">Further conceptualization using different research perspectives would be also highly recommended.  For instance, knowledge-based theory could help to develop the learning perspective of supply chain resilience. Different risk assessment paradigms, such as probabilistic choice, systems theory and the theory of constraints could also be applied to advance the research agenda. </w:t>
      </w:r>
      <w:bookmarkStart w:id="10" w:name="_Toc201421738"/>
    </w:p>
    <w:p w:rsidR="00AF3439" w:rsidRDefault="00AF3439" w:rsidP="00AF3439">
      <w:pPr>
        <w:autoSpaceDE w:val="0"/>
        <w:autoSpaceDN w:val="0"/>
        <w:adjustRightInd w:val="0"/>
        <w:spacing w:after="0" w:line="480" w:lineRule="auto"/>
        <w:ind w:firstLine="720"/>
      </w:pPr>
    </w:p>
    <w:p w:rsidR="00AF3439" w:rsidRPr="00076253" w:rsidRDefault="00AF3439" w:rsidP="00AF3439">
      <w:pPr>
        <w:autoSpaceDE w:val="0"/>
        <w:autoSpaceDN w:val="0"/>
        <w:adjustRightInd w:val="0"/>
        <w:spacing w:after="0" w:line="480" w:lineRule="auto"/>
        <w:rPr>
          <w:b/>
        </w:rPr>
      </w:pPr>
      <w:r w:rsidRPr="00076253">
        <w:rPr>
          <w:b/>
        </w:rPr>
        <w:t>CONCLUDING REMARKS</w:t>
      </w:r>
      <w:bookmarkEnd w:id="10"/>
    </w:p>
    <w:p w:rsidR="00AF3439" w:rsidRPr="00076253" w:rsidRDefault="00AF3439" w:rsidP="00AF3439">
      <w:pPr>
        <w:autoSpaceDE w:val="0"/>
        <w:autoSpaceDN w:val="0"/>
        <w:adjustRightInd w:val="0"/>
        <w:spacing w:after="0" w:line="480" w:lineRule="auto"/>
        <w:ind w:firstLine="720"/>
      </w:pPr>
      <w:r w:rsidRPr="00076253">
        <w:t>This research</w:t>
      </w:r>
      <w:r w:rsidRPr="00076253">
        <w:rPr>
          <w:color w:val="000000"/>
        </w:rPr>
        <w:t xml:space="preserve"> attempted to push the boundaries of the current knowledge of supply chain resilience by exploring the phenomenon at the firm level of analysis, defining it, </w:t>
      </w:r>
      <w:r>
        <w:rPr>
          <w:color w:val="000000"/>
        </w:rPr>
        <w:t xml:space="preserve">and </w:t>
      </w:r>
      <w:r w:rsidRPr="00076253">
        <w:rPr>
          <w:color w:val="000000"/>
        </w:rPr>
        <w:t xml:space="preserve">identifying its antecedents and value-based consequences. </w:t>
      </w:r>
      <w:r w:rsidRPr="00076253">
        <w:t>In the final analysis, the main purpose of this dissertation is accomplished. Th</w:t>
      </w:r>
      <w:r>
        <w:t>is research serves as</w:t>
      </w:r>
      <w:r w:rsidRPr="00076253">
        <w:t xml:space="preserve"> a catalyst for driving further inquiry by summing up past research, identifying existing gaps in the literature, advancing the body of knowledge in the area of supply chain risk management and resilience, and offering future research directions. It also offers guidance to supply chain managers who are searching for ways to deal with increasing complexity, risks, and challenges of the external environment while maintaining long-term survival, resilience, and sustainability of their companies. A strong foundation for an ongoing program of research is </w:t>
      </w:r>
      <w:r>
        <w:t xml:space="preserve">also </w:t>
      </w:r>
      <w:r w:rsidRPr="00076253">
        <w:t xml:space="preserve">established. </w:t>
      </w: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73432B" w:rsidRDefault="0073432B" w:rsidP="0011223C">
      <w:pPr>
        <w:pStyle w:val="NoSpacing"/>
        <w:widowControl w:val="0"/>
        <w:jc w:val="center"/>
        <w:rPr>
          <w:b/>
        </w:rPr>
      </w:pPr>
    </w:p>
    <w:p w:rsidR="0011223C" w:rsidRDefault="0011223C" w:rsidP="008D2ECE">
      <w:pPr>
        <w:pStyle w:val="Heading1"/>
        <w:spacing w:line="480" w:lineRule="auto"/>
        <w:jc w:val="center"/>
        <w:rPr>
          <w:rFonts w:ascii="Times New Roman" w:hAnsi="Times New Roman" w:cs="Times New Roman"/>
          <w:color w:val="000000" w:themeColor="text1"/>
          <w:sz w:val="24"/>
          <w:szCs w:val="24"/>
        </w:rPr>
      </w:pPr>
    </w:p>
    <w:p w:rsidR="0011223C" w:rsidRDefault="0011223C" w:rsidP="008D2ECE">
      <w:pPr>
        <w:pStyle w:val="Heading1"/>
        <w:spacing w:line="480" w:lineRule="auto"/>
        <w:jc w:val="center"/>
        <w:rPr>
          <w:rFonts w:ascii="Times New Roman" w:hAnsi="Times New Roman" w:cs="Times New Roman"/>
          <w:color w:val="000000" w:themeColor="text1"/>
          <w:sz w:val="24"/>
          <w:szCs w:val="24"/>
        </w:rPr>
      </w:pPr>
    </w:p>
    <w:p w:rsidR="00007EA8" w:rsidRDefault="0011223C" w:rsidP="008D2ECE">
      <w:pPr>
        <w:pStyle w:val="Heading1"/>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007EA8" w:rsidRDefault="00007EA8" w:rsidP="008D2ECE">
      <w:pPr>
        <w:pStyle w:val="Heading1"/>
        <w:spacing w:line="480" w:lineRule="auto"/>
        <w:jc w:val="center"/>
        <w:rPr>
          <w:rFonts w:ascii="Times New Roman" w:hAnsi="Times New Roman" w:cs="Times New Roman"/>
          <w:color w:val="000000" w:themeColor="text1"/>
          <w:sz w:val="24"/>
          <w:szCs w:val="24"/>
        </w:rPr>
      </w:pPr>
    </w:p>
    <w:p w:rsidR="00007EA8" w:rsidRDefault="00007EA8" w:rsidP="008D2ECE">
      <w:pPr>
        <w:pStyle w:val="Heading1"/>
        <w:spacing w:line="480" w:lineRule="auto"/>
        <w:jc w:val="center"/>
        <w:rPr>
          <w:rFonts w:ascii="Times New Roman" w:hAnsi="Times New Roman" w:cs="Times New Roman"/>
          <w:color w:val="000000" w:themeColor="text1"/>
          <w:sz w:val="24"/>
          <w:szCs w:val="24"/>
        </w:rPr>
      </w:pPr>
    </w:p>
    <w:p w:rsidR="00007EA8" w:rsidRDefault="00007EA8" w:rsidP="008D2ECE">
      <w:pPr>
        <w:pStyle w:val="Heading1"/>
        <w:spacing w:line="480" w:lineRule="auto"/>
        <w:jc w:val="center"/>
        <w:rPr>
          <w:rFonts w:ascii="Times New Roman" w:hAnsi="Times New Roman" w:cs="Times New Roman"/>
          <w:color w:val="000000" w:themeColor="text1"/>
          <w:sz w:val="24"/>
          <w:szCs w:val="24"/>
        </w:rPr>
      </w:pPr>
    </w:p>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 w:rsidR="0011223C" w:rsidRDefault="0011223C" w:rsidP="0011223C">
      <w:pPr>
        <w:pStyle w:val="NoSpacing"/>
        <w:widowControl w:val="0"/>
        <w:jc w:val="center"/>
        <w:rPr>
          <w:b/>
        </w:rPr>
      </w:pPr>
      <w:r>
        <w:rPr>
          <w:b/>
        </w:rPr>
        <w:lastRenderedPageBreak/>
        <w:t>LIST OF REFERENCES</w:t>
      </w:r>
    </w:p>
    <w:p w:rsidR="0011223C" w:rsidRDefault="0011223C" w:rsidP="0011223C">
      <w:pPr>
        <w:spacing w:after="0" w:line="240" w:lineRule="auto"/>
      </w:pPr>
    </w:p>
    <w:p w:rsidR="002C3D63" w:rsidRDefault="002C3D63" w:rsidP="002C3D63">
      <w:pPr>
        <w:pStyle w:val="NoSpacing"/>
        <w:ind w:left="720" w:hanging="720"/>
        <w:rPr>
          <w:noProof/>
        </w:rPr>
      </w:pPr>
      <w:r>
        <w:rPr>
          <w:noProof/>
        </w:rPr>
        <w:t>Anderson, J. and D. Gerbing (1982), "Some Methods for Respecifying Measurement Models to</w:t>
      </w:r>
    </w:p>
    <w:p w:rsidR="002C3D63" w:rsidRDefault="002C3D63" w:rsidP="002C3D63">
      <w:pPr>
        <w:pStyle w:val="NoSpacing"/>
        <w:ind w:left="720" w:hanging="720"/>
        <w:rPr>
          <w:noProof/>
        </w:rPr>
      </w:pPr>
      <w:r>
        <w:rPr>
          <w:noProof/>
        </w:rPr>
        <w:t xml:space="preserve">Obtain Unidimensional Construct Measurement," </w:t>
      </w:r>
      <w:r w:rsidRPr="00063F10">
        <w:rPr>
          <w:i/>
          <w:noProof/>
        </w:rPr>
        <w:t>Journal of Marketing Research</w:t>
      </w:r>
      <w:r>
        <w:rPr>
          <w:noProof/>
        </w:rPr>
        <w:t>, 19 (4), 453-</w:t>
      </w:r>
    </w:p>
    <w:p w:rsidR="002C3D63" w:rsidRDefault="002C3D63" w:rsidP="002C3D63">
      <w:pPr>
        <w:pStyle w:val="NoSpacing"/>
        <w:rPr>
          <w:noProof/>
        </w:rPr>
      </w:pPr>
      <w:r>
        <w:rPr>
          <w:noProof/>
        </w:rPr>
        <w:t>460.</w:t>
      </w:r>
    </w:p>
    <w:p w:rsidR="002C3D63" w:rsidRDefault="002C3D63" w:rsidP="002C3D63">
      <w:pPr>
        <w:pStyle w:val="NoSpacing"/>
        <w:rPr>
          <w:noProof/>
        </w:rPr>
      </w:pPr>
    </w:p>
    <w:p w:rsidR="002C3D63" w:rsidRDefault="002C3D63" w:rsidP="002C3D63">
      <w:pPr>
        <w:pStyle w:val="NoSpacing"/>
        <w:ind w:left="720" w:hanging="720"/>
        <w:rPr>
          <w:noProof/>
        </w:rPr>
      </w:pPr>
      <w:r>
        <w:rPr>
          <w:noProof/>
        </w:rPr>
        <w:t>Anderson, J. C. and D. W. Gerbing (1988), "Structural Equation Modeling in Practice: A Review</w:t>
      </w:r>
    </w:p>
    <w:p w:rsidR="002C3D63" w:rsidRDefault="002C3D63" w:rsidP="002C3D63">
      <w:pPr>
        <w:pStyle w:val="NoSpacing"/>
        <w:ind w:left="720" w:hanging="720"/>
        <w:rPr>
          <w:noProof/>
        </w:rPr>
      </w:pPr>
      <w:r>
        <w:rPr>
          <w:noProof/>
        </w:rPr>
        <w:t xml:space="preserve">and Recommended Two-Step Approach," </w:t>
      </w:r>
      <w:r w:rsidRPr="00063F10">
        <w:rPr>
          <w:i/>
          <w:noProof/>
        </w:rPr>
        <w:t>Psychological bulletin</w:t>
      </w:r>
      <w:r>
        <w:rPr>
          <w:noProof/>
        </w:rPr>
        <w:t>, 103 (3), 411.</w:t>
      </w:r>
    </w:p>
    <w:p w:rsidR="002C3D63" w:rsidRDefault="002C3D63" w:rsidP="0011223C">
      <w:pPr>
        <w:spacing w:after="0" w:line="240" w:lineRule="auto"/>
      </w:pPr>
    </w:p>
    <w:p w:rsidR="00166467" w:rsidRDefault="00166467" w:rsidP="00166467">
      <w:pPr>
        <w:pStyle w:val="NoSpacing"/>
        <w:ind w:left="720" w:hanging="720"/>
        <w:rPr>
          <w:noProof/>
        </w:rPr>
      </w:pPr>
      <w:r w:rsidRPr="00166467">
        <w:rPr>
          <w:noProof/>
        </w:rPr>
        <w:t>Autry, C. W., &amp; Griffis, S. E. 2008. Supply Chain Capita</w:t>
      </w:r>
      <w:r>
        <w:rPr>
          <w:noProof/>
        </w:rPr>
        <w:t>l: The Impact of Structural and</w:t>
      </w:r>
    </w:p>
    <w:p w:rsidR="00166467" w:rsidRDefault="00166467" w:rsidP="00166467">
      <w:pPr>
        <w:pStyle w:val="NoSpacing"/>
        <w:ind w:left="720" w:hanging="720"/>
        <w:rPr>
          <w:noProof/>
        </w:rPr>
      </w:pPr>
      <w:r w:rsidRPr="00166467">
        <w:rPr>
          <w:noProof/>
        </w:rPr>
        <w:t>Relational Linkages on Firm Execution and Innovation. Journal of Business Logistics, 29</w:t>
      </w:r>
      <w:r>
        <w:rPr>
          <w:noProof/>
        </w:rPr>
        <w:t>(1),</w:t>
      </w:r>
    </w:p>
    <w:p w:rsidR="00166467" w:rsidRPr="00166467" w:rsidRDefault="00166467" w:rsidP="00166467">
      <w:pPr>
        <w:pStyle w:val="NoSpacing"/>
        <w:ind w:left="720" w:hanging="720"/>
        <w:rPr>
          <w:noProof/>
        </w:rPr>
      </w:pPr>
      <w:r>
        <w:rPr>
          <w:noProof/>
        </w:rPr>
        <w:t>157-174.</w:t>
      </w:r>
    </w:p>
    <w:p w:rsidR="00166467" w:rsidRDefault="00166467" w:rsidP="0011223C">
      <w:pPr>
        <w:spacing w:after="0" w:line="240" w:lineRule="auto"/>
      </w:pPr>
    </w:p>
    <w:p w:rsidR="002C3D63" w:rsidRDefault="002C3D63" w:rsidP="002C3D63">
      <w:pPr>
        <w:pStyle w:val="NoSpacing"/>
        <w:ind w:left="720" w:hanging="720"/>
        <w:rPr>
          <w:noProof/>
        </w:rPr>
      </w:pPr>
      <w:r>
        <w:rPr>
          <w:noProof/>
        </w:rPr>
        <w:t>Armstrong, J. S. and T. S. Overton (1977), "Estimating Nonresponse Bias in Mail Surveys,"</w:t>
      </w:r>
    </w:p>
    <w:p w:rsidR="002C3D63" w:rsidRDefault="002C3D63" w:rsidP="002C3D63">
      <w:pPr>
        <w:pStyle w:val="NoSpacing"/>
        <w:ind w:left="720" w:hanging="720"/>
        <w:rPr>
          <w:noProof/>
        </w:rPr>
      </w:pPr>
      <w:r w:rsidRPr="00063F10">
        <w:rPr>
          <w:i/>
          <w:noProof/>
        </w:rPr>
        <w:t>Journal of Marketing Research</w:t>
      </w:r>
      <w:r>
        <w:rPr>
          <w:noProof/>
        </w:rPr>
        <w:t>, 14 (3), 396-402.</w:t>
      </w:r>
    </w:p>
    <w:p w:rsidR="005261E2" w:rsidRPr="005261E2" w:rsidRDefault="005261E2" w:rsidP="005261E2">
      <w:pPr>
        <w:autoSpaceDE w:val="0"/>
        <w:autoSpaceDN w:val="0"/>
        <w:adjustRightInd w:val="0"/>
        <w:spacing w:after="0" w:line="240" w:lineRule="auto"/>
        <w:rPr>
          <w:color w:val="000000"/>
          <w:szCs w:val="24"/>
        </w:rPr>
      </w:pPr>
    </w:p>
    <w:p w:rsidR="005261E2" w:rsidRPr="005261E2" w:rsidRDefault="005261E2" w:rsidP="005261E2">
      <w:pPr>
        <w:autoSpaceDE w:val="0"/>
        <w:autoSpaceDN w:val="0"/>
        <w:adjustRightInd w:val="0"/>
        <w:spacing w:after="0" w:line="240" w:lineRule="auto"/>
        <w:rPr>
          <w:color w:val="000000"/>
          <w:szCs w:val="24"/>
        </w:rPr>
      </w:pPr>
      <w:r w:rsidRPr="005261E2">
        <w:rPr>
          <w:color w:val="000000"/>
          <w:szCs w:val="24"/>
        </w:rPr>
        <w:t xml:space="preserve">Armstrong, C. E., &amp; Shimizu, K. 2007. </w:t>
      </w:r>
      <w:proofErr w:type="gramStart"/>
      <w:r w:rsidRPr="005261E2">
        <w:rPr>
          <w:color w:val="000000"/>
          <w:szCs w:val="24"/>
        </w:rPr>
        <w:t>A review of approaches to empirical research on the resource-based view</w:t>
      </w:r>
      <w:r>
        <w:rPr>
          <w:color w:val="000000"/>
          <w:szCs w:val="24"/>
        </w:rPr>
        <w:t xml:space="preserve"> </w:t>
      </w:r>
      <w:r w:rsidRPr="005261E2">
        <w:rPr>
          <w:color w:val="000000"/>
          <w:szCs w:val="24"/>
        </w:rPr>
        <w:t>of the firm.</w:t>
      </w:r>
      <w:proofErr w:type="gramEnd"/>
      <w:r w:rsidRPr="005261E2">
        <w:rPr>
          <w:color w:val="000000"/>
          <w:szCs w:val="24"/>
        </w:rPr>
        <w:t xml:space="preserve"> </w:t>
      </w:r>
      <w:r w:rsidRPr="005261E2">
        <w:rPr>
          <w:i/>
          <w:iCs/>
          <w:color w:val="000000"/>
          <w:szCs w:val="24"/>
        </w:rPr>
        <w:t>Journal of Management</w:t>
      </w:r>
      <w:r w:rsidRPr="005261E2">
        <w:rPr>
          <w:color w:val="000000"/>
          <w:szCs w:val="24"/>
        </w:rPr>
        <w:t>, 33: 959-986.</w:t>
      </w:r>
    </w:p>
    <w:p w:rsidR="002C3D63" w:rsidRPr="005261E2" w:rsidRDefault="002C3D63" w:rsidP="0011223C">
      <w:pPr>
        <w:spacing w:after="0" w:line="240" w:lineRule="auto"/>
        <w:rPr>
          <w:szCs w:val="24"/>
        </w:rPr>
      </w:pPr>
    </w:p>
    <w:p w:rsidR="0011223C" w:rsidRDefault="0011223C" w:rsidP="0011223C">
      <w:pPr>
        <w:spacing w:after="0" w:line="240" w:lineRule="auto"/>
      </w:pPr>
      <w:r>
        <w:t xml:space="preserve">Barney, Jay (1991), "Firm Resources and Sustained Competitive Advantage”, </w:t>
      </w:r>
      <w:r>
        <w:rPr>
          <w:i/>
        </w:rPr>
        <w:t>Journal of Management,</w:t>
      </w:r>
      <w:r>
        <w:t xml:space="preserve"> Vol.17 No 1, p. 99.</w:t>
      </w:r>
    </w:p>
    <w:p w:rsidR="0011223C" w:rsidRDefault="0011223C" w:rsidP="0011223C">
      <w:pPr>
        <w:autoSpaceDE w:val="0"/>
        <w:autoSpaceDN w:val="0"/>
        <w:adjustRightInd w:val="0"/>
        <w:spacing w:after="0" w:line="240" w:lineRule="auto"/>
        <w:rPr>
          <w:color w:val="000000"/>
        </w:rPr>
      </w:pPr>
    </w:p>
    <w:p w:rsidR="005261E2" w:rsidRPr="005261E2" w:rsidRDefault="005261E2" w:rsidP="005261E2">
      <w:pPr>
        <w:spacing w:after="0" w:line="240" w:lineRule="auto"/>
      </w:pPr>
      <w:r w:rsidRPr="005261E2">
        <w:t xml:space="preserve">Barney, J. B. 1996. </w:t>
      </w:r>
      <w:proofErr w:type="gramStart"/>
      <w:r w:rsidRPr="005261E2">
        <w:t>The resource-based theory of the firm.</w:t>
      </w:r>
      <w:proofErr w:type="gramEnd"/>
      <w:r w:rsidRPr="005261E2">
        <w:t xml:space="preserve"> Organization Science, 7: 469.</w:t>
      </w:r>
    </w:p>
    <w:p w:rsidR="005261E2" w:rsidRDefault="005261E2" w:rsidP="005261E2">
      <w:pPr>
        <w:spacing w:after="0" w:line="240" w:lineRule="auto"/>
      </w:pPr>
    </w:p>
    <w:p w:rsidR="005261E2" w:rsidRPr="005261E2" w:rsidRDefault="005261E2" w:rsidP="005261E2">
      <w:pPr>
        <w:spacing w:after="0" w:line="240" w:lineRule="auto"/>
      </w:pPr>
      <w:r w:rsidRPr="005261E2">
        <w:t xml:space="preserve">Barney, J. B. 1999. How a firm’s capabilities affect boundary decisions. </w:t>
      </w:r>
      <w:r w:rsidRPr="005261E2">
        <w:rPr>
          <w:i/>
        </w:rPr>
        <w:t>Sloan Management Review</w:t>
      </w:r>
      <w:r w:rsidRPr="005261E2">
        <w:t>, 40: 137-145.</w:t>
      </w:r>
    </w:p>
    <w:p w:rsidR="005261E2" w:rsidRDefault="005261E2" w:rsidP="005261E2">
      <w:pPr>
        <w:spacing w:after="0" w:line="240" w:lineRule="auto"/>
      </w:pPr>
    </w:p>
    <w:p w:rsidR="005261E2" w:rsidRPr="005261E2" w:rsidRDefault="005261E2" w:rsidP="005261E2">
      <w:pPr>
        <w:spacing w:after="0" w:line="240" w:lineRule="auto"/>
      </w:pPr>
      <w:proofErr w:type="gramStart"/>
      <w:r w:rsidRPr="005261E2">
        <w:t>Barney, J. B., &amp; Clark, D. N. 2007.</w:t>
      </w:r>
      <w:proofErr w:type="gramEnd"/>
      <w:r w:rsidRPr="005261E2">
        <w:t xml:space="preserve"> Resource-based theory: Creating and sustaining competitive advantage.</w:t>
      </w:r>
      <w:r>
        <w:t xml:space="preserve"> </w:t>
      </w:r>
      <w:r w:rsidRPr="005261E2">
        <w:t>Oxford, UK: Oxford University Press.</w:t>
      </w:r>
    </w:p>
    <w:p w:rsidR="005261E2" w:rsidRDefault="005261E2" w:rsidP="005261E2">
      <w:pPr>
        <w:spacing w:after="0" w:line="240" w:lineRule="auto"/>
      </w:pPr>
    </w:p>
    <w:p w:rsidR="005261E2" w:rsidRPr="005261E2" w:rsidRDefault="005261E2" w:rsidP="005261E2">
      <w:pPr>
        <w:spacing w:after="0" w:line="240" w:lineRule="auto"/>
      </w:pPr>
      <w:proofErr w:type="gramStart"/>
      <w:r w:rsidRPr="005261E2">
        <w:t xml:space="preserve">Barney, J. B., Wright, M., &amp; </w:t>
      </w:r>
      <w:proofErr w:type="spellStart"/>
      <w:r w:rsidRPr="005261E2">
        <w:t>Ketchen</w:t>
      </w:r>
      <w:proofErr w:type="spellEnd"/>
      <w:r w:rsidRPr="005261E2">
        <w:t>, D. J., Jr. 2001.</w:t>
      </w:r>
      <w:proofErr w:type="gramEnd"/>
      <w:r w:rsidRPr="005261E2">
        <w:t xml:space="preserve"> The resource-based view of the firm: Ten years after 1991.</w:t>
      </w:r>
      <w:r>
        <w:t xml:space="preserve"> </w:t>
      </w:r>
      <w:r w:rsidRPr="005261E2">
        <w:rPr>
          <w:i/>
        </w:rPr>
        <w:t>Journal of Management,</w:t>
      </w:r>
      <w:r w:rsidRPr="005261E2">
        <w:t xml:space="preserve"> 27: 625-641.</w:t>
      </w:r>
    </w:p>
    <w:p w:rsidR="005261E2" w:rsidRDefault="005261E2" w:rsidP="005261E2">
      <w:pPr>
        <w:spacing w:after="0" w:line="240" w:lineRule="auto"/>
      </w:pPr>
    </w:p>
    <w:p w:rsidR="002C3D63" w:rsidRDefault="002C3D63" w:rsidP="002C3D63">
      <w:pPr>
        <w:pStyle w:val="NoSpacing"/>
        <w:ind w:left="720" w:hanging="720"/>
        <w:rPr>
          <w:noProof/>
        </w:rPr>
      </w:pPr>
      <w:r>
        <w:rPr>
          <w:noProof/>
        </w:rPr>
        <w:t>Barratt, M. and A. Oke (2007), "Antecedents of Supply Chain Visibility in Retail Supply Chains:</w:t>
      </w:r>
    </w:p>
    <w:p w:rsidR="002C3D63" w:rsidRDefault="002C3D63" w:rsidP="002C3D63">
      <w:pPr>
        <w:pStyle w:val="NoSpacing"/>
        <w:ind w:left="720" w:hanging="720"/>
        <w:rPr>
          <w:noProof/>
        </w:rPr>
      </w:pPr>
      <w:r>
        <w:rPr>
          <w:noProof/>
        </w:rPr>
        <w:t xml:space="preserve">A Resource-Based Theory Perspective," </w:t>
      </w:r>
      <w:r w:rsidRPr="00063F10">
        <w:rPr>
          <w:i/>
          <w:noProof/>
        </w:rPr>
        <w:t>Journal of Operations Management</w:t>
      </w:r>
      <w:r>
        <w:rPr>
          <w:noProof/>
        </w:rPr>
        <w:t>, 25 (6), 1217-1233.</w:t>
      </w:r>
    </w:p>
    <w:p w:rsidR="002C3D63" w:rsidRDefault="002C3D63" w:rsidP="002C3D63">
      <w:pPr>
        <w:pStyle w:val="NoSpacing"/>
        <w:rPr>
          <w:noProof/>
        </w:rPr>
      </w:pPr>
    </w:p>
    <w:p w:rsidR="002C3D63" w:rsidRDefault="002C3D63" w:rsidP="002C3D63">
      <w:pPr>
        <w:pStyle w:val="NoSpacing"/>
        <w:ind w:left="720" w:hanging="720"/>
        <w:rPr>
          <w:noProof/>
        </w:rPr>
      </w:pPr>
      <w:r>
        <w:rPr>
          <w:noProof/>
        </w:rPr>
        <w:t>Baumgartner, H. and C. Homburg (1996), "Applications of Structural Equation Modeling in</w:t>
      </w:r>
    </w:p>
    <w:p w:rsidR="002C3D63" w:rsidRDefault="002C3D63" w:rsidP="002C3D63">
      <w:pPr>
        <w:pStyle w:val="NoSpacing"/>
        <w:ind w:left="720" w:hanging="720"/>
        <w:rPr>
          <w:noProof/>
        </w:rPr>
      </w:pPr>
      <w:r>
        <w:rPr>
          <w:noProof/>
        </w:rPr>
        <w:t xml:space="preserve">Marketing and Consumer Research: A Review," </w:t>
      </w:r>
      <w:r w:rsidRPr="00063F10">
        <w:rPr>
          <w:i/>
          <w:noProof/>
        </w:rPr>
        <w:t>International Journal of Research in Marketing</w:t>
      </w:r>
      <w:r>
        <w:rPr>
          <w:noProof/>
        </w:rPr>
        <w:t>,</w:t>
      </w:r>
    </w:p>
    <w:p w:rsidR="002C3D63" w:rsidRDefault="002C3D63" w:rsidP="002C3D63">
      <w:pPr>
        <w:pStyle w:val="NoSpacing"/>
        <w:ind w:left="720" w:hanging="720"/>
        <w:rPr>
          <w:noProof/>
        </w:rPr>
      </w:pPr>
      <w:r>
        <w:rPr>
          <w:noProof/>
        </w:rPr>
        <w:t>13 (2), 139-161.</w:t>
      </w:r>
    </w:p>
    <w:p w:rsidR="002C3D63" w:rsidRDefault="002C3D63" w:rsidP="0011223C">
      <w:pPr>
        <w:autoSpaceDE w:val="0"/>
        <w:autoSpaceDN w:val="0"/>
        <w:adjustRightInd w:val="0"/>
        <w:spacing w:after="0" w:line="240" w:lineRule="auto"/>
        <w:rPr>
          <w:color w:val="000000"/>
        </w:rPr>
      </w:pPr>
    </w:p>
    <w:p w:rsidR="002C3D63" w:rsidRDefault="002C3D63" w:rsidP="002C3D63">
      <w:pPr>
        <w:pStyle w:val="NoSpacing"/>
        <w:ind w:left="720" w:hanging="720"/>
        <w:rPr>
          <w:noProof/>
        </w:rPr>
      </w:pPr>
      <w:r>
        <w:rPr>
          <w:noProof/>
        </w:rPr>
        <w:t>Black, J. A. and K. B. Boal (1994), "Strategic Resources: Traits, Configurations and Paths to</w:t>
      </w:r>
    </w:p>
    <w:p w:rsidR="002C3D63" w:rsidRDefault="002C3D63" w:rsidP="002C3D63">
      <w:pPr>
        <w:pStyle w:val="NoSpacing"/>
        <w:ind w:left="720" w:hanging="720"/>
        <w:rPr>
          <w:noProof/>
        </w:rPr>
      </w:pPr>
      <w:r>
        <w:rPr>
          <w:noProof/>
        </w:rPr>
        <w:t xml:space="preserve">Sustainable Competitive Advantage," </w:t>
      </w:r>
      <w:r w:rsidRPr="00063F10">
        <w:rPr>
          <w:i/>
          <w:noProof/>
        </w:rPr>
        <w:t>Strategic Management Journal</w:t>
      </w:r>
      <w:r>
        <w:rPr>
          <w:noProof/>
        </w:rPr>
        <w:t>, 15 (5), 131-148.</w:t>
      </w:r>
    </w:p>
    <w:p w:rsidR="002C3D63" w:rsidRDefault="002C3D63" w:rsidP="002C3D63">
      <w:pPr>
        <w:pStyle w:val="NoSpacing"/>
        <w:rPr>
          <w:noProof/>
        </w:rPr>
      </w:pPr>
    </w:p>
    <w:p w:rsidR="0011223C" w:rsidRDefault="0011223C" w:rsidP="0011223C">
      <w:pPr>
        <w:autoSpaceDE w:val="0"/>
        <w:autoSpaceDN w:val="0"/>
        <w:adjustRightInd w:val="0"/>
        <w:spacing w:after="0" w:line="240" w:lineRule="auto"/>
        <w:rPr>
          <w:color w:val="000000"/>
        </w:rPr>
      </w:pPr>
      <w:proofErr w:type="spellStart"/>
      <w:r>
        <w:rPr>
          <w:color w:val="000000"/>
        </w:rPr>
        <w:t>Blackhurst</w:t>
      </w:r>
      <w:proofErr w:type="spellEnd"/>
      <w:r>
        <w:rPr>
          <w:color w:val="000000"/>
        </w:rPr>
        <w:t xml:space="preserve">, J., Craighead, C.W., Elkins, D. and </w:t>
      </w:r>
      <w:proofErr w:type="spellStart"/>
      <w:r>
        <w:rPr>
          <w:color w:val="000000"/>
        </w:rPr>
        <w:t>Handfield</w:t>
      </w:r>
      <w:proofErr w:type="spellEnd"/>
      <w:r>
        <w:rPr>
          <w:color w:val="000000"/>
        </w:rPr>
        <w:t xml:space="preserve"> R.B. (2005), “An empirically</w:t>
      </w:r>
    </w:p>
    <w:p w:rsidR="0011223C" w:rsidRDefault="0011223C" w:rsidP="0011223C">
      <w:pPr>
        <w:autoSpaceDE w:val="0"/>
        <w:autoSpaceDN w:val="0"/>
        <w:adjustRightInd w:val="0"/>
        <w:spacing w:after="0" w:line="240" w:lineRule="auto"/>
        <w:rPr>
          <w:color w:val="000000"/>
        </w:rPr>
      </w:pPr>
      <w:proofErr w:type="gramStart"/>
      <w:r>
        <w:rPr>
          <w:color w:val="000000"/>
        </w:rPr>
        <w:t>derived</w:t>
      </w:r>
      <w:proofErr w:type="gramEnd"/>
      <w:r>
        <w:rPr>
          <w:color w:val="000000"/>
        </w:rPr>
        <w:t xml:space="preserve"> agenda of critical research issues for managing supply-chain disruptions”,</w:t>
      </w:r>
    </w:p>
    <w:p w:rsidR="0011223C" w:rsidRDefault="0011223C" w:rsidP="0011223C">
      <w:pPr>
        <w:autoSpaceDE w:val="0"/>
        <w:autoSpaceDN w:val="0"/>
        <w:adjustRightInd w:val="0"/>
        <w:spacing w:after="0" w:line="240" w:lineRule="auto"/>
        <w:rPr>
          <w:color w:val="000000"/>
        </w:rPr>
      </w:pPr>
      <w:r>
        <w:rPr>
          <w:i/>
          <w:iCs/>
          <w:color w:val="000000"/>
        </w:rPr>
        <w:t xml:space="preserve">International Journal of Production Research, </w:t>
      </w:r>
      <w:r>
        <w:rPr>
          <w:iCs/>
          <w:color w:val="000000"/>
        </w:rPr>
        <w:t xml:space="preserve">Vol. </w:t>
      </w:r>
      <w:r>
        <w:rPr>
          <w:color w:val="000000"/>
        </w:rPr>
        <w:t>43 No 19, pp. 4067-4081.</w:t>
      </w:r>
    </w:p>
    <w:p w:rsidR="0011223C" w:rsidRDefault="0011223C" w:rsidP="0011223C">
      <w:pPr>
        <w:autoSpaceDE w:val="0"/>
        <w:autoSpaceDN w:val="0"/>
        <w:adjustRightInd w:val="0"/>
        <w:spacing w:after="0" w:line="240" w:lineRule="auto"/>
        <w:rPr>
          <w:color w:val="000000"/>
        </w:rPr>
      </w:pPr>
    </w:p>
    <w:p w:rsidR="002C3D63" w:rsidRDefault="002C3D63" w:rsidP="002C3D63">
      <w:pPr>
        <w:pStyle w:val="NoSpacing"/>
        <w:ind w:left="720" w:hanging="720"/>
        <w:rPr>
          <w:noProof/>
        </w:rPr>
      </w:pPr>
      <w:r>
        <w:rPr>
          <w:noProof/>
        </w:rPr>
        <w:t>Bowersox, D., D. Closs and M. Cooper (2002), Supply Chain Logistics Management. Boston:</w:t>
      </w:r>
    </w:p>
    <w:p w:rsidR="002C3D63" w:rsidRDefault="002C3D63" w:rsidP="002C3D63">
      <w:pPr>
        <w:pStyle w:val="NoSpacing"/>
        <w:ind w:left="720" w:hanging="720"/>
        <w:rPr>
          <w:noProof/>
        </w:rPr>
      </w:pPr>
      <w:r>
        <w:rPr>
          <w:noProof/>
        </w:rPr>
        <w:t>McGraw-Hill.</w:t>
      </w:r>
    </w:p>
    <w:p w:rsidR="002C3D63" w:rsidRDefault="002C3D63" w:rsidP="002C3D63">
      <w:pPr>
        <w:pStyle w:val="NoSpacing"/>
        <w:rPr>
          <w:noProof/>
        </w:rPr>
      </w:pPr>
    </w:p>
    <w:p w:rsidR="002C3D63" w:rsidRDefault="002C3D63" w:rsidP="002C3D63">
      <w:pPr>
        <w:pStyle w:val="NoSpacing"/>
        <w:ind w:left="720" w:hanging="720"/>
        <w:rPr>
          <w:noProof/>
        </w:rPr>
      </w:pPr>
      <w:r>
        <w:rPr>
          <w:noProof/>
        </w:rPr>
        <w:t>Boyer, K. K. and M. L. Swink (2008), "Empirical Elephants—Why Multiple Methods are</w:t>
      </w:r>
    </w:p>
    <w:p w:rsidR="002C3D63" w:rsidRDefault="002C3D63" w:rsidP="002C3D63">
      <w:pPr>
        <w:pStyle w:val="NoSpacing"/>
        <w:ind w:left="720" w:hanging="720"/>
        <w:rPr>
          <w:i/>
          <w:noProof/>
        </w:rPr>
      </w:pPr>
      <w:r>
        <w:rPr>
          <w:noProof/>
        </w:rPr>
        <w:t xml:space="preserve">Essential to Quality Research in Operations and Supply Chain Management," </w:t>
      </w:r>
      <w:r>
        <w:rPr>
          <w:i/>
          <w:noProof/>
        </w:rPr>
        <w:t>Journal of</w:t>
      </w:r>
    </w:p>
    <w:p w:rsidR="002C3D63" w:rsidRDefault="002C3D63" w:rsidP="002C3D63">
      <w:pPr>
        <w:pStyle w:val="NoSpacing"/>
        <w:ind w:left="720" w:hanging="720"/>
        <w:rPr>
          <w:noProof/>
        </w:rPr>
      </w:pPr>
      <w:r w:rsidRPr="00063F10">
        <w:rPr>
          <w:i/>
          <w:noProof/>
        </w:rPr>
        <w:t>Operations Management</w:t>
      </w:r>
      <w:r>
        <w:rPr>
          <w:noProof/>
        </w:rPr>
        <w:t>, 26 (3), 337-348.</w:t>
      </w:r>
    </w:p>
    <w:p w:rsidR="002C3D63" w:rsidRDefault="002C3D63"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proofErr w:type="spellStart"/>
      <w:r>
        <w:rPr>
          <w:color w:val="000000"/>
        </w:rPr>
        <w:t>Bunderson</w:t>
      </w:r>
      <w:proofErr w:type="spellEnd"/>
      <w:r>
        <w:rPr>
          <w:color w:val="000000"/>
        </w:rPr>
        <w:t xml:space="preserve">, J.S. and Sutcliffe, K.M. (2002), “Comparing alternative conceptualizations of functional diversity in management teams: Process and performance effects”, </w:t>
      </w:r>
      <w:r>
        <w:rPr>
          <w:i/>
          <w:iCs/>
          <w:color w:val="000000"/>
        </w:rPr>
        <w:t>Academy of</w:t>
      </w:r>
      <w:r>
        <w:rPr>
          <w:color w:val="000000"/>
        </w:rPr>
        <w:t xml:space="preserve"> </w:t>
      </w:r>
      <w:r>
        <w:rPr>
          <w:i/>
          <w:iCs/>
          <w:color w:val="000000"/>
        </w:rPr>
        <w:t xml:space="preserve">Management Journal, </w:t>
      </w:r>
      <w:proofErr w:type="spellStart"/>
      <w:r>
        <w:rPr>
          <w:iCs/>
          <w:color w:val="000000"/>
        </w:rPr>
        <w:t>Vol</w:t>
      </w:r>
      <w:proofErr w:type="spellEnd"/>
      <w:r>
        <w:rPr>
          <w:iCs/>
          <w:color w:val="000000"/>
        </w:rPr>
        <w:t xml:space="preserve"> 45, pp. 875-893</w:t>
      </w:r>
      <w:r>
        <w:rPr>
          <w:i/>
          <w:iCs/>
          <w:color w:val="000000"/>
        </w:rPr>
        <w:t>.</w:t>
      </w:r>
    </w:p>
    <w:p w:rsidR="0011223C" w:rsidRDefault="0011223C" w:rsidP="0011223C">
      <w:pPr>
        <w:autoSpaceDE w:val="0"/>
        <w:autoSpaceDN w:val="0"/>
        <w:adjustRightInd w:val="0"/>
        <w:spacing w:after="0" w:line="240" w:lineRule="auto"/>
        <w:rPr>
          <w:i/>
          <w:iCs/>
          <w:color w:val="000000"/>
        </w:rPr>
      </w:pPr>
    </w:p>
    <w:p w:rsidR="002C3D63" w:rsidRDefault="002C3D63" w:rsidP="002C3D63">
      <w:pPr>
        <w:pStyle w:val="NoSpacing"/>
        <w:ind w:left="720" w:hanging="720"/>
        <w:rPr>
          <w:noProof/>
        </w:rPr>
      </w:pPr>
      <w:r>
        <w:rPr>
          <w:noProof/>
        </w:rPr>
        <w:t>Campbell, D. T. and D. W. Fiske (1959), "Convergent and Discriminant Validation by the</w:t>
      </w:r>
    </w:p>
    <w:p w:rsidR="002C3D63" w:rsidRDefault="002C3D63" w:rsidP="002C3D63">
      <w:pPr>
        <w:pStyle w:val="NoSpacing"/>
        <w:ind w:left="720" w:hanging="720"/>
        <w:rPr>
          <w:noProof/>
        </w:rPr>
      </w:pPr>
      <w:r>
        <w:rPr>
          <w:noProof/>
        </w:rPr>
        <w:t xml:space="preserve">Multitrait-Multimethod Matrix," </w:t>
      </w:r>
      <w:r w:rsidRPr="00063F10">
        <w:rPr>
          <w:i/>
          <w:noProof/>
        </w:rPr>
        <w:t>Psychological Bulletin</w:t>
      </w:r>
      <w:r>
        <w:rPr>
          <w:noProof/>
        </w:rPr>
        <w:t>, 56 (2), 81-105.</w:t>
      </w:r>
    </w:p>
    <w:p w:rsidR="002C3D63" w:rsidRDefault="002C3D63"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r>
        <w:rPr>
          <w:color w:val="000000"/>
        </w:rPr>
        <w:t xml:space="preserve">Carpenter, S., </w:t>
      </w:r>
      <w:smartTag w:uri="urn:schemas-microsoft-com:office:smarttags" w:element="City">
        <w:smartTag w:uri="urn:schemas-microsoft-com:office:smarttags" w:element="place">
          <w:r>
            <w:rPr>
              <w:color w:val="000000"/>
            </w:rPr>
            <w:t>Walker</w:t>
          </w:r>
        </w:smartTag>
      </w:smartTag>
      <w:r>
        <w:rPr>
          <w:color w:val="000000"/>
        </w:rPr>
        <w:t xml:space="preserve">, B., </w:t>
      </w:r>
      <w:proofErr w:type="spellStart"/>
      <w:r>
        <w:rPr>
          <w:color w:val="000000"/>
        </w:rPr>
        <w:t>Anderies</w:t>
      </w:r>
      <w:proofErr w:type="spellEnd"/>
      <w:r>
        <w:rPr>
          <w:color w:val="000000"/>
        </w:rPr>
        <w:t>, M., and Abel, N., (2001), “From metaphor to</w:t>
      </w:r>
    </w:p>
    <w:p w:rsidR="0011223C" w:rsidRDefault="0011223C" w:rsidP="0011223C">
      <w:pPr>
        <w:autoSpaceDE w:val="0"/>
        <w:autoSpaceDN w:val="0"/>
        <w:adjustRightInd w:val="0"/>
        <w:spacing w:after="0" w:line="240" w:lineRule="auto"/>
        <w:rPr>
          <w:color w:val="000000"/>
        </w:rPr>
      </w:pPr>
      <w:proofErr w:type="gramStart"/>
      <w:r>
        <w:rPr>
          <w:color w:val="000000"/>
        </w:rPr>
        <w:t>measurement</w:t>
      </w:r>
      <w:proofErr w:type="gramEnd"/>
      <w:r>
        <w:rPr>
          <w:color w:val="000000"/>
        </w:rPr>
        <w:t xml:space="preserve">: Resilience of what to what?” </w:t>
      </w:r>
      <w:r>
        <w:rPr>
          <w:i/>
          <w:iCs/>
          <w:color w:val="000000"/>
        </w:rPr>
        <w:t xml:space="preserve">Ecosystems, </w:t>
      </w:r>
      <w:proofErr w:type="spellStart"/>
      <w:r>
        <w:rPr>
          <w:iCs/>
          <w:color w:val="000000"/>
        </w:rPr>
        <w:t>Vol</w:t>
      </w:r>
      <w:proofErr w:type="spellEnd"/>
      <w:r>
        <w:rPr>
          <w:iCs/>
          <w:color w:val="000000"/>
        </w:rPr>
        <w:t xml:space="preserve"> </w:t>
      </w:r>
      <w:r>
        <w:rPr>
          <w:color w:val="000000"/>
        </w:rPr>
        <w:t>4, pp. 765 – 781.</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proofErr w:type="gramStart"/>
      <w:r>
        <w:rPr>
          <w:color w:val="000000"/>
        </w:rPr>
        <w:t xml:space="preserve">Chopra S. and </w:t>
      </w:r>
      <w:proofErr w:type="spellStart"/>
      <w:r>
        <w:rPr>
          <w:color w:val="000000"/>
        </w:rPr>
        <w:t>Sodhi</w:t>
      </w:r>
      <w:proofErr w:type="spellEnd"/>
      <w:r>
        <w:rPr>
          <w:color w:val="000000"/>
        </w:rPr>
        <w:t xml:space="preserve"> M. S. (2004), “Managing risk to avoid supply-chain breakdown”, </w:t>
      </w:r>
      <w:r>
        <w:rPr>
          <w:i/>
          <w:iCs/>
          <w:color w:val="000000"/>
        </w:rPr>
        <w:t xml:space="preserve">Sloan Management Review, </w:t>
      </w:r>
      <w:proofErr w:type="spellStart"/>
      <w:r>
        <w:rPr>
          <w:iCs/>
          <w:color w:val="000000"/>
        </w:rPr>
        <w:t>Vol</w:t>
      </w:r>
      <w:proofErr w:type="spellEnd"/>
      <w:r>
        <w:rPr>
          <w:iCs/>
          <w:color w:val="000000"/>
        </w:rPr>
        <w:t xml:space="preserve"> </w:t>
      </w:r>
      <w:r>
        <w:rPr>
          <w:color w:val="000000"/>
        </w:rPr>
        <w:t>46 No 1, pp. 53-61.</w:t>
      </w:r>
      <w:proofErr w:type="gramEnd"/>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r>
        <w:rPr>
          <w:color w:val="000000"/>
        </w:rPr>
        <w:t xml:space="preserve">Christopher, M. (2000), “The agile supply chain: Competing in volatile markets”, </w:t>
      </w:r>
      <w:r>
        <w:rPr>
          <w:i/>
          <w:iCs/>
          <w:color w:val="000000"/>
        </w:rPr>
        <w:t>Industrial Marketing Management</w:t>
      </w:r>
      <w:r>
        <w:rPr>
          <w:color w:val="000000"/>
        </w:rPr>
        <w:t xml:space="preserve">, </w:t>
      </w:r>
      <w:proofErr w:type="spellStart"/>
      <w:r>
        <w:rPr>
          <w:color w:val="000000"/>
        </w:rPr>
        <w:t>Vol</w:t>
      </w:r>
      <w:proofErr w:type="spellEnd"/>
      <w:r>
        <w:rPr>
          <w:color w:val="000000"/>
        </w:rPr>
        <w:t xml:space="preserve"> 29 No 1, pp. 37 - 44.</w:t>
      </w:r>
    </w:p>
    <w:p w:rsidR="0011223C" w:rsidRDefault="0011223C" w:rsidP="0011223C">
      <w:pPr>
        <w:autoSpaceDE w:val="0"/>
        <w:autoSpaceDN w:val="0"/>
        <w:adjustRightInd w:val="0"/>
        <w:spacing w:after="0" w:line="240" w:lineRule="auto"/>
        <w:rPr>
          <w:color w:val="000000"/>
        </w:rPr>
      </w:pPr>
    </w:p>
    <w:p w:rsidR="002C3D63" w:rsidRDefault="002C3D63" w:rsidP="002C3D63">
      <w:pPr>
        <w:pStyle w:val="NoSpacing"/>
        <w:ind w:left="720" w:hanging="720"/>
        <w:rPr>
          <w:noProof/>
        </w:rPr>
      </w:pPr>
      <w:r>
        <w:rPr>
          <w:noProof/>
        </w:rPr>
        <w:t>Christopher, M. (2005), Logistics and Supply Chain Management:  Creating Value-Adding</w:t>
      </w:r>
    </w:p>
    <w:p w:rsidR="002C3D63" w:rsidRDefault="002C3D63" w:rsidP="002C3D63">
      <w:pPr>
        <w:pStyle w:val="NoSpacing"/>
        <w:ind w:left="720" w:hanging="720"/>
        <w:rPr>
          <w:noProof/>
        </w:rPr>
      </w:pPr>
      <w:r>
        <w:rPr>
          <w:noProof/>
        </w:rPr>
        <w:t>Networks. Harlow: Financial Times Prentice Hall.</w:t>
      </w:r>
    </w:p>
    <w:p w:rsidR="002C3D63" w:rsidRDefault="002C3D63" w:rsidP="002C3D63">
      <w:pPr>
        <w:pStyle w:val="NoSpacing"/>
        <w:rPr>
          <w:noProof/>
        </w:rPr>
      </w:pPr>
    </w:p>
    <w:p w:rsidR="006A06C5" w:rsidRDefault="006A06C5" w:rsidP="006A06C5">
      <w:pPr>
        <w:autoSpaceDE w:val="0"/>
        <w:autoSpaceDN w:val="0"/>
        <w:adjustRightInd w:val="0"/>
        <w:spacing w:after="0" w:line="240" w:lineRule="auto"/>
        <w:rPr>
          <w:color w:val="000000"/>
        </w:rPr>
      </w:pPr>
      <w:r>
        <w:rPr>
          <w:color w:val="000000"/>
        </w:rPr>
        <w:t>Christopher, M. and Lee, H. (2004), “Mitigating supply chain risk through improved</w:t>
      </w:r>
    </w:p>
    <w:p w:rsidR="006A06C5" w:rsidRDefault="006A06C5" w:rsidP="006A06C5">
      <w:pPr>
        <w:autoSpaceDE w:val="0"/>
        <w:autoSpaceDN w:val="0"/>
        <w:adjustRightInd w:val="0"/>
        <w:spacing w:after="0" w:line="240" w:lineRule="auto"/>
        <w:rPr>
          <w:color w:val="000000"/>
        </w:rPr>
      </w:pPr>
      <w:proofErr w:type="gramStart"/>
      <w:r>
        <w:rPr>
          <w:color w:val="000000"/>
        </w:rPr>
        <w:t>confidence</w:t>
      </w:r>
      <w:proofErr w:type="gramEnd"/>
      <w:r>
        <w:rPr>
          <w:color w:val="000000"/>
        </w:rPr>
        <w:t xml:space="preserve">”, </w:t>
      </w:r>
      <w:r>
        <w:rPr>
          <w:i/>
          <w:iCs/>
          <w:color w:val="000000"/>
        </w:rPr>
        <w:t xml:space="preserve">International Journal of Physical Distribution &amp; Logistics Management, </w:t>
      </w:r>
      <w:proofErr w:type="spellStart"/>
      <w:r>
        <w:rPr>
          <w:iCs/>
          <w:color w:val="000000"/>
        </w:rPr>
        <w:t>Vol</w:t>
      </w:r>
      <w:proofErr w:type="spellEnd"/>
      <w:r>
        <w:rPr>
          <w:iCs/>
          <w:color w:val="000000"/>
        </w:rPr>
        <w:t xml:space="preserve"> </w:t>
      </w:r>
      <w:r>
        <w:rPr>
          <w:color w:val="000000"/>
        </w:rPr>
        <w:t>34 No 5, pp. 388-396.</w:t>
      </w:r>
    </w:p>
    <w:p w:rsidR="006A06C5" w:rsidRDefault="006A06C5" w:rsidP="002C3D63">
      <w:pPr>
        <w:pStyle w:val="NoSpacing"/>
        <w:ind w:left="720" w:hanging="720"/>
        <w:rPr>
          <w:noProof/>
        </w:rPr>
      </w:pPr>
    </w:p>
    <w:p w:rsidR="002C3D63" w:rsidRDefault="002C3D63" w:rsidP="002C3D63">
      <w:pPr>
        <w:pStyle w:val="NoSpacing"/>
        <w:ind w:left="720" w:hanging="720"/>
        <w:rPr>
          <w:i/>
          <w:noProof/>
        </w:rPr>
      </w:pPr>
      <w:r>
        <w:rPr>
          <w:noProof/>
        </w:rPr>
        <w:t xml:space="preserve">Christopher, M. and H. Peck (2004), "Building the Resilient Supply Chain," </w:t>
      </w:r>
      <w:r>
        <w:rPr>
          <w:i/>
          <w:noProof/>
        </w:rPr>
        <w:t>International</w:t>
      </w:r>
    </w:p>
    <w:p w:rsidR="002C3D63" w:rsidRDefault="002C3D63" w:rsidP="002C3D63">
      <w:pPr>
        <w:pStyle w:val="NoSpacing"/>
        <w:ind w:left="720" w:hanging="720"/>
        <w:rPr>
          <w:noProof/>
        </w:rPr>
      </w:pPr>
      <w:r w:rsidRPr="00063F10">
        <w:rPr>
          <w:i/>
          <w:noProof/>
        </w:rPr>
        <w:t>Journal of Logistics Management</w:t>
      </w:r>
      <w:r>
        <w:rPr>
          <w:noProof/>
        </w:rPr>
        <w:t>, 15 (2), 1-13.</w:t>
      </w:r>
    </w:p>
    <w:p w:rsidR="002C3D63" w:rsidRDefault="002C3D63" w:rsidP="002C3D63">
      <w:pPr>
        <w:pStyle w:val="NoSpacing"/>
        <w:rPr>
          <w:noProof/>
        </w:rPr>
      </w:pPr>
    </w:p>
    <w:p w:rsidR="0011223C" w:rsidRDefault="0011223C" w:rsidP="0011223C">
      <w:pPr>
        <w:autoSpaceDE w:val="0"/>
        <w:autoSpaceDN w:val="0"/>
        <w:adjustRightInd w:val="0"/>
        <w:spacing w:after="0" w:line="240" w:lineRule="auto"/>
        <w:rPr>
          <w:color w:val="000000"/>
        </w:rPr>
      </w:pPr>
      <w:r>
        <w:rPr>
          <w:color w:val="000000"/>
        </w:rPr>
        <w:t xml:space="preserve">Christopher, M., Peck, H., Rutherford, C. and </w:t>
      </w:r>
      <w:proofErr w:type="spellStart"/>
      <w:r>
        <w:rPr>
          <w:color w:val="000000"/>
        </w:rPr>
        <w:t>Juttner</w:t>
      </w:r>
      <w:proofErr w:type="spellEnd"/>
      <w:r>
        <w:rPr>
          <w:color w:val="000000"/>
        </w:rPr>
        <w:t xml:space="preserve">, U. (2003), “Supply Chain Resilience”, </w:t>
      </w:r>
      <w:proofErr w:type="spellStart"/>
      <w:r>
        <w:rPr>
          <w:i/>
          <w:iCs/>
          <w:color w:val="000000"/>
        </w:rPr>
        <w:t>Cranfield</w:t>
      </w:r>
      <w:proofErr w:type="spellEnd"/>
      <w:r>
        <w:rPr>
          <w:i/>
          <w:iCs/>
          <w:color w:val="000000"/>
        </w:rPr>
        <w:t xml:space="preserve"> Centre for Logistics &amp; Supply Chain Management, </w:t>
      </w:r>
      <w:r>
        <w:rPr>
          <w:color w:val="000000"/>
        </w:rPr>
        <w:t>November 2003.</w:t>
      </w:r>
    </w:p>
    <w:p w:rsidR="0011223C" w:rsidRDefault="0011223C" w:rsidP="0011223C">
      <w:pPr>
        <w:autoSpaceDE w:val="0"/>
        <w:autoSpaceDN w:val="0"/>
        <w:adjustRightInd w:val="0"/>
        <w:spacing w:after="0" w:line="240" w:lineRule="auto"/>
        <w:rPr>
          <w:color w:val="000000"/>
        </w:rPr>
      </w:pPr>
    </w:p>
    <w:p w:rsidR="006A06C5" w:rsidRDefault="006A06C5" w:rsidP="006A06C5">
      <w:pPr>
        <w:autoSpaceDE w:val="0"/>
        <w:autoSpaceDN w:val="0"/>
        <w:adjustRightInd w:val="0"/>
        <w:spacing w:after="0" w:line="240" w:lineRule="auto"/>
        <w:rPr>
          <w:color w:val="000000"/>
        </w:rPr>
      </w:pPr>
      <w:proofErr w:type="gramStart"/>
      <w:r>
        <w:rPr>
          <w:color w:val="000000"/>
        </w:rPr>
        <w:t xml:space="preserve">Christopher, M. and </w:t>
      </w:r>
      <w:proofErr w:type="spellStart"/>
      <w:r>
        <w:rPr>
          <w:color w:val="000000"/>
        </w:rPr>
        <w:t>Towill</w:t>
      </w:r>
      <w:proofErr w:type="spellEnd"/>
      <w:r>
        <w:rPr>
          <w:color w:val="000000"/>
        </w:rPr>
        <w:t xml:space="preserve">, D.R. (2000), “Supply chain migration from lean and functional to agile and customized”, </w:t>
      </w:r>
      <w:r>
        <w:rPr>
          <w:i/>
          <w:iCs/>
          <w:color w:val="000000"/>
        </w:rPr>
        <w:t>International Journal of Supply Chain Management</w:t>
      </w:r>
      <w:r>
        <w:rPr>
          <w:color w:val="000000"/>
        </w:rPr>
        <w:t xml:space="preserve">, </w:t>
      </w:r>
      <w:proofErr w:type="spellStart"/>
      <w:r>
        <w:rPr>
          <w:color w:val="000000"/>
        </w:rPr>
        <w:t>Vol</w:t>
      </w:r>
      <w:proofErr w:type="spellEnd"/>
      <w:r>
        <w:rPr>
          <w:color w:val="000000"/>
        </w:rPr>
        <w:t xml:space="preserve"> 5 No 4, pp. 206-213.</w:t>
      </w:r>
      <w:proofErr w:type="gramEnd"/>
    </w:p>
    <w:p w:rsidR="0011223C" w:rsidRDefault="0011223C" w:rsidP="0011223C">
      <w:pPr>
        <w:autoSpaceDE w:val="0"/>
        <w:autoSpaceDN w:val="0"/>
        <w:adjustRightInd w:val="0"/>
        <w:spacing w:after="0" w:line="240" w:lineRule="auto"/>
        <w:rPr>
          <w:color w:val="000000"/>
        </w:rPr>
      </w:pPr>
    </w:p>
    <w:p w:rsidR="002C3D63" w:rsidRDefault="002C3D63" w:rsidP="002C3D63">
      <w:pPr>
        <w:pStyle w:val="NoSpacing"/>
        <w:ind w:left="720" w:hanging="720"/>
        <w:rPr>
          <w:noProof/>
        </w:rPr>
      </w:pPr>
      <w:r>
        <w:rPr>
          <w:noProof/>
        </w:rPr>
        <w:t>Churchill, G. (1979), "A Paradigm for Developing Better Measures of Marketing Constructs,"</w:t>
      </w:r>
    </w:p>
    <w:p w:rsidR="002C3D63" w:rsidRDefault="002C3D63" w:rsidP="002C3D63">
      <w:pPr>
        <w:pStyle w:val="NoSpacing"/>
        <w:ind w:left="720" w:hanging="720"/>
        <w:rPr>
          <w:noProof/>
        </w:rPr>
      </w:pPr>
      <w:r w:rsidRPr="00063F10">
        <w:rPr>
          <w:i/>
          <w:noProof/>
        </w:rPr>
        <w:t>Journal of Marketing Research</w:t>
      </w:r>
      <w:r>
        <w:rPr>
          <w:noProof/>
        </w:rPr>
        <w:t>, 16 (1), 64-73.</w:t>
      </w:r>
    </w:p>
    <w:p w:rsidR="002C3D63" w:rsidRDefault="002C3D63" w:rsidP="002C3D63">
      <w:pPr>
        <w:pStyle w:val="NoSpacing"/>
        <w:rPr>
          <w:noProof/>
        </w:rPr>
      </w:pPr>
    </w:p>
    <w:p w:rsidR="002C3D63" w:rsidRDefault="002C3D63" w:rsidP="002C3D63">
      <w:pPr>
        <w:pStyle w:val="NoSpacing"/>
        <w:ind w:left="720" w:hanging="720"/>
        <w:rPr>
          <w:noProof/>
        </w:rPr>
      </w:pPr>
      <w:r>
        <w:rPr>
          <w:noProof/>
        </w:rPr>
        <w:t>Churchill Jr, G. (1979), "A Paradigm for Developing Better Measures of Marketing Constructs,"</w:t>
      </w:r>
    </w:p>
    <w:p w:rsidR="002C3D63" w:rsidRDefault="002C3D63" w:rsidP="002C3D63">
      <w:pPr>
        <w:pStyle w:val="NoSpacing"/>
        <w:ind w:left="720" w:hanging="720"/>
        <w:rPr>
          <w:noProof/>
        </w:rPr>
      </w:pPr>
      <w:r w:rsidRPr="00063F10">
        <w:rPr>
          <w:i/>
          <w:noProof/>
        </w:rPr>
        <w:t>Journal of Marketing Research</w:t>
      </w:r>
      <w:r>
        <w:rPr>
          <w:noProof/>
        </w:rPr>
        <w:t>, 16 (1), 64-73.</w:t>
      </w:r>
    </w:p>
    <w:p w:rsidR="002C3D63" w:rsidRDefault="002C3D63"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Clapham</w:t>
      </w:r>
      <w:proofErr w:type="spellEnd"/>
      <w:r>
        <w:rPr>
          <w:color w:val="000000"/>
        </w:rPr>
        <w:t xml:space="preserve">, W.B. Jr. (1971), </w:t>
      </w:r>
      <w:r>
        <w:rPr>
          <w:color w:val="000000"/>
          <w:u w:val="single"/>
        </w:rPr>
        <w:t>Natural Ecosystems</w:t>
      </w:r>
      <w:r>
        <w:rPr>
          <w:color w:val="000000"/>
        </w:rPr>
        <w:t xml:space="preserve">, </w:t>
      </w:r>
      <w:smartTag w:uri="urn:schemas-microsoft-com:office:smarttags" w:element="place">
        <w:smartTag w:uri="urn:schemas-microsoft-com:office:smarttags" w:element="City">
          <w:r>
            <w:rPr>
              <w:color w:val="000000"/>
            </w:rPr>
            <w:t>Macmillan</w:t>
          </w:r>
        </w:smartTag>
        <w:r>
          <w:rPr>
            <w:color w:val="000000"/>
          </w:rPr>
          <w:t xml:space="preserve">, </w:t>
        </w:r>
        <w:smartTag w:uri="urn:schemas-microsoft-com:office:smarttags" w:element="State">
          <w:r>
            <w:rPr>
              <w:color w:val="000000"/>
            </w:rPr>
            <w:t>New York</w:t>
          </w:r>
        </w:smartTag>
      </w:smartTag>
      <w:r>
        <w:rPr>
          <w:color w:val="000000"/>
        </w:rPr>
        <w:t>.</w:t>
      </w:r>
    </w:p>
    <w:p w:rsidR="0011223C" w:rsidRDefault="0011223C" w:rsidP="0011223C">
      <w:pPr>
        <w:autoSpaceDE w:val="0"/>
        <w:autoSpaceDN w:val="0"/>
        <w:adjustRightInd w:val="0"/>
        <w:spacing w:after="0" w:line="240" w:lineRule="auto"/>
        <w:rPr>
          <w:color w:val="000000"/>
        </w:rPr>
      </w:pPr>
    </w:p>
    <w:p w:rsidR="004F738E" w:rsidRDefault="004F738E" w:rsidP="004F738E">
      <w:pPr>
        <w:pStyle w:val="NoSpacing"/>
        <w:ind w:left="720" w:hanging="720"/>
        <w:rPr>
          <w:noProof/>
        </w:rPr>
      </w:pPr>
      <w:r>
        <w:rPr>
          <w:noProof/>
        </w:rPr>
        <w:t>Conner, K. R. (1991), "A Historical Comparison of Resource-Based Theory and Five Schools of</w:t>
      </w:r>
    </w:p>
    <w:p w:rsidR="004F738E" w:rsidRDefault="004F738E" w:rsidP="004F738E">
      <w:pPr>
        <w:pStyle w:val="NoSpacing"/>
        <w:ind w:left="720" w:hanging="720"/>
        <w:rPr>
          <w:noProof/>
        </w:rPr>
      </w:pPr>
      <w:r>
        <w:rPr>
          <w:noProof/>
        </w:rPr>
        <w:t>Thought Within Industrial Organization Economics: Do We Have a New Theory of the Firm?,"</w:t>
      </w:r>
    </w:p>
    <w:p w:rsidR="004F738E" w:rsidRDefault="004F738E" w:rsidP="004F738E">
      <w:pPr>
        <w:pStyle w:val="NoSpacing"/>
        <w:ind w:left="720" w:hanging="720"/>
        <w:rPr>
          <w:noProof/>
        </w:rPr>
      </w:pPr>
      <w:r w:rsidRPr="00063F10">
        <w:rPr>
          <w:i/>
          <w:noProof/>
        </w:rPr>
        <w:t>Journal of Management</w:t>
      </w:r>
      <w:r>
        <w:rPr>
          <w:noProof/>
        </w:rPr>
        <w:t>, 17 (1), 121-154.</w:t>
      </w:r>
    </w:p>
    <w:p w:rsidR="004F738E" w:rsidRDefault="004F738E" w:rsidP="0011223C">
      <w:pPr>
        <w:autoSpaceDE w:val="0"/>
        <w:autoSpaceDN w:val="0"/>
        <w:adjustRightInd w:val="0"/>
        <w:spacing w:after="0" w:line="240" w:lineRule="auto"/>
        <w:rPr>
          <w:color w:val="000000"/>
        </w:rPr>
      </w:pPr>
    </w:p>
    <w:p w:rsidR="005D1893" w:rsidRPr="005D1893" w:rsidRDefault="005D1893" w:rsidP="005D1893">
      <w:pPr>
        <w:autoSpaceDE w:val="0"/>
        <w:autoSpaceDN w:val="0"/>
        <w:adjustRightInd w:val="0"/>
        <w:spacing w:after="0" w:line="240" w:lineRule="auto"/>
        <w:rPr>
          <w:color w:val="000000"/>
          <w:szCs w:val="24"/>
        </w:rPr>
      </w:pPr>
      <w:proofErr w:type="gramStart"/>
      <w:r w:rsidRPr="005D1893">
        <w:rPr>
          <w:color w:val="000000"/>
          <w:szCs w:val="24"/>
        </w:rPr>
        <w:t xml:space="preserve">Conner, K. R., &amp; </w:t>
      </w:r>
      <w:proofErr w:type="spellStart"/>
      <w:r w:rsidRPr="005D1893">
        <w:rPr>
          <w:color w:val="000000"/>
          <w:szCs w:val="24"/>
        </w:rPr>
        <w:t>Prahalad</w:t>
      </w:r>
      <w:proofErr w:type="spellEnd"/>
      <w:r w:rsidRPr="005D1893">
        <w:rPr>
          <w:color w:val="000000"/>
          <w:szCs w:val="24"/>
        </w:rPr>
        <w:t>, C. K. 1996.</w:t>
      </w:r>
      <w:proofErr w:type="gramEnd"/>
      <w:r w:rsidRPr="005D1893">
        <w:rPr>
          <w:color w:val="000000"/>
          <w:szCs w:val="24"/>
        </w:rPr>
        <w:t xml:space="preserve"> A resource-based theory of the firm: Knowledge versus opportunism.</w:t>
      </w:r>
      <w:r>
        <w:rPr>
          <w:color w:val="000000"/>
          <w:szCs w:val="24"/>
        </w:rPr>
        <w:t xml:space="preserve"> </w:t>
      </w:r>
      <w:r w:rsidRPr="005D1893">
        <w:rPr>
          <w:i/>
          <w:iCs/>
          <w:color w:val="000000"/>
          <w:szCs w:val="24"/>
        </w:rPr>
        <w:t>Organization Science</w:t>
      </w:r>
      <w:r w:rsidRPr="005D1893">
        <w:rPr>
          <w:color w:val="000000"/>
          <w:szCs w:val="24"/>
        </w:rPr>
        <w:t>, 7: 477-501.</w:t>
      </w:r>
    </w:p>
    <w:p w:rsidR="005D1893" w:rsidRDefault="005D1893" w:rsidP="005D1893">
      <w:pPr>
        <w:autoSpaceDE w:val="0"/>
        <w:autoSpaceDN w:val="0"/>
        <w:adjustRightInd w:val="0"/>
        <w:spacing w:after="0" w:line="240" w:lineRule="auto"/>
        <w:rPr>
          <w:color w:val="000000"/>
          <w:szCs w:val="24"/>
        </w:rPr>
      </w:pPr>
    </w:p>
    <w:p w:rsidR="005D1893" w:rsidRPr="005D1893" w:rsidRDefault="005D1893" w:rsidP="005D1893">
      <w:pPr>
        <w:autoSpaceDE w:val="0"/>
        <w:autoSpaceDN w:val="0"/>
        <w:adjustRightInd w:val="0"/>
        <w:spacing w:after="0" w:line="240" w:lineRule="auto"/>
        <w:rPr>
          <w:color w:val="000000"/>
          <w:szCs w:val="24"/>
        </w:rPr>
      </w:pPr>
      <w:proofErr w:type="gramStart"/>
      <w:r w:rsidRPr="005D1893">
        <w:rPr>
          <w:color w:val="000000"/>
          <w:szCs w:val="24"/>
        </w:rPr>
        <w:t>Connor, T. 2002.</w:t>
      </w:r>
      <w:proofErr w:type="gramEnd"/>
      <w:r w:rsidRPr="005D1893">
        <w:rPr>
          <w:color w:val="000000"/>
          <w:szCs w:val="24"/>
        </w:rPr>
        <w:t xml:space="preserve"> </w:t>
      </w:r>
      <w:proofErr w:type="gramStart"/>
      <w:r w:rsidRPr="005D1893">
        <w:rPr>
          <w:color w:val="000000"/>
          <w:szCs w:val="24"/>
        </w:rPr>
        <w:t xml:space="preserve">The resource-based view of strategy and its value to </w:t>
      </w:r>
      <w:proofErr w:type="spellStart"/>
      <w:r w:rsidRPr="005D1893">
        <w:rPr>
          <w:color w:val="000000"/>
          <w:szCs w:val="24"/>
        </w:rPr>
        <w:t>practising</w:t>
      </w:r>
      <w:proofErr w:type="spellEnd"/>
      <w:r w:rsidRPr="005D1893">
        <w:rPr>
          <w:color w:val="000000"/>
          <w:szCs w:val="24"/>
        </w:rPr>
        <w:t xml:space="preserve"> managers.</w:t>
      </w:r>
      <w:proofErr w:type="gramEnd"/>
      <w:r w:rsidRPr="005D1893">
        <w:rPr>
          <w:color w:val="000000"/>
          <w:szCs w:val="24"/>
        </w:rPr>
        <w:t xml:space="preserve"> </w:t>
      </w:r>
      <w:r w:rsidRPr="005D1893">
        <w:rPr>
          <w:i/>
          <w:iCs/>
          <w:color w:val="000000"/>
          <w:szCs w:val="24"/>
        </w:rPr>
        <w:t>Strategic Change</w:t>
      </w:r>
      <w:r w:rsidRPr="005D1893">
        <w:rPr>
          <w:color w:val="000000"/>
          <w:szCs w:val="24"/>
        </w:rPr>
        <w:t>, 11:</w:t>
      </w:r>
    </w:p>
    <w:p w:rsidR="005D1893" w:rsidRPr="005D1893" w:rsidRDefault="005D1893" w:rsidP="005D1893">
      <w:pPr>
        <w:autoSpaceDE w:val="0"/>
        <w:autoSpaceDN w:val="0"/>
        <w:adjustRightInd w:val="0"/>
        <w:spacing w:after="0" w:line="240" w:lineRule="auto"/>
        <w:rPr>
          <w:color w:val="000000"/>
          <w:szCs w:val="24"/>
        </w:rPr>
      </w:pPr>
      <w:proofErr w:type="gramStart"/>
      <w:r w:rsidRPr="005D1893">
        <w:rPr>
          <w:color w:val="000000"/>
          <w:szCs w:val="24"/>
        </w:rPr>
        <w:t>307-316.</w:t>
      </w:r>
      <w:proofErr w:type="gramEnd"/>
    </w:p>
    <w:p w:rsidR="005D1893" w:rsidRDefault="005D1893"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r>
        <w:rPr>
          <w:color w:val="000000"/>
        </w:rPr>
        <w:t xml:space="preserve">Coutu, D.L. (2002), “How resilience works”, </w:t>
      </w:r>
      <w:r>
        <w:rPr>
          <w:i/>
          <w:iCs/>
          <w:color w:val="000000"/>
        </w:rPr>
        <w:t xml:space="preserve">Harvard Business Review, </w:t>
      </w:r>
      <w:r>
        <w:rPr>
          <w:color w:val="000000"/>
        </w:rPr>
        <w:t>May, pp. 47-55.</w:t>
      </w:r>
    </w:p>
    <w:p w:rsidR="0011223C" w:rsidRDefault="0011223C" w:rsidP="0011223C">
      <w:pPr>
        <w:autoSpaceDE w:val="0"/>
        <w:autoSpaceDN w:val="0"/>
        <w:adjustRightInd w:val="0"/>
        <w:spacing w:after="0" w:line="240" w:lineRule="auto"/>
        <w:rPr>
          <w:color w:val="000000"/>
        </w:rPr>
      </w:pPr>
    </w:p>
    <w:p w:rsidR="00EB3A9E" w:rsidRPr="00EB3A9E" w:rsidRDefault="00EB3A9E" w:rsidP="00EB3A9E">
      <w:pPr>
        <w:autoSpaceDE w:val="0"/>
        <w:autoSpaceDN w:val="0"/>
        <w:adjustRightInd w:val="0"/>
        <w:spacing w:after="0" w:line="240" w:lineRule="auto"/>
        <w:rPr>
          <w:color w:val="000000"/>
        </w:rPr>
      </w:pPr>
      <w:bookmarkStart w:id="11" w:name="_ENREF_16"/>
      <w:r w:rsidRPr="00EB3A9E">
        <w:rPr>
          <w:color w:val="000000"/>
        </w:rPr>
        <w:t>Craighead, C. W., Blackhurst, J., Rungtusanatham, M. J., &amp; Handfield, R. B. (2007). "The</w:t>
      </w:r>
    </w:p>
    <w:p w:rsidR="00EB3A9E" w:rsidRPr="00EB3A9E" w:rsidRDefault="00EB3A9E" w:rsidP="00EB3A9E">
      <w:pPr>
        <w:autoSpaceDE w:val="0"/>
        <w:autoSpaceDN w:val="0"/>
        <w:adjustRightInd w:val="0"/>
        <w:spacing w:after="0" w:line="240" w:lineRule="auto"/>
        <w:rPr>
          <w:color w:val="000000"/>
        </w:rPr>
      </w:pPr>
      <w:r w:rsidRPr="00EB3A9E">
        <w:rPr>
          <w:color w:val="000000"/>
        </w:rPr>
        <w:t>Severity of Supply Chain Disruptions: Design Characteristics and Mitigation Capabilities".</w:t>
      </w:r>
    </w:p>
    <w:p w:rsidR="00EB3A9E" w:rsidRPr="00EB3A9E" w:rsidRDefault="00EB3A9E" w:rsidP="00EB3A9E">
      <w:pPr>
        <w:autoSpaceDE w:val="0"/>
        <w:autoSpaceDN w:val="0"/>
        <w:adjustRightInd w:val="0"/>
        <w:spacing w:after="0" w:line="240" w:lineRule="auto"/>
        <w:rPr>
          <w:color w:val="000000"/>
        </w:rPr>
      </w:pPr>
      <w:r w:rsidRPr="00EB3A9E">
        <w:rPr>
          <w:i/>
          <w:color w:val="000000"/>
        </w:rPr>
        <w:t>Decision Sciences</w:t>
      </w:r>
      <w:r w:rsidRPr="00EB3A9E">
        <w:rPr>
          <w:color w:val="000000"/>
        </w:rPr>
        <w:t>, Vol. 38 No. 1, pp. 131-156.</w:t>
      </w:r>
      <w:bookmarkEnd w:id="11"/>
    </w:p>
    <w:p w:rsidR="00EB3A9E" w:rsidRDefault="00EB3A9E"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Cranfield</w:t>
      </w:r>
      <w:proofErr w:type="spellEnd"/>
      <w:r>
        <w:rPr>
          <w:color w:val="000000"/>
        </w:rPr>
        <w:t xml:space="preserve"> University (2003), “Creating resilient supply chains: A practical guide”, report</w:t>
      </w:r>
    </w:p>
    <w:p w:rsidR="0011223C" w:rsidRDefault="0011223C" w:rsidP="0011223C">
      <w:pPr>
        <w:autoSpaceDE w:val="0"/>
        <w:autoSpaceDN w:val="0"/>
        <w:adjustRightInd w:val="0"/>
        <w:spacing w:after="0" w:line="240" w:lineRule="auto"/>
        <w:rPr>
          <w:color w:val="000000"/>
        </w:rPr>
      </w:pPr>
      <w:proofErr w:type="gramStart"/>
      <w:r>
        <w:rPr>
          <w:color w:val="000000"/>
        </w:rPr>
        <w:t>produced</w:t>
      </w:r>
      <w:proofErr w:type="gramEnd"/>
      <w:r>
        <w:rPr>
          <w:color w:val="000000"/>
        </w:rPr>
        <w:t xml:space="preserve"> by the Centre for Logistics and Supply Chain Management.</w:t>
      </w:r>
    </w:p>
    <w:p w:rsidR="0011223C" w:rsidRDefault="0011223C" w:rsidP="0011223C">
      <w:pPr>
        <w:autoSpaceDE w:val="0"/>
        <w:autoSpaceDN w:val="0"/>
        <w:adjustRightInd w:val="0"/>
        <w:spacing w:after="0" w:line="240" w:lineRule="auto"/>
        <w:rPr>
          <w:color w:val="000000"/>
        </w:rPr>
      </w:pPr>
    </w:p>
    <w:p w:rsidR="004F738E" w:rsidRDefault="004F738E" w:rsidP="004F738E">
      <w:pPr>
        <w:pStyle w:val="NoSpacing"/>
        <w:ind w:left="720" w:hanging="720"/>
        <w:rPr>
          <w:noProof/>
        </w:rPr>
      </w:pPr>
      <w:r>
        <w:rPr>
          <w:noProof/>
        </w:rPr>
        <w:t>Creswell, J. W. (2009), Research Design: Qualitative, Quantitative, and Mixed Methods</w:t>
      </w:r>
    </w:p>
    <w:p w:rsidR="004F738E" w:rsidRDefault="004F738E" w:rsidP="004F738E">
      <w:pPr>
        <w:pStyle w:val="NoSpacing"/>
        <w:ind w:left="720" w:hanging="720"/>
        <w:rPr>
          <w:noProof/>
        </w:rPr>
      </w:pPr>
      <w:r>
        <w:rPr>
          <w:noProof/>
        </w:rPr>
        <w:t>Approaches. Thousand Oaks: Sage Publications.</w:t>
      </w:r>
    </w:p>
    <w:p w:rsidR="004F738E" w:rsidRDefault="004F738E" w:rsidP="0011223C">
      <w:pPr>
        <w:autoSpaceDE w:val="0"/>
        <w:autoSpaceDN w:val="0"/>
        <w:adjustRightInd w:val="0"/>
        <w:spacing w:after="0" w:line="240" w:lineRule="auto"/>
        <w:rPr>
          <w:color w:val="000000"/>
        </w:rPr>
      </w:pPr>
    </w:p>
    <w:p w:rsidR="00F76C15" w:rsidRDefault="00F76C15" w:rsidP="00F76C15">
      <w:pPr>
        <w:pStyle w:val="NoSpacing"/>
        <w:ind w:left="720" w:hanging="720"/>
        <w:rPr>
          <w:noProof/>
        </w:rPr>
      </w:pPr>
      <w:r>
        <w:rPr>
          <w:noProof/>
        </w:rPr>
        <w:t xml:space="preserve">Day, G. (1994), "The Capabilities of Market-Driven Organizations," </w:t>
      </w:r>
      <w:r w:rsidRPr="00063F10">
        <w:rPr>
          <w:i/>
          <w:noProof/>
        </w:rPr>
        <w:t>The Journal of Marketing</w:t>
      </w:r>
      <w:r>
        <w:rPr>
          <w:noProof/>
        </w:rPr>
        <w:t>,</w:t>
      </w:r>
    </w:p>
    <w:p w:rsidR="00F76C15" w:rsidRDefault="00F76C15" w:rsidP="00F76C15">
      <w:pPr>
        <w:pStyle w:val="NoSpacing"/>
        <w:ind w:left="720" w:hanging="720"/>
        <w:rPr>
          <w:noProof/>
        </w:rPr>
      </w:pPr>
      <w:r>
        <w:rPr>
          <w:noProof/>
        </w:rPr>
        <w:t>58 (4), 37-52.</w:t>
      </w:r>
    </w:p>
    <w:p w:rsidR="00F76C15" w:rsidRDefault="00F76C15" w:rsidP="00F76C15">
      <w:pPr>
        <w:pStyle w:val="NoSpacing"/>
        <w:rPr>
          <w:noProof/>
        </w:rPr>
      </w:pPr>
    </w:p>
    <w:p w:rsidR="00F76C15" w:rsidRDefault="00F76C15" w:rsidP="00F76C15">
      <w:pPr>
        <w:pStyle w:val="NoSpacing"/>
        <w:ind w:left="720" w:hanging="720"/>
        <w:rPr>
          <w:noProof/>
        </w:rPr>
      </w:pPr>
      <w:r>
        <w:rPr>
          <w:noProof/>
        </w:rPr>
        <w:t>Defee, C. C. and T. P. Stank (2005), "Applying the Strategy-Structure-Performance Paradigm to</w:t>
      </w:r>
    </w:p>
    <w:p w:rsidR="00F76C15" w:rsidRDefault="00F76C15" w:rsidP="00F76C15">
      <w:pPr>
        <w:pStyle w:val="NoSpacing"/>
        <w:ind w:left="720" w:hanging="720"/>
        <w:rPr>
          <w:noProof/>
        </w:rPr>
      </w:pPr>
      <w:r>
        <w:rPr>
          <w:noProof/>
        </w:rPr>
        <w:t xml:space="preserve">the Supply Chain Environment," </w:t>
      </w:r>
      <w:r w:rsidRPr="00063F10">
        <w:rPr>
          <w:i/>
          <w:noProof/>
        </w:rPr>
        <w:t>International Journal of Logistics Management</w:t>
      </w:r>
      <w:r>
        <w:rPr>
          <w:noProof/>
        </w:rPr>
        <w:t>, 16 (1), 28-50.</w:t>
      </w:r>
    </w:p>
    <w:p w:rsidR="00F76C15" w:rsidRDefault="00F76C15" w:rsidP="0011223C">
      <w:pPr>
        <w:autoSpaceDE w:val="0"/>
        <w:autoSpaceDN w:val="0"/>
        <w:adjustRightInd w:val="0"/>
        <w:spacing w:after="0" w:line="240" w:lineRule="auto"/>
        <w:rPr>
          <w:color w:val="000000"/>
        </w:rPr>
      </w:pPr>
    </w:p>
    <w:p w:rsidR="00F76C15" w:rsidRDefault="00F76C15" w:rsidP="00F76C15">
      <w:pPr>
        <w:pStyle w:val="NoSpacing"/>
        <w:ind w:left="720" w:hanging="720"/>
        <w:rPr>
          <w:noProof/>
        </w:rPr>
      </w:pPr>
      <w:r>
        <w:rPr>
          <w:noProof/>
        </w:rPr>
        <w:t>Dillman, D. (2000), Elements of the Tailored Design Method. New York: Wiley.</w:t>
      </w:r>
    </w:p>
    <w:p w:rsidR="00F76C15" w:rsidRDefault="00F76C15" w:rsidP="00F76C15">
      <w:pPr>
        <w:pStyle w:val="NoSpacing"/>
        <w:rPr>
          <w:noProof/>
        </w:rPr>
      </w:pPr>
    </w:p>
    <w:p w:rsidR="00EB3A9E" w:rsidRDefault="00EB3A9E" w:rsidP="00EB3A9E">
      <w:pPr>
        <w:pStyle w:val="NoSpacing"/>
        <w:ind w:left="720" w:hanging="720"/>
        <w:rPr>
          <w:noProof/>
        </w:rPr>
      </w:pPr>
      <w:bookmarkStart w:id="12" w:name="_ENREF_25"/>
      <w:r w:rsidRPr="00EB3A9E">
        <w:rPr>
          <w:noProof/>
        </w:rPr>
        <w:t xml:space="preserve">Dillman, D. A. (2007). Mail and Internet Surveys: The Tailored Design Method: John </w:t>
      </w:r>
      <w:r>
        <w:rPr>
          <w:noProof/>
        </w:rPr>
        <w:t>Wiley &amp;</w:t>
      </w:r>
    </w:p>
    <w:p w:rsidR="00EB3A9E" w:rsidRPr="00EB3A9E" w:rsidRDefault="00EB3A9E" w:rsidP="00EB3A9E">
      <w:pPr>
        <w:pStyle w:val="NoSpacing"/>
        <w:ind w:left="720" w:hanging="720"/>
        <w:rPr>
          <w:noProof/>
        </w:rPr>
      </w:pPr>
      <w:r w:rsidRPr="00EB3A9E">
        <w:rPr>
          <w:noProof/>
        </w:rPr>
        <w:t>Sons Inc.</w:t>
      </w:r>
      <w:bookmarkEnd w:id="12"/>
    </w:p>
    <w:p w:rsidR="00EB3A9E" w:rsidRDefault="00EB3A9E"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proofErr w:type="gramStart"/>
      <w:r>
        <w:rPr>
          <w:color w:val="000000"/>
        </w:rPr>
        <w:t>Dovers</w:t>
      </w:r>
      <w:proofErr w:type="spellEnd"/>
      <w:r>
        <w:rPr>
          <w:color w:val="000000"/>
        </w:rPr>
        <w:t xml:space="preserve">, S.R. and </w:t>
      </w:r>
      <w:proofErr w:type="spellStart"/>
      <w:r>
        <w:rPr>
          <w:color w:val="000000"/>
        </w:rPr>
        <w:t>Handmer</w:t>
      </w:r>
      <w:proofErr w:type="spellEnd"/>
      <w:r>
        <w:rPr>
          <w:color w:val="000000"/>
        </w:rPr>
        <w:t xml:space="preserve">, J.W. (1992), “Uncertainty, sustainability and change”, </w:t>
      </w:r>
      <w:r>
        <w:rPr>
          <w:i/>
          <w:iCs/>
          <w:color w:val="000000"/>
        </w:rPr>
        <w:t>Global Environmental Change</w:t>
      </w:r>
      <w:r>
        <w:rPr>
          <w:color w:val="000000"/>
        </w:rPr>
        <w:t xml:space="preserve">, </w:t>
      </w:r>
      <w:proofErr w:type="spellStart"/>
      <w:r>
        <w:rPr>
          <w:color w:val="000000"/>
        </w:rPr>
        <w:t>Vol</w:t>
      </w:r>
      <w:proofErr w:type="spellEnd"/>
      <w:r>
        <w:rPr>
          <w:color w:val="000000"/>
        </w:rPr>
        <w:t xml:space="preserve"> 2 No 4, pp. 262–276.</w:t>
      </w:r>
      <w:proofErr w:type="gramEnd"/>
    </w:p>
    <w:p w:rsidR="0011223C" w:rsidRDefault="0011223C" w:rsidP="0011223C">
      <w:pPr>
        <w:autoSpaceDE w:val="0"/>
        <w:autoSpaceDN w:val="0"/>
        <w:adjustRightInd w:val="0"/>
        <w:spacing w:after="0" w:line="240" w:lineRule="auto"/>
        <w:rPr>
          <w:color w:val="000000"/>
        </w:rPr>
      </w:pPr>
    </w:p>
    <w:p w:rsidR="00F76C15" w:rsidRDefault="00F76C15" w:rsidP="00F76C15">
      <w:pPr>
        <w:pStyle w:val="NoSpacing"/>
        <w:ind w:left="720" w:hanging="720"/>
        <w:rPr>
          <w:i/>
          <w:noProof/>
        </w:rPr>
      </w:pPr>
      <w:r>
        <w:rPr>
          <w:noProof/>
        </w:rPr>
        <w:t xml:space="preserve">Dwyer, F., P. Schurr and S. Oh (1987), "Developing Buyer-Supplier Relationships," </w:t>
      </w:r>
      <w:r>
        <w:rPr>
          <w:i/>
          <w:noProof/>
        </w:rPr>
        <w:t>Journal of</w:t>
      </w:r>
    </w:p>
    <w:p w:rsidR="00F76C15" w:rsidRDefault="00F76C15" w:rsidP="00F76C15">
      <w:pPr>
        <w:pStyle w:val="NoSpacing"/>
        <w:ind w:left="720" w:hanging="720"/>
        <w:rPr>
          <w:noProof/>
        </w:rPr>
      </w:pPr>
      <w:r w:rsidRPr="00063F10">
        <w:rPr>
          <w:i/>
          <w:noProof/>
        </w:rPr>
        <w:t>Marketing</w:t>
      </w:r>
      <w:r>
        <w:rPr>
          <w:noProof/>
        </w:rPr>
        <w:t>, 51 (2), 11-27.</w:t>
      </w:r>
    </w:p>
    <w:p w:rsidR="00F76C15" w:rsidRDefault="00F76C15" w:rsidP="00F76C15">
      <w:pPr>
        <w:pStyle w:val="NoSpacing"/>
        <w:rPr>
          <w:noProof/>
        </w:rPr>
      </w:pPr>
    </w:p>
    <w:p w:rsidR="00F76C15" w:rsidRDefault="00F76C15" w:rsidP="00F76C15">
      <w:pPr>
        <w:pStyle w:val="NoSpacing"/>
        <w:ind w:left="720" w:hanging="720"/>
        <w:rPr>
          <w:noProof/>
        </w:rPr>
      </w:pPr>
      <w:r>
        <w:rPr>
          <w:noProof/>
        </w:rPr>
        <w:t>Dyer, J. H. and H. Singh (1998), "The Relational View: Cooperative Strategy and Sources of</w:t>
      </w:r>
    </w:p>
    <w:p w:rsidR="00F76C15" w:rsidRDefault="00F76C15" w:rsidP="00F76C15">
      <w:pPr>
        <w:pStyle w:val="NoSpacing"/>
        <w:ind w:left="720" w:hanging="720"/>
        <w:rPr>
          <w:noProof/>
        </w:rPr>
      </w:pPr>
      <w:r>
        <w:rPr>
          <w:noProof/>
        </w:rPr>
        <w:t xml:space="preserve">Interorganizational Competitive Advantage," </w:t>
      </w:r>
      <w:r w:rsidRPr="00063F10">
        <w:rPr>
          <w:i/>
          <w:noProof/>
        </w:rPr>
        <w:t>Academy of management review</w:t>
      </w:r>
      <w:r>
        <w:rPr>
          <w:noProof/>
        </w:rPr>
        <w:t>, 23 (4), 660-679.</w:t>
      </w:r>
    </w:p>
    <w:p w:rsidR="00F76C15" w:rsidRDefault="00F76C15" w:rsidP="0011223C">
      <w:pPr>
        <w:autoSpaceDE w:val="0"/>
        <w:autoSpaceDN w:val="0"/>
        <w:adjustRightInd w:val="0"/>
        <w:spacing w:after="0" w:line="240" w:lineRule="auto"/>
      </w:pPr>
    </w:p>
    <w:p w:rsidR="00E12290" w:rsidRPr="00E12290" w:rsidRDefault="00E12290" w:rsidP="00E12290">
      <w:pPr>
        <w:pStyle w:val="NoSpacing"/>
        <w:ind w:left="720" w:hanging="720"/>
        <w:rPr>
          <w:i/>
          <w:noProof/>
        </w:rPr>
      </w:pPr>
      <w:proofErr w:type="spellStart"/>
      <w:r w:rsidRPr="00E12290">
        <w:rPr>
          <w:noProof/>
        </w:rPr>
        <w:lastRenderedPageBreak/>
        <w:t>Eisenhardt</w:t>
      </w:r>
      <w:proofErr w:type="spellEnd"/>
      <w:r w:rsidRPr="00E12290">
        <w:rPr>
          <w:noProof/>
        </w:rPr>
        <w:t xml:space="preserve">, K. M. and J. A. Martin (2000), ‘Dynamic capabilities: what are they?’ </w:t>
      </w:r>
      <w:r w:rsidRPr="00E12290">
        <w:rPr>
          <w:i/>
          <w:noProof/>
        </w:rPr>
        <w:t>Strategic</w:t>
      </w:r>
    </w:p>
    <w:p w:rsidR="00E12290" w:rsidRPr="00E12290" w:rsidRDefault="00E12290" w:rsidP="00E12290">
      <w:pPr>
        <w:pStyle w:val="NoSpacing"/>
        <w:ind w:left="720" w:hanging="720"/>
        <w:rPr>
          <w:noProof/>
        </w:rPr>
      </w:pPr>
      <w:r w:rsidRPr="00E12290">
        <w:rPr>
          <w:i/>
          <w:noProof/>
        </w:rPr>
        <w:t>Management Journal</w:t>
      </w:r>
      <w:r w:rsidRPr="00E12290">
        <w:rPr>
          <w:noProof/>
        </w:rPr>
        <w:t>, 21(10–11), 1105–1121.</w:t>
      </w:r>
    </w:p>
    <w:p w:rsidR="00E12290" w:rsidRDefault="00E12290" w:rsidP="0011223C">
      <w:pPr>
        <w:autoSpaceDE w:val="0"/>
        <w:autoSpaceDN w:val="0"/>
        <w:adjustRightInd w:val="0"/>
        <w:spacing w:after="0" w:line="240" w:lineRule="auto"/>
      </w:pPr>
    </w:p>
    <w:p w:rsidR="0011223C" w:rsidRDefault="0011223C" w:rsidP="0011223C">
      <w:pPr>
        <w:autoSpaceDE w:val="0"/>
        <w:autoSpaceDN w:val="0"/>
        <w:adjustRightInd w:val="0"/>
        <w:spacing w:after="0" w:line="240" w:lineRule="auto"/>
        <w:rPr>
          <w:color w:val="000000"/>
        </w:rPr>
      </w:pPr>
      <w:r>
        <w:t xml:space="preserve">Faisal, M.N., </w:t>
      </w:r>
      <w:proofErr w:type="spellStart"/>
      <w:r>
        <w:t>Banwet</w:t>
      </w:r>
      <w:proofErr w:type="spellEnd"/>
      <w:r>
        <w:t xml:space="preserve">, D.K. and Shankar, R. (2006) “Supply chain risk mitigation: modeling the enablers”, </w:t>
      </w:r>
      <w:r>
        <w:rPr>
          <w:i/>
          <w:iCs/>
        </w:rPr>
        <w:t xml:space="preserve">Business </w:t>
      </w:r>
      <w:proofErr w:type="gramStart"/>
      <w:r>
        <w:rPr>
          <w:i/>
          <w:iCs/>
        </w:rPr>
        <w:t>Process  Management</w:t>
      </w:r>
      <w:proofErr w:type="gramEnd"/>
      <w:r>
        <w:rPr>
          <w:i/>
          <w:iCs/>
        </w:rPr>
        <w:t xml:space="preserve">  Journal</w:t>
      </w:r>
      <w:r>
        <w:t>,   Vol.   </w:t>
      </w:r>
      <w:proofErr w:type="gramStart"/>
      <w:r>
        <w:t>12,   No. 4,  </w:t>
      </w:r>
      <w:r>
        <w:rPr>
          <w:color w:val="000000"/>
        </w:rPr>
        <w:t xml:space="preserve"> </w:t>
      </w:r>
      <w:r>
        <w:t>pp.535–552.</w:t>
      </w:r>
      <w:proofErr w:type="gramEnd"/>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Cs/>
          <w:color w:val="000000"/>
        </w:rPr>
      </w:pPr>
      <w:proofErr w:type="spellStart"/>
      <w:r>
        <w:rPr>
          <w:color w:val="000000"/>
        </w:rPr>
        <w:t>Folke</w:t>
      </w:r>
      <w:proofErr w:type="spellEnd"/>
      <w:r>
        <w:rPr>
          <w:color w:val="000000"/>
        </w:rPr>
        <w:t xml:space="preserve">, C., Carpenter, S., </w:t>
      </w:r>
      <w:proofErr w:type="spellStart"/>
      <w:r>
        <w:rPr>
          <w:color w:val="000000"/>
        </w:rPr>
        <w:t>Elmquist</w:t>
      </w:r>
      <w:proofErr w:type="spellEnd"/>
      <w:r>
        <w:rPr>
          <w:color w:val="000000"/>
        </w:rPr>
        <w:t xml:space="preserve">, T., </w:t>
      </w:r>
      <w:proofErr w:type="spellStart"/>
      <w:r>
        <w:rPr>
          <w:color w:val="000000"/>
        </w:rPr>
        <w:t>Holling</w:t>
      </w:r>
      <w:proofErr w:type="spellEnd"/>
      <w:r>
        <w:rPr>
          <w:color w:val="000000"/>
        </w:rPr>
        <w:t xml:space="preserve">, C.S., and </w:t>
      </w:r>
      <w:smartTag w:uri="urn:schemas-microsoft-com:office:smarttags" w:element="place">
        <w:smartTag w:uri="urn:schemas-microsoft-com:office:smarttags" w:element="City">
          <w:r>
            <w:rPr>
              <w:color w:val="000000"/>
            </w:rPr>
            <w:t>Walker</w:t>
          </w:r>
        </w:smartTag>
      </w:smartTag>
      <w:r>
        <w:rPr>
          <w:color w:val="000000"/>
        </w:rPr>
        <w:t xml:space="preserve">, B.(2003), “Resilience and sustainable development: building adaptive capacity in a world of transformations, </w:t>
      </w:r>
      <w:r>
        <w:rPr>
          <w:i/>
          <w:color w:val="000000"/>
        </w:rPr>
        <w:t>AMBIO: A Journal of the Human Environment</w:t>
      </w:r>
      <w:r>
        <w:rPr>
          <w:color w:val="000000"/>
        </w:rPr>
        <w:t>, Vol. 31, Issue 5, pp. 437-440.</w:t>
      </w:r>
    </w:p>
    <w:p w:rsidR="0011223C" w:rsidRDefault="0011223C" w:rsidP="0011223C">
      <w:pPr>
        <w:autoSpaceDE w:val="0"/>
        <w:autoSpaceDN w:val="0"/>
        <w:adjustRightInd w:val="0"/>
        <w:spacing w:after="0" w:line="240" w:lineRule="auto"/>
        <w:rPr>
          <w:color w:val="000000"/>
        </w:rPr>
      </w:pPr>
    </w:p>
    <w:p w:rsidR="000C021F" w:rsidRDefault="000C021F" w:rsidP="000C021F">
      <w:pPr>
        <w:pStyle w:val="NoSpacing"/>
        <w:ind w:left="720" w:hanging="720"/>
        <w:rPr>
          <w:noProof/>
        </w:rPr>
      </w:pPr>
      <w:r>
        <w:rPr>
          <w:noProof/>
        </w:rPr>
        <w:t>Fornell, C. and D. F. Larcker (1981), "Evaluating Structural Equation Models with Unobservable</w:t>
      </w:r>
    </w:p>
    <w:p w:rsidR="000C021F" w:rsidRDefault="000C021F" w:rsidP="000C021F">
      <w:pPr>
        <w:pStyle w:val="NoSpacing"/>
        <w:ind w:left="720" w:hanging="720"/>
        <w:rPr>
          <w:noProof/>
        </w:rPr>
      </w:pPr>
      <w:r>
        <w:rPr>
          <w:noProof/>
        </w:rPr>
        <w:t xml:space="preserve">Variables and Measurement Error," </w:t>
      </w:r>
      <w:r w:rsidRPr="00063F10">
        <w:rPr>
          <w:i/>
          <w:noProof/>
        </w:rPr>
        <w:t>Journal of Marketing Research</w:t>
      </w:r>
      <w:r>
        <w:rPr>
          <w:noProof/>
        </w:rPr>
        <w:t>, 18 (1), 39-50.</w:t>
      </w:r>
    </w:p>
    <w:p w:rsidR="000C021F" w:rsidRDefault="000C021F" w:rsidP="000C021F">
      <w:pPr>
        <w:pStyle w:val="NoSpacing"/>
        <w:rPr>
          <w:noProof/>
        </w:rPr>
      </w:pPr>
    </w:p>
    <w:p w:rsidR="000C021F" w:rsidRDefault="000C021F" w:rsidP="000C021F">
      <w:pPr>
        <w:pStyle w:val="NoSpacing"/>
        <w:ind w:left="720" w:hanging="720"/>
        <w:rPr>
          <w:noProof/>
        </w:rPr>
      </w:pPr>
      <w:r>
        <w:rPr>
          <w:noProof/>
        </w:rPr>
        <w:t>Garver, M. and J. Mentzer (1999), "Logistics Research Methods: Employing Structural Equation</w:t>
      </w:r>
    </w:p>
    <w:p w:rsidR="000C021F" w:rsidRDefault="000C021F" w:rsidP="000C021F">
      <w:pPr>
        <w:pStyle w:val="NoSpacing"/>
        <w:ind w:left="720" w:hanging="720"/>
        <w:rPr>
          <w:noProof/>
        </w:rPr>
      </w:pPr>
      <w:r>
        <w:rPr>
          <w:noProof/>
        </w:rPr>
        <w:t xml:space="preserve">Modeling to Test for Construct Validity," </w:t>
      </w:r>
      <w:r w:rsidRPr="00063F10">
        <w:rPr>
          <w:i/>
          <w:noProof/>
        </w:rPr>
        <w:t>Journal of Business Logistics</w:t>
      </w:r>
      <w:r>
        <w:rPr>
          <w:noProof/>
        </w:rPr>
        <w:t>, 20 (1), 33-58.</w:t>
      </w:r>
    </w:p>
    <w:p w:rsidR="000C021F" w:rsidRDefault="000C021F" w:rsidP="000C021F">
      <w:pPr>
        <w:pStyle w:val="NoSpacing"/>
        <w:rPr>
          <w:noProof/>
        </w:rPr>
      </w:pPr>
    </w:p>
    <w:p w:rsidR="000C021F" w:rsidRDefault="000C021F" w:rsidP="000C021F">
      <w:pPr>
        <w:pStyle w:val="NoSpacing"/>
        <w:ind w:left="720" w:hanging="720"/>
        <w:rPr>
          <w:noProof/>
        </w:rPr>
      </w:pPr>
      <w:r>
        <w:rPr>
          <w:noProof/>
        </w:rPr>
        <w:t>Gerbing, D. W. and J. C. Anderson (1988), "An Updated Paradigm for Scale Development</w:t>
      </w:r>
    </w:p>
    <w:p w:rsidR="000C021F" w:rsidRDefault="000C021F" w:rsidP="000C021F">
      <w:pPr>
        <w:pStyle w:val="NoSpacing"/>
        <w:ind w:left="720" w:hanging="720"/>
        <w:rPr>
          <w:noProof/>
        </w:rPr>
      </w:pPr>
      <w:r>
        <w:rPr>
          <w:noProof/>
        </w:rPr>
        <w:t xml:space="preserve">Incorporating Unidimensionality and Its Assessment," </w:t>
      </w:r>
      <w:r w:rsidRPr="00063F10">
        <w:rPr>
          <w:i/>
          <w:noProof/>
        </w:rPr>
        <w:t>Journal of Marketing Research</w:t>
      </w:r>
      <w:r>
        <w:rPr>
          <w:noProof/>
        </w:rPr>
        <w:t>, 25 (2),</w:t>
      </w:r>
    </w:p>
    <w:p w:rsidR="000C021F" w:rsidRDefault="000C021F" w:rsidP="000C021F">
      <w:pPr>
        <w:pStyle w:val="NoSpacing"/>
        <w:ind w:left="720" w:hanging="720"/>
        <w:rPr>
          <w:noProof/>
        </w:rPr>
      </w:pPr>
      <w:r>
        <w:rPr>
          <w:noProof/>
        </w:rPr>
        <w:t>186-192.</w:t>
      </w:r>
    </w:p>
    <w:p w:rsidR="000C021F" w:rsidRDefault="000C021F" w:rsidP="000C021F">
      <w:pPr>
        <w:pStyle w:val="NoSpacing"/>
        <w:rPr>
          <w:noProof/>
        </w:rPr>
      </w:pPr>
    </w:p>
    <w:p w:rsidR="000C021F" w:rsidRDefault="000C021F" w:rsidP="000C021F">
      <w:pPr>
        <w:pStyle w:val="NoSpacing"/>
        <w:ind w:left="720" w:hanging="720"/>
        <w:rPr>
          <w:noProof/>
        </w:rPr>
      </w:pPr>
      <w:r>
        <w:rPr>
          <w:noProof/>
        </w:rPr>
        <w:t>Grant, R. (1991), "The Resource-Based Theory of Competitive Advantage: Implications for</w:t>
      </w:r>
    </w:p>
    <w:p w:rsidR="000C021F" w:rsidRDefault="000C021F" w:rsidP="000C021F">
      <w:pPr>
        <w:pStyle w:val="NoSpacing"/>
        <w:ind w:left="720" w:hanging="720"/>
        <w:rPr>
          <w:noProof/>
        </w:rPr>
      </w:pPr>
      <w:r>
        <w:rPr>
          <w:noProof/>
        </w:rPr>
        <w:t xml:space="preserve">Strategy Formulation," </w:t>
      </w:r>
      <w:r w:rsidRPr="00063F10">
        <w:rPr>
          <w:i/>
          <w:noProof/>
        </w:rPr>
        <w:t>California Management Review</w:t>
      </w:r>
      <w:r>
        <w:rPr>
          <w:noProof/>
        </w:rPr>
        <w:t>, 33 (3), 114-136.</w:t>
      </w:r>
    </w:p>
    <w:p w:rsidR="000C021F" w:rsidRDefault="000C021F" w:rsidP="000C021F">
      <w:pPr>
        <w:pStyle w:val="NoSpacing"/>
        <w:rPr>
          <w:noProof/>
        </w:rPr>
      </w:pPr>
    </w:p>
    <w:p w:rsidR="000C021F" w:rsidRDefault="000C021F" w:rsidP="000C021F">
      <w:pPr>
        <w:pStyle w:val="NoSpacing"/>
        <w:ind w:left="720" w:hanging="720"/>
        <w:rPr>
          <w:i/>
          <w:noProof/>
        </w:rPr>
      </w:pPr>
      <w:r>
        <w:rPr>
          <w:noProof/>
        </w:rPr>
        <w:t xml:space="preserve">Grant, R. M. (1996), "Toward a Knowledge-Based Theory of the Firm," </w:t>
      </w:r>
      <w:r>
        <w:rPr>
          <w:i/>
          <w:noProof/>
        </w:rPr>
        <w:t>Strategic Management</w:t>
      </w:r>
    </w:p>
    <w:p w:rsidR="000C021F" w:rsidRDefault="000C021F" w:rsidP="000C021F">
      <w:pPr>
        <w:pStyle w:val="NoSpacing"/>
        <w:ind w:left="720" w:hanging="720"/>
        <w:rPr>
          <w:noProof/>
        </w:rPr>
      </w:pPr>
      <w:r w:rsidRPr="00063F10">
        <w:rPr>
          <w:i/>
          <w:noProof/>
        </w:rPr>
        <w:t>Journal</w:t>
      </w:r>
      <w:r>
        <w:rPr>
          <w:noProof/>
        </w:rPr>
        <w:t>, 17 (10), 109-122.</w:t>
      </w:r>
    </w:p>
    <w:p w:rsidR="000C021F" w:rsidRDefault="000C021F"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proofErr w:type="gramStart"/>
      <w:r>
        <w:rPr>
          <w:color w:val="000000"/>
        </w:rPr>
        <w:t xml:space="preserve">Gunderson, L. (2000), “Ecological resilience – In theory and application”, </w:t>
      </w:r>
      <w:r>
        <w:rPr>
          <w:i/>
          <w:iCs/>
          <w:color w:val="000000"/>
        </w:rPr>
        <w:t xml:space="preserve">Annual Review of Ecology and. </w:t>
      </w:r>
      <w:proofErr w:type="spellStart"/>
      <w:r>
        <w:rPr>
          <w:i/>
          <w:iCs/>
          <w:color w:val="000000"/>
        </w:rPr>
        <w:t>Systematics</w:t>
      </w:r>
      <w:proofErr w:type="spellEnd"/>
      <w:r>
        <w:rPr>
          <w:i/>
          <w:iCs/>
          <w:color w:val="000000"/>
        </w:rPr>
        <w:t xml:space="preserve">, </w:t>
      </w:r>
      <w:proofErr w:type="spellStart"/>
      <w:r>
        <w:rPr>
          <w:iCs/>
          <w:color w:val="000000"/>
        </w:rPr>
        <w:t>Vol</w:t>
      </w:r>
      <w:proofErr w:type="spellEnd"/>
      <w:r>
        <w:rPr>
          <w:iCs/>
          <w:color w:val="000000"/>
        </w:rPr>
        <w:t xml:space="preserve"> </w:t>
      </w:r>
      <w:r>
        <w:rPr>
          <w:color w:val="000000"/>
        </w:rPr>
        <w:t>31, pp. 425-439.</w:t>
      </w:r>
      <w:proofErr w:type="gramEnd"/>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gramStart"/>
      <w:r>
        <w:rPr>
          <w:color w:val="000000"/>
        </w:rPr>
        <w:t xml:space="preserve">Hamel, G. and </w:t>
      </w:r>
      <w:proofErr w:type="spellStart"/>
      <w:r>
        <w:rPr>
          <w:color w:val="000000"/>
        </w:rPr>
        <w:t>Valikangas</w:t>
      </w:r>
      <w:proofErr w:type="spellEnd"/>
      <w:r>
        <w:rPr>
          <w:color w:val="000000"/>
        </w:rPr>
        <w:t xml:space="preserve">, L. (2003), “The quest for resilience”, </w:t>
      </w:r>
      <w:r>
        <w:rPr>
          <w:i/>
          <w:iCs/>
          <w:color w:val="000000"/>
        </w:rPr>
        <w:t xml:space="preserve">Harvard Business Review, </w:t>
      </w:r>
      <w:r>
        <w:rPr>
          <w:iCs/>
          <w:color w:val="000000"/>
        </w:rPr>
        <w:t>September, pp.</w:t>
      </w:r>
      <w:r>
        <w:rPr>
          <w:i/>
          <w:iCs/>
          <w:color w:val="000000"/>
        </w:rPr>
        <w:t xml:space="preserve"> </w:t>
      </w:r>
      <w:r>
        <w:rPr>
          <w:color w:val="000000"/>
        </w:rPr>
        <w:t>52-63.</w:t>
      </w:r>
      <w:proofErr w:type="gramEnd"/>
    </w:p>
    <w:p w:rsidR="0011223C" w:rsidRDefault="0011223C" w:rsidP="0011223C">
      <w:pPr>
        <w:autoSpaceDE w:val="0"/>
        <w:autoSpaceDN w:val="0"/>
        <w:adjustRightInd w:val="0"/>
        <w:spacing w:after="0" w:line="240" w:lineRule="auto"/>
        <w:rPr>
          <w:color w:val="000000"/>
        </w:rPr>
      </w:pPr>
    </w:p>
    <w:p w:rsidR="00EB3A9E" w:rsidRPr="00EB3A9E" w:rsidRDefault="00EB3A9E" w:rsidP="00EB3A9E">
      <w:pPr>
        <w:autoSpaceDE w:val="0"/>
        <w:autoSpaceDN w:val="0"/>
        <w:adjustRightInd w:val="0"/>
        <w:spacing w:after="0" w:line="240" w:lineRule="auto"/>
        <w:rPr>
          <w:color w:val="000000"/>
        </w:rPr>
      </w:pPr>
      <w:bookmarkStart w:id="13" w:name="_ENREF_40"/>
      <w:r w:rsidRPr="00EB3A9E">
        <w:rPr>
          <w:color w:val="000000"/>
        </w:rPr>
        <w:t>Hendricks, K. B., &amp; Singhal, V. R. (2003). "The Effect of Supply Chain Glitches on</w:t>
      </w:r>
    </w:p>
    <w:p w:rsidR="00EB3A9E" w:rsidRPr="00EB3A9E" w:rsidRDefault="00EB3A9E" w:rsidP="00EB3A9E">
      <w:pPr>
        <w:autoSpaceDE w:val="0"/>
        <w:autoSpaceDN w:val="0"/>
        <w:adjustRightInd w:val="0"/>
        <w:spacing w:after="0" w:line="240" w:lineRule="auto"/>
        <w:rPr>
          <w:color w:val="000000"/>
        </w:rPr>
      </w:pPr>
      <w:r w:rsidRPr="00EB3A9E">
        <w:rPr>
          <w:color w:val="000000"/>
        </w:rPr>
        <w:t xml:space="preserve">Shareholder Wealth". </w:t>
      </w:r>
      <w:r w:rsidRPr="00EB3A9E">
        <w:rPr>
          <w:i/>
          <w:color w:val="000000"/>
        </w:rPr>
        <w:t>Journal of Operations Managemen</w:t>
      </w:r>
      <w:r w:rsidRPr="00EB3A9E">
        <w:rPr>
          <w:color w:val="000000"/>
        </w:rPr>
        <w:t>t, Vol. 21 No. 5, pp. 501-522.</w:t>
      </w:r>
      <w:bookmarkEnd w:id="13"/>
    </w:p>
    <w:p w:rsidR="00EB3A9E" w:rsidRDefault="00EB3A9E"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proofErr w:type="spellStart"/>
      <w:r>
        <w:rPr>
          <w:color w:val="000000"/>
        </w:rPr>
        <w:t>Holling</w:t>
      </w:r>
      <w:proofErr w:type="spellEnd"/>
      <w:r>
        <w:rPr>
          <w:color w:val="000000"/>
        </w:rPr>
        <w:t xml:space="preserve">, C.S. (1973), “Resilience and stability of ecological systems”, </w:t>
      </w:r>
      <w:r>
        <w:rPr>
          <w:i/>
          <w:iCs/>
          <w:color w:val="000000"/>
        </w:rPr>
        <w:t>Annual Review of</w:t>
      </w:r>
    </w:p>
    <w:p w:rsidR="0011223C" w:rsidRDefault="0011223C" w:rsidP="0011223C">
      <w:pPr>
        <w:autoSpaceDE w:val="0"/>
        <w:autoSpaceDN w:val="0"/>
        <w:adjustRightInd w:val="0"/>
        <w:spacing w:after="0" w:line="240" w:lineRule="auto"/>
        <w:rPr>
          <w:color w:val="000000"/>
        </w:rPr>
      </w:pPr>
      <w:r>
        <w:rPr>
          <w:i/>
          <w:iCs/>
          <w:color w:val="000000"/>
        </w:rPr>
        <w:t xml:space="preserve">Ecology and </w:t>
      </w:r>
      <w:proofErr w:type="spellStart"/>
      <w:r>
        <w:rPr>
          <w:i/>
          <w:iCs/>
          <w:color w:val="000000"/>
        </w:rPr>
        <w:t>Systematics</w:t>
      </w:r>
      <w:proofErr w:type="spellEnd"/>
      <w:r>
        <w:rPr>
          <w:i/>
          <w:iCs/>
          <w:color w:val="000000"/>
        </w:rPr>
        <w:t xml:space="preserve">, </w:t>
      </w:r>
      <w:proofErr w:type="spellStart"/>
      <w:r>
        <w:rPr>
          <w:iCs/>
          <w:color w:val="000000"/>
        </w:rPr>
        <w:t>Vol</w:t>
      </w:r>
      <w:proofErr w:type="spellEnd"/>
      <w:r>
        <w:rPr>
          <w:iCs/>
          <w:color w:val="000000"/>
        </w:rPr>
        <w:t xml:space="preserve"> </w:t>
      </w:r>
      <w:r>
        <w:rPr>
          <w:color w:val="000000"/>
        </w:rPr>
        <w:t>4, pp. 1–23.</w:t>
      </w:r>
    </w:p>
    <w:p w:rsidR="0011223C" w:rsidRDefault="0011223C" w:rsidP="0011223C">
      <w:pPr>
        <w:autoSpaceDE w:val="0"/>
        <w:autoSpaceDN w:val="0"/>
        <w:adjustRightInd w:val="0"/>
        <w:spacing w:after="0" w:line="240" w:lineRule="auto"/>
        <w:rPr>
          <w:i/>
          <w:iCs/>
          <w:color w:val="000000"/>
        </w:rPr>
      </w:pPr>
    </w:p>
    <w:p w:rsidR="0011223C" w:rsidRDefault="0011223C" w:rsidP="0011223C">
      <w:pPr>
        <w:autoSpaceDE w:val="0"/>
        <w:autoSpaceDN w:val="0"/>
        <w:adjustRightInd w:val="0"/>
        <w:spacing w:after="0" w:line="240" w:lineRule="auto"/>
        <w:rPr>
          <w:color w:val="000000"/>
        </w:rPr>
      </w:pPr>
      <w:r>
        <w:rPr>
          <w:color w:val="000000"/>
        </w:rPr>
        <w:t xml:space="preserve">Hong, Y. and </w:t>
      </w:r>
      <w:proofErr w:type="spellStart"/>
      <w:r>
        <w:rPr>
          <w:color w:val="000000"/>
        </w:rPr>
        <w:t>Choi</w:t>
      </w:r>
      <w:proofErr w:type="spellEnd"/>
      <w:r>
        <w:rPr>
          <w:color w:val="000000"/>
        </w:rPr>
        <w:t xml:space="preserve">, T.Y. (2002), “Unveiling the structure of supply networks: Case studies in Honda, Acura and Daimler Chrysler”, </w:t>
      </w:r>
      <w:r>
        <w:rPr>
          <w:i/>
          <w:iCs/>
          <w:color w:val="000000"/>
        </w:rPr>
        <w:t>Journal of Operations Management</w:t>
      </w:r>
      <w:r>
        <w:rPr>
          <w:color w:val="000000"/>
        </w:rPr>
        <w:t xml:space="preserve">, </w:t>
      </w:r>
      <w:proofErr w:type="spellStart"/>
      <w:r>
        <w:rPr>
          <w:color w:val="000000"/>
        </w:rPr>
        <w:t>Vol</w:t>
      </w:r>
      <w:proofErr w:type="spellEnd"/>
      <w:r>
        <w:rPr>
          <w:color w:val="000000"/>
        </w:rPr>
        <w:t xml:space="preserve"> 20, pp. 469-493. </w:t>
      </w:r>
    </w:p>
    <w:p w:rsidR="0011223C" w:rsidRDefault="0011223C" w:rsidP="0011223C">
      <w:pPr>
        <w:autoSpaceDE w:val="0"/>
        <w:autoSpaceDN w:val="0"/>
        <w:adjustRightInd w:val="0"/>
        <w:spacing w:after="0" w:line="240" w:lineRule="auto"/>
        <w:rPr>
          <w:color w:val="000000"/>
        </w:rPr>
      </w:pPr>
    </w:p>
    <w:p w:rsidR="0011223C" w:rsidRDefault="0011223C" w:rsidP="0011223C">
      <w:pPr>
        <w:spacing w:after="0" w:line="240" w:lineRule="auto"/>
      </w:pPr>
      <w:proofErr w:type="spellStart"/>
      <w:r>
        <w:t>Jüttner</w:t>
      </w:r>
      <w:proofErr w:type="spellEnd"/>
      <w:r>
        <w:t xml:space="preserve">, </w:t>
      </w:r>
      <w:proofErr w:type="spellStart"/>
      <w:r>
        <w:t>Uta</w:t>
      </w:r>
      <w:proofErr w:type="spellEnd"/>
      <w:r>
        <w:t xml:space="preserve"> (2005), "Supply chain risk management”, </w:t>
      </w:r>
      <w:r>
        <w:rPr>
          <w:i/>
        </w:rPr>
        <w:t>International Journal of Logistics Management,</w:t>
      </w:r>
      <w:r>
        <w:t xml:space="preserve"> </w:t>
      </w:r>
      <w:proofErr w:type="spellStart"/>
      <w:r>
        <w:t>Vol</w:t>
      </w:r>
      <w:proofErr w:type="spellEnd"/>
      <w:r>
        <w:t xml:space="preserve"> </w:t>
      </w:r>
      <w:proofErr w:type="gramStart"/>
      <w:r>
        <w:t>16  No</w:t>
      </w:r>
      <w:proofErr w:type="gramEnd"/>
      <w:r>
        <w:t xml:space="preserve"> 1, pp. 120-141.</w:t>
      </w:r>
    </w:p>
    <w:p w:rsidR="0011223C" w:rsidRDefault="0011223C" w:rsidP="0011223C">
      <w:pPr>
        <w:spacing w:after="0" w:line="240" w:lineRule="auto"/>
      </w:pPr>
    </w:p>
    <w:p w:rsidR="0011223C" w:rsidRDefault="0011223C" w:rsidP="0011223C">
      <w:pPr>
        <w:spacing w:after="0" w:line="240" w:lineRule="auto"/>
      </w:pPr>
      <w:proofErr w:type="spellStart"/>
      <w:r>
        <w:lastRenderedPageBreak/>
        <w:t>Jüttner</w:t>
      </w:r>
      <w:proofErr w:type="spellEnd"/>
      <w:r>
        <w:t xml:space="preserve">, </w:t>
      </w:r>
      <w:proofErr w:type="spellStart"/>
      <w:r>
        <w:t>Uta</w:t>
      </w:r>
      <w:proofErr w:type="spellEnd"/>
      <w:r>
        <w:t xml:space="preserve">, Helen Peck and Martin Christopher (2003), "Supply chain risk management: Outlining an agenda for future research”, </w:t>
      </w:r>
      <w:r>
        <w:rPr>
          <w:i/>
        </w:rPr>
        <w:t>International Journal of Logistics: Research &amp; Applications</w:t>
      </w:r>
      <w:r>
        <w:t xml:space="preserve">, </w:t>
      </w:r>
      <w:proofErr w:type="spellStart"/>
      <w:r>
        <w:t>Vol</w:t>
      </w:r>
      <w:proofErr w:type="spellEnd"/>
      <w:r>
        <w:t xml:space="preserve"> 6 No 4, pp. 197-210.</w:t>
      </w:r>
    </w:p>
    <w:p w:rsidR="0011223C" w:rsidRDefault="0011223C" w:rsidP="0011223C">
      <w:pPr>
        <w:spacing w:after="0" w:line="240" w:lineRule="auto"/>
      </w:pPr>
    </w:p>
    <w:p w:rsidR="000C021F" w:rsidRDefault="000C021F" w:rsidP="000C021F">
      <w:pPr>
        <w:pStyle w:val="NoSpacing"/>
        <w:ind w:left="720" w:hanging="720"/>
        <w:rPr>
          <w:noProof/>
        </w:rPr>
      </w:pPr>
      <w:r>
        <w:rPr>
          <w:noProof/>
        </w:rPr>
        <w:t>Kerlinger, F. and H. B. Lee (2000), Foundations of Behavioral Research. New York: Wadsworth</w:t>
      </w:r>
    </w:p>
    <w:p w:rsidR="000C021F" w:rsidRDefault="000C021F" w:rsidP="000C021F">
      <w:pPr>
        <w:pStyle w:val="NoSpacing"/>
        <w:ind w:left="720" w:hanging="720"/>
        <w:rPr>
          <w:noProof/>
        </w:rPr>
      </w:pPr>
      <w:r>
        <w:rPr>
          <w:noProof/>
        </w:rPr>
        <w:t>- Thomson Learning.</w:t>
      </w:r>
    </w:p>
    <w:p w:rsidR="000C021F" w:rsidRDefault="000C021F" w:rsidP="0011223C">
      <w:pPr>
        <w:spacing w:after="0" w:line="240" w:lineRule="auto"/>
      </w:pPr>
    </w:p>
    <w:p w:rsidR="00EB3A9E" w:rsidRPr="00EB3A9E" w:rsidRDefault="00EB3A9E" w:rsidP="00EB3A9E">
      <w:pPr>
        <w:pStyle w:val="NoSpacing"/>
        <w:ind w:left="720" w:hanging="720"/>
        <w:rPr>
          <w:noProof/>
        </w:rPr>
      </w:pPr>
      <w:bookmarkStart w:id="14" w:name="_ENREF_48"/>
      <w:r w:rsidRPr="00EB3A9E">
        <w:rPr>
          <w:noProof/>
        </w:rPr>
        <w:t>Kleindorfer, P. R., &amp; Saad, G. H. (2005). "Managing Disruption Risks in Supply Chains".</w:t>
      </w:r>
    </w:p>
    <w:p w:rsidR="00EB3A9E" w:rsidRPr="00EB3A9E" w:rsidRDefault="00EB3A9E" w:rsidP="00EB3A9E">
      <w:pPr>
        <w:pStyle w:val="NoSpacing"/>
        <w:ind w:left="720" w:hanging="720"/>
        <w:rPr>
          <w:noProof/>
        </w:rPr>
      </w:pPr>
      <w:r w:rsidRPr="00EB3A9E">
        <w:rPr>
          <w:i/>
          <w:noProof/>
        </w:rPr>
        <w:t>Production and Operations Management</w:t>
      </w:r>
      <w:r w:rsidRPr="00EB3A9E">
        <w:rPr>
          <w:noProof/>
        </w:rPr>
        <w:t>, Vol. 14 No. 1, pp. 53-68.</w:t>
      </w:r>
      <w:bookmarkEnd w:id="14"/>
    </w:p>
    <w:p w:rsidR="00EB3A9E" w:rsidRPr="00EB3A9E" w:rsidRDefault="00EB3A9E" w:rsidP="00EB3A9E">
      <w:pPr>
        <w:pStyle w:val="NoSpacing"/>
        <w:ind w:left="720" w:hanging="720"/>
        <w:rPr>
          <w:noProof/>
        </w:rPr>
      </w:pPr>
      <w:bookmarkStart w:id="15" w:name="_ENREF_49"/>
    </w:p>
    <w:p w:rsidR="00EB3A9E" w:rsidRPr="00EB3A9E" w:rsidRDefault="00EB3A9E" w:rsidP="00EB3A9E">
      <w:pPr>
        <w:pStyle w:val="NoSpacing"/>
        <w:ind w:left="720" w:hanging="720"/>
        <w:rPr>
          <w:noProof/>
        </w:rPr>
      </w:pPr>
      <w:r w:rsidRPr="00EB3A9E">
        <w:rPr>
          <w:noProof/>
        </w:rPr>
        <w:t>Knemeyer, A. M., Zinn, W., &amp; Eroglu, C. (2009). "Proactive Planning for Catastrophic Events</w:t>
      </w:r>
    </w:p>
    <w:p w:rsidR="00EB3A9E" w:rsidRPr="00EB3A9E" w:rsidRDefault="00EB3A9E" w:rsidP="00EB3A9E">
      <w:pPr>
        <w:pStyle w:val="NoSpacing"/>
        <w:ind w:left="720" w:hanging="720"/>
        <w:rPr>
          <w:noProof/>
        </w:rPr>
      </w:pPr>
      <w:r w:rsidRPr="00EB3A9E">
        <w:rPr>
          <w:noProof/>
        </w:rPr>
        <w:t xml:space="preserve">in Supply Chains". </w:t>
      </w:r>
      <w:r w:rsidRPr="00EB3A9E">
        <w:rPr>
          <w:i/>
          <w:noProof/>
        </w:rPr>
        <w:t>Journal of Operations Management</w:t>
      </w:r>
      <w:r w:rsidRPr="00EB3A9E">
        <w:rPr>
          <w:noProof/>
        </w:rPr>
        <w:t>, Vol. 27 No. 2, pp. 141-153.</w:t>
      </w:r>
      <w:bookmarkEnd w:id="15"/>
    </w:p>
    <w:p w:rsidR="00EB3A9E" w:rsidRDefault="00EB3A9E" w:rsidP="0011223C">
      <w:pPr>
        <w:spacing w:after="0" w:line="240" w:lineRule="auto"/>
      </w:pPr>
    </w:p>
    <w:p w:rsidR="00E12290" w:rsidRPr="00E12290" w:rsidRDefault="00E12290" w:rsidP="00E12290">
      <w:pPr>
        <w:pStyle w:val="NoSpacing"/>
        <w:ind w:left="720" w:hanging="720"/>
        <w:rPr>
          <w:noProof/>
        </w:rPr>
      </w:pPr>
      <w:proofErr w:type="spellStart"/>
      <w:r w:rsidRPr="00E12290">
        <w:rPr>
          <w:noProof/>
        </w:rPr>
        <w:t>Kraaijenbrink</w:t>
      </w:r>
      <w:proofErr w:type="spellEnd"/>
      <w:r w:rsidRPr="00E12290">
        <w:rPr>
          <w:noProof/>
        </w:rPr>
        <w:t xml:space="preserve">, J., J. C. Spender and A. </w:t>
      </w:r>
      <w:proofErr w:type="spellStart"/>
      <w:r w:rsidRPr="00E12290">
        <w:rPr>
          <w:noProof/>
        </w:rPr>
        <w:t>Groen</w:t>
      </w:r>
      <w:proofErr w:type="spellEnd"/>
      <w:r w:rsidRPr="00E12290">
        <w:rPr>
          <w:noProof/>
        </w:rPr>
        <w:t xml:space="preserve"> (2010), ‘</w:t>
      </w:r>
      <w:proofErr w:type="gramStart"/>
      <w:r w:rsidRPr="00E12290">
        <w:rPr>
          <w:noProof/>
        </w:rPr>
        <w:t>The</w:t>
      </w:r>
      <w:proofErr w:type="gramEnd"/>
      <w:r w:rsidRPr="00E12290">
        <w:rPr>
          <w:noProof/>
        </w:rPr>
        <w:t xml:space="preserve"> resource-based view: a review and</w:t>
      </w:r>
    </w:p>
    <w:p w:rsidR="00E12290" w:rsidRPr="00E12290" w:rsidRDefault="00E12290" w:rsidP="00E12290">
      <w:pPr>
        <w:pStyle w:val="NoSpacing"/>
        <w:ind w:left="720" w:hanging="720"/>
        <w:rPr>
          <w:noProof/>
        </w:rPr>
      </w:pPr>
      <w:proofErr w:type="gramStart"/>
      <w:r w:rsidRPr="00E12290">
        <w:rPr>
          <w:noProof/>
        </w:rPr>
        <w:t>assessment</w:t>
      </w:r>
      <w:proofErr w:type="gramEnd"/>
      <w:r w:rsidRPr="00E12290">
        <w:rPr>
          <w:noProof/>
        </w:rPr>
        <w:t xml:space="preserve"> of its critiques,’ Journal of Management, 36(1), 349–372.</w:t>
      </w:r>
    </w:p>
    <w:p w:rsidR="00E12290" w:rsidRDefault="00E12290" w:rsidP="0011223C">
      <w:pPr>
        <w:spacing w:after="0" w:line="240" w:lineRule="auto"/>
      </w:pPr>
    </w:p>
    <w:p w:rsidR="0011223C" w:rsidRDefault="0011223C" w:rsidP="0011223C">
      <w:pPr>
        <w:spacing w:after="0" w:line="240" w:lineRule="auto"/>
      </w:pPr>
      <w:r>
        <w:t xml:space="preserve">Lambert, D. M. and Cooper, M. C. (2000), “Issues in supply chain management, </w:t>
      </w:r>
      <w:r>
        <w:rPr>
          <w:i/>
        </w:rPr>
        <w:t>Industrial Marketing Management</w:t>
      </w:r>
      <w:r>
        <w:t>, Vol. 29, pp. 65-83.</w:t>
      </w:r>
    </w:p>
    <w:p w:rsidR="0011223C" w:rsidRDefault="0011223C" w:rsidP="0011223C">
      <w:pPr>
        <w:spacing w:after="0" w:line="240" w:lineRule="auto"/>
      </w:pPr>
    </w:p>
    <w:p w:rsidR="000A7D5C" w:rsidRDefault="000A7D5C" w:rsidP="000A7D5C">
      <w:pPr>
        <w:pStyle w:val="NoSpacing"/>
        <w:ind w:left="720" w:hanging="720"/>
        <w:rPr>
          <w:noProof/>
        </w:rPr>
      </w:pPr>
      <w:r>
        <w:rPr>
          <w:noProof/>
        </w:rPr>
        <w:t>Lindell, M. K. and D. J. Whitney (2001), "Accounting for Common Method Variance in Cross</w:t>
      </w:r>
    </w:p>
    <w:p w:rsidR="000A7D5C" w:rsidRDefault="000A7D5C" w:rsidP="000A7D5C">
      <w:pPr>
        <w:pStyle w:val="NoSpacing"/>
        <w:ind w:left="720" w:hanging="720"/>
        <w:rPr>
          <w:noProof/>
        </w:rPr>
      </w:pPr>
      <w:r>
        <w:rPr>
          <w:noProof/>
        </w:rPr>
        <w:t xml:space="preserve">Sectional Research Designs," </w:t>
      </w:r>
      <w:r w:rsidRPr="00063F10">
        <w:rPr>
          <w:i/>
          <w:noProof/>
        </w:rPr>
        <w:t>Journal of Applied Psychology</w:t>
      </w:r>
      <w:r>
        <w:rPr>
          <w:noProof/>
        </w:rPr>
        <w:t>, 86 (1), 114-121.</w:t>
      </w:r>
    </w:p>
    <w:p w:rsidR="000A7D5C" w:rsidRDefault="000A7D5C" w:rsidP="0011223C">
      <w:pPr>
        <w:spacing w:after="0" w:line="240" w:lineRule="auto"/>
      </w:pPr>
    </w:p>
    <w:p w:rsidR="0011223C" w:rsidRDefault="0011223C" w:rsidP="0011223C">
      <w:pPr>
        <w:spacing w:after="0" w:line="240" w:lineRule="auto"/>
      </w:pPr>
      <w:proofErr w:type="spellStart"/>
      <w:r>
        <w:t>Manuj</w:t>
      </w:r>
      <w:proofErr w:type="spellEnd"/>
      <w:r>
        <w:t xml:space="preserve">, </w:t>
      </w:r>
      <w:proofErr w:type="spellStart"/>
      <w:r>
        <w:t>Ila</w:t>
      </w:r>
      <w:proofErr w:type="spellEnd"/>
      <w:r>
        <w:t xml:space="preserve"> and John T. </w:t>
      </w:r>
      <w:proofErr w:type="spellStart"/>
      <w:r>
        <w:t>Mentzer</w:t>
      </w:r>
      <w:proofErr w:type="spellEnd"/>
      <w:r>
        <w:t xml:space="preserve"> (2008), "Global supply chain risk management”, </w:t>
      </w:r>
      <w:r>
        <w:rPr>
          <w:i/>
        </w:rPr>
        <w:t>Journal of Business Logistics</w:t>
      </w:r>
      <w:r>
        <w:t>, Vol. 29, No. 1, pp. 133-156..</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pPr>
      <w:r>
        <w:t xml:space="preserve">Massachusetts Institute of Technology Research Project (2003), </w:t>
      </w:r>
      <w:r>
        <w:rPr>
          <w:i/>
          <w:iCs/>
          <w:u w:val="single"/>
        </w:rPr>
        <w:t>Supply Chain Response to Terrorism</w:t>
      </w:r>
      <w:r>
        <w:rPr>
          <w:i/>
          <w:iCs/>
        </w:rPr>
        <w:t xml:space="preserve">, </w:t>
      </w:r>
      <w:r>
        <w:t>Center for Transportation and Logistics.</w:t>
      </w:r>
    </w:p>
    <w:p w:rsidR="0011223C" w:rsidRDefault="0011223C" w:rsidP="0011223C">
      <w:pPr>
        <w:autoSpaceDE w:val="0"/>
        <w:autoSpaceDN w:val="0"/>
        <w:adjustRightInd w:val="0"/>
        <w:spacing w:after="0" w:line="240" w:lineRule="auto"/>
        <w:rPr>
          <w:rFonts w:ascii="Times-Roman" w:hAnsi="Times-Roman" w:cs="Times-Roman"/>
          <w:sz w:val="16"/>
          <w:szCs w:val="16"/>
        </w:rPr>
      </w:pPr>
    </w:p>
    <w:p w:rsidR="000A7D5C" w:rsidRDefault="000A7D5C" w:rsidP="000A7D5C">
      <w:pPr>
        <w:pStyle w:val="NoSpacing"/>
        <w:ind w:left="720" w:hanging="720"/>
        <w:rPr>
          <w:noProof/>
        </w:rPr>
      </w:pPr>
      <w:r>
        <w:rPr>
          <w:noProof/>
        </w:rPr>
        <w:t>Mello, J. E. and T. P. Stank (2005), "Linking Firm Culture and Orientation to Supply Chain</w:t>
      </w:r>
    </w:p>
    <w:p w:rsidR="000A7D5C" w:rsidRDefault="000A7D5C" w:rsidP="000A7D5C">
      <w:pPr>
        <w:pStyle w:val="NoSpacing"/>
        <w:ind w:left="720" w:hanging="720"/>
        <w:rPr>
          <w:noProof/>
        </w:rPr>
      </w:pPr>
      <w:r>
        <w:rPr>
          <w:noProof/>
        </w:rPr>
        <w:t xml:space="preserve">Success," </w:t>
      </w:r>
      <w:r w:rsidRPr="00063F10">
        <w:rPr>
          <w:i/>
          <w:noProof/>
        </w:rPr>
        <w:t>International Journal of Physical Distribution and Logistics Management</w:t>
      </w:r>
      <w:r>
        <w:rPr>
          <w:noProof/>
        </w:rPr>
        <w:t>, 35 (8), 542</w:t>
      </w:r>
    </w:p>
    <w:p w:rsidR="000A7D5C" w:rsidRDefault="000A7D5C" w:rsidP="000A7D5C">
      <w:pPr>
        <w:pStyle w:val="NoSpacing"/>
        <w:ind w:left="720" w:hanging="720"/>
        <w:rPr>
          <w:noProof/>
        </w:rPr>
      </w:pPr>
      <w:r>
        <w:rPr>
          <w:noProof/>
        </w:rPr>
        <w:t>554.</w:t>
      </w:r>
    </w:p>
    <w:p w:rsidR="000A7D5C" w:rsidRDefault="000A7D5C" w:rsidP="0011223C">
      <w:pPr>
        <w:autoSpaceDE w:val="0"/>
        <w:autoSpaceDN w:val="0"/>
        <w:adjustRightInd w:val="0"/>
        <w:spacing w:after="0" w:line="240" w:lineRule="auto"/>
      </w:pPr>
    </w:p>
    <w:p w:rsidR="000A7D5C" w:rsidRDefault="000A7D5C" w:rsidP="000A7D5C">
      <w:pPr>
        <w:pStyle w:val="NoSpacing"/>
        <w:ind w:left="720" w:hanging="720"/>
        <w:rPr>
          <w:noProof/>
        </w:rPr>
      </w:pPr>
      <w:r>
        <w:rPr>
          <w:noProof/>
        </w:rPr>
        <w:t>Mentzer, J., S. Min and L. Bobbitt (2004), "Toward a Unified Theory of Logistics,"</w:t>
      </w:r>
    </w:p>
    <w:p w:rsidR="000A7D5C" w:rsidRDefault="000A7D5C" w:rsidP="000A7D5C">
      <w:pPr>
        <w:pStyle w:val="NoSpacing"/>
        <w:ind w:left="720" w:hanging="720"/>
        <w:rPr>
          <w:noProof/>
        </w:rPr>
      </w:pPr>
      <w:r>
        <w:rPr>
          <w:i/>
          <w:noProof/>
        </w:rPr>
        <w:t>International J</w:t>
      </w:r>
      <w:r w:rsidRPr="00063F10">
        <w:rPr>
          <w:i/>
          <w:noProof/>
        </w:rPr>
        <w:t>ournal of Physical Distribution and Logistics Management</w:t>
      </w:r>
      <w:r>
        <w:rPr>
          <w:noProof/>
        </w:rPr>
        <w:t>, 34 (8), 606-627.</w:t>
      </w:r>
    </w:p>
    <w:p w:rsidR="000A7D5C" w:rsidRDefault="000A7D5C" w:rsidP="000A7D5C">
      <w:pPr>
        <w:pStyle w:val="NoSpacing"/>
        <w:rPr>
          <w:noProof/>
        </w:rPr>
      </w:pPr>
    </w:p>
    <w:p w:rsidR="000A7D5C" w:rsidRDefault="000A7D5C" w:rsidP="000A7D5C">
      <w:pPr>
        <w:pStyle w:val="NoSpacing"/>
        <w:ind w:left="720" w:hanging="720"/>
        <w:rPr>
          <w:noProof/>
        </w:rPr>
      </w:pPr>
      <w:r>
        <w:rPr>
          <w:noProof/>
        </w:rPr>
        <w:t>Mentzer, J. T., W. DeWitt, J. S. Keebler, S. Min, N. W. Nix, C. D. Smith and Z. G. Zacharia</w:t>
      </w:r>
    </w:p>
    <w:p w:rsidR="000A7D5C" w:rsidRDefault="000A7D5C" w:rsidP="000A7D5C">
      <w:pPr>
        <w:pStyle w:val="NoSpacing"/>
        <w:ind w:left="720" w:hanging="720"/>
        <w:rPr>
          <w:noProof/>
        </w:rPr>
      </w:pPr>
      <w:r>
        <w:rPr>
          <w:noProof/>
        </w:rPr>
        <w:t xml:space="preserve">(2001), "Defining Supply Chain Management," </w:t>
      </w:r>
      <w:r w:rsidRPr="00063F10">
        <w:rPr>
          <w:i/>
          <w:noProof/>
        </w:rPr>
        <w:t>Journal of Business Logistics</w:t>
      </w:r>
      <w:r>
        <w:rPr>
          <w:noProof/>
        </w:rPr>
        <w:t>, 22 (2), 1-26.</w:t>
      </w:r>
    </w:p>
    <w:p w:rsidR="000A7D5C" w:rsidRDefault="000A7D5C" w:rsidP="000A7D5C">
      <w:pPr>
        <w:pStyle w:val="NoSpacing"/>
        <w:rPr>
          <w:noProof/>
        </w:rPr>
      </w:pPr>
    </w:p>
    <w:p w:rsidR="000A7D5C" w:rsidRDefault="000A7D5C" w:rsidP="000A7D5C">
      <w:pPr>
        <w:pStyle w:val="NoSpacing"/>
        <w:ind w:left="720" w:hanging="720"/>
        <w:rPr>
          <w:i/>
          <w:noProof/>
        </w:rPr>
      </w:pPr>
      <w:r>
        <w:rPr>
          <w:noProof/>
        </w:rPr>
        <w:t xml:space="preserve">Mentzer, J. T. and D. J. Flint (1997), "Validity in Logistics Research," </w:t>
      </w:r>
      <w:r>
        <w:rPr>
          <w:i/>
          <w:noProof/>
        </w:rPr>
        <w:t>Journal of Business</w:t>
      </w:r>
    </w:p>
    <w:p w:rsidR="000A7D5C" w:rsidRDefault="000A7D5C" w:rsidP="000A7D5C">
      <w:pPr>
        <w:pStyle w:val="NoSpacing"/>
        <w:ind w:left="720" w:hanging="720"/>
        <w:rPr>
          <w:noProof/>
        </w:rPr>
      </w:pPr>
      <w:r w:rsidRPr="00063F10">
        <w:rPr>
          <w:i/>
          <w:noProof/>
        </w:rPr>
        <w:t>Logistics</w:t>
      </w:r>
      <w:r>
        <w:rPr>
          <w:noProof/>
        </w:rPr>
        <w:t>, 18 (1), 199-216.</w:t>
      </w:r>
    </w:p>
    <w:p w:rsidR="000A7D5C" w:rsidRDefault="000A7D5C" w:rsidP="0011223C">
      <w:pPr>
        <w:autoSpaceDE w:val="0"/>
        <w:autoSpaceDN w:val="0"/>
        <w:adjustRightInd w:val="0"/>
        <w:spacing w:after="0" w:line="240" w:lineRule="auto"/>
      </w:pPr>
    </w:p>
    <w:p w:rsidR="000A7D5C" w:rsidRDefault="000A7D5C" w:rsidP="000A7D5C">
      <w:pPr>
        <w:pStyle w:val="NoSpacing"/>
        <w:ind w:left="720" w:hanging="720"/>
        <w:rPr>
          <w:noProof/>
        </w:rPr>
      </w:pPr>
      <w:r>
        <w:rPr>
          <w:noProof/>
        </w:rPr>
        <w:t>Min, S. and J. T. Mentzer (2004), "Developing and Measuring Supply Chain Management</w:t>
      </w:r>
    </w:p>
    <w:p w:rsidR="000A7D5C" w:rsidRDefault="000A7D5C" w:rsidP="000A7D5C">
      <w:pPr>
        <w:pStyle w:val="NoSpacing"/>
        <w:ind w:left="720" w:hanging="720"/>
        <w:rPr>
          <w:noProof/>
        </w:rPr>
      </w:pPr>
      <w:r>
        <w:rPr>
          <w:noProof/>
        </w:rPr>
        <w:t xml:space="preserve">Concepts," </w:t>
      </w:r>
      <w:r w:rsidRPr="00063F10">
        <w:rPr>
          <w:i/>
          <w:noProof/>
        </w:rPr>
        <w:t>Journal of Business Logistics</w:t>
      </w:r>
      <w:r>
        <w:rPr>
          <w:noProof/>
        </w:rPr>
        <w:t>, 25 (1), 63-100.</w:t>
      </w:r>
    </w:p>
    <w:p w:rsidR="000A7D5C" w:rsidRDefault="000A7D5C" w:rsidP="000A7D5C">
      <w:pPr>
        <w:pStyle w:val="NoSpacing"/>
        <w:rPr>
          <w:noProof/>
        </w:rPr>
      </w:pPr>
    </w:p>
    <w:p w:rsidR="000A7D5C" w:rsidRDefault="000A7D5C" w:rsidP="000A7D5C">
      <w:pPr>
        <w:pStyle w:val="NoSpacing"/>
        <w:ind w:left="720" w:hanging="720"/>
        <w:rPr>
          <w:noProof/>
        </w:rPr>
      </w:pPr>
      <w:r>
        <w:rPr>
          <w:noProof/>
        </w:rPr>
        <w:t>Min, S., J. T. Mentzer and R. T. Ladd (2007), "A Market Orientation in Supply Chain</w:t>
      </w:r>
    </w:p>
    <w:p w:rsidR="000A7D5C" w:rsidRDefault="000A7D5C" w:rsidP="000A7D5C">
      <w:pPr>
        <w:pStyle w:val="NoSpacing"/>
        <w:ind w:left="720" w:hanging="720"/>
        <w:rPr>
          <w:noProof/>
        </w:rPr>
      </w:pPr>
      <w:r>
        <w:rPr>
          <w:noProof/>
        </w:rPr>
        <w:t xml:space="preserve">Management," </w:t>
      </w:r>
      <w:r w:rsidRPr="00063F10">
        <w:rPr>
          <w:i/>
          <w:noProof/>
        </w:rPr>
        <w:t>Journal of the Academy of Marketing Science</w:t>
      </w:r>
      <w:r>
        <w:rPr>
          <w:noProof/>
        </w:rPr>
        <w:t>, 35 (4), 507-522.</w:t>
      </w:r>
    </w:p>
    <w:p w:rsidR="000A7D5C" w:rsidRDefault="000A7D5C" w:rsidP="0011223C">
      <w:pPr>
        <w:autoSpaceDE w:val="0"/>
        <w:autoSpaceDN w:val="0"/>
        <w:adjustRightInd w:val="0"/>
        <w:spacing w:after="0" w:line="240" w:lineRule="auto"/>
      </w:pPr>
    </w:p>
    <w:p w:rsidR="0011223C" w:rsidRDefault="0011223C" w:rsidP="0011223C">
      <w:pPr>
        <w:autoSpaceDE w:val="0"/>
        <w:autoSpaceDN w:val="0"/>
        <w:adjustRightInd w:val="0"/>
        <w:spacing w:after="0" w:line="240" w:lineRule="auto"/>
        <w:rPr>
          <w:i/>
          <w:iCs/>
          <w:color w:val="000000"/>
        </w:rPr>
      </w:pPr>
      <w:proofErr w:type="spellStart"/>
      <w:r>
        <w:t>Mitroff</w:t>
      </w:r>
      <w:proofErr w:type="spellEnd"/>
      <w:r>
        <w:rPr>
          <w:color w:val="000000"/>
        </w:rPr>
        <w:t xml:space="preserve">, I.I. and </w:t>
      </w:r>
      <w:proofErr w:type="spellStart"/>
      <w:r>
        <w:rPr>
          <w:color w:val="000000"/>
        </w:rPr>
        <w:t>Alpasan</w:t>
      </w:r>
      <w:proofErr w:type="spellEnd"/>
      <w:r>
        <w:rPr>
          <w:color w:val="000000"/>
        </w:rPr>
        <w:t xml:space="preserve">, M.C. (2003), “Preparing for the evil”, </w:t>
      </w:r>
      <w:r>
        <w:rPr>
          <w:i/>
          <w:iCs/>
          <w:color w:val="000000"/>
        </w:rPr>
        <w:t xml:space="preserve">Harvard Business Review, </w:t>
      </w:r>
      <w:r>
        <w:rPr>
          <w:color w:val="000000"/>
        </w:rPr>
        <w:t>April, pp. 109-115</w:t>
      </w:r>
      <w:r>
        <w:rPr>
          <w:i/>
          <w:iCs/>
          <w:color w:val="000000"/>
        </w:rPr>
        <w:t>.</w:t>
      </w:r>
    </w:p>
    <w:p w:rsidR="0011223C" w:rsidRDefault="0011223C" w:rsidP="0011223C">
      <w:pPr>
        <w:autoSpaceDE w:val="0"/>
        <w:autoSpaceDN w:val="0"/>
        <w:adjustRightInd w:val="0"/>
        <w:spacing w:after="0" w:line="240" w:lineRule="auto"/>
        <w:rPr>
          <w:i/>
          <w:iCs/>
          <w:color w:val="000000"/>
        </w:rPr>
      </w:pPr>
    </w:p>
    <w:p w:rsidR="00F54271" w:rsidRDefault="00F54271" w:rsidP="00F54271">
      <w:pPr>
        <w:pStyle w:val="NoSpacing"/>
        <w:ind w:left="720" w:hanging="720"/>
        <w:rPr>
          <w:noProof/>
        </w:rPr>
      </w:pPr>
      <w:r>
        <w:rPr>
          <w:noProof/>
        </w:rPr>
        <w:t>Newbert, S. (2007), "Empirical Research on the Resource-Based View of the Firm: An</w:t>
      </w:r>
    </w:p>
    <w:p w:rsidR="00F54271" w:rsidRDefault="00F54271" w:rsidP="00F54271">
      <w:pPr>
        <w:pStyle w:val="NoSpacing"/>
        <w:ind w:left="720" w:hanging="720"/>
        <w:rPr>
          <w:noProof/>
        </w:rPr>
      </w:pPr>
      <w:r>
        <w:rPr>
          <w:noProof/>
        </w:rPr>
        <w:t xml:space="preserve">Assessment and Suggestions for Future Research," </w:t>
      </w:r>
      <w:r w:rsidRPr="00063F10">
        <w:rPr>
          <w:i/>
          <w:noProof/>
        </w:rPr>
        <w:t>Strategic Management Journal</w:t>
      </w:r>
      <w:r>
        <w:rPr>
          <w:noProof/>
        </w:rPr>
        <w:t>, 28 (2), 121</w:t>
      </w:r>
    </w:p>
    <w:p w:rsidR="00F54271" w:rsidRDefault="00F54271" w:rsidP="00F54271">
      <w:pPr>
        <w:pStyle w:val="NoSpacing"/>
        <w:ind w:left="720" w:hanging="720"/>
        <w:rPr>
          <w:noProof/>
        </w:rPr>
      </w:pPr>
      <w:r>
        <w:rPr>
          <w:noProof/>
        </w:rPr>
        <w:t>146.</w:t>
      </w:r>
    </w:p>
    <w:p w:rsidR="00F54271" w:rsidRDefault="00F54271" w:rsidP="00F54271">
      <w:pPr>
        <w:pStyle w:val="NoSpacing"/>
        <w:rPr>
          <w:noProof/>
        </w:rPr>
      </w:pPr>
    </w:p>
    <w:p w:rsidR="00F54271" w:rsidRDefault="00F54271" w:rsidP="00F54271">
      <w:pPr>
        <w:pStyle w:val="NoSpacing"/>
        <w:ind w:left="720" w:hanging="720"/>
        <w:rPr>
          <w:noProof/>
        </w:rPr>
      </w:pPr>
      <w:r>
        <w:rPr>
          <w:noProof/>
        </w:rPr>
        <w:t>Newbert, S. (2008), "Value, Rareness, Competitive Advantage, and Performance: A Conceptual</w:t>
      </w:r>
    </w:p>
    <w:p w:rsidR="00F54271" w:rsidRDefault="00F54271" w:rsidP="00F54271">
      <w:pPr>
        <w:pStyle w:val="NoSpacing"/>
        <w:ind w:left="720" w:hanging="720"/>
        <w:rPr>
          <w:i/>
          <w:noProof/>
        </w:rPr>
      </w:pPr>
      <w:r>
        <w:rPr>
          <w:noProof/>
        </w:rPr>
        <w:t xml:space="preserve">Level Empirical Investigation of the resource-Based View of the Firm," </w:t>
      </w:r>
      <w:r>
        <w:rPr>
          <w:i/>
          <w:noProof/>
        </w:rPr>
        <w:t>Strategic Management</w:t>
      </w:r>
    </w:p>
    <w:p w:rsidR="00F54271" w:rsidRDefault="00F54271" w:rsidP="00F54271">
      <w:pPr>
        <w:pStyle w:val="NoSpacing"/>
        <w:ind w:left="720" w:hanging="720"/>
        <w:rPr>
          <w:noProof/>
        </w:rPr>
      </w:pPr>
      <w:r w:rsidRPr="00063F10">
        <w:rPr>
          <w:i/>
          <w:noProof/>
        </w:rPr>
        <w:t>Journal</w:t>
      </w:r>
      <w:r>
        <w:rPr>
          <w:noProof/>
        </w:rPr>
        <w:t>, 29 (7), 745-768.</w:t>
      </w:r>
    </w:p>
    <w:p w:rsidR="00F54271" w:rsidRDefault="00F54271" w:rsidP="0011223C">
      <w:pPr>
        <w:spacing w:after="0" w:line="240" w:lineRule="auto"/>
      </w:pPr>
    </w:p>
    <w:p w:rsidR="0011223C" w:rsidRDefault="0011223C" w:rsidP="0011223C">
      <w:pPr>
        <w:spacing w:after="0" w:line="240" w:lineRule="auto"/>
      </w:pPr>
      <w:proofErr w:type="spellStart"/>
      <w:proofErr w:type="gramStart"/>
      <w:r>
        <w:t>Norrman</w:t>
      </w:r>
      <w:proofErr w:type="spellEnd"/>
      <w:r>
        <w:t xml:space="preserve">, Andreas and Ulf </w:t>
      </w:r>
      <w:proofErr w:type="spellStart"/>
      <w:r>
        <w:t>Jansson</w:t>
      </w:r>
      <w:proofErr w:type="spellEnd"/>
      <w:r>
        <w:t xml:space="preserve"> (2004), "Ericsson's proactive supply chain risk management approach after a serious sub-supplier accident”, </w:t>
      </w:r>
      <w:r>
        <w:rPr>
          <w:i/>
        </w:rPr>
        <w:t>International Journal of Physical Distribution &amp; Logistics Management</w:t>
      </w:r>
      <w:r>
        <w:t xml:space="preserve">, </w:t>
      </w:r>
      <w:proofErr w:type="spellStart"/>
      <w:r>
        <w:t>Vol</w:t>
      </w:r>
      <w:proofErr w:type="spellEnd"/>
      <w:r>
        <w:t xml:space="preserve"> 34 No 5, pp. 434-456.</w:t>
      </w:r>
      <w:proofErr w:type="gramEnd"/>
    </w:p>
    <w:p w:rsidR="0011223C" w:rsidRDefault="0011223C" w:rsidP="0011223C">
      <w:pPr>
        <w:autoSpaceDE w:val="0"/>
        <w:autoSpaceDN w:val="0"/>
        <w:adjustRightInd w:val="0"/>
        <w:spacing w:after="0" w:line="240" w:lineRule="auto"/>
        <w:rPr>
          <w:iCs/>
          <w:color w:val="000000"/>
        </w:rPr>
      </w:pPr>
    </w:p>
    <w:p w:rsidR="0011223C" w:rsidRDefault="0011223C" w:rsidP="0011223C">
      <w:pPr>
        <w:autoSpaceDE w:val="0"/>
        <w:autoSpaceDN w:val="0"/>
        <w:adjustRightInd w:val="0"/>
        <w:spacing w:after="0" w:line="240" w:lineRule="auto"/>
        <w:rPr>
          <w:color w:val="000000"/>
        </w:rPr>
      </w:pPr>
      <w:proofErr w:type="spellStart"/>
      <w:r>
        <w:rPr>
          <w:iCs/>
          <w:color w:val="000000"/>
        </w:rPr>
        <w:t>Norrman</w:t>
      </w:r>
      <w:proofErr w:type="spellEnd"/>
      <w:r>
        <w:rPr>
          <w:iCs/>
          <w:color w:val="000000"/>
        </w:rPr>
        <w:t xml:space="preserve">, A., </w:t>
      </w:r>
      <w:proofErr w:type="spellStart"/>
      <w:r>
        <w:rPr>
          <w:iCs/>
          <w:color w:val="000000"/>
        </w:rPr>
        <w:t>Lindroth</w:t>
      </w:r>
      <w:proofErr w:type="spellEnd"/>
      <w:r>
        <w:rPr>
          <w:iCs/>
          <w:color w:val="000000"/>
        </w:rPr>
        <w:t>, R. (2004), “Categorization of Supply Chain Risk and Risk</w:t>
      </w:r>
      <w:r>
        <w:rPr>
          <w:i/>
          <w:iCs/>
          <w:color w:val="000000"/>
        </w:rPr>
        <w:t xml:space="preserve"> </w:t>
      </w:r>
      <w:r>
        <w:rPr>
          <w:iCs/>
          <w:color w:val="000000"/>
        </w:rPr>
        <w:t>Management</w:t>
      </w:r>
      <w:r>
        <w:rPr>
          <w:i/>
          <w:iCs/>
          <w:color w:val="000000"/>
        </w:rPr>
        <w:t>“,</w:t>
      </w:r>
      <w:r>
        <w:rPr>
          <w:iCs/>
          <w:color w:val="000000"/>
        </w:rPr>
        <w:t xml:space="preserve"> </w:t>
      </w:r>
      <w:r>
        <w:rPr>
          <w:color w:val="000000"/>
        </w:rPr>
        <w:t xml:space="preserve">in </w:t>
      </w:r>
      <w:proofErr w:type="spellStart"/>
      <w:r>
        <w:rPr>
          <w:color w:val="000000"/>
        </w:rPr>
        <w:t>Brindley</w:t>
      </w:r>
      <w:proofErr w:type="spellEnd"/>
      <w:r>
        <w:rPr>
          <w:color w:val="000000"/>
        </w:rPr>
        <w:t xml:space="preserve"> C. (Ed.) </w:t>
      </w:r>
      <w:r>
        <w:rPr>
          <w:color w:val="000000"/>
          <w:u w:val="single"/>
        </w:rPr>
        <w:t>Supply Chain Risk</w:t>
      </w:r>
      <w:r>
        <w:rPr>
          <w:color w:val="000000"/>
        </w:rPr>
        <w:t xml:space="preserve">, </w:t>
      </w:r>
      <w:proofErr w:type="spellStart"/>
      <w:r>
        <w:rPr>
          <w:color w:val="000000"/>
        </w:rPr>
        <w:t>Ashgate</w:t>
      </w:r>
      <w:proofErr w:type="spellEnd"/>
      <w:r>
        <w:rPr>
          <w:color w:val="000000"/>
        </w:rPr>
        <w:t xml:space="preserve">, </w:t>
      </w:r>
      <w:smartTag w:uri="urn:schemas-microsoft-com:office:smarttags" w:element="City">
        <w:smartTag w:uri="urn:schemas-microsoft-com:office:smarttags" w:element="place">
          <w:r>
            <w:rPr>
              <w:color w:val="000000"/>
            </w:rPr>
            <w:t>London</w:t>
          </w:r>
        </w:smartTag>
      </w:smartTag>
      <w:r>
        <w:rPr>
          <w:color w:val="000000"/>
        </w:rPr>
        <w:t>, pp. 14-28.</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proofErr w:type="gramStart"/>
      <w:r>
        <w:rPr>
          <w:color w:val="000000"/>
        </w:rPr>
        <w:t>Orians</w:t>
      </w:r>
      <w:proofErr w:type="spellEnd"/>
      <w:r>
        <w:rPr>
          <w:color w:val="000000"/>
        </w:rPr>
        <w:t xml:space="preserve">, G.H. (1975), Diversity, stability and maturity in natural ecosystems”, in </w:t>
      </w:r>
      <w:proofErr w:type="spellStart"/>
      <w:r>
        <w:rPr>
          <w:color w:val="000000"/>
        </w:rPr>
        <w:t>Dobben</w:t>
      </w:r>
      <w:proofErr w:type="spellEnd"/>
      <w:r>
        <w:rPr>
          <w:color w:val="000000"/>
        </w:rPr>
        <w:t xml:space="preserve">, W.H. van (Ed.) </w:t>
      </w:r>
      <w:r>
        <w:rPr>
          <w:color w:val="000000"/>
          <w:u w:val="single"/>
        </w:rPr>
        <w:t>Unifying Concepts in Ecology</w:t>
      </w:r>
      <w:r>
        <w:rPr>
          <w:color w:val="000000"/>
        </w:rPr>
        <w:t>, Junk: The Hague, pp.64-68.</w:t>
      </w:r>
      <w:proofErr w:type="gramEnd"/>
      <w:r>
        <w:rPr>
          <w:color w:val="000000"/>
        </w:rPr>
        <w:t xml:space="preserve"> </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Paulsson</w:t>
      </w:r>
      <w:proofErr w:type="spellEnd"/>
      <w:r>
        <w:rPr>
          <w:color w:val="000000"/>
        </w:rPr>
        <w:t>, U. (2004), “</w:t>
      </w:r>
      <w:r>
        <w:rPr>
          <w:i/>
          <w:color w:val="000000"/>
        </w:rPr>
        <w:t>Supply Chain Risk Management,</w:t>
      </w:r>
      <w:r>
        <w:rPr>
          <w:color w:val="000000"/>
        </w:rPr>
        <w:t xml:space="preserve">” in </w:t>
      </w:r>
      <w:proofErr w:type="spellStart"/>
      <w:r>
        <w:rPr>
          <w:color w:val="000000"/>
        </w:rPr>
        <w:t>Brindley</w:t>
      </w:r>
      <w:proofErr w:type="spellEnd"/>
      <w:r>
        <w:rPr>
          <w:color w:val="000000"/>
        </w:rPr>
        <w:t xml:space="preserve">, C. (Ed.) </w:t>
      </w:r>
      <w:r>
        <w:rPr>
          <w:color w:val="000000"/>
          <w:u w:val="single"/>
        </w:rPr>
        <w:t>Supply Chain Risk</w:t>
      </w:r>
      <w:r>
        <w:rPr>
          <w:color w:val="000000"/>
        </w:rPr>
        <w:t xml:space="preserve">, </w:t>
      </w:r>
      <w:proofErr w:type="spellStart"/>
      <w:r>
        <w:rPr>
          <w:color w:val="000000"/>
        </w:rPr>
        <w:t>Ashgate</w:t>
      </w:r>
      <w:proofErr w:type="spellEnd"/>
      <w:r>
        <w:rPr>
          <w:color w:val="000000"/>
        </w:rPr>
        <w:t xml:space="preserve">, </w:t>
      </w:r>
      <w:smartTag w:uri="urn:schemas-microsoft-com:office:smarttags" w:element="place">
        <w:smartTag w:uri="urn:schemas-microsoft-com:office:smarttags" w:element="City">
          <w:r>
            <w:rPr>
              <w:color w:val="000000"/>
            </w:rPr>
            <w:t>London</w:t>
          </w:r>
        </w:smartTag>
      </w:smartTag>
      <w:r>
        <w:rPr>
          <w:color w:val="000000"/>
        </w:rPr>
        <w:t>, pp. 79-97.</w:t>
      </w:r>
    </w:p>
    <w:p w:rsidR="0011223C" w:rsidRDefault="0011223C" w:rsidP="0011223C">
      <w:pPr>
        <w:autoSpaceDE w:val="0"/>
        <w:autoSpaceDN w:val="0"/>
        <w:adjustRightInd w:val="0"/>
        <w:spacing w:after="0" w:line="240" w:lineRule="auto"/>
        <w:rPr>
          <w:color w:val="000000"/>
        </w:rPr>
      </w:pPr>
    </w:p>
    <w:p w:rsidR="00EB3A9E" w:rsidRPr="00EB3A9E" w:rsidRDefault="00EB3A9E" w:rsidP="00EB3A9E">
      <w:pPr>
        <w:autoSpaceDE w:val="0"/>
        <w:autoSpaceDN w:val="0"/>
        <w:adjustRightInd w:val="0"/>
        <w:spacing w:after="0" w:line="240" w:lineRule="auto"/>
        <w:rPr>
          <w:color w:val="000000"/>
        </w:rPr>
      </w:pPr>
      <w:bookmarkStart w:id="16" w:name="_ENREF_67"/>
      <w:r w:rsidRPr="00EB3A9E">
        <w:rPr>
          <w:color w:val="000000"/>
        </w:rPr>
        <w:t xml:space="preserve">Peck, H. (2005). "Drivers of Supply Chain Vulnerability: An Integrated Framework". </w:t>
      </w:r>
      <w:r w:rsidRPr="00EB3A9E">
        <w:rPr>
          <w:i/>
          <w:color w:val="000000"/>
        </w:rPr>
        <w:t>International Journal of Physical Distribution &amp; Logistics Management</w:t>
      </w:r>
      <w:r w:rsidRPr="00EB3A9E">
        <w:rPr>
          <w:color w:val="000000"/>
        </w:rPr>
        <w:t>, Vol. 35 No. 4, pp. 210-232.</w:t>
      </w:r>
      <w:bookmarkEnd w:id="16"/>
    </w:p>
    <w:p w:rsidR="00EB3A9E" w:rsidRDefault="00EB3A9E"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Perea</w:t>
      </w:r>
      <w:proofErr w:type="spellEnd"/>
      <w:r>
        <w:rPr>
          <w:color w:val="000000"/>
        </w:rPr>
        <w:t xml:space="preserve">, E. Grossmann, </w:t>
      </w:r>
      <w:smartTag w:uri="urn:schemas-microsoft-com:office:smarttags" w:element="place">
        <w:r>
          <w:rPr>
            <w:color w:val="000000"/>
          </w:rPr>
          <w:t>I.</w:t>
        </w:r>
      </w:smartTag>
      <w:r>
        <w:rPr>
          <w:color w:val="000000"/>
        </w:rPr>
        <w:t xml:space="preserve"> </w:t>
      </w:r>
      <w:proofErr w:type="spellStart"/>
      <w:r>
        <w:rPr>
          <w:color w:val="000000"/>
        </w:rPr>
        <w:t>Ydstie</w:t>
      </w:r>
      <w:proofErr w:type="spellEnd"/>
      <w:r>
        <w:rPr>
          <w:color w:val="000000"/>
        </w:rPr>
        <w:t xml:space="preserve">, E. and </w:t>
      </w:r>
      <w:proofErr w:type="spellStart"/>
      <w:r>
        <w:rPr>
          <w:color w:val="000000"/>
        </w:rPr>
        <w:t>Tahmassevi</w:t>
      </w:r>
      <w:proofErr w:type="spellEnd"/>
      <w:r>
        <w:rPr>
          <w:color w:val="000000"/>
        </w:rPr>
        <w:t xml:space="preserve">, T. (2000), “Dynamic Modeling and Classical Control Theory for Supply Chain Management,” </w:t>
      </w:r>
      <w:r>
        <w:rPr>
          <w:i/>
          <w:color w:val="000000"/>
        </w:rPr>
        <w:t>Computers and Chemical Engineering</w:t>
      </w:r>
      <w:r>
        <w:rPr>
          <w:color w:val="000000"/>
        </w:rPr>
        <w:t>, Vol. 24, pp. 1143-1149.</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proofErr w:type="gramStart"/>
      <w:r>
        <w:rPr>
          <w:color w:val="000000"/>
        </w:rPr>
        <w:t>Perrings</w:t>
      </w:r>
      <w:proofErr w:type="spellEnd"/>
      <w:r>
        <w:rPr>
          <w:color w:val="000000"/>
        </w:rPr>
        <w:t>, C. (1994), “</w:t>
      </w:r>
      <w:r>
        <w:rPr>
          <w:i/>
          <w:iCs/>
          <w:color w:val="000000"/>
        </w:rPr>
        <w:t>Ecological resilience in the sustainability of economic development”</w:t>
      </w:r>
      <w:r>
        <w:rPr>
          <w:color w:val="000000"/>
        </w:rPr>
        <w:t xml:space="preserve">, International Symposium on Models of Sustainable Development, Paris, </w:t>
      </w:r>
      <w:proofErr w:type="spellStart"/>
      <w:r>
        <w:rPr>
          <w:color w:val="000000"/>
        </w:rPr>
        <w:t>Vol</w:t>
      </w:r>
      <w:proofErr w:type="spellEnd"/>
      <w:r>
        <w:rPr>
          <w:color w:val="000000"/>
        </w:rPr>
        <w:t xml:space="preserve"> II, pp. 27-41.</w:t>
      </w:r>
      <w:proofErr w:type="gramEnd"/>
    </w:p>
    <w:p w:rsidR="0011223C" w:rsidRDefault="0011223C" w:rsidP="0011223C">
      <w:pPr>
        <w:autoSpaceDE w:val="0"/>
        <w:autoSpaceDN w:val="0"/>
        <w:adjustRightInd w:val="0"/>
        <w:spacing w:after="0" w:line="240" w:lineRule="auto"/>
        <w:rPr>
          <w:color w:val="000000"/>
        </w:rPr>
      </w:pPr>
    </w:p>
    <w:p w:rsidR="00337832" w:rsidRPr="00337832" w:rsidRDefault="00337832" w:rsidP="00337832">
      <w:pPr>
        <w:autoSpaceDE w:val="0"/>
        <w:autoSpaceDN w:val="0"/>
        <w:adjustRightInd w:val="0"/>
        <w:spacing w:after="0" w:line="240" w:lineRule="auto"/>
        <w:rPr>
          <w:color w:val="000000"/>
        </w:rPr>
      </w:pPr>
      <w:bookmarkStart w:id="17" w:name="_ENREF_69"/>
      <w:r w:rsidRPr="00337832">
        <w:rPr>
          <w:color w:val="000000"/>
        </w:rPr>
        <w:t xml:space="preserve">Pettit, T. J., Fiksel, J., &amp; Croxton, K. L. (2010). "Ensuring Supply Chain Resilience: Development of a Conceptual Framework". </w:t>
      </w:r>
      <w:r w:rsidRPr="00337832">
        <w:rPr>
          <w:i/>
          <w:color w:val="000000"/>
        </w:rPr>
        <w:t>Journal of Business Logistics</w:t>
      </w:r>
      <w:r w:rsidRPr="00337832">
        <w:rPr>
          <w:color w:val="000000"/>
        </w:rPr>
        <w:t>, Vol. 31 No. 1, pp. 1-21.</w:t>
      </w:r>
      <w:bookmarkEnd w:id="17"/>
    </w:p>
    <w:p w:rsidR="00337832" w:rsidRDefault="00337832" w:rsidP="00F54271">
      <w:pPr>
        <w:pStyle w:val="NoSpacing"/>
        <w:ind w:left="720" w:hanging="720"/>
        <w:rPr>
          <w:noProof/>
        </w:rPr>
      </w:pPr>
    </w:p>
    <w:p w:rsidR="00F54271" w:rsidRDefault="00F54271" w:rsidP="00F54271">
      <w:pPr>
        <w:pStyle w:val="NoSpacing"/>
        <w:ind w:left="720" w:hanging="720"/>
        <w:rPr>
          <w:noProof/>
        </w:rPr>
      </w:pPr>
      <w:r>
        <w:rPr>
          <w:noProof/>
        </w:rPr>
        <w:t>Podsakoff, P., S. MacKenzie, J. Lee and N. Podsakoff (2003), "Common Method biases in</w:t>
      </w:r>
    </w:p>
    <w:p w:rsidR="00F54271" w:rsidRDefault="00F54271" w:rsidP="00F54271">
      <w:pPr>
        <w:pStyle w:val="NoSpacing"/>
        <w:ind w:left="720" w:hanging="720"/>
        <w:rPr>
          <w:noProof/>
        </w:rPr>
      </w:pPr>
      <w:r>
        <w:rPr>
          <w:noProof/>
        </w:rPr>
        <w:t>Behavioral Research: A Critical Review of the Literature and Recommended Remedies,"</w:t>
      </w:r>
    </w:p>
    <w:p w:rsidR="00F54271" w:rsidRDefault="00F54271" w:rsidP="00F54271">
      <w:pPr>
        <w:pStyle w:val="NoSpacing"/>
        <w:ind w:left="720" w:hanging="720"/>
        <w:rPr>
          <w:noProof/>
        </w:rPr>
      </w:pPr>
      <w:r w:rsidRPr="00063F10">
        <w:rPr>
          <w:i/>
          <w:noProof/>
        </w:rPr>
        <w:t>Journal of Applied Psychology</w:t>
      </w:r>
      <w:r>
        <w:rPr>
          <w:noProof/>
        </w:rPr>
        <w:t>, 88 (5), 879-903.</w:t>
      </w:r>
    </w:p>
    <w:p w:rsidR="00EB3A9E" w:rsidRDefault="00EB3A9E" w:rsidP="00EB3A9E">
      <w:pPr>
        <w:spacing w:after="0" w:line="240" w:lineRule="auto"/>
        <w:ind w:left="720" w:hanging="720"/>
        <w:rPr>
          <w:rFonts w:asciiTheme="majorHAnsi" w:hAnsiTheme="majorHAnsi" w:cs="Calibri"/>
          <w:noProof/>
        </w:rPr>
      </w:pPr>
      <w:bookmarkStart w:id="18" w:name="_ENREF_72"/>
    </w:p>
    <w:p w:rsidR="00EB3A9E" w:rsidRPr="00EB3A9E" w:rsidRDefault="00EB3A9E" w:rsidP="00EB3A9E">
      <w:pPr>
        <w:pStyle w:val="NoSpacing"/>
        <w:ind w:left="720" w:hanging="720"/>
        <w:rPr>
          <w:noProof/>
        </w:rPr>
      </w:pPr>
      <w:r w:rsidRPr="00EB3A9E">
        <w:rPr>
          <w:noProof/>
        </w:rPr>
        <w:t>Ponomarov, S. Y., &amp; Holcomb, M. C. (2009). "Understanding the Concept of Supply Chain</w:t>
      </w:r>
    </w:p>
    <w:p w:rsidR="00EB3A9E" w:rsidRPr="00EB3A9E" w:rsidRDefault="00EB3A9E" w:rsidP="00EB3A9E">
      <w:pPr>
        <w:pStyle w:val="NoSpacing"/>
        <w:ind w:left="720" w:hanging="720"/>
        <w:rPr>
          <w:noProof/>
        </w:rPr>
      </w:pPr>
      <w:r w:rsidRPr="00EB3A9E">
        <w:rPr>
          <w:noProof/>
        </w:rPr>
        <w:t xml:space="preserve">Resilience". </w:t>
      </w:r>
      <w:r w:rsidRPr="00EB3A9E">
        <w:rPr>
          <w:i/>
          <w:noProof/>
        </w:rPr>
        <w:t>International Journal of Logistics Management</w:t>
      </w:r>
      <w:r w:rsidRPr="00EB3A9E">
        <w:rPr>
          <w:noProof/>
        </w:rPr>
        <w:t>, Vol. 20 No. 1, pp. 124-143.</w:t>
      </w:r>
      <w:bookmarkEnd w:id="18"/>
    </w:p>
    <w:p w:rsidR="00F54271" w:rsidRDefault="00F54271" w:rsidP="0011223C">
      <w:pPr>
        <w:autoSpaceDE w:val="0"/>
        <w:autoSpaceDN w:val="0"/>
        <w:adjustRightInd w:val="0"/>
        <w:spacing w:after="0" w:line="240" w:lineRule="auto"/>
        <w:rPr>
          <w:color w:val="000000"/>
        </w:rPr>
      </w:pPr>
    </w:p>
    <w:p w:rsidR="00F54271" w:rsidRDefault="00F54271" w:rsidP="00F54271">
      <w:pPr>
        <w:pStyle w:val="NoSpacing"/>
        <w:ind w:left="720" w:hanging="720"/>
        <w:rPr>
          <w:noProof/>
        </w:rPr>
      </w:pPr>
      <w:r>
        <w:rPr>
          <w:noProof/>
        </w:rPr>
        <w:t>Porter, M. E. (1980), Competitive Strategy:  Techniques for Analyzing Industries and</w:t>
      </w:r>
    </w:p>
    <w:p w:rsidR="00F54271" w:rsidRDefault="00F54271" w:rsidP="00F54271">
      <w:pPr>
        <w:pStyle w:val="NoSpacing"/>
        <w:ind w:left="720" w:hanging="720"/>
        <w:rPr>
          <w:noProof/>
        </w:rPr>
      </w:pPr>
      <w:r>
        <w:rPr>
          <w:noProof/>
        </w:rPr>
        <w:t>Competitors. New York: The Free Press.</w:t>
      </w:r>
    </w:p>
    <w:p w:rsidR="00F54271" w:rsidRDefault="00F54271" w:rsidP="0011223C">
      <w:pPr>
        <w:autoSpaceDE w:val="0"/>
        <w:autoSpaceDN w:val="0"/>
        <w:adjustRightInd w:val="0"/>
        <w:spacing w:after="0" w:line="240" w:lineRule="auto"/>
        <w:rPr>
          <w:color w:val="000000"/>
        </w:rPr>
      </w:pPr>
    </w:p>
    <w:p w:rsidR="007D7EBD" w:rsidRDefault="007D7EBD" w:rsidP="007D7EBD">
      <w:pPr>
        <w:pStyle w:val="NoSpacing"/>
        <w:ind w:left="720" w:hanging="720"/>
        <w:rPr>
          <w:noProof/>
        </w:rPr>
      </w:pPr>
      <w:r>
        <w:rPr>
          <w:noProof/>
        </w:rPr>
        <w:t>Prahalad, C. K. and R. A. Bettis (1986), "The Dominant Logic: a New inkage Between Diversity</w:t>
      </w:r>
    </w:p>
    <w:p w:rsidR="007D7EBD" w:rsidRDefault="007D7EBD" w:rsidP="007D7EBD">
      <w:pPr>
        <w:pStyle w:val="NoSpacing"/>
        <w:ind w:left="720" w:hanging="720"/>
        <w:rPr>
          <w:noProof/>
        </w:rPr>
      </w:pPr>
      <w:r>
        <w:rPr>
          <w:noProof/>
        </w:rPr>
        <w:t xml:space="preserve">and Performance," </w:t>
      </w:r>
      <w:r w:rsidRPr="00063F10">
        <w:rPr>
          <w:i/>
          <w:noProof/>
        </w:rPr>
        <w:t>Strategic Management Journal</w:t>
      </w:r>
      <w:r>
        <w:rPr>
          <w:noProof/>
        </w:rPr>
        <w:t>, 7 (6), 485-501.</w:t>
      </w:r>
    </w:p>
    <w:p w:rsidR="007D7EBD" w:rsidRDefault="007D7EBD" w:rsidP="007D7EBD">
      <w:pPr>
        <w:pStyle w:val="NoSpacing"/>
        <w:rPr>
          <w:noProof/>
        </w:rPr>
      </w:pPr>
    </w:p>
    <w:p w:rsidR="007D7EBD" w:rsidRDefault="007D7EBD" w:rsidP="007D7EBD">
      <w:pPr>
        <w:pStyle w:val="NoSpacing"/>
        <w:ind w:left="720" w:hanging="720"/>
        <w:rPr>
          <w:i/>
          <w:noProof/>
        </w:rPr>
      </w:pPr>
      <w:r>
        <w:rPr>
          <w:noProof/>
        </w:rPr>
        <w:t xml:space="preserve">Prahalad, C. K. and G. Hamel (1990), "The Core Competence of the Corporation," </w:t>
      </w:r>
      <w:r>
        <w:rPr>
          <w:i/>
          <w:noProof/>
        </w:rPr>
        <w:t>Harvard</w:t>
      </w:r>
    </w:p>
    <w:p w:rsidR="007D7EBD" w:rsidRDefault="007D7EBD" w:rsidP="007D7EBD">
      <w:pPr>
        <w:pStyle w:val="NoSpacing"/>
        <w:ind w:left="720" w:hanging="720"/>
        <w:rPr>
          <w:noProof/>
        </w:rPr>
      </w:pPr>
      <w:r w:rsidRPr="00063F10">
        <w:rPr>
          <w:i/>
          <w:noProof/>
        </w:rPr>
        <w:t>Business Review</w:t>
      </w:r>
      <w:r>
        <w:rPr>
          <w:noProof/>
        </w:rPr>
        <w:t>, 68 (3), 79-91.</w:t>
      </w:r>
    </w:p>
    <w:p w:rsidR="007D7EBD" w:rsidRDefault="007D7EBD" w:rsidP="0011223C">
      <w:pPr>
        <w:autoSpaceDE w:val="0"/>
        <w:autoSpaceDN w:val="0"/>
        <w:adjustRightInd w:val="0"/>
        <w:spacing w:after="0" w:line="240" w:lineRule="auto"/>
        <w:rPr>
          <w:color w:val="000000"/>
        </w:rPr>
      </w:pPr>
    </w:p>
    <w:p w:rsidR="007D7EBD" w:rsidRDefault="007D7EBD" w:rsidP="007D7EBD">
      <w:pPr>
        <w:pStyle w:val="NoSpacing"/>
        <w:ind w:left="720" w:hanging="720"/>
        <w:rPr>
          <w:noProof/>
        </w:rPr>
      </w:pPr>
      <w:r>
        <w:rPr>
          <w:noProof/>
        </w:rPr>
        <w:t>Priem, R. L. and J. E. Butler (2001), "Is the Resource-Based "View" a Useful Perspective for</w:t>
      </w:r>
    </w:p>
    <w:p w:rsidR="007D7EBD" w:rsidRDefault="007D7EBD" w:rsidP="007D7EBD">
      <w:pPr>
        <w:pStyle w:val="NoSpacing"/>
        <w:ind w:left="720" w:hanging="720"/>
        <w:rPr>
          <w:noProof/>
        </w:rPr>
      </w:pPr>
      <w:r>
        <w:rPr>
          <w:noProof/>
        </w:rPr>
        <w:t xml:space="preserve">Strategic Management Research?," </w:t>
      </w:r>
      <w:r w:rsidRPr="00063F10">
        <w:rPr>
          <w:i/>
          <w:noProof/>
        </w:rPr>
        <w:t>The Academy of Management Review</w:t>
      </w:r>
      <w:r>
        <w:rPr>
          <w:noProof/>
        </w:rPr>
        <w:t>, 26 (1), 22-40.</w:t>
      </w:r>
    </w:p>
    <w:p w:rsidR="007D7EBD" w:rsidRDefault="007D7EBD"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r>
        <w:rPr>
          <w:color w:val="000000"/>
        </w:rPr>
        <w:t xml:space="preserve">Rice, J.B. and </w:t>
      </w:r>
      <w:proofErr w:type="spellStart"/>
      <w:r>
        <w:rPr>
          <w:color w:val="000000"/>
        </w:rPr>
        <w:t>Caniato</w:t>
      </w:r>
      <w:proofErr w:type="spellEnd"/>
      <w:r>
        <w:rPr>
          <w:color w:val="000000"/>
        </w:rPr>
        <w:t xml:space="preserve">, F. (2003), “Building a secure and resilient supply network”, </w:t>
      </w:r>
      <w:r>
        <w:rPr>
          <w:i/>
          <w:iCs/>
          <w:color w:val="000000"/>
        </w:rPr>
        <w:t xml:space="preserve">Supply Chain Management Review, </w:t>
      </w:r>
      <w:r>
        <w:rPr>
          <w:color w:val="000000"/>
        </w:rPr>
        <w:t>September/October, pp. 22-30</w:t>
      </w:r>
      <w:r>
        <w:rPr>
          <w:color w:val="9A3300"/>
        </w:rPr>
        <w:t>.</w:t>
      </w:r>
    </w:p>
    <w:p w:rsidR="0011223C" w:rsidRDefault="0011223C" w:rsidP="0011223C">
      <w:pPr>
        <w:autoSpaceDE w:val="0"/>
        <w:autoSpaceDN w:val="0"/>
        <w:adjustRightInd w:val="0"/>
        <w:spacing w:after="0" w:line="240" w:lineRule="auto"/>
        <w:rPr>
          <w:iCs/>
          <w:color w:val="000000"/>
        </w:rPr>
      </w:pPr>
    </w:p>
    <w:p w:rsidR="0011223C" w:rsidRDefault="0011223C" w:rsidP="0011223C">
      <w:pPr>
        <w:autoSpaceDE w:val="0"/>
        <w:autoSpaceDN w:val="0"/>
        <w:adjustRightInd w:val="0"/>
        <w:spacing w:after="0" w:line="240" w:lineRule="auto"/>
        <w:rPr>
          <w:color w:val="000000"/>
        </w:rPr>
      </w:pPr>
      <w:r>
        <w:rPr>
          <w:iCs/>
          <w:color w:val="000000"/>
        </w:rPr>
        <w:t xml:space="preserve">Ritchie, B., </w:t>
      </w:r>
      <w:proofErr w:type="spellStart"/>
      <w:r>
        <w:rPr>
          <w:iCs/>
          <w:color w:val="000000"/>
        </w:rPr>
        <w:t>Brindley</w:t>
      </w:r>
      <w:proofErr w:type="spellEnd"/>
      <w:r>
        <w:rPr>
          <w:iCs/>
          <w:color w:val="000000"/>
        </w:rPr>
        <w:t xml:space="preserve">, C. (2004), </w:t>
      </w:r>
      <w:r>
        <w:rPr>
          <w:i/>
          <w:iCs/>
          <w:color w:val="000000"/>
        </w:rPr>
        <w:t>“</w:t>
      </w:r>
      <w:r>
        <w:rPr>
          <w:iCs/>
          <w:color w:val="000000"/>
        </w:rPr>
        <w:t>Risk Characteristics of the Supply Chain: a Contingency Framework”,</w:t>
      </w:r>
      <w:r>
        <w:rPr>
          <w:color w:val="000000"/>
        </w:rPr>
        <w:t xml:space="preserve"> in </w:t>
      </w:r>
      <w:proofErr w:type="spellStart"/>
      <w:r>
        <w:rPr>
          <w:color w:val="000000"/>
        </w:rPr>
        <w:t>Brindley</w:t>
      </w:r>
      <w:proofErr w:type="spellEnd"/>
      <w:r>
        <w:rPr>
          <w:color w:val="000000"/>
        </w:rPr>
        <w:t xml:space="preserve">, C. (Ed.) </w:t>
      </w:r>
      <w:r>
        <w:rPr>
          <w:color w:val="000000"/>
          <w:u w:val="single"/>
        </w:rPr>
        <w:t>Supply Chain Risk</w:t>
      </w:r>
      <w:r>
        <w:rPr>
          <w:color w:val="000000"/>
        </w:rPr>
        <w:t xml:space="preserve">, </w:t>
      </w:r>
      <w:proofErr w:type="spellStart"/>
      <w:r>
        <w:rPr>
          <w:color w:val="000000"/>
        </w:rPr>
        <w:t>Ashgate</w:t>
      </w:r>
      <w:proofErr w:type="spellEnd"/>
      <w:r>
        <w:rPr>
          <w:color w:val="000000"/>
        </w:rPr>
        <w:t xml:space="preserve">, </w:t>
      </w:r>
      <w:smartTag w:uri="urn:schemas-microsoft-com:office:smarttags" w:element="City">
        <w:smartTag w:uri="urn:schemas-microsoft-com:office:smarttags" w:element="place">
          <w:r>
            <w:rPr>
              <w:color w:val="000000"/>
            </w:rPr>
            <w:t>London</w:t>
          </w:r>
        </w:smartTag>
      </w:smartTag>
      <w:r>
        <w:rPr>
          <w:color w:val="000000"/>
        </w:rPr>
        <w:t>, pp. 28-42.</w:t>
      </w:r>
    </w:p>
    <w:p w:rsidR="0011223C" w:rsidRDefault="0011223C" w:rsidP="0011223C">
      <w:pPr>
        <w:autoSpaceDE w:val="0"/>
        <w:autoSpaceDN w:val="0"/>
        <w:adjustRightInd w:val="0"/>
        <w:spacing w:after="0" w:line="240" w:lineRule="auto"/>
        <w:rPr>
          <w:i/>
          <w:iCs/>
          <w:color w:val="000000"/>
        </w:rPr>
      </w:pPr>
    </w:p>
    <w:p w:rsidR="0011223C" w:rsidRDefault="0011223C" w:rsidP="0011223C">
      <w:pPr>
        <w:autoSpaceDE w:val="0"/>
        <w:autoSpaceDN w:val="0"/>
        <w:adjustRightInd w:val="0"/>
        <w:spacing w:after="0" w:line="240" w:lineRule="auto"/>
        <w:rPr>
          <w:color w:val="000000"/>
        </w:rPr>
      </w:pPr>
      <w:r>
        <w:rPr>
          <w:color w:val="000000"/>
        </w:rPr>
        <w:t>Rose, A. (2004</w:t>
      </w:r>
      <w:r>
        <w:rPr>
          <w:i/>
          <w:color w:val="000000"/>
        </w:rPr>
        <w:t>), “</w:t>
      </w:r>
      <w:r>
        <w:rPr>
          <w:color w:val="000000"/>
        </w:rPr>
        <w:t xml:space="preserve">Economic Resilience to Disasters: toward a consistent and comprehensive formulation”, in Paton, D. and Johnston, D. (Eds.) </w:t>
      </w:r>
      <w:r>
        <w:rPr>
          <w:color w:val="000000"/>
          <w:u w:val="single"/>
        </w:rPr>
        <w:t xml:space="preserve">Disaster resilience: an integrated approach, </w:t>
      </w:r>
      <w:r>
        <w:rPr>
          <w:color w:val="000000"/>
        </w:rPr>
        <w:t xml:space="preserve">Charles C. Thomas, </w:t>
      </w:r>
      <w:smartTag w:uri="urn:schemas-microsoft-com:office:smarttags" w:element="place">
        <w:smartTag w:uri="urn:schemas-microsoft-com:office:smarttags" w:element="City">
          <w:r>
            <w:rPr>
              <w:color w:val="000000"/>
            </w:rPr>
            <w:t>Springfield</w:t>
          </w:r>
        </w:smartTag>
        <w:r>
          <w:rPr>
            <w:color w:val="000000"/>
          </w:rPr>
          <w:t xml:space="preserve">, </w:t>
        </w:r>
        <w:smartTag w:uri="urn:schemas-microsoft-com:office:smarttags" w:element="State">
          <w:r>
            <w:rPr>
              <w:color w:val="000000"/>
            </w:rPr>
            <w:t>IL</w:t>
          </w:r>
        </w:smartTag>
      </w:smartTag>
      <w:r>
        <w:rPr>
          <w:color w:val="000000"/>
        </w:rPr>
        <w:t xml:space="preserve">, pp.226-248. </w:t>
      </w:r>
    </w:p>
    <w:p w:rsidR="0011223C" w:rsidRDefault="0011223C" w:rsidP="0011223C">
      <w:pPr>
        <w:autoSpaceDE w:val="0"/>
        <w:autoSpaceDN w:val="0"/>
        <w:adjustRightInd w:val="0"/>
        <w:spacing w:after="0" w:line="240" w:lineRule="auto"/>
        <w:rPr>
          <w:i/>
          <w:iCs/>
          <w:color w:val="000000"/>
        </w:rPr>
      </w:pPr>
    </w:p>
    <w:p w:rsidR="007D7EBD" w:rsidRDefault="007D7EBD" w:rsidP="007D7EBD">
      <w:pPr>
        <w:pStyle w:val="NoSpacing"/>
        <w:ind w:left="720" w:hanging="720"/>
        <w:rPr>
          <w:noProof/>
        </w:rPr>
      </w:pPr>
      <w:r>
        <w:rPr>
          <w:noProof/>
        </w:rPr>
        <w:t>Rust, R. T., C. Lee and E. Valente (1995), "Comparing Covariance Structure Models: A General</w:t>
      </w:r>
    </w:p>
    <w:p w:rsidR="007D7EBD" w:rsidRDefault="007D7EBD" w:rsidP="007D7EBD">
      <w:pPr>
        <w:pStyle w:val="NoSpacing"/>
        <w:ind w:left="720" w:hanging="720"/>
        <w:rPr>
          <w:noProof/>
        </w:rPr>
      </w:pPr>
      <w:r>
        <w:rPr>
          <w:noProof/>
        </w:rPr>
        <w:t xml:space="preserve">Methodology," </w:t>
      </w:r>
      <w:r w:rsidRPr="00063F10">
        <w:rPr>
          <w:i/>
          <w:noProof/>
        </w:rPr>
        <w:t>International Journal of Research in Marketing</w:t>
      </w:r>
      <w:r>
        <w:rPr>
          <w:noProof/>
        </w:rPr>
        <w:t>, 12 (4), 279-291.</w:t>
      </w:r>
    </w:p>
    <w:p w:rsidR="007D7EBD" w:rsidRDefault="007D7EBD"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Rutter</w:t>
      </w:r>
      <w:proofErr w:type="spellEnd"/>
      <w:r>
        <w:rPr>
          <w:color w:val="000000"/>
        </w:rPr>
        <w:t xml:space="preserve">, M. (1993), “Resilience: some conceptual considerations”, </w:t>
      </w:r>
      <w:r>
        <w:rPr>
          <w:i/>
          <w:color w:val="000000"/>
        </w:rPr>
        <w:t>Journal of Adolescent Health</w:t>
      </w:r>
      <w:r>
        <w:rPr>
          <w:color w:val="000000"/>
        </w:rPr>
        <w:t xml:space="preserve">, </w:t>
      </w:r>
      <w:proofErr w:type="spellStart"/>
      <w:r>
        <w:rPr>
          <w:color w:val="000000"/>
        </w:rPr>
        <w:t>Vol</w:t>
      </w:r>
      <w:proofErr w:type="spellEnd"/>
      <w:r>
        <w:rPr>
          <w:color w:val="000000"/>
        </w:rPr>
        <w:t xml:space="preserve"> 14, pp. 626-631.</w:t>
      </w:r>
    </w:p>
    <w:p w:rsidR="0011223C" w:rsidRDefault="0011223C" w:rsidP="0011223C">
      <w:pPr>
        <w:autoSpaceDE w:val="0"/>
        <w:autoSpaceDN w:val="0"/>
        <w:adjustRightInd w:val="0"/>
        <w:spacing w:after="0" w:line="240" w:lineRule="auto"/>
        <w:rPr>
          <w:color w:val="000000"/>
        </w:rPr>
      </w:pPr>
    </w:p>
    <w:p w:rsidR="007D7EBD" w:rsidRDefault="007D7EBD" w:rsidP="007D7EBD">
      <w:pPr>
        <w:pStyle w:val="NoSpacing"/>
        <w:ind w:left="720" w:hanging="720"/>
        <w:rPr>
          <w:noProof/>
        </w:rPr>
      </w:pPr>
      <w:r>
        <w:rPr>
          <w:noProof/>
        </w:rPr>
        <w:t>Schafer, J. L. and M. K. Olsen (1998), "Multiple Imputation for Multivariate Missing-Data</w:t>
      </w:r>
    </w:p>
    <w:p w:rsidR="007D7EBD" w:rsidRDefault="007D7EBD" w:rsidP="007D7EBD">
      <w:pPr>
        <w:pStyle w:val="NoSpacing"/>
        <w:ind w:left="720" w:hanging="720"/>
        <w:rPr>
          <w:noProof/>
        </w:rPr>
      </w:pPr>
      <w:r>
        <w:rPr>
          <w:noProof/>
        </w:rPr>
        <w:t xml:space="preserve">Problems: A Data Analyst's Perspective," </w:t>
      </w:r>
      <w:r w:rsidRPr="00063F10">
        <w:rPr>
          <w:i/>
          <w:noProof/>
        </w:rPr>
        <w:t>Multivariate Behavioral Research</w:t>
      </w:r>
      <w:r>
        <w:rPr>
          <w:noProof/>
        </w:rPr>
        <w:t>, 33 (4), 545-571.</w:t>
      </w:r>
    </w:p>
    <w:p w:rsidR="007D7EBD" w:rsidRDefault="007D7EBD"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proofErr w:type="gramStart"/>
      <w:r>
        <w:rPr>
          <w:color w:val="000000"/>
        </w:rPr>
        <w:t>Sheffi</w:t>
      </w:r>
      <w:proofErr w:type="spellEnd"/>
      <w:r>
        <w:rPr>
          <w:color w:val="000000"/>
        </w:rPr>
        <w:t xml:space="preserve">, Y. (2001), “Supply chain management under the threat of international terrorism”, </w:t>
      </w:r>
      <w:r>
        <w:rPr>
          <w:i/>
          <w:iCs/>
          <w:color w:val="000000"/>
        </w:rPr>
        <w:t xml:space="preserve">The International Journal of Logistics Management, </w:t>
      </w:r>
      <w:proofErr w:type="spellStart"/>
      <w:r>
        <w:rPr>
          <w:iCs/>
          <w:color w:val="000000"/>
        </w:rPr>
        <w:t>Vol</w:t>
      </w:r>
      <w:proofErr w:type="spellEnd"/>
      <w:r>
        <w:rPr>
          <w:iCs/>
          <w:color w:val="000000"/>
        </w:rPr>
        <w:t xml:space="preserve"> </w:t>
      </w:r>
      <w:r>
        <w:rPr>
          <w:color w:val="000000"/>
        </w:rPr>
        <w:t>12 No 2, pp. 1-11.</w:t>
      </w:r>
      <w:proofErr w:type="gramEnd"/>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Sheffi</w:t>
      </w:r>
      <w:proofErr w:type="spellEnd"/>
      <w:r>
        <w:rPr>
          <w:color w:val="000000"/>
        </w:rPr>
        <w:t xml:space="preserve">, Y., Rice, J.M., Fleck, J.B. and </w:t>
      </w:r>
      <w:proofErr w:type="spellStart"/>
      <w:r>
        <w:rPr>
          <w:color w:val="000000"/>
        </w:rPr>
        <w:t>Caniato</w:t>
      </w:r>
      <w:proofErr w:type="spellEnd"/>
      <w:r>
        <w:rPr>
          <w:color w:val="000000"/>
        </w:rPr>
        <w:t xml:space="preserve">, F. (2003), “Supply chain response to global terrorism: A situation scan”, </w:t>
      </w:r>
      <w:r>
        <w:rPr>
          <w:i/>
          <w:iCs/>
          <w:color w:val="000000"/>
        </w:rPr>
        <w:t xml:space="preserve">Proceedings of EUROMA/POMS Conference, </w:t>
      </w:r>
      <w:proofErr w:type="spellStart"/>
      <w:r>
        <w:rPr>
          <w:i/>
          <w:iCs/>
          <w:color w:val="000000"/>
        </w:rPr>
        <w:t>Cernobbio</w:t>
      </w:r>
      <w:proofErr w:type="spellEnd"/>
      <w:r>
        <w:rPr>
          <w:i/>
          <w:iCs/>
          <w:color w:val="000000"/>
        </w:rPr>
        <w:t>,</w:t>
      </w:r>
      <w:r>
        <w:rPr>
          <w:color w:val="000000"/>
        </w:rPr>
        <w:t xml:space="preserve"> </w:t>
      </w:r>
      <w:r>
        <w:rPr>
          <w:i/>
          <w:color w:val="000000"/>
        </w:rPr>
        <w:t>L</w:t>
      </w:r>
      <w:r>
        <w:rPr>
          <w:i/>
          <w:iCs/>
          <w:color w:val="000000"/>
        </w:rPr>
        <w:t>ake Como</w:t>
      </w:r>
      <w:r>
        <w:rPr>
          <w:color w:val="000000"/>
        </w:rPr>
        <w:t xml:space="preserve">, </w:t>
      </w:r>
      <w:proofErr w:type="spellStart"/>
      <w:r>
        <w:rPr>
          <w:color w:val="000000"/>
        </w:rPr>
        <w:t>Vol</w:t>
      </w:r>
      <w:proofErr w:type="spellEnd"/>
      <w:r>
        <w:rPr>
          <w:color w:val="000000"/>
        </w:rPr>
        <w:t xml:space="preserve"> 2, pp. 121 -130.</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proofErr w:type="spellStart"/>
      <w:r>
        <w:rPr>
          <w:color w:val="000000"/>
        </w:rPr>
        <w:t>Sheffi</w:t>
      </w:r>
      <w:proofErr w:type="spellEnd"/>
      <w:r>
        <w:rPr>
          <w:color w:val="000000"/>
        </w:rPr>
        <w:t>, Y. (2005b), “</w:t>
      </w:r>
      <w:r>
        <w:rPr>
          <w:i/>
          <w:iCs/>
          <w:color w:val="000000"/>
        </w:rPr>
        <w:t>Resilient enterprise overcoming vulnerability for competitive</w:t>
      </w:r>
    </w:p>
    <w:p w:rsidR="0011223C" w:rsidRDefault="0011223C" w:rsidP="0011223C">
      <w:pPr>
        <w:autoSpaceDE w:val="0"/>
        <w:autoSpaceDN w:val="0"/>
        <w:adjustRightInd w:val="0"/>
        <w:spacing w:after="0" w:line="240" w:lineRule="auto"/>
        <w:rPr>
          <w:color w:val="000000"/>
        </w:rPr>
      </w:pPr>
      <w:proofErr w:type="gramStart"/>
      <w:r>
        <w:rPr>
          <w:i/>
          <w:iCs/>
          <w:color w:val="000000"/>
        </w:rPr>
        <w:t>advantage</w:t>
      </w:r>
      <w:proofErr w:type="gramEnd"/>
      <w:r>
        <w:rPr>
          <w:i/>
          <w:iCs/>
          <w:color w:val="000000"/>
        </w:rPr>
        <w:t>”</w:t>
      </w:r>
      <w:r>
        <w:rPr>
          <w:color w:val="000000"/>
        </w:rPr>
        <w:t xml:space="preserve">, </w:t>
      </w:r>
      <w:smartTag w:uri="urn:schemas-microsoft-com:office:smarttags" w:element="State">
        <w:smartTag w:uri="urn:schemas-microsoft-com:office:smarttags" w:element="place">
          <w:r>
            <w:rPr>
              <w:color w:val="000000"/>
            </w:rPr>
            <w:t>Massachusetts</w:t>
          </w:r>
        </w:smartTag>
      </w:smartTag>
      <w:r>
        <w:rPr>
          <w:color w:val="000000"/>
        </w:rPr>
        <w:t>, MIT Press.</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proofErr w:type="spellStart"/>
      <w:r>
        <w:rPr>
          <w:color w:val="000000"/>
        </w:rPr>
        <w:t>Sheffi</w:t>
      </w:r>
      <w:proofErr w:type="spellEnd"/>
      <w:r>
        <w:rPr>
          <w:color w:val="000000"/>
        </w:rPr>
        <w:t xml:space="preserve">, Y. and Rice, J.B. (2005), “A supply chain view of the resilient enterprise”, </w:t>
      </w:r>
      <w:r>
        <w:rPr>
          <w:i/>
          <w:iCs/>
          <w:color w:val="000000"/>
        </w:rPr>
        <w:t>Sloan</w:t>
      </w:r>
    </w:p>
    <w:p w:rsidR="0011223C" w:rsidRDefault="0011223C" w:rsidP="0011223C">
      <w:pPr>
        <w:autoSpaceDE w:val="0"/>
        <w:autoSpaceDN w:val="0"/>
        <w:adjustRightInd w:val="0"/>
        <w:spacing w:after="0" w:line="240" w:lineRule="auto"/>
        <w:rPr>
          <w:color w:val="000000"/>
        </w:rPr>
      </w:pPr>
      <w:r>
        <w:rPr>
          <w:i/>
          <w:iCs/>
          <w:color w:val="000000"/>
        </w:rPr>
        <w:t>Management Review</w:t>
      </w:r>
      <w:r>
        <w:rPr>
          <w:color w:val="000000"/>
        </w:rPr>
        <w:t xml:space="preserve">, </w:t>
      </w:r>
      <w:proofErr w:type="spellStart"/>
      <w:r>
        <w:rPr>
          <w:color w:val="000000"/>
        </w:rPr>
        <w:t>Vol</w:t>
      </w:r>
      <w:proofErr w:type="spellEnd"/>
      <w:r>
        <w:rPr>
          <w:color w:val="000000"/>
        </w:rPr>
        <w:t xml:space="preserve"> 47 No 1, pp. 41-48.</w:t>
      </w:r>
    </w:p>
    <w:p w:rsidR="0011223C" w:rsidRDefault="0011223C" w:rsidP="0011223C">
      <w:pPr>
        <w:autoSpaceDE w:val="0"/>
        <w:autoSpaceDN w:val="0"/>
        <w:adjustRightInd w:val="0"/>
        <w:spacing w:after="0" w:line="240" w:lineRule="auto"/>
        <w:rPr>
          <w:i/>
          <w:iCs/>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lastRenderedPageBreak/>
        <w:t>Sinha</w:t>
      </w:r>
      <w:proofErr w:type="spellEnd"/>
      <w:r>
        <w:rPr>
          <w:color w:val="000000"/>
        </w:rPr>
        <w:t xml:space="preserve">, P.R., Whitman, L.E. and </w:t>
      </w:r>
      <w:proofErr w:type="spellStart"/>
      <w:r>
        <w:rPr>
          <w:color w:val="000000"/>
        </w:rPr>
        <w:t>Malzahn</w:t>
      </w:r>
      <w:proofErr w:type="spellEnd"/>
      <w:r>
        <w:rPr>
          <w:color w:val="000000"/>
        </w:rPr>
        <w:t xml:space="preserve">, D. (2004), “Methodology to mitigate supplier risk in an aerospace supply chain”, </w:t>
      </w:r>
      <w:r>
        <w:rPr>
          <w:i/>
          <w:iCs/>
          <w:color w:val="000000"/>
        </w:rPr>
        <w:t xml:space="preserve">Supply Chain Management: An International Journal, </w:t>
      </w:r>
      <w:proofErr w:type="spellStart"/>
      <w:r>
        <w:rPr>
          <w:iCs/>
          <w:color w:val="000000"/>
        </w:rPr>
        <w:t>Vol</w:t>
      </w:r>
      <w:proofErr w:type="spellEnd"/>
      <w:r>
        <w:rPr>
          <w:iCs/>
          <w:color w:val="000000"/>
        </w:rPr>
        <w:t xml:space="preserve"> </w:t>
      </w:r>
      <w:proofErr w:type="gramStart"/>
      <w:r>
        <w:rPr>
          <w:color w:val="000000"/>
        </w:rPr>
        <w:t>9  No</w:t>
      </w:r>
      <w:proofErr w:type="gramEnd"/>
      <w:r>
        <w:rPr>
          <w:color w:val="000000"/>
        </w:rPr>
        <w:t xml:space="preserve"> 2, pp. 154-168.</w:t>
      </w:r>
    </w:p>
    <w:p w:rsidR="0011223C" w:rsidRDefault="0011223C" w:rsidP="0011223C">
      <w:pPr>
        <w:autoSpaceDE w:val="0"/>
        <w:autoSpaceDN w:val="0"/>
        <w:adjustRightInd w:val="0"/>
        <w:spacing w:after="0" w:line="240" w:lineRule="auto"/>
        <w:rPr>
          <w:color w:val="000000"/>
        </w:rPr>
      </w:pPr>
    </w:p>
    <w:p w:rsidR="007B5D53" w:rsidRDefault="007B5D53" w:rsidP="007B5D53">
      <w:pPr>
        <w:pStyle w:val="NoSpacing"/>
        <w:ind w:left="720" w:hanging="720"/>
        <w:rPr>
          <w:noProof/>
        </w:rPr>
      </w:pPr>
      <w:r>
        <w:rPr>
          <w:noProof/>
        </w:rPr>
        <w:t>Slater, S. and J. Narver (1994), "Does Competitive Environment Moderate the Market</w:t>
      </w:r>
    </w:p>
    <w:p w:rsidR="007B5D53" w:rsidRDefault="007B5D53" w:rsidP="007B5D53">
      <w:pPr>
        <w:pStyle w:val="NoSpacing"/>
        <w:ind w:left="720" w:hanging="720"/>
        <w:rPr>
          <w:noProof/>
        </w:rPr>
      </w:pPr>
      <w:r>
        <w:rPr>
          <w:noProof/>
        </w:rPr>
        <w:t xml:space="preserve">Orientation-Performance Relationship?," </w:t>
      </w:r>
      <w:r w:rsidRPr="00063F10">
        <w:rPr>
          <w:i/>
          <w:noProof/>
        </w:rPr>
        <w:t>The Journal of Marketing</w:t>
      </w:r>
      <w:r>
        <w:rPr>
          <w:noProof/>
        </w:rPr>
        <w:t>, 58 (1), 46-55.</w:t>
      </w:r>
    </w:p>
    <w:p w:rsidR="007B5D53" w:rsidRDefault="007B5D53"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r>
        <w:rPr>
          <w:color w:val="000000"/>
        </w:rPr>
        <w:t xml:space="preserve">Smith, R. (2004), “Operational capabilities for the resilient supply chain”, </w:t>
      </w:r>
      <w:r>
        <w:rPr>
          <w:i/>
          <w:iCs/>
          <w:color w:val="000000"/>
        </w:rPr>
        <w:t>Supply Chain</w:t>
      </w:r>
    </w:p>
    <w:p w:rsidR="0011223C" w:rsidRDefault="0011223C" w:rsidP="0011223C">
      <w:pPr>
        <w:autoSpaceDE w:val="0"/>
        <w:autoSpaceDN w:val="0"/>
        <w:adjustRightInd w:val="0"/>
        <w:spacing w:after="0" w:line="240" w:lineRule="auto"/>
        <w:rPr>
          <w:color w:val="000000"/>
        </w:rPr>
      </w:pPr>
      <w:r>
        <w:rPr>
          <w:i/>
          <w:iCs/>
          <w:color w:val="000000"/>
        </w:rPr>
        <w:t xml:space="preserve">Practice, </w:t>
      </w:r>
      <w:proofErr w:type="spellStart"/>
      <w:r>
        <w:rPr>
          <w:iCs/>
          <w:color w:val="000000"/>
        </w:rPr>
        <w:t>Vol</w:t>
      </w:r>
      <w:proofErr w:type="spellEnd"/>
      <w:r>
        <w:rPr>
          <w:i/>
          <w:iCs/>
          <w:color w:val="000000"/>
        </w:rPr>
        <w:t xml:space="preserve"> </w:t>
      </w:r>
      <w:r>
        <w:rPr>
          <w:color w:val="000000"/>
        </w:rPr>
        <w:t>6 No 2, pp. 24-35.</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Smykay</w:t>
      </w:r>
      <w:proofErr w:type="spellEnd"/>
      <w:r>
        <w:rPr>
          <w:color w:val="000000"/>
        </w:rPr>
        <w:t xml:space="preserve">, E. W., </w:t>
      </w:r>
      <w:proofErr w:type="spellStart"/>
      <w:r>
        <w:rPr>
          <w:color w:val="000000"/>
        </w:rPr>
        <w:t>Bowersox</w:t>
      </w:r>
      <w:proofErr w:type="spellEnd"/>
      <w:r>
        <w:rPr>
          <w:color w:val="000000"/>
        </w:rPr>
        <w:t xml:space="preserve">, D. J., and Mossman, F. H., </w:t>
      </w:r>
      <w:r>
        <w:rPr>
          <w:color w:val="000000"/>
          <w:u w:val="single"/>
        </w:rPr>
        <w:t>Physical Distribution Management</w:t>
      </w:r>
      <w:r>
        <w:rPr>
          <w:color w:val="000000"/>
        </w:rPr>
        <w:t xml:space="preserve"> (</w:t>
      </w:r>
      <w:smartTag w:uri="urn:schemas-microsoft-com:office:smarttags" w:element="State">
        <w:smartTag w:uri="urn:schemas-microsoft-com:office:smarttags" w:element="place">
          <w:r>
            <w:rPr>
              <w:color w:val="000000"/>
            </w:rPr>
            <w:t>New York</w:t>
          </w:r>
        </w:smartTag>
      </w:smartTag>
      <w:r>
        <w:rPr>
          <w:color w:val="000000"/>
        </w:rPr>
        <w:t>: Macmillan), 1961.</w:t>
      </w:r>
    </w:p>
    <w:p w:rsidR="0011223C" w:rsidRDefault="0011223C" w:rsidP="0011223C">
      <w:pPr>
        <w:autoSpaceDE w:val="0"/>
        <w:autoSpaceDN w:val="0"/>
        <w:adjustRightInd w:val="0"/>
        <w:spacing w:after="0" w:line="240" w:lineRule="auto"/>
        <w:rPr>
          <w:color w:val="000000"/>
        </w:rPr>
      </w:pPr>
    </w:p>
    <w:p w:rsidR="007B5D53" w:rsidRDefault="007B5D53" w:rsidP="007B5D53">
      <w:pPr>
        <w:pStyle w:val="NoSpacing"/>
        <w:ind w:left="720" w:hanging="720"/>
        <w:rPr>
          <w:noProof/>
        </w:rPr>
      </w:pPr>
      <w:r>
        <w:rPr>
          <w:noProof/>
        </w:rPr>
        <w:t>Stank, T. P., B. Davis and B. Fugate (2005), "A Strategic Framework for Supply Chain Oriented</w:t>
      </w:r>
    </w:p>
    <w:p w:rsidR="007B5D53" w:rsidRDefault="007B5D53" w:rsidP="007B5D53">
      <w:pPr>
        <w:pStyle w:val="NoSpacing"/>
        <w:ind w:left="720" w:hanging="720"/>
        <w:rPr>
          <w:noProof/>
        </w:rPr>
      </w:pPr>
      <w:r>
        <w:rPr>
          <w:noProof/>
        </w:rPr>
        <w:t xml:space="preserve">Logistics," </w:t>
      </w:r>
      <w:r w:rsidRPr="00063F10">
        <w:rPr>
          <w:i/>
          <w:noProof/>
        </w:rPr>
        <w:t>Journal of Business Logistics</w:t>
      </w:r>
      <w:r>
        <w:rPr>
          <w:noProof/>
        </w:rPr>
        <w:t>, 26 (2), 27-45.</w:t>
      </w:r>
    </w:p>
    <w:p w:rsidR="007B5D53" w:rsidRDefault="007B5D53"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r>
        <w:rPr>
          <w:color w:val="000000"/>
        </w:rPr>
        <w:t xml:space="preserve">Stewart, M., Reid, G., and Mangham, C. (1997), “Fostering children’s resilience”, </w:t>
      </w:r>
      <w:r>
        <w:rPr>
          <w:i/>
          <w:color w:val="000000"/>
        </w:rPr>
        <w:t>Journal of Pediatric Nursing</w:t>
      </w:r>
      <w:r>
        <w:rPr>
          <w:color w:val="000000"/>
        </w:rPr>
        <w:t xml:space="preserve">, </w:t>
      </w:r>
      <w:proofErr w:type="spellStart"/>
      <w:r>
        <w:rPr>
          <w:color w:val="000000"/>
        </w:rPr>
        <w:t>Vol</w:t>
      </w:r>
      <w:proofErr w:type="spellEnd"/>
      <w:r>
        <w:rPr>
          <w:color w:val="000000"/>
        </w:rPr>
        <w:t xml:space="preserve"> 12, pp. 21-31.</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r>
        <w:rPr>
          <w:color w:val="000000"/>
        </w:rPr>
        <w:t xml:space="preserve">Stiles, P. (2002), “Demystifying supply chain event management, “ </w:t>
      </w:r>
      <w:r>
        <w:rPr>
          <w:color w:val="000000"/>
          <w:u w:val="single"/>
        </w:rPr>
        <w:t>Achieving Supply Chain Excellence through Technology</w:t>
      </w:r>
      <w:r>
        <w:rPr>
          <w:color w:val="000000"/>
        </w:rPr>
        <w:t>, Vol. 4, pp. 262-264.</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Stoltz</w:t>
      </w:r>
      <w:proofErr w:type="spellEnd"/>
      <w:r>
        <w:rPr>
          <w:color w:val="000000"/>
        </w:rPr>
        <w:t xml:space="preserve">, P. G. (2004), </w:t>
      </w:r>
      <w:r>
        <w:rPr>
          <w:color w:val="000000"/>
          <w:u w:val="single"/>
        </w:rPr>
        <w:t>Building resilience for uncertain times</w:t>
      </w:r>
      <w:r>
        <w:rPr>
          <w:color w:val="000000"/>
        </w:rPr>
        <w:t xml:space="preserve">, John Wiley &amp; Sons, Inc., </w:t>
      </w:r>
      <w:smartTag w:uri="urn:schemas-microsoft-com:office:smarttags" w:element="place">
        <w:smartTag w:uri="urn:schemas-microsoft-com:office:smarttags" w:element="City">
          <w:r>
            <w:rPr>
              <w:color w:val="000000"/>
            </w:rPr>
            <w:t>Hoboken</w:t>
          </w:r>
        </w:smartTag>
        <w:r>
          <w:rPr>
            <w:color w:val="000000"/>
          </w:rPr>
          <w:t xml:space="preserve">, </w:t>
        </w:r>
        <w:smartTag w:uri="urn:schemas-microsoft-com:office:smarttags" w:element="State">
          <w:r>
            <w:rPr>
              <w:color w:val="000000"/>
            </w:rPr>
            <w:t>NJ</w:t>
          </w:r>
        </w:smartTag>
      </w:smartTag>
      <w:r>
        <w:rPr>
          <w:color w:val="000000"/>
        </w:rPr>
        <w:t>.</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i/>
          <w:iCs/>
          <w:color w:val="000000"/>
        </w:rPr>
      </w:pPr>
      <w:r>
        <w:rPr>
          <w:color w:val="000000"/>
        </w:rPr>
        <w:t xml:space="preserve">Sutcliffe, K.M. and </w:t>
      </w:r>
      <w:proofErr w:type="spellStart"/>
      <w:r>
        <w:rPr>
          <w:color w:val="000000"/>
        </w:rPr>
        <w:t>Vogus</w:t>
      </w:r>
      <w:proofErr w:type="spellEnd"/>
      <w:r>
        <w:rPr>
          <w:color w:val="000000"/>
        </w:rPr>
        <w:t xml:space="preserve">, T. (2003), “Organizing for resilience”, in Cameron, K.S., Dutton, J.E., and Quinn, R. E. (Eds.) </w:t>
      </w:r>
      <w:r>
        <w:rPr>
          <w:iCs/>
          <w:color w:val="000000"/>
          <w:u w:val="single"/>
        </w:rPr>
        <w:t>Positive organizational scholarship: Foundations of a new discipline</w:t>
      </w:r>
      <w:r>
        <w:rPr>
          <w:i/>
          <w:iCs/>
          <w:color w:val="000000"/>
        </w:rPr>
        <w:t>,</w:t>
      </w:r>
      <w:r>
        <w:rPr>
          <w:iCs/>
          <w:color w:val="000000"/>
        </w:rPr>
        <w:t xml:space="preserve"> </w:t>
      </w:r>
      <w:proofErr w:type="spellStart"/>
      <w:r>
        <w:rPr>
          <w:iCs/>
          <w:color w:val="000000"/>
        </w:rPr>
        <w:t>Berrett</w:t>
      </w:r>
      <w:proofErr w:type="spellEnd"/>
      <w:r>
        <w:rPr>
          <w:iCs/>
          <w:color w:val="000000"/>
        </w:rPr>
        <w:t>-Koehler, San Francisco, pp.</w:t>
      </w:r>
      <w:r>
        <w:rPr>
          <w:i/>
          <w:iCs/>
          <w:color w:val="000000"/>
        </w:rPr>
        <w:t xml:space="preserve"> </w:t>
      </w:r>
      <w:r>
        <w:rPr>
          <w:color w:val="000000"/>
        </w:rPr>
        <w:t>94-110.</w:t>
      </w:r>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spellStart"/>
      <w:r>
        <w:rPr>
          <w:color w:val="000000"/>
        </w:rPr>
        <w:t>Swamidass</w:t>
      </w:r>
      <w:proofErr w:type="spellEnd"/>
      <w:r>
        <w:rPr>
          <w:color w:val="000000"/>
        </w:rPr>
        <w:t>, P. M. and Newell, W. T. (1987), “Manufacturing strategy, environmental</w:t>
      </w:r>
    </w:p>
    <w:p w:rsidR="0011223C" w:rsidRDefault="0011223C" w:rsidP="0011223C">
      <w:pPr>
        <w:autoSpaceDE w:val="0"/>
        <w:autoSpaceDN w:val="0"/>
        <w:adjustRightInd w:val="0"/>
        <w:spacing w:after="0" w:line="240" w:lineRule="auto"/>
        <w:rPr>
          <w:color w:val="000000"/>
        </w:rPr>
      </w:pPr>
      <w:proofErr w:type="gramStart"/>
      <w:r>
        <w:rPr>
          <w:color w:val="000000"/>
        </w:rPr>
        <w:t>uncertainty</w:t>
      </w:r>
      <w:proofErr w:type="gramEnd"/>
      <w:r>
        <w:rPr>
          <w:color w:val="000000"/>
        </w:rPr>
        <w:t xml:space="preserve"> and performance: A path analytic model”, </w:t>
      </w:r>
      <w:r>
        <w:rPr>
          <w:i/>
          <w:iCs/>
          <w:color w:val="000000"/>
        </w:rPr>
        <w:t>Management Science</w:t>
      </w:r>
      <w:r>
        <w:rPr>
          <w:color w:val="000000"/>
        </w:rPr>
        <w:t xml:space="preserve">, </w:t>
      </w:r>
      <w:proofErr w:type="spellStart"/>
      <w:r>
        <w:rPr>
          <w:color w:val="000000"/>
        </w:rPr>
        <w:t>Vol</w:t>
      </w:r>
      <w:proofErr w:type="spellEnd"/>
      <w:r>
        <w:rPr>
          <w:color w:val="000000"/>
        </w:rPr>
        <w:t xml:space="preserve"> 33, pp. 509 - 524.</w:t>
      </w:r>
    </w:p>
    <w:p w:rsidR="0011223C" w:rsidRDefault="0011223C" w:rsidP="0011223C">
      <w:pPr>
        <w:autoSpaceDE w:val="0"/>
        <w:autoSpaceDN w:val="0"/>
        <w:adjustRightInd w:val="0"/>
        <w:spacing w:after="0" w:line="240" w:lineRule="auto"/>
        <w:rPr>
          <w:color w:val="000000"/>
        </w:rPr>
      </w:pPr>
    </w:p>
    <w:p w:rsidR="00BA5A38" w:rsidRPr="00BA5A38" w:rsidRDefault="00BA5A38" w:rsidP="00BA5A38">
      <w:pPr>
        <w:autoSpaceDE w:val="0"/>
        <w:autoSpaceDN w:val="0"/>
        <w:adjustRightInd w:val="0"/>
        <w:spacing w:after="0" w:line="240" w:lineRule="auto"/>
        <w:rPr>
          <w:color w:val="000000"/>
        </w:rPr>
      </w:pPr>
      <w:bookmarkStart w:id="19" w:name="_ENREF_81"/>
      <w:r w:rsidRPr="00BA5A38">
        <w:rPr>
          <w:color w:val="000000"/>
        </w:rPr>
        <w:t xml:space="preserve">Svensson, G. (2000). "A Conceptual Framework for the Analysis of Vulnerability in Supply Chains". </w:t>
      </w:r>
      <w:r w:rsidRPr="00BA5A38">
        <w:rPr>
          <w:i/>
          <w:color w:val="000000"/>
        </w:rPr>
        <w:t>International Journal of Physical Distribution &amp; Logistics Management</w:t>
      </w:r>
      <w:r w:rsidRPr="00BA5A38">
        <w:rPr>
          <w:color w:val="000000"/>
        </w:rPr>
        <w:t>, Vol. 30 No. 9, pp. 731-750.</w:t>
      </w:r>
      <w:bookmarkEnd w:id="19"/>
    </w:p>
    <w:p w:rsidR="00BA5A38" w:rsidRPr="00BA5A38" w:rsidRDefault="00BA5A38" w:rsidP="00BA5A38">
      <w:pPr>
        <w:autoSpaceDE w:val="0"/>
        <w:autoSpaceDN w:val="0"/>
        <w:adjustRightInd w:val="0"/>
        <w:spacing w:after="0" w:line="240" w:lineRule="auto"/>
        <w:rPr>
          <w:color w:val="000000"/>
        </w:rPr>
      </w:pPr>
      <w:bookmarkStart w:id="20" w:name="_ENREF_82"/>
    </w:p>
    <w:p w:rsidR="00BA5A38" w:rsidRPr="00BA5A38" w:rsidRDefault="00BA5A38" w:rsidP="00BA5A38">
      <w:pPr>
        <w:autoSpaceDE w:val="0"/>
        <w:autoSpaceDN w:val="0"/>
        <w:adjustRightInd w:val="0"/>
        <w:spacing w:after="0" w:line="240" w:lineRule="auto"/>
        <w:rPr>
          <w:color w:val="000000"/>
        </w:rPr>
      </w:pPr>
      <w:r w:rsidRPr="00BA5A38">
        <w:rPr>
          <w:color w:val="000000"/>
        </w:rPr>
        <w:t xml:space="preserve">Teece, D. J., &amp; Pisano, G. (1994). "The Dynamic Capabilities of Firms: An Introduction". </w:t>
      </w:r>
      <w:proofErr w:type="gramStart"/>
      <w:r w:rsidRPr="00BA5A38">
        <w:rPr>
          <w:i/>
          <w:color w:val="000000"/>
        </w:rPr>
        <w:t>Industrial and corporate change</w:t>
      </w:r>
      <w:r w:rsidRPr="00BA5A38">
        <w:rPr>
          <w:color w:val="000000"/>
        </w:rPr>
        <w:t>, Vol. 3 No. 3, pp. 537.</w:t>
      </w:r>
      <w:bookmarkEnd w:id="20"/>
      <w:proofErr w:type="gramEnd"/>
    </w:p>
    <w:p w:rsidR="00BA5A38" w:rsidRPr="00BA5A38" w:rsidRDefault="00BA5A38" w:rsidP="00BA5A38">
      <w:pPr>
        <w:autoSpaceDE w:val="0"/>
        <w:autoSpaceDN w:val="0"/>
        <w:adjustRightInd w:val="0"/>
        <w:spacing w:after="0" w:line="240" w:lineRule="auto"/>
        <w:rPr>
          <w:color w:val="000000"/>
        </w:rPr>
      </w:pPr>
      <w:bookmarkStart w:id="21" w:name="_ENREF_83"/>
    </w:p>
    <w:p w:rsidR="00BA5A38" w:rsidRPr="00BA5A38" w:rsidRDefault="00BA5A38" w:rsidP="00BA5A38">
      <w:pPr>
        <w:autoSpaceDE w:val="0"/>
        <w:autoSpaceDN w:val="0"/>
        <w:adjustRightInd w:val="0"/>
        <w:spacing w:after="0" w:line="240" w:lineRule="auto"/>
        <w:rPr>
          <w:color w:val="000000"/>
        </w:rPr>
      </w:pPr>
      <w:r w:rsidRPr="00BA5A38">
        <w:rPr>
          <w:color w:val="000000"/>
        </w:rPr>
        <w:t xml:space="preserve">Teece, D. J., Pisano, G., &amp; Shuen, A. (1997). "Dynamic Capabilities and Strategic Management". </w:t>
      </w:r>
      <w:r w:rsidRPr="00BA5A38">
        <w:rPr>
          <w:i/>
          <w:color w:val="000000"/>
        </w:rPr>
        <w:t>Strategic Management Journal</w:t>
      </w:r>
      <w:r w:rsidRPr="00BA5A38">
        <w:rPr>
          <w:color w:val="000000"/>
        </w:rPr>
        <w:t>, Vol. 18 No. 7, pp. 509-533.</w:t>
      </w:r>
      <w:bookmarkEnd w:id="21"/>
    </w:p>
    <w:p w:rsidR="00BA5A38" w:rsidRDefault="00BA5A38"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r>
        <w:rPr>
          <w:color w:val="000000"/>
        </w:rPr>
        <w:t xml:space="preserve">Tan, K.C. (2002), “Supply Chain Management: Practices, Concerns, and Performance Issues,” </w:t>
      </w:r>
      <w:r>
        <w:rPr>
          <w:i/>
          <w:color w:val="000000"/>
        </w:rPr>
        <w:t>The Journal of Supply Chain Management</w:t>
      </w:r>
      <w:r>
        <w:rPr>
          <w:color w:val="000000"/>
        </w:rPr>
        <w:t>, Vol. 38, Issue 1, pp. 42-53.</w:t>
      </w:r>
    </w:p>
    <w:p w:rsidR="0011223C" w:rsidRDefault="0011223C" w:rsidP="0011223C">
      <w:pPr>
        <w:autoSpaceDE w:val="0"/>
        <w:autoSpaceDN w:val="0"/>
        <w:adjustRightInd w:val="0"/>
        <w:spacing w:after="0" w:line="240" w:lineRule="auto"/>
        <w:rPr>
          <w:color w:val="000000"/>
        </w:rPr>
      </w:pPr>
    </w:p>
    <w:p w:rsidR="0011223C" w:rsidRPr="00B940A9" w:rsidRDefault="0011223C" w:rsidP="0011223C">
      <w:pPr>
        <w:autoSpaceDE w:val="0"/>
        <w:autoSpaceDN w:val="0"/>
        <w:adjustRightInd w:val="0"/>
        <w:spacing w:after="0" w:line="240" w:lineRule="auto"/>
        <w:rPr>
          <w:i/>
          <w:iCs/>
          <w:color w:val="000000"/>
        </w:rPr>
      </w:pPr>
      <w:r>
        <w:rPr>
          <w:color w:val="000000"/>
        </w:rPr>
        <w:lastRenderedPageBreak/>
        <w:t>Timmerman, P. (1981), “</w:t>
      </w:r>
      <w:r>
        <w:rPr>
          <w:i/>
          <w:iCs/>
          <w:color w:val="000000"/>
        </w:rPr>
        <w:t xml:space="preserve">Vulnerability, resilience and the collapse of society: A review of models and possible climatic applications”, </w:t>
      </w:r>
      <w:r>
        <w:rPr>
          <w:color w:val="000000"/>
        </w:rPr>
        <w:t>Institute for Environmental Studies,</w:t>
      </w:r>
      <w:r w:rsidR="00B940A9">
        <w:rPr>
          <w:i/>
          <w:iCs/>
          <w:color w:val="000000"/>
        </w:rPr>
        <w:t xml:space="preserve"> </w:t>
      </w:r>
      <w:r>
        <w:rPr>
          <w:color w:val="000000"/>
        </w:rPr>
        <w:t>University of Toronto, Canada.</w:t>
      </w:r>
    </w:p>
    <w:p w:rsidR="0011223C" w:rsidRDefault="0011223C" w:rsidP="0011223C">
      <w:pPr>
        <w:autoSpaceDE w:val="0"/>
        <w:autoSpaceDN w:val="0"/>
        <w:adjustRightInd w:val="0"/>
        <w:spacing w:after="0" w:line="240" w:lineRule="auto"/>
        <w:rPr>
          <w:color w:val="000000"/>
        </w:rPr>
      </w:pPr>
    </w:p>
    <w:p w:rsidR="00B940A9" w:rsidRPr="00B940A9" w:rsidRDefault="00B940A9" w:rsidP="00B940A9">
      <w:pPr>
        <w:autoSpaceDE w:val="0"/>
        <w:autoSpaceDN w:val="0"/>
        <w:adjustRightInd w:val="0"/>
        <w:spacing w:after="0" w:line="240" w:lineRule="auto"/>
        <w:rPr>
          <w:color w:val="000000"/>
        </w:rPr>
      </w:pPr>
      <w:bookmarkStart w:id="22" w:name="_ENREF_86"/>
      <w:r w:rsidRPr="00B940A9">
        <w:rPr>
          <w:color w:val="000000"/>
        </w:rPr>
        <w:t>Tomlin, B. (2006). "On the Value of Mitigation and Contingency Strategies for Managing</w:t>
      </w:r>
    </w:p>
    <w:p w:rsidR="00B940A9" w:rsidRPr="00B940A9" w:rsidRDefault="00B940A9" w:rsidP="00B940A9">
      <w:pPr>
        <w:autoSpaceDE w:val="0"/>
        <w:autoSpaceDN w:val="0"/>
        <w:adjustRightInd w:val="0"/>
        <w:spacing w:after="0" w:line="240" w:lineRule="auto"/>
        <w:rPr>
          <w:color w:val="000000"/>
        </w:rPr>
      </w:pPr>
      <w:r w:rsidRPr="00B940A9">
        <w:rPr>
          <w:color w:val="000000"/>
        </w:rPr>
        <w:t xml:space="preserve">Supply Chain Disruption Risks". </w:t>
      </w:r>
      <w:r w:rsidRPr="00B940A9">
        <w:rPr>
          <w:i/>
          <w:color w:val="000000"/>
        </w:rPr>
        <w:t>Management Science,</w:t>
      </w:r>
      <w:r w:rsidRPr="00B940A9">
        <w:rPr>
          <w:color w:val="000000"/>
        </w:rPr>
        <w:t xml:space="preserve"> Vol. 52 No. 5, pp. 639.</w:t>
      </w:r>
      <w:bookmarkEnd w:id="22"/>
    </w:p>
    <w:p w:rsidR="00B940A9" w:rsidRDefault="00B940A9"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proofErr w:type="gramStart"/>
      <w:r>
        <w:rPr>
          <w:color w:val="000000"/>
        </w:rPr>
        <w:t>United Nations International Strategy for Disaster Reduction, 2005, New York, NY.</w:t>
      </w:r>
      <w:proofErr w:type="gramEnd"/>
    </w:p>
    <w:p w:rsidR="0011223C" w:rsidRDefault="0011223C" w:rsidP="0011223C">
      <w:pPr>
        <w:autoSpaceDE w:val="0"/>
        <w:autoSpaceDN w:val="0"/>
        <w:adjustRightInd w:val="0"/>
        <w:spacing w:after="0" w:line="240" w:lineRule="auto"/>
        <w:rPr>
          <w:color w:val="000000"/>
        </w:rPr>
      </w:pPr>
    </w:p>
    <w:p w:rsidR="0011223C" w:rsidRDefault="0011223C" w:rsidP="0011223C">
      <w:pPr>
        <w:autoSpaceDE w:val="0"/>
        <w:autoSpaceDN w:val="0"/>
        <w:adjustRightInd w:val="0"/>
        <w:spacing w:after="0" w:line="240" w:lineRule="auto"/>
        <w:rPr>
          <w:color w:val="000000"/>
        </w:rPr>
      </w:pPr>
      <w:r>
        <w:rPr>
          <w:color w:val="000000"/>
        </w:rPr>
        <w:t xml:space="preserve">van </w:t>
      </w:r>
      <w:proofErr w:type="spellStart"/>
      <w:r>
        <w:rPr>
          <w:color w:val="000000"/>
        </w:rPr>
        <w:t>der</w:t>
      </w:r>
      <w:proofErr w:type="spellEnd"/>
      <w:r>
        <w:rPr>
          <w:color w:val="000000"/>
        </w:rPr>
        <w:t xml:space="preserve"> Vorst J. and </w:t>
      </w:r>
      <w:proofErr w:type="spellStart"/>
      <w:r>
        <w:rPr>
          <w:color w:val="000000"/>
        </w:rPr>
        <w:t>Beulens</w:t>
      </w:r>
      <w:proofErr w:type="spellEnd"/>
      <w:r>
        <w:rPr>
          <w:color w:val="000000"/>
        </w:rPr>
        <w:t xml:space="preserve">, A. (2002), “Identifying sources of uncertainty to generate supply chain redesign and strategies”, </w:t>
      </w:r>
      <w:r>
        <w:rPr>
          <w:i/>
          <w:iCs/>
          <w:color w:val="000000"/>
        </w:rPr>
        <w:t>International Journal of Physical Distribution and</w:t>
      </w:r>
      <w:r>
        <w:rPr>
          <w:color w:val="000000"/>
        </w:rPr>
        <w:t xml:space="preserve"> </w:t>
      </w:r>
      <w:r>
        <w:rPr>
          <w:i/>
          <w:iCs/>
          <w:color w:val="000000"/>
        </w:rPr>
        <w:t>Logistics Management</w:t>
      </w:r>
      <w:r>
        <w:rPr>
          <w:color w:val="000000"/>
        </w:rPr>
        <w:t xml:space="preserve">, </w:t>
      </w:r>
      <w:proofErr w:type="spellStart"/>
      <w:r>
        <w:rPr>
          <w:color w:val="000000"/>
        </w:rPr>
        <w:t>Vol</w:t>
      </w:r>
      <w:proofErr w:type="spellEnd"/>
      <w:r>
        <w:rPr>
          <w:color w:val="000000"/>
        </w:rPr>
        <w:t xml:space="preserve"> 32, No 6, pp. 409-430.</w:t>
      </w:r>
    </w:p>
    <w:p w:rsidR="003763EB" w:rsidRDefault="003763EB" w:rsidP="003763EB">
      <w:pPr>
        <w:pStyle w:val="NoSpacing"/>
        <w:ind w:left="720" w:hanging="720"/>
        <w:rPr>
          <w:noProof/>
        </w:rPr>
      </w:pPr>
    </w:p>
    <w:p w:rsidR="00E12290" w:rsidRDefault="00E12290" w:rsidP="00E12290">
      <w:pPr>
        <w:pStyle w:val="NoSpacing"/>
        <w:ind w:left="720" w:hanging="720"/>
        <w:rPr>
          <w:noProof/>
        </w:rPr>
      </w:pPr>
      <w:bookmarkStart w:id="23" w:name="_ENREF_88"/>
      <w:r w:rsidRPr="00E12290">
        <w:rPr>
          <w:noProof/>
        </w:rPr>
        <w:t>Wade, M., &amp; Hulland, J. 2004. Review: The resource-bas</w:t>
      </w:r>
      <w:r>
        <w:rPr>
          <w:noProof/>
        </w:rPr>
        <w:t>ed view and information systems</w:t>
      </w:r>
    </w:p>
    <w:p w:rsidR="00E12290" w:rsidRPr="00E12290" w:rsidRDefault="00E12290" w:rsidP="00E12290">
      <w:pPr>
        <w:pStyle w:val="NoSpacing"/>
        <w:ind w:left="720" w:hanging="720"/>
        <w:rPr>
          <w:noProof/>
        </w:rPr>
      </w:pPr>
      <w:r w:rsidRPr="00E12290">
        <w:rPr>
          <w:noProof/>
        </w:rPr>
        <w:t>research: Review, extension,</w:t>
      </w:r>
      <w:r>
        <w:rPr>
          <w:noProof/>
        </w:rPr>
        <w:t xml:space="preserve"> </w:t>
      </w:r>
      <w:r w:rsidRPr="00E12290">
        <w:rPr>
          <w:noProof/>
        </w:rPr>
        <w:t xml:space="preserve">and suggestions for future research. </w:t>
      </w:r>
      <w:r w:rsidRPr="005261E2">
        <w:rPr>
          <w:i/>
          <w:noProof/>
        </w:rPr>
        <w:t>MIS Quarterly</w:t>
      </w:r>
      <w:r w:rsidRPr="00E12290">
        <w:rPr>
          <w:noProof/>
        </w:rPr>
        <w:t>, 28: 107-142.</w:t>
      </w:r>
    </w:p>
    <w:p w:rsidR="00E12290" w:rsidRDefault="00E12290" w:rsidP="00E12290">
      <w:pPr>
        <w:pStyle w:val="NoSpacing"/>
        <w:ind w:left="720" w:hanging="720"/>
        <w:rPr>
          <w:noProof/>
        </w:rPr>
      </w:pPr>
    </w:p>
    <w:p w:rsidR="00BF5510" w:rsidRPr="00BF5510" w:rsidRDefault="00BF5510" w:rsidP="00BF5510">
      <w:pPr>
        <w:pStyle w:val="NoSpacing"/>
        <w:ind w:left="720" w:hanging="720"/>
        <w:rPr>
          <w:noProof/>
        </w:rPr>
      </w:pPr>
      <w:r w:rsidRPr="00BF5510">
        <w:rPr>
          <w:noProof/>
        </w:rPr>
        <w:t>Wagner, S. M., &amp; Bode, C. (2006). "An Empirical Investigation into Supply Chain</w:t>
      </w:r>
    </w:p>
    <w:p w:rsidR="00BF5510" w:rsidRPr="00BF5510" w:rsidRDefault="00BF5510" w:rsidP="00BF5510">
      <w:pPr>
        <w:pStyle w:val="NoSpacing"/>
        <w:ind w:left="720" w:hanging="720"/>
        <w:rPr>
          <w:noProof/>
        </w:rPr>
      </w:pPr>
      <w:r w:rsidRPr="00BF5510">
        <w:rPr>
          <w:noProof/>
        </w:rPr>
        <w:t>Vulnerability".</w:t>
      </w:r>
      <w:r w:rsidRPr="00BF5510">
        <w:rPr>
          <w:i/>
          <w:noProof/>
        </w:rPr>
        <w:t xml:space="preserve"> Journal of Purchasing and Supply Management</w:t>
      </w:r>
      <w:r w:rsidRPr="00BF5510">
        <w:rPr>
          <w:noProof/>
        </w:rPr>
        <w:t>, Vol. 12 No. 6, pp. 301-312.</w:t>
      </w:r>
      <w:bookmarkEnd w:id="23"/>
    </w:p>
    <w:p w:rsidR="00BF5510" w:rsidRPr="00BF5510" w:rsidRDefault="00BF5510" w:rsidP="00BF5510">
      <w:pPr>
        <w:pStyle w:val="NoSpacing"/>
        <w:ind w:left="720" w:hanging="720"/>
        <w:rPr>
          <w:noProof/>
        </w:rPr>
      </w:pPr>
      <w:bookmarkStart w:id="24" w:name="_ENREF_89"/>
    </w:p>
    <w:p w:rsidR="00BF5510" w:rsidRDefault="00BF5510" w:rsidP="00BF5510">
      <w:pPr>
        <w:pStyle w:val="NoSpacing"/>
        <w:ind w:left="720" w:hanging="720"/>
        <w:rPr>
          <w:noProof/>
        </w:rPr>
      </w:pPr>
      <w:r w:rsidRPr="00BF5510">
        <w:rPr>
          <w:noProof/>
        </w:rPr>
        <w:t>Wagner, S. M., &amp; Bode, C. (2008). "An Empirical Examinat</w:t>
      </w:r>
      <w:r>
        <w:rPr>
          <w:noProof/>
        </w:rPr>
        <w:t>ion of Supply Chain Performance</w:t>
      </w:r>
    </w:p>
    <w:p w:rsidR="00BF5510" w:rsidRPr="00BF5510" w:rsidRDefault="00BF5510" w:rsidP="00BF5510">
      <w:pPr>
        <w:pStyle w:val="NoSpacing"/>
        <w:ind w:left="720" w:hanging="720"/>
        <w:rPr>
          <w:noProof/>
        </w:rPr>
      </w:pPr>
      <w:r w:rsidRPr="00BF5510">
        <w:rPr>
          <w:noProof/>
        </w:rPr>
        <w:t xml:space="preserve">Along Several Dimensions of Risk". </w:t>
      </w:r>
      <w:r w:rsidRPr="00BF5510">
        <w:rPr>
          <w:i/>
          <w:noProof/>
        </w:rPr>
        <w:t>Journal of Business Logistics</w:t>
      </w:r>
      <w:r w:rsidRPr="00BF5510">
        <w:rPr>
          <w:noProof/>
        </w:rPr>
        <w:t>, Vol. 29 No. 1, pp.</w:t>
      </w:r>
      <w:bookmarkEnd w:id="24"/>
    </w:p>
    <w:p w:rsidR="00BF5510" w:rsidRDefault="00BF5510" w:rsidP="003763EB">
      <w:pPr>
        <w:pStyle w:val="NoSpacing"/>
        <w:ind w:left="720" w:hanging="720"/>
        <w:rPr>
          <w:noProof/>
        </w:rPr>
      </w:pPr>
    </w:p>
    <w:p w:rsidR="009343DD" w:rsidRDefault="003763EB" w:rsidP="003763EB">
      <w:pPr>
        <w:pStyle w:val="NoSpacing"/>
        <w:ind w:left="720" w:hanging="720"/>
        <w:rPr>
          <w:noProof/>
        </w:rPr>
      </w:pPr>
      <w:r>
        <w:rPr>
          <w:noProof/>
        </w:rPr>
        <w:t>Wern</w:t>
      </w:r>
      <w:r w:rsidR="00CE75D2">
        <w:rPr>
          <w:noProof/>
        </w:rPr>
        <w:t>erfelt, B. (1984), "A Resource-B</w:t>
      </w:r>
      <w:r>
        <w:rPr>
          <w:noProof/>
        </w:rPr>
        <w:t xml:space="preserve">ased View of the Firm," </w:t>
      </w:r>
      <w:r w:rsidRPr="00063F10">
        <w:rPr>
          <w:i/>
          <w:noProof/>
        </w:rPr>
        <w:t>Strategic Management Journal</w:t>
      </w:r>
      <w:r w:rsidR="009343DD">
        <w:rPr>
          <w:noProof/>
        </w:rPr>
        <w:t>,</w:t>
      </w:r>
    </w:p>
    <w:p w:rsidR="003763EB" w:rsidRDefault="009343DD" w:rsidP="009343DD">
      <w:pPr>
        <w:pStyle w:val="NoSpacing"/>
        <w:ind w:left="720" w:hanging="720"/>
        <w:rPr>
          <w:noProof/>
        </w:rPr>
      </w:pPr>
      <w:r>
        <w:rPr>
          <w:noProof/>
        </w:rPr>
        <w:t>No.</w:t>
      </w:r>
      <w:r w:rsidR="003763EB">
        <w:rPr>
          <w:noProof/>
        </w:rPr>
        <w:t>5</w:t>
      </w:r>
      <w:r>
        <w:rPr>
          <w:noProof/>
        </w:rPr>
        <w:t xml:space="preserve"> </w:t>
      </w:r>
      <w:r w:rsidR="003763EB">
        <w:rPr>
          <w:noProof/>
        </w:rPr>
        <w:t>(2), 171-180.</w:t>
      </w:r>
    </w:p>
    <w:p w:rsidR="003763EB" w:rsidRDefault="003763EB" w:rsidP="003763EB">
      <w:pPr>
        <w:pStyle w:val="NoSpacing"/>
        <w:ind w:left="720" w:hanging="720"/>
        <w:rPr>
          <w:noProof/>
        </w:rPr>
      </w:pPr>
    </w:p>
    <w:p w:rsidR="003763EB" w:rsidRDefault="003763EB" w:rsidP="003763EB">
      <w:pPr>
        <w:pStyle w:val="NoSpacing"/>
        <w:ind w:left="720" w:hanging="720"/>
        <w:rPr>
          <w:noProof/>
        </w:rPr>
      </w:pPr>
      <w:r>
        <w:rPr>
          <w:noProof/>
        </w:rPr>
        <w:t>Zott, C. (2003), "Dynamic Capabilities and the Emergence of Intraindustry Differential Firm</w:t>
      </w:r>
    </w:p>
    <w:p w:rsidR="003763EB" w:rsidRDefault="003763EB" w:rsidP="003763EB">
      <w:pPr>
        <w:pStyle w:val="NoSpacing"/>
        <w:ind w:left="720" w:hanging="720"/>
        <w:rPr>
          <w:noProof/>
        </w:rPr>
      </w:pPr>
      <w:r>
        <w:rPr>
          <w:noProof/>
        </w:rPr>
        <w:t xml:space="preserve">Performance: Insights From a Simulation Study," </w:t>
      </w:r>
      <w:r w:rsidRPr="00063F10">
        <w:rPr>
          <w:i/>
          <w:noProof/>
        </w:rPr>
        <w:t>Strategic Management Journal</w:t>
      </w:r>
      <w:r>
        <w:rPr>
          <w:noProof/>
        </w:rPr>
        <w:t>, 24 (2), 97-125.</w:t>
      </w:r>
    </w:p>
    <w:p w:rsidR="003763EB" w:rsidRDefault="003763EB" w:rsidP="003763EB">
      <w:pPr>
        <w:pStyle w:val="NoSpacing"/>
        <w:ind w:left="720" w:hanging="720"/>
        <w:rPr>
          <w:noProof/>
        </w:rPr>
      </w:pPr>
    </w:p>
    <w:p w:rsidR="003763EB" w:rsidRDefault="003763EB" w:rsidP="0011223C">
      <w:pPr>
        <w:autoSpaceDE w:val="0"/>
        <w:autoSpaceDN w:val="0"/>
        <w:adjustRightInd w:val="0"/>
        <w:rPr>
          <w:color w:val="000000"/>
        </w:rPr>
      </w:pPr>
    </w:p>
    <w:p w:rsidR="003763EB" w:rsidRDefault="003763EB"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830398" w:rsidRDefault="00830398" w:rsidP="0011223C">
      <w:pPr>
        <w:autoSpaceDE w:val="0"/>
        <w:autoSpaceDN w:val="0"/>
        <w:adjustRightInd w:val="0"/>
        <w:rPr>
          <w:color w:val="000000"/>
        </w:rPr>
      </w:pPr>
    </w:p>
    <w:p w:rsidR="00CE75D2" w:rsidRDefault="00CE75D2" w:rsidP="0011223C">
      <w:pPr>
        <w:autoSpaceDE w:val="0"/>
        <w:autoSpaceDN w:val="0"/>
        <w:adjustRightInd w:val="0"/>
        <w:rPr>
          <w:color w:val="000000"/>
        </w:rPr>
      </w:pPr>
    </w:p>
    <w:p w:rsidR="008952AA" w:rsidRDefault="008952AA" w:rsidP="008952AA">
      <w:pPr>
        <w:pStyle w:val="NoSpacing"/>
        <w:jc w:val="center"/>
      </w:pPr>
      <w:r>
        <w:rPr>
          <w:b/>
        </w:rPr>
        <w:t>VITA</w:t>
      </w:r>
    </w:p>
    <w:p w:rsidR="008952AA" w:rsidRDefault="008952AA" w:rsidP="008952AA">
      <w:pPr>
        <w:pStyle w:val="NoSpacing"/>
      </w:pPr>
    </w:p>
    <w:p w:rsidR="003625BC" w:rsidRDefault="003625BC" w:rsidP="008952AA">
      <w:pPr>
        <w:pStyle w:val="NoSpacing"/>
      </w:pPr>
    </w:p>
    <w:p w:rsidR="008952AA" w:rsidRPr="00C75A29" w:rsidRDefault="00883DBD" w:rsidP="008952AA">
      <w:pPr>
        <w:autoSpaceDE w:val="0"/>
        <w:autoSpaceDN w:val="0"/>
        <w:adjustRightInd w:val="0"/>
        <w:spacing w:after="0" w:line="360" w:lineRule="auto"/>
        <w:ind w:firstLine="720"/>
        <w:rPr>
          <w:color w:val="000000"/>
        </w:rPr>
      </w:pPr>
      <w:proofErr w:type="spellStart"/>
      <w:r>
        <w:rPr>
          <w:color w:val="000000"/>
        </w:rPr>
        <w:t>Serhiy</w:t>
      </w:r>
      <w:proofErr w:type="spellEnd"/>
      <w:r>
        <w:rPr>
          <w:color w:val="000000"/>
        </w:rPr>
        <w:t xml:space="preserve"> Y. </w:t>
      </w:r>
      <w:proofErr w:type="spellStart"/>
      <w:r>
        <w:rPr>
          <w:color w:val="000000"/>
        </w:rPr>
        <w:t>Ponomarov</w:t>
      </w:r>
      <w:proofErr w:type="spellEnd"/>
      <w:r w:rsidR="008952AA" w:rsidRPr="00C75A29">
        <w:rPr>
          <w:color w:val="000000"/>
        </w:rPr>
        <w:t xml:space="preserve"> holds a </w:t>
      </w:r>
      <w:r w:rsidR="008952AA">
        <w:rPr>
          <w:color w:val="000000"/>
        </w:rPr>
        <w:t xml:space="preserve">Specialist Degree in Economics from </w:t>
      </w:r>
      <w:proofErr w:type="spellStart"/>
      <w:r w:rsidR="008952AA">
        <w:rPr>
          <w:color w:val="000000"/>
        </w:rPr>
        <w:t>Uzhgorod</w:t>
      </w:r>
      <w:proofErr w:type="spellEnd"/>
      <w:r w:rsidR="008952AA">
        <w:rPr>
          <w:color w:val="000000"/>
        </w:rPr>
        <w:t xml:space="preserve"> State University, a </w:t>
      </w:r>
      <w:r w:rsidR="008952AA" w:rsidRPr="00C75A29">
        <w:rPr>
          <w:color w:val="000000"/>
        </w:rPr>
        <w:t>Master of Business Administration</w:t>
      </w:r>
      <w:r w:rsidR="008952AA">
        <w:rPr>
          <w:color w:val="000000"/>
        </w:rPr>
        <w:t xml:space="preserve"> (MBA) from the</w:t>
      </w:r>
      <w:r w:rsidR="008952AA" w:rsidRPr="00C75A29">
        <w:rPr>
          <w:color w:val="000000"/>
        </w:rPr>
        <w:t xml:space="preserve"> </w:t>
      </w:r>
      <w:r w:rsidR="008952AA">
        <w:rPr>
          <w:color w:val="000000"/>
        </w:rPr>
        <w:t>University of Louisiana, and a Master of Science in Industrial Statistics from the University of Tennessee</w:t>
      </w:r>
      <w:r w:rsidR="008952AA" w:rsidRPr="00C75A29">
        <w:rPr>
          <w:color w:val="000000"/>
        </w:rPr>
        <w:t xml:space="preserve">. His primary research interests </w:t>
      </w:r>
      <w:r w:rsidR="008952AA">
        <w:rPr>
          <w:color w:val="000000"/>
        </w:rPr>
        <w:t xml:space="preserve">include global supply chain management, risk management and resilience, </w:t>
      </w:r>
      <w:r w:rsidR="007279D5">
        <w:rPr>
          <w:color w:val="000000"/>
        </w:rPr>
        <w:t xml:space="preserve">competitive dynamics, </w:t>
      </w:r>
      <w:r w:rsidR="008952AA">
        <w:rPr>
          <w:color w:val="000000"/>
        </w:rPr>
        <w:t xml:space="preserve">and various aspects of demand-supply integration.  </w:t>
      </w:r>
      <w:proofErr w:type="spellStart"/>
      <w:r w:rsidR="008952AA">
        <w:rPr>
          <w:color w:val="000000"/>
        </w:rPr>
        <w:t>Serhiy</w:t>
      </w:r>
      <w:proofErr w:type="spellEnd"/>
      <w:r w:rsidR="008952AA">
        <w:rPr>
          <w:color w:val="000000"/>
        </w:rPr>
        <w:t xml:space="preserve"> has published in the </w:t>
      </w:r>
      <w:r w:rsidR="008952AA">
        <w:rPr>
          <w:i/>
          <w:color w:val="000000"/>
        </w:rPr>
        <w:t>International J</w:t>
      </w:r>
      <w:r w:rsidR="008952AA" w:rsidRPr="007745B1">
        <w:rPr>
          <w:i/>
          <w:color w:val="000000"/>
        </w:rPr>
        <w:t xml:space="preserve">ournal of </w:t>
      </w:r>
      <w:r w:rsidR="008952AA">
        <w:rPr>
          <w:i/>
          <w:color w:val="000000"/>
        </w:rPr>
        <w:t>Logistics Management</w:t>
      </w:r>
      <w:r w:rsidR="008952AA" w:rsidRPr="007745B1">
        <w:rPr>
          <w:i/>
          <w:color w:val="000000"/>
        </w:rPr>
        <w:t xml:space="preserve"> </w:t>
      </w:r>
      <w:r w:rsidR="008952AA">
        <w:rPr>
          <w:color w:val="000000"/>
        </w:rPr>
        <w:t xml:space="preserve">and </w:t>
      </w:r>
      <w:r w:rsidR="008952AA" w:rsidRPr="008952AA">
        <w:rPr>
          <w:i/>
          <w:color w:val="000000"/>
        </w:rPr>
        <w:t>Supply Chain Forum: an International</w:t>
      </w:r>
      <w:r w:rsidR="008952AA" w:rsidRPr="007745B1">
        <w:rPr>
          <w:i/>
          <w:color w:val="000000"/>
        </w:rPr>
        <w:t xml:space="preserve"> Journal</w:t>
      </w:r>
      <w:r w:rsidR="008952AA">
        <w:rPr>
          <w:color w:val="000000"/>
        </w:rPr>
        <w:t xml:space="preserve">. Prior to pursuing a Ph.D. in logistics and supply chain management at the University of Tennessee, </w:t>
      </w:r>
      <w:proofErr w:type="spellStart"/>
      <w:r w:rsidR="008952AA">
        <w:rPr>
          <w:color w:val="000000"/>
        </w:rPr>
        <w:t>Serhiy</w:t>
      </w:r>
      <w:proofErr w:type="spellEnd"/>
      <w:r w:rsidR="008952AA">
        <w:rPr>
          <w:color w:val="000000"/>
        </w:rPr>
        <w:t xml:space="preserve"> </w:t>
      </w:r>
      <w:r w:rsidR="008952AA" w:rsidRPr="00C75A29">
        <w:rPr>
          <w:color w:val="000000"/>
        </w:rPr>
        <w:t>spent</w:t>
      </w:r>
      <w:r w:rsidR="008952AA">
        <w:rPr>
          <w:color w:val="000000"/>
        </w:rPr>
        <w:t xml:space="preserve"> several years in industry, working </w:t>
      </w:r>
      <w:r w:rsidR="007279D5">
        <w:rPr>
          <w:color w:val="000000"/>
        </w:rPr>
        <w:t xml:space="preserve">for </w:t>
      </w:r>
      <w:r w:rsidR="008952AA">
        <w:rPr>
          <w:color w:val="000000"/>
        </w:rPr>
        <w:t>small businesses</w:t>
      </w:r>
      <w:r w:rsidR="007279D5">
        <w:rPr>
          <w:color w:val="000000"/>
        </w:rPr>
        <w:t>, international non-profit organizations, and</w:t>
      </w:r>
      <w:r w:rsidR="008952AA">
        <w:rPr>
          <w:color w:val="000000"/>
        </w:rPr>
        <w:t xml:space="preserve"> several major corporations such as The Hearst</w:t>
      </w:r>
      <w:r w:rsidR="007279D5">
        <w:rPr>
          <w:color w:val="000000"/>
        </w:rPr>
        <w:t xml:space="preserve"> Corporation</w:t>
      </w:r>
      <w:r w:rsidR="008952AA">
        <w:rPr>
          <w:color w:val="000000"/>
        </w:rPr>
        <w:t>, 3M</w:t>
      </w:r>
      <w:r w:rsidR="007279D5">
        <w:rPr>
          <w:color w:val="000000"/>
        </w:rPr>
        <w:t xml:space="preserve"> Corporation</w:t>
      </w:r>
      <w:r w:rsidR="008952AA">
        <w:rPr>
          <w:color w:val="000000"/>
        </w:rPr>
        <w:t xml:space="preserve">, and Whirlpool Corporation.  </w:t>
      </w:r>
      <w:r>
        <w:rPr>
          <w:color w:val="000000"/>
        </w:rPr>
        <w:t xml:space="preserve">Upon completion of the Ph.D. in Business Administration at the University of Tennessee, </w:t>
      </w:r>
      <w:proofErr w:type="spellStart"/>
      <w:r>
        <w:rPr>
          <w:color w:val="000000"/>
        </w:rPr>
        <w:t>Serhiy</w:t>
      </w:r>
      <w:proofErr w:type="spellEnd"/>
      <w:r>
        <w:rPr>
          <w:color w:val="000000"/>
        </w:rPr>
        <w:t xml:space="preserve"> will join the supply chain faculty at the College of Business at The Citadel</w:t>
      </w:r>
      <w:r w:rsidRPr="00C75A29">
        <w:rPr>
          <w:color w:val="000000"/>
        </w:rPr>
        <w:t>.</w:t>
      </w:r>
    </w:p>
    <w:p w:rsidR="0011223C" w:rsidRDefault="0011223C" w:rsidP="0011223C">
      <w:pPr>
        <w:pStyle w:val="NoSpacing"/>
        <w:rPr>
          <w:b/>
        </w:rPr>
      </w:pPr>
    </w:p>
    <w:p w:rsidR="0011223C" w:rsidRDefault="0011223C" w:rsidP="0011223C">
      <w:pPr>
        <w:pStyle w:val="NoSpacing"/>
        <w:rPr>
          <w:b/>
        </w:rPr>
      </w:pPr>
    </w:p>
    <w:p w:rsidR="0011223C" w:rsidRDefault="0011223C" w:rsidP="0011223C">
      <w:pPr>
        <w:pStyle w:val="NoSpacing"/>
        <w:rPr>
          <w:b/>
        </w:rPr>
      </w:pPr>
    </w:p>
    <w:p w:rsidR="0011223C" w:rsidRDefault="0011223C" w:rsidP="0011223C">
      <w:pPr>
        <w:pStyle w:val="NoSpacing"/>
        <w:rPr>
          <w:b/>
        </w:rPr>
      </w:pPr>
    </w:p>
    <w:p w:rsidR="0011223C" w:rsidRDefault="0011223C" w:rsidP="0011223C"/>
    <w:sectPr w:rsidR="0011223C" w:rsidSect="00C47EFB">
      <w:pgSz w:w="12240" w:h="15840"/>
      <w:pgMar w:top="1440" w:right="1440" w:bottom="1440" w:left="1440" w:header="720" w:footer="63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D60" w:rsidRDefault="000F5D60" w:rsidP="005D648A">
      <w:pPr>
        <w:spacing w:after="0" w:line="240" w:lineRule="auto"/>
      </w:pPr>
      <w:r>
        <w:separator/>
      </w:r>
    </w:p>
  </w:endnote>
  <w:endnote w:type="continuationSeparator" w:id="0">
    <w:p w:rsidR="000F5D60" w:rsidRDefault="000F5D60" w:rsidP="005D64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7808352"/>
      <w:docPartObj>
        <w:docPartGallery w:val="Page Numbers (Bottom of Page)"/>
        <w:docPartUnique/>
      </w:docPartObj>
    </w:sdtPr>
    <w:sdtContent>
      <w:p w:rsidR="004D5499" w:rsidRDefault="004D5499">
        <w:pPr>
          <w:pStyle w:val="Footer"/>
          <w:jc w:val="center"/>
        </w:pPr>
        <w:fldSimple w:instr=" PAGE   \* MERGEFORMAT ">
          <w:r>
            <w:rPr>
              <w:noProof/>
            </w:rPr>
            <w:t>x</w:t>
          </w:r>
        </w:fldSimple>
      </w:p>
    </w:sdtContent>
  </w:sdt>
  <w:p w:rsidR="004D5499" w:rsidRDefault="004D549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632966"/>
      <w:docPartObj>
        <w:docPartGallery w:val="Page Numbers (Bottom of Page)"/>
        <w:docPartUnique/>
      </w:docPartObj>
    </w:sdtPr>
    <w:sdtContent>
      <w:p w:rsidR="004D5499" w:rsidRDefault="004D5499">
        <w:pPr>
          <w:pStyle w:val="Footer"/>
          <w:jc w:val="center"/>
        </w:pPr>
        <w:fldSimple w:instr=" PAGE   \* MERGEFORMAT ">
          <w:r w:rsidR="003C2E74">
            <w:rPr>
              <w:noProof/>
            </w:rPr>
            <w:t>ii</w:t>
          </w:r>
        </w:fldSimple>
      </w:p>
    </w:sdtContent>
  </w:sdt>
  <w:p w:rsidR="004D5499" w:rsidRDefault="004D549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99" w:rsidRDefault="004D5499" w:rsidP="00007E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5499" w:rsidRDefault="004D5499" w:rsidP="00007EA8">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499" w:rsidRDefault="004D5499">
    <w:pPr>
      <w:pStyle w:val="Footer"/>
      <w:jc w:val="center"/>
    </w:pPr>
    <w:fldSimple w:instr=" PAGE   \* MERGEFORMAT ">
      <w:r w:rsidR="003C2E74">
        <w:rPr>
          <w:noProof/>
        </w:rPr>
        <w:t>1</w:t>
      </w:r>
    </w:fldSimple>
  </w:p>
  <w:p w:rsidR="004D5499" w:rsidRDefault="004D5499" w:rsidP="00007EA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D60" w:rsidRDefault="000F5D60" w:rsidP="005D648A">
      <w:pPr>
        <w:spacing w:after="0" w:line="240" w:lineRule="auto"/>
      </w:pPr>
      <w:r>
        <w:separator/>
      </w:r>
    </w:p>
  </w:footnote>
  <w:footnote w:type="continuationSeparator" w:id="0">
    <w:p w:rsidR="000F5D60" w:rsidRDefault="000F5D60" w:rsidP="005D64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DC8A1B"/>
    <w:multiLevelType w:val="hybridMultilevel"/>
    <w:tmpl w:val="D48FFF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557A7A"/>
    <w:multiLevelType w:val="hybridMultilevel"/>
    <w:tmpl w:val="9326A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EB1F19"/>
    <w:multiLevelType w:val="hybridMultilevel"/>
    <w:tmpl w:val="C51C6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793DFC"/>
    <w:multiLevelType w:val="hybridMultilevel"/>
    <w:tmpl w:val="E5B4AAA2"/>
    <w:lvl w:ilvl="0" w:tplc="07FCAD2C">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0A7E35"/>
    <w:multiLevelType w:val="hybridMultilevel"/>
    <w:tmpl w:val="BEB6C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AF0553"/>
    <w:multiLevelType w:val="hybridMultilevel"/>
    <w:tmpl w:val="BF581390"/>
    <w:lvl w:ilvl="0" w:tplc="B134CC5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F6E33C9"/>
    <w:multiLevelType w:val="hybridMultilevel"/>
    <w:tmpl w:val="3626AE74"/>
    <w:lvl w:ilvl="0" w:tplc="0D8AD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2474EF"/>
    <w:multiLevelType w:val="hybridMultilevel"/>
    <w:tmpl w:val="24D8F92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FF58E2"/>
    <w:multiLevelType w:val="hybridMultilevel"/>
    <w:tmpl w:val="7CDC8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C21886"/>
    <w:multiLevelType w:val="hybridMultilevel"/>
    <w:tmpl w:val="036822C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15B2018C"/>
    <w:multiLevelType w:val="hybridMultilevel"/>
    <w:tmpl w:val="33B2A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F61F7F"/>
    <w:multiLevelType w:val="hybridMultilevel"/>
    <w:tmpl w:val="8EB06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655ADC"/>
    <w:multiLevelType w:val="hybridMultilevel"/>
    <w:tmpl w:val="B5703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6A6DC8"/>
    <w:multiLevelType w:val="hybridMultilevel"/>
    <w:tmpl w:val="EF00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C7C7A54"/>
    <w:multiLevelType w:val="hybridMultilevel"/>
    <w:tmpl w:val="E4AAE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186489"/>
    <w:multiLevelType w:val="hybridMultilevel"/>
    <w:tmpl w:val="9326A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FB81373"/>
    <w:multiLevelType w:val="hybridMultilevel"/>
    <w:tmpl w:val="0FC2E72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1625B6B"/>
    <w:multiLevelType w:val="hybridMultilevel"/>
    <w:tmpl w:val="A6140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276540"/>
    <w:multiLevelType w:val="hybridMultilevel"/>
    <w:tmpl w:val="E4AAE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72F6477"/>
    <w:multiLevelType w:val="hybridMultilevel"/>
    <w:tmpl w:val="8530F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BE66283"/>
    <w:multiLevelType w:val="hybridMultilevel"/>
    <w:tmpl w:val="C318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C3D57D5"/>
    <w:multiLevelType w:val="hybridMultilevel"/>
    <w:tmpl w:val="C3C616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2C9D2DA3"/>
    <w:multiLevelType w:val="hybridMultilevel"/>
    <w:tmpl w:val="5B286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C25CF6"/>
    <w:multiLevelType w:val="hybridMultilevel"/>
    <w:tmpl w:val="482416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394415CD"/>
    <w:multiLevelType w:val="hybridMultilevel"/>
    <w:tmpl w:val="A1466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5B305C"/>
    <w:multiLevelType w:val="hybridMultilevel"/>
    <w:tmpl w:val="CFD0DB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DC31C47"/>
    <w:multiLevelType w:val="hybridMultilevel"/>
    <w:tmpl w:val="AB36B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FC9522E"/>
    <w:multiLevelType w:val="hybridMultilevel"/>
    <w:tmpl w:val="8530F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06B0FD6"/>
    <w:multiLevelType w:val="hybridMultilevel"/>
    <w:tmpl w:val="67269A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1552000"/>
    <w:multiLevelType w:val="hybridMultilevel"/>
    <w:tmpl w:val="2B441F8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40D63C1"/>
    <w:multiLevelType w:val="hybridMultilevel"/>
    <w:tmpl w:val="5B286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85774A9"/>
    <w:multiLevelType w:val="hybridMultilevel"/>
    <w:tmpl w:val="796A38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A3B7980"/>
    <w:multiLevelType w:val="hybridMultilevel"/>
    <w:tmpl w:val="080607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33">
    <w:nsid w:val="4A9F6D48"/>
    <w:multiLevelType w:val="hybridMultilevel"/>
    <w:tmpl w:val="7F4AE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B6A5A8E"/>
    <w:multiLevelType w:val="hybridMultilevel"/>
    <w:tmpl w:val="67269A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4DAE5E3E"/>
    <w:multiLevelType w:val="hybridMultilevel"/>
    <w:tmpl w:val="36C4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E9A2F7E"/>
    <w:multiLevelType w:val="hybridMultilevel"/>
    <w:tmpl w:val="F336F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0290559"/>
    <w:multiLevelType w:val="hybridMultilevel"/>
    <w:tmpl w:val="999A4D4C"/>
    <w:lvl w:ilvl="0" w:tplc="8BB40336">
      <w:start w:val="1"/>
      <w:numFmt w:val="bullet"/>
      <w:lvlText w:val=""/>
      <w:lvlJc w:val="left"/>
      <w:pPr>
        <w:tabs>
          <w:tab w:val="num" w:pos="720"/>
        </w:tabs>
        <w:ind w:left="720" w:hanging="360"/>
      </w:pPr>
      <w:rPr>
        <w:rFonts w:ascii="Wingdings 2" w:hAnsi="Wingdings 2" w:hint="default"/>
      </w:rPr>
    </w:lvl>
    <w:lvl w:ilvl="1" w:tplc="04090001">
      <w:start w:val="1"/>
      <w:numFmt w:val="bullet"/>
      <w:lvlText w:val=""/>
      <w:lvlJc w:val="left"/>
      <w:pPr>
        <w:tabs>
          <w:tab w:val="num" w:pos="1440"/>
        </w:tabs>
        <w:ind w:left="1440" w:hanging="360"/>
      </w:pPr>
      <w:rPr>
        <w:rFonts w:ascii="Symbol" w:hAnsi="Symbol" w:hint="default"/>
      </w:rPr>
    </w:lvl>
    <w:lvl w:ilvl="2" w:tplc="3530B9B2" w:tentative="1">
      <w:start w:val="1"/>
      <w:numFmt w:val="bullet"/>
      <w:lvlText w:val=""/>
      <w:lvlJc w:val="left"/>
      <w:pPr>
        <w:tabs>
          <w:tab w:val="num" w:pos="2160"/>
        </w:tabs>
        <w:ind w:left="2160" w:hanging="360"/>
      </w:pPr>
      <w:rPr>
        <w:rFonts w:ascii="Wingdings 2" w:hAnsi="Wingdings 2" w:hint="default"/>
      </w:rPr>
    </w:lvl>
    <w:lvl w:ilvl="3" w:tplc="559CD2BE" w:tentative="1">
      <w:start w:val="1"/>
      <w:numFmt w:val="bullet"/>
      <w:lvlText w:val=""/>
      <w:lvlJc w:val="left"/>
      <w:pPr>
        <w:tabs>
          <w:tab w:val="num" w:pos="2880"/>
        </w:tabs>
        <w:ind w:left="2880" w:hanging="360"/>
      </w:pPr>
      <w:rPr>
        <w:rFonts w:ascii="Wingdings 2" w:hAnsi="Wingdings 2" w:hint="default"/>
      </w:rPr>
    </w:lvl>
    <w:lvl w:ilvl="4" w:tplc="6952D2E0" w:tentative="1">
      <w:start w:val="1"/>
      <w:numFmt w:val="bullet"/>
      <w:lvlText w:val=""/>
      <w:lvlJc w:val="left"/>
      <w:pPr>
        <w:tabs>
          <w:tab w:val="num" w:pos="3600"/>
        </w:tabs>
        <w:ind w:left="3600" w:hanging="360"/>
      </w:pPr>
      <w:rPr>
        <w:rFonts w:ascii="Wingdings 2" w:hAnsi="Wingdings 2" w:hint="default"/>
      </w:rPr>
    </w:lvl>
    <w:lvl w:ilvl="5" w:tplc="6C5A43F6" w:tentative="1">
      <w:start w:val="1"/>
      <w:numFmt w:val="bullet"/>
      <w:lvlText w:val=""/>
      <w:lvlJc w:val="left"/>
      <w:pPr>
        <w:tabs>
          <w:tab w:val="num" w:pos="4320"/>
        </w:tabs>
        <w:ind w:left="4320" w:hanging="360"/>
      </w:pPr>
      <w:rPr>
        <w:rFonts w:ascii="Wingdings 2" w:hAnsi="Wingdings 2" w:hint="default"/>
      </w:rPr>
    </w:lvl>
    <w:lvl w:ilvl="6" w:tplc="8110A18A" w:tentative="1">
      <w:start w:val="1"/>
      <w:numFmt w:val="bullet"/>
      <w:lvlText w:val=""/>
      <w:lvlJc w:val="left"/>
      <w:pPr>
        <w:tabs>
          <w:tab w:val="num" w:pos="5040"/>
        </w:tabs>
        <w:ind w:left="5040" w:hanging="360"/>
      </w:pPr>
      <w:rPr>
        <w:rFonts w:ascii="Wingdings 2" w:hAnsi="Wingdings 2" w:hint="default"/>
      </w:rPr>
    </w:lvl>
    <w:lvl w:ilvl="7" w:tplc="C0C61804" w:tentative="1">
      <w:start w:val="1"/>
      <w:numFmt w:val="bullet"/>
      <w:lvlText w:val=""/>
      <w:lvlJc w:val="left"/>
      <w:pPr>
        <w:tabs>
          <w:tab w:val="num" w:pos="5760"/>
        </w:tabs>
        <w:ind w:left="5760" w:hanging="360"/>
      </w:pPr>
      <w:rPr>
        <w:rFonts w:ascii="Wingdings 2" w:hAnsi="Wingdings 2" w:hint="default"/>
      </w:rPr>
    </w:lvl>
    <w:lvl w:ilvl="8" w:tplc="B86A662A" w:tentative="1">
      <w:start w:val="1"/>
      <w:numFmt w:val="bullet"/>
      <w:lvlText w:val=""/>
      <w:lvlJc w:val="left"/>
      <w:pPr>
        <w:tabs>
          <w:tab w:val="num" w:pos="6480"/>
        </w:tabs>
        <w:ind w:left="6480" w:hanging="360"/>
      </w:pPr>
      <w:rPr>
        <w:rFonts w:ascii="Wingdings 2" w:hAnsi="Wingdings 2" w:hint="default"/>
      </w:rPr>
    </w:lvl>
  </w:abstractNum>
  <w:abstractNum w:abstractNumId="38">
    <w:nsid w:val="549055E8"/>
    <w:multiLevelType w:val="hybridMultilevel"/>
    <w:tmpl w:val="B5703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6206293"/>
    <w:multiLevelType w:val="hybridMultilevel"/>
    <w:tmpl w:val="A1466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8AD3C08"/>
    <w:multiLevelType w:val="hybridMultilevel"/>
    <w:tmpl w:val="65ACDF3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B1E5C2F"/>
    <w:multiLevelType w:val="hybridMultilevel"/>
    <w:tmpl w:val="33B2A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C707B04"/>
    <w:multiLevelType w:val="hybridMultilevel"/>
    <w:tmpl w:val="F49A3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F767277"/>
    <w:multiLevelType w:val="hybridMultilevel"/>
    <w:tmpl w:val="02A0F1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54558FE"/>
    <w:multiLevelType w:val="hybridMultilevel"/>
    <w:tmpl w:val="C51C6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5512508"/>
    <w:multiLevelType w:val="hybridMultilevel"/>
    <w:tmpl w:val="CA7A6644"/>
    <w:lvl w:ilvl="0" w:tplc="68981B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5B80979"/>
    <w:multiLevelType w:val="hybridMultilevel"/>
    <w:tmpl w:val="36C4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623265D"/>
    <w:multiLevelType w:val="hybridMultilevel"/>
    <w:tmpl w:val="AB36B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8B95B31"/>
    <w:multiLevelType w:val="hybridMultilevel"/>
    <w:tmpl w:val="F336F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CCB7CBB"/>
    <w:multiLevelType w:val="hybridMultilevel"/>
    <w:tmpl w:val="E7E853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758B1F27"/>
    <w:multiLevelType w:val="hybridMultilevel"/>
    <w:tmpl w:val="CA90AAA6"/>
    <w:lvl w:ilvl="0" w:tplc="04090001">
      <w:start w:val="1"/>
      <w:numFmt w:val="bullet"/>
      <w:lvlText w:val=""/>
      <w:lvlJc w:val="left"/>
      <w:pPr>
        <w:tabs>
          <w:tab w:val="num" w:pos="720"/>
        </w:tabs>
        <w:ind w:left="720" w:hanging="360"/>
      </w:pPr>
      <w:rPr>
        <w:rFonts w:ascii="Symbol" w:hAnsi="Symbol" w:hint="default"/>
      </w:rPr>
    </w:lvl>
    <w:lvl w:ilvl="1" w:tplc="70E687BC">
      <w:start w:val="1"/>
      <w:numFmt w:val="bullet"/>
      <w:lvlText w:val="-"/>
      <w:lvlJc w:val="left"/>
      <w:pPr>
        <w:tabs>
          <w:tab w:val="num" w:pos="1440"/>
        </w:tabs>
        <w:ind w:left="1440" w:hanging="360"/>
      </w:pPr>
      <w:rPr>
        <w:rFonts w:ascii="Times New Roman" w:eastAsia="Calibri"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nsid w:val="79D0761B"/>
    <w:multiLevelType w:val="hybridMultilevel"/>
    <w:tmpl w:val="BEB6C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A073EEA"/>
    <w:multiLevelType w:val="hybridMultilevel"/>
    <w:tmpl w:val="F49A3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BD575AC"/>
    <w:multiLevelType w:val="hybridMultilevel"/>
    <w:tmpl w:val="C3D8BA34"/>
    <w:lvl w:ilvl="0" w:tplc="16181C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7C41206C"/>
    <w:multiLevelType w:val="hybridMultilevel"/>
    <w:tmpl w:val="C3181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D9759E6"/>
    <w:multiLevelType w:val="hybridMultilevel"/>
    <w:tmpl w:val="E5B4AAA2"/>
    <w:lvl w:ilvl="0" w:tplc="07FCAD2C">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DC55149"/>
    <w:multiLevelType w:val="hybridMultilevel"/>
    <w:tmpl w:val="56EC0FC8"/>
    <w:lvl w:ilvl="0" w:tplc="503CA4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9"/>
  </w:num>
  <w:num w:numId="3">
    <w:abstractNumId w:val="17"/>
  </w:num>
  <w:num w:numId="4">
    <w:abstractNumId w:val="37"/>
  </w:num>
  <w:num w:numId="5">
    <w:abstractNumId w:val="11"/>
  </w:num>
  <w:num w:numId="6">
    <w:abstractNumId w:val="24"/>
  </w:num>
  <w:num w:numId="7">
    <w:abstractNumId w:val="2"/>
  </w:num>
  <w:num w:numId="8">
    <w:abstractNumId w:val="27"/>
  </w:num>
  <w:num w:numId="9">
    <w:abstractNumId w:val="3"/>
  </w:num>
  <w:num w:numId="10">
    <w:abstractNumId w:val="14"/>
  </w:num>
  <w:num w:numId="11">
    <w:abstractNumId w:val="41"/>
  </w:num>
  <w:num w:numId="12">
    <w:abstractNumId w:val="4"/>
  </w:num>
  <w:num w:numId="13">
    <w:abstractNumId w:val="22"/>
  </w:num>
  <w:num w:numId="14">
    <w:abstractNumId w:val="47"/>
  </w:num>
  <w:num w:numId="15">
    <w:abstractNumId w:val="42"/>
  </w:num>
  <w:num w:numId="16">
    <w:abstractNumId w:val="36"/>
  </w:num>
  <w:num w:numId="17">
    <w:abstractNumId w:val="54"/>
  </w:num>
  <w:num w:numId="18">
    <w:abstractNumId w:val="15"/>
  </w:num>
  <w:num w:numId="19">
    <w:abstractNumId w:val="35"/>
  </w:num>
  <w:num w:numId="20">
    <w:abstractNumId w:val="38"/>
  </w:num>
  <w:num w:numId="21">
    <w:abstractNumId w:val="8"/>
  </w:num>
  <w:num w:numId="22">
    <w:abstractNumId w:val="0"/>
  </w:num>
  <w:num w:numId="23">
    <w:abstractNumId w:val="56"/>
  </w:num>
  <w:num w:numId="24">
    <w:abstractNumId w:val="45"/>
  </w:num>
  <w:num w:numId="25">
    <w:abstractNumId w:val="39"/>
  </w:num>
  <w:num w:numId="26">
    <w:abstractNumId w:val="44"/>
  </w:num>
  <w:num w:numId="27">
    <w:abstractNumId w:val="19"/>
  </w:num>
  <w:num w:numId="28">
    <w:abstractNumId w:val="55"/>
  </w:num>
  <w:num w:numId="29">
    <w:abstractNumId w:val="18"/>
  </w:num>
  <w:num w:numId="30">
    <w:abstractNumId w:val="10"/>
  </w:num>
  <w:num w:numId="31">
    <w:abstractNumId w:val="51"/>
  </w:num>
  <w:num w:numId="32">
    <w:abstractNumId w:val="30"/>
  </w:num>
  <w:num w:numId="33">
    <w:abstractNumId w:val="26"/>
  </w:num>
  <w:num w:numId="34">
    <w:abstractNumId w:val="52"/>
  </w:num>
  <w:num w:numId="35">
    <w:abstractNumId w:val="48"/>
  </w:num>
  <w:num w:numId="36">
    <w:abstractNumId w:val="20"/>
  </w:num>
  <w:num w:numId="37">
    <w:abstractNumId w:val="1"/>
  </w:num>
  <w:num w:numId="38">
    <w:abstractNumId w:val="46"/>
  </w:num>
  <w:num w:numId="39">
    <w:abstractNumId w:val="12"/>
  </w:num>
  <w:num w:numId="40">
    <w:abstractNumId w:val="50"/>
  </w:num>
  <w:num w:numId="41">
    <w:abstractNumId w:val="5"/>
  </w:num>
  <w:num w:numId="42">
    <w:abstractNumId w:val="16"/>
  </w:num>
  <w:num w:numId="43">
    <w:abstractNumId w:val="32"/>
  </w:num>
  <w:num w:numId="44">
    <w:abstractNumId w:val="9"/>
  </w:num>
  <w:num w:numId="45">
    <w:abstractNumId w:val="7"/>
  </w:num>
  <w:num w:numId="46">
    <w:abstractNumId w:val="31"/>
  </w:num>
  <w:num w:numId="47">
    <w:abstractNumId w:val="49"/>
  </w:num>
  <w:num w:numId="48">
    <w:abstractNumId w:val="25"/>
  </w:num>
  <w:num w:numId="49">
    <w:abstractNumId w:val="23"/>
  </w:num>
  <w:num w:numId="50">
    <w:abstractNumId w:val="21"/>
  </w:num>
  <w:num w:numId="51">
    <w:abstractNumId w:val="34"/>
  </w:num>
  <w:num w:numId="52">
    <w:abstractNumId w:val="40"/>
  </w:num>
  <w:num w:numId="53">
    <w:abstractNumId w:val="28"/>
  </w:num>
  <w:num w:numId="54">
    <w:abstractNumId w:val="6"/>
  </w:num>
  <w:num w:numId="55">
    <w:abstractNumId w:val="53"/>
  </w:num>
  <w:num w:numId="56">
    <w:abstractNumId w:val="33"/>
  </w:num>
  <w:num w:numId="57">
    <w:abstractNumId w:val="43"/>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20"/>
  <w:displayHorizontalDrawingGridEvery w:val="2"/>
  <w:characterSpacingControl w:val="doNotCompress"/>
  <w:hdrShapeDefaults>
    <o:shapedefaults v:ext="edit" spidmax="51202"/>
  </w:hdrShapeDefaults>
  <w:footnotePr>
    <w:footnote w:id="-1"/>
    <w:footnote w:id="0"/>
  </w:footnotePr>
  <w:endnotePr>
    <w:endnote w:id="-1"/>
    <w:endnote w:id="0"/>
  </w:endnotePr>
  <w:compat/>
  <w:docVars>
    <w:docVar w:name="EN.InstantFormat" w:val="&lt;ENInstantFormat&gt;&lt;Enabled&gt;0&lt;/Enabled&gt;&lt;ScanUnformatted&gt;1&lt;/ScanUnformatted&gt;&lt;ScanChanges&gt;1&lt;/ScanChanges&gt;&lt;/ENInstantFormat&gt;"/>
    <w:docVar w:name="EN.Layout" w:val="&lt;ENLayout&gt;&lt;Style&gt;Dissert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Dissertation.enl&lt;/item&gt;&lt;/Libraries&gt;&lt;/ENLibraries&gt;"/>
  </w:docVars>
  <w:rsids>
    <w:rsidRoot w:val="00C86C9F"/>
    <w:rsid w:val="0000163B"/>
    <w:rsid w:val="000019A4"/>
    <w:rsid w:val="000020EA"/>
    <w:rsid w:val="00002458"/>
    <w:rsid w:val="00003562"/>
    <w:rsid w:val="00003A55"/>
    <w:rsid w:val="00003EA6"/>
    <w:rsid w:val="00003F32"/>
    <w:rsid w:val="000042C6"/>
    <w:rsid w:val="000049F0"/>
    <w:rsid w:val="00004B64"/>
    <w:rsid w:val="000054DD"/>
    <w:rsid w:val="00005892"/>
    <w:rsid w:val="00005D38"/>
    <w:rsid w:val="000063D9"/>
    <w:rsid w:val="000075AD"/>
    <w:rsid w:val="00007EA8"/>
    <w:rsid w:val="00010519"/>
    <w:rsid w:val="000108BD"/>
    <w:rsid w:val="0001124A"/>
    <w:rsid w:val="000117CD"/>
    <w:rsid w:val="000126BF"/>
    <w:rsid w:val="00012CF2"/>
    <w:rsid w:val="00013917"/>
    <w:rsid w:val="00013A07"/>
    <w:rsid w:val="00013D65"/>
    <w:rsid w:val="00013F72"/>
    <w:rsid w:val="00014486"/>
    <w:rsid w:val="0001485B"/>
    <w:rsid w:val="0001486D"/>
    <w:rsid w:val="00014ADA"/>
    <w:rsid w:val="00014E16"/>
    <w:rsid w:val="000151E3"/>
    <w:rsid w:val="00015203"/>
    <w:rsid w:val="0001570C"/>
    <w:rsid w:val="000161C0"/>
    <w:rsid w:val="0001766F"/>
    <w:rsid w:val="00017914"/>
    <w:rsid w:val="0002013A"/>
    <w:rsid w:val="00020888"/>
    <w:rsid w:val="000209E9"/>
    <w:rsid w:val="00020A03"/>
    <w:rsid w:val="00020B26"/>
    <w:rsid w:val="00020B5E"/>
    <w:rsid w:val="000215A3"/>
    <w:rsid w:val="00021BAE"/>
    <w:rsid w:val="00022A15"/>
    <w:rsid w:val="000237A9"/>
    <w:rsid w:val="0002390C"/>
    <w:rsid w:val="000239E6"/>
    <w:rsid w:val="000249AD"/>
    <w:rsid w:val="00024E82"/>
    <w:rsid w:val="00024FB6"/>
    <w:rsid w:val="000256EF"/>
    <w:rsid w:val="0002607C"/>
    <w:rsid w:val="000262EB"/>
    <w:rsid w:val="0002675F"/>
    <w:rsid w:val="0002685A"/>
    <w:rsid w:val="00026E32"/>
    <w:rsid w:val="00026E59"/>
    <w:rsid w:val="0002700A"/>
    <w:rsid w:val="0002775B"/>
    <w:rsid w:val="00030642"/>
    <w:rsid w:val="00030BEA"/>
    <w:rsid w:val="00031B47"/>
    <w:rsid w:val="00031C4E"/>
    <w:rsid w:val="000320E4"/>
    <w:rsid w:val="00033058"/>
    <w:rsid w:val="00033282"/>
    <w:rsid w:val="00033348"/>
    <w:rsid w:val="00033376"/>
    <w:rsid w:val="00034A6A"/>
    <w:rsid w:val="00034A83"/>
    <w:rsid w:val="00034EB0"/>
    <w:rsid w:val="0003555E"/>
    <w:rsid w:val="000359C7"/>
    <w:rsid w:val="00035A58"/>
    <w:rsid w:val="00036059"/>
    <w:rsid w:val="000360E5"/>
    <w:rsid w:val="00036305"/>
    <w:rsid w:val="000366BA"/>
    <w:rsid w:val="000369C7"/>
    <w:rsid w:val="00036BAA"/>
    <w:rsid w:val="00037350"/>
    <w:rsid w:val="0004019D"/>
    <w:rsid w:val="00040ACE"/>
    <w:rsid w:val="000424C8"/>
    <w:rsid w:val="00042F86"/>
    <w:rsid w:val="0004399F"/>
    <w:rsid w:val="00043A63"/>
    <w:rsid w:val="0004424F"/>
    <w:rsid w:val="00044571"/>
    <w:rsid w:val="0004491E"/>
    <w:rsid w:val="00045AC5"/>
    <w:rsid w:val="00045CC9"/>
    <w:rsid w:val="00046314"/>
    <w:rsid w:val="00046389"/>
    <w:rsid w:val="0004697A"/>
    <w:rsid w:val="00046E26"/>
    <w:rsid w:val="000470EA"/>
    <w:rsid w:val="0005051E"/>
    <w:rsid w:val="000511D9"/>
    <w:rsid w:val="000513B6"/>
    <w:rsid w:val="00051936"/>
    <w:rsid w:val="00051EB7"/>
    <w:rsid w:val="000523DF"/>
    <w:rsid w:val="0005264B"/>
    <w:rsid w:val="00052764"/>
    <w:rsid w:val="00052B66"/>
    <w:rsid w:val="00052C77"/>
    <w:rsid w:val="00052E64"/>
    <w:rsid w:val="00055123"/>
    <w:rsid w:val="0005530E"/>
    <w:rsid w:val="000559A5"/>
    <w:rsid w:val="000559F1"/>
    <w:rsid w:val="00055BB9"/>
    <w:rsid w:val="0005647F"/>
    <w:rsid w:val="000567E2"/>
    <w:rsid w:val="000568C0"/>
    <w:rsid w:val="00057433"/>
    <w:rsid w:val="00057D9A"/>
    <w:rsid w:val="00057E1E"/>
    <w:rsid w:val="00057FEC"/>
    <w:rsid w:val="00060377"/>
    <w:rsid w:val="0006047C"/>
    <w:rsid w:val="00060872"/>
    <w:rsid w:val="000608DE"/>
    <w:rsid w:val="00060D94"/>
    <w:rsid w:val="0006149C"/>
    <w:rsid w:val="00061CF3"/>
    <w:rsid w:val="000625CC"/>
    <w:rsid w:val="00063100"/>
    <w:rsid w:val="0006310E"/>
    <w:rsid w:val="000634AE"/>
    <w:rsid w:val="000636A6"/>
    <w:rsid w:val="00063F10"/>
    <w:rsid w:val="00064298"/>
    <w:rsid w:val="000647AF"/>
    <w:rsid w:val="00065283"/>
    <w:rsid w:val="000652C6"/>
    <w:rsid w:val="00065628"/>
    <w:rsid w:val="0006575E"/>
    <w:rsid w:val="00065B9F"/>
    <w:rsid w:val="0006663B"/>
    <w:rsid w:val="00066D07"/>
    <w:rsid w:val="00066FC4"/>
    <w:rsid w:val="00067871"/>
    <w:rsid w:val="00067929"/>
    <w:rsid w:val="000679D4"/>
    <w:rsid w:val="000679E9"/>
    <w:rsid w:val="00067F91"/>
    <w:rsid w:val="0007040B"/>
    <w:rsid w:val="0007082F"/>
    <w:rsid w:val="00070887"/>
    <w:rsid w:val="00070A4C"/>
    <w:rsid w:val="0007113F"/>
    <w:rsid w:val="000715FE"/>
    <w:rsid w:val="00071640"/>
    <w:rsid w:val="00071E8D"/>
    <w:rsid w:val="00071F1E"/>
    <w:rsid w:val="00072839"/>
    <w:rsid w:val="000728BF"/>
    <w:rsid w:val="00072C71"/>
    <w:rsid w:val="0007310A"/>
    <w:rsid w:val="00073833"/>
    <w:rsid w:val="00073CEE"/>
    <w:rsid w:val="000745B0"/>
    <w:rsid w:val="00074B3E"/>
    <w:rsid w:val="000756D9"/>
    <w:rsid w:val="00075BFA"/>
    <w:rsid w:val="00075DC8"/>
    <w:rsid w:val="00075F1C"/>
    <w:rsid w:val="0007617C"/>
    <w:rsid w:val="000761BA"/>
    <w:rsid w:val="000773BE"/>
    <w:rsid w:val="00077CDE"/>
    <w:rsid w:val="00077EC8"/>
    <w:rsid w:val="00077FF1"/>
    <w:rsid w:val="00080223"/>
    <w:rsid w:val="000802BD"/>
    <w:rsid w:val="0008063E"/>
    <w:rsid w:val="00080F40"/>
    <w:rsid w:val="00080FA0"/>
    <w:rsid w:val="000812B6"/>
    <w:rsid w:val="00081DBE"/>
    <w:rsid w:val="00081E64"/>
    <w:rsid w:val="0008251E"/>
    <w:rsid w:val="0008278C"/>
    <w:rsid w:val="0008303C"/>
    <w:rsid w:val="000831FE"/>
    <w:rsid w:val="00083F9E"/>
    <w:rsid w:val="0008449D"/>
    <w:rsid w:val="000845DD"/>
    <w:rsid w:val="0008467C"/>
    <w:rsid w:val="0008496A"/>
    <w:rsid w:val="000859CE"/>
    <w:rsid w:val="00085CFC"/>
    <w:rsid w:val="00085E1A"/>
    <w:rsid w:val="0008679C"/>
    <w:rsid w:val="0008779A"/>
    <w:rsid w:val="00087EE3"/>
    <w:rsid w:val="000917B4"/>
    <w:rsid w:val="000919B9"/>
    <w:rsid w:val="0009261C"/>
    <w:rsid w:val="00092748"/>
    <w:rsid w:val="00092799"/>
    <w:rsid w:val="000931D0"/>
    <w:rsid w:val="0009323B"/>
    <w:rsid w:val="00093681"/>
    <w:rsid w:val="00093758"/>
    <w:rsid w:val="00093C30"/>
    <w:rsid w:val="00094344"/>
    <w:rsid w:val="00095109"/>
    <w:rsid w:val="00095476"/>
    <w:rsid w:val="00095B20"/>
    <w:rsid w:val="00095BA1"/>
    <w:rsid w:val="00095D06"/>
    <w:rsid w:val="00095F5E"/>
    <w:rsid w:val="00097002"/>
    <w:rsid w:val="000975BF"/>
    <w:rsid w:val="00097B5F"/>
    <w:rsid w:val="000A03F6"/>
    <w:rsid w:val="000A15B8"/>
    <w:rsid w:val="000A1E2D"/>
    <w:rsid w:val="000A1F18"/>
    <w:rsid w:val="000A23E6"/>
    <w:rsid w:val="000A2ADE"/>
    <w:rsid w:val="000A2B25"/>
    <w:rsid w:val="000A37A6"/>
    <w:rsid w:val="000A461A"/>
    <w:rsid w:val="000A4FE0"/>
    <w:rsid w:val="000A5742"/>
    <w:rsid w:val="000A58AF"/>
    <w:rsid w:val="000A60C3"/>
    <w:rsid w:val="000A6C04"/>
    <w:rsid w:val="000A7840"/>
    <w:rsid w:val="000A7844"/>
    <w:rsid w:val="000A7A60"/>
    <w:rsid w:val="000A7CCB"/>
    <w:rsid w:val="000A7D5C"/>
    <w:rsid w:val="000B0A2A"/>
    <w:rsid w:val="000B104B"/>
    <w:rsid w:val="000B1456"/>
    <w:rsid w:val="000B1953"/>
    <w:rsid w:val="000B2006"/>
    <w:rsid w:val="000B2C1F"/>
    <w:rsid w:val="000B2E31"/>
    <w:rsid w:val="000B33F4"/>
    <w:rsid w:val="000B3CEE"/>
    <w:rsid w:val="000B4921"/>
    <w:rsid w:val="000B4DCD"/>
    <w:rsid w:val="000B5002"/>
    <w:rsid w:val="000B5172"/>
    <w:rsid w:val="000B535F"/>
    <w:rsid w:val="000B571F"/>
    <w:rsid w:val="000B5C68"/>
    <w:rsid w:val="000B5E02"/>
    <w:rsid w:val="000B6E01"/>
    <w:rsid w:val="000B6F0A"/>
    <w:rsid w:val="000B7513"/>
    <w:rsid w:val="000B770C"/>
    <w:rsid w:val="000B78D7"/>
    <w:rsid w:val="000C021F"/>
    <w:rsid w:val="000C0395"/>
    <w:rsid w:val="000C0A08"/>
    <w:rsid w:val="000C1626"/>
    <w:rsid w:val="000C1C1C"/>
    <w:rsid w:val="000C2767"/>
    <w:rsid w:val="000C3679"/>
    <w:rsid w:val="000C3D78"/>
    <w:rsid w:val="000C40FC"/>
    <w:rsid w:val="000C4E69"/>
    <w:rsid w:val="000C5B08"/>
    <w:rsid w:val="000C6898"/>
    <w:rsid w:val="000C71A9"/>
    <w:rsid w:val="000C760C"/>
    <w:rsid w:val="000C7A6D"/>
    <w:rsid w:val="000D0414"/>
    <w:rsid w:val="000D0A3F"/>
    <w:rsid w:val="000D1421"/>
    <w:rsid w:val="000D1500"/>
    <w:rsid w:val="000D1F3B"/>
    <w:rsid w:val="000D24E4"/>
    <w:rsid w:val="000D26C8"/>
    <w:rsid w:val="000D26CF"/>
    <w:rsid w:val="000D372C"/>
    <w:rsid w:val="000D40E9"/>
    <w:rsid w:val="000D4526"/>
    <w:rsid w:val="000D4CCD"/>
    <w:rsid w:val="000D55E6"/>
    <w:rsid w:val="000D593A"/>
    <w:rsid w:val="000D5C0F"/>
    <w:rsid w:val="000D5E4D"/>
    <w:rsid w:val="000D61AC"/>
    <w:rsid w:val="000D63EE"/>
    <w:rsid w:val="000D6C01"/>
    <w:rsid w:val="000D7200"/>
    <w:rsid w:val="000D74D2"/>
    <w:rsid w:val="000D7633"/>
    <w:rsid w:val="000D7C8F"/>
    <w:rsid w:val="000E0816"/>
    <w:rsid w:val="000E09E8"/>
    <w:rsid w:val="000E0F39"/>
    <w:rsid w:val="000E1382"/>
    <w:rsid w:val="000E18A8"/>
    <w:rsid w:val="000E1C77"/>
    <w:rsid w:val="000E280A"/>
    <w:rsid w:val="000E282C"/>
    <w:rsid w:val="000E29F6"/>
    <w:rsid w:val="000E3419"/>
    <w:rsid w:val="000E425D"/>
    <w:rsid w:val="000E4B0A"/>
    <w:rsid w:val="000E4D4D"/>
    <w:rsid w:val="000E4FFC"/>
    <w:rsid w:val="000E52DB"/>
    <w:rsid w:val="000E549D"/>
    <w:rsid w:val="000E59C3"/>
    <w:rsid w:val="000E5A25"/>
    <w:rsid w:val="000E5FCE"/>
    <w:rsid w:val="000E607E"/>
    <w:rsid w:val="000E7EDA"/>
    <w:rsid w:val="000F0502"/>
    <w:rsid w:val="000F1764"/>
    <w:rsid w:val="000F2127"/>
    <w:rsid w:val="000F2706"/>
    <w:rsid w:val="000F2873"/>
    <w:rsid w:val="000F3087"/>
    <w:rsid w:val="000F3B24"/>
    <w:rsid w:val="000F3F98"/>
    <w:rsid w:val="000F430B"/>
    <w:rsid w:val="000F5C03"/>
    <w:rsid w:val="000F5D60"/>
    <w:rsid w:val="000F6365"/>
    <w:rsid w:val="000F6A22"/>
    <w:rsid w:val="000F7082"/>
    <w:rsid w:val="000F7D46"/>
    <w:rsid w:val="000F7E45"/>
    <w:rsid w:val="0010063C"/>
    <w:rsid w:val="00100717"/>
    <w:rsid w:val="001010EF"/>
    <w:rsid w:val="00101731"/>
    <w:rsid w:val="00102465"/>
    <w:rsid w:val="00102866"/>
    <w:rsid w:val="00102B22"/>
    <w:rsid w:val="00102DE0"/>
    <w:rsid w:val="001030AC"/>
    <w:rsid w:val="001030FA"/>
    <w:rsid w:val="00103C90"/>
    <w:rsid w:val="00104112"/>
    <w:rsid w:val="001045F5"/>
    <w:rsid w:val="00104946"/>
    <w:rsid w:val="00104AAE"/>
    <w:rsid w:val="00104F30"/>
    <w:rsid w:val="00105CE9"/>
    <w:rsid w:val="00105DED"/>
    <w:rsid w:val="00105EB3"/>
    <w:rsid w:val="00106473"/>
    <w:rsid w:val="0010704E"/>
    <w:rsid w:val="001070F8"/>
    <w:rsid w:val="0010730F"/>
    <w:rsid w:val="0011182A"/>
    <w:rsid w:val="0011223C"/>
    <w:rsid w:val="001123EB"/>
    <w:rsid w:val="001134DF"/>
    <w:rsid w:val="001143E4"/>
    <w:rsid w:val="00114755"/>
    <w:rsid w:val="00114C70"/>
    <w:rsid w:val="00114F05"/>
    <w:rsid w:val="00115E18"/>
    <w:rsid w:val="001164E7"/>
    <w:rsid w:val="001166F4"/>
    <w:rsid w:val="00116AC5"/>
    <w:rsid w:val="00117F75"/>
    <w:rsid w:val="00120CF9"/>
    <w:rsid w:val="00121DEC"/>
    <w:rsid w:val="00123CE6"/>
    <w:rsid w:val="001240EC"/>
    <w:rsid w:val="00124AD6"/>
    <w:rsid w:val="00124B5B"/>
    <w:rsid w:val="00124C0F"/>
    <w:rsid w:val="00124D20"/>
    <w:rsid w:val="00124EF1"/>
    <w:rsid w:val="00124FEE"/>
    <w:rsid w:val="0012589A"/>
    <w:rsid w:val="001259FD"/>
    <w:rsid w:val="00125D5A"/>
    <w:rsid w:val="0012771D"/>
    <w:rsid w:val="00127813"/>
    <w:rsid w:val="0013017C"/>
    <w:rsid w:val="00130443"/>
    <w:rsid w:val="00130898"/>
    <w:rsid w:val="00131232"/>
    <w:rsid w:val="00132209"/>
    <w:rsid w:val="001323DA"/>
    <w:rsid w:val="00132426"/>
    <w:rsid w:val="00132CE9"/>
    <w:rsid w:val="0013311F"/>
    <w:rsid w:val="001339A0"/>
    <w:rsid w:val="00133A19"/>
    <w:rsid w:val="00133DDD"/>
    <w:rsid w:val="00133F1A"/>
    <w:rsid w:val="00133F6E"/>
    <w:rsid w:val="001342EA"/>
    <w:rsid w:val="00134577"/>
    <w:rsid w:val="00134702"/>
    <w:rsid w:val="001351EB"/>
    <w:rsid w:val="0013548A"/>
    <w:rsid w:val="001361B0"/>
    <w:rsid w:val="00136395"/>
    <w:rsid w:val="0013643D"/>
    <w:rsid w:val="001365B6"/>
    <w:rsid w:val="00136944"/>
    <w:rsid w:val="00137069"/>
    <w:rsid w:val="00140007"/>
    <w:rsid w:val="001401F9"/>
    <w:rsid w:val="00140F9C"/>
    <w:rsid w:val="00140F9F"/>
    <w:rsid w:val="00141255"/>
    <w:rsid w:val="001414D3"/>
    <w:rsid w:val="00141B5A"/>
    <w:rsid w:val="00142303"/>
    <w:rsid w:val="00142C90"/>
    <w:rsid w:val="00142E03"/>
    <w:rsid w:val="0014323D"/>
    <w:rsid w:val="001436C4"/>
    <w:rsid w:val="001437A3"/>
    <w:rsid w:val="001439B1"/>
    <w:rsid w:val="00143D00"/>
    <w:rsid w:val="0014436B"/>
    <w:rsid w:val="00144530"/>
    <w:rsid w:val="00144F6F"/>
    <w:rsid w:val="001457EB"/>
    <w:rsid w:val="001466EF"/>
    <w:rsid w:val="001469DF"/>
    <w:rsid w:val="00146B3B"/>
    <w:rsid w:val="00146B3E"/>
    <w:rsid w:val="001472FF"/>
    <w:rsid w:val="001505ED"/>
    <w:rsid w:val="00150AB7"/>
    <w:rsid w:val="0015138C"/>
    <w:rsid w:val="001517FB"/>
    <w:rsid w:val="00151AFC"/>
    <w:rsid w:val="00151D0E"/>
    <w:rsid w:val="00152568"/>
    <w:rsid w:val="00152ABC"/>
    <w:rsid w:val="001535DC"/>
    <w:rsid w:val="00153A33"/>
    <w:rsid w:val="00154262"/>
    <w:rsid w:val="001543B0"/>
    <w:rsid w:val="001543EE"/>
    <w:rsid w:val="001554FC"/>
    <w:rsid w:val="0015584D"/>
    <w:rsid w:val="0015660A"/>
    <w:rsid w:val="001566F3"/>
    <w:rsid w:val="00156959"/>
    <w:rsid w:val="00157155"/>
    <w:rsid w:val="001571EC"/>
    <w:rsid w:val="00157412"/>
    <w:rsid w:val="00157610"/>
    <w:rsid w:val="00157B1E"/>
    <w:rsid w:val="001601C9"/>
    <w:rsid w:val="001609C7"/>
    <w:rsid w:val="00160A27"/>
    <w:rsid w:val="001617B8"/>
    <w:rsid w:val="00161B9F"/>
    <w:rsid w:val="00161C78"/>
    <w:rsid w:val="00161CF8"/>
    <w:rsid w:val="00162272"/>
    <w:rsid w:val="001626BE"/>
    <w:rsid w:val="001637BE"/>
    <w:rsid w:val="001644CB"/>
    <w:rsid w:val="001645C5"/>
    <w:rsid w:val="00164861"/>
    <w:rsid w:val="00164BF4"/>
    <w:rsid w:val="001653BA"/>
    <w:rsid w:val="00165403"/>
    <w:rsid w:val="00165B1A"/>
    <w:rsid w:val="0016604C"/>
    <w:rsid w:val="00166302"/>
    <w:rsid w:val="00166467"/>
    <w:rsid w:val="00166EB3"/>
    <w:rsid w:val="00166F85"/>
    <w:rsid w:val="001677BB"/>
    <w:rsid w:val="00167B5D"/>
    <w:rsid w:val="00167C96"/>
    <w:rsid w:val="00167DAF"/>
    <w:rsid w:val="0017015B"/>
    <w:rsid w:val="001701A3"/>
    <w:rsid w:val="00170315"/>
    <w:rsid w:val="00171793"/>
    <w:rsid w:val="00171956"/>
    <w:rsid w:val="00171F0F"/>
    <w:rsid w:val="001722D1"/>
    <w:rsid w:val="00172C89"/>
    <w:rsid w:val="001742A7"/>
    <w:rsid w:val="001743E2"/>
    <w:rsid w:val="0017451E"/>
    <w:rsid w:val="00174584"/>
    <w:rsid w:val="00174CC7"/>
    <w:rsid w:val="001755E6"/>
    <w:rsid w:val="00175F5F"/>
    <w:rsid w:val="001766EB"/>
    <w:rsid w:val="00176EAB"/>
    <w:rsid w:val="001771DD"/>
    <w:rsid w:val="001771F5"/>
    <w:rsid w:val="0017748F"/>
    <w:rsid w:val="00177ADB"/>
    <w:rsid w:val="00177C48"/>
    <w:rsid w:val="00177FF8"/>
    <w:rsid w:val="001805B8"/>
    <w:rsid w:val="001806B4"/>
    <w:rsid w:val="00180827"/>
    <w:rsid w:val="00180A6D"/>
    <w:rsid w:val="00180AB3"/>
    <w:rsid w:val="00181F91"/>
    <w:rsid w:val="00182457"/>
    <w:rsid w:val="0018284A"/>
    <w:rsid w:val="00182A87"/>
    <w:rsid w:val="00183378"/>
    <w:rsid w:val="0018343C"/>
    <w:rsid w:val="00183C62"/>
    <w:rsid w:val="00183CD9"/>
    <w:rsid w:val="00183E40"/>
    <w:rsid w:val="001845AD"/>
    <w:rsid w:val="001853E8"/>
    <w:rsid w:val="0018570C"/>
    <w:rsid w:val="00185C70"/>
    <w:rsid w:val="00186269"/>
    <w:rsid w:val="00186464"/>
    <w:rsid w:val="001865FA"/>
    <w:rsid w:val="001905F9"/>
    <w:rsid w:val="00190722"/>
    <w:rsid w:val="00190A1F"/>
    <w:rsid w:val="001911DA"/>
    <w:rsid w:val="0019156C"/>
    <w:rsid w:val="00191593"/>
    <w:rsid w:val="00191599"/>
    <w:rsid w:val="00191D83"/>
    <w:rsid w:val="0019203A"/>
    <w:rsid w:val="001920AD"/>
    <w:rsid w:val="00192F1D"/>
    <w:rsid w:val="00193208"/>
    <w:rsid w:val="0019328C"/>
    <w:rsid w:val="00193DDB"/>
    <w:rsid w:val="00193DEA"/>
    <w:rsid w:val="00193EE4"/>
    <w:rsid w:val="00193F2D"/>
    <w:rsid w:val="0019441F"/>
    <w:rsid w:val="00194A4E"/>
    <w:rsid w:val="00195AF0"/>
    <w:rsid w:val="00195CCF"/>
    <w:rsid w:val="00195F0F"/>
    <w:rsid w:val="00196010"/>
    <w:rsid w:val="00196B01"/>
    <w:rsid w:val="001971E7"/>
    <w:rsid w:val="0019742A"/>
    <w:rsid w:val="00197432"/>
    <w:rsid w:val="001979AE"/>
    <w:rsid w:val="001A050C"/>
    <w:rsid w:val="001A051B"/>
    <w:rsid w:val="001A06D9"/>
    <w:rsid w:val="001A1A32"/>
    <w:rsid w:val="001A20AB"/>
    <w:rsid w:val="001A2614"/>
    <w:rsid w:val="001A31B2"/>
    <w:rsid w:val="001A3EBD"/>
    <w:rsid w:val="001A4822"/>
    <w:rsid w:val="001A4B68"/>
    <w:rsid w:val="001A4CBA"/>
    <w:rsid w:val="001A50D1"/>
    <w:rsid w:val="001A55BF"/>
    <w:rsid w:val="001A5838"/>
    <w:rsid w:val="001A5B35"/>
    <w:rsid w:val="001A5B36"/>
    <w:rsid w:val="001A60B8"/>
    <w:rsid w:val="001A62BB"/>
    <w:rsid w:val="001A6724"/>
    <w:rsid w:val="001A6892"/>
    <w:rsid w:val="001A6C7C"/>
    <w:rsid w:val="001A6EDA"/>
    <w:rsid w:val="001A71E5"/>
    <w:rsid w:val="001A7613"/>
    <w:rsid w:val="001A764D"/>
    <w:rsid w:val="001B02F4"/>
    <w:rsid w:val="001B0848"/>
    <w:rsid w:val="001B1AE5"/>
    <w:rsid w:val="001B228F"/>
    <w:rsid w:val="001B25FD"/>
    <w:rsid w:val="001B2777"/>
    <w:rsid w:val="001B2825"/>
    <w:rsid w:val="001B2D44"/>
    <w:rsid w:val="001B2F03"/>
    <w:rsid w:val="001B3879"/>
    <w:rsid w:val="001B3ADE"/>
    <w:rsid w:val="001B3CEF"/>
    <w:rsid w:val="001B4A99"/>
    <w:rsid w:val="001B4B6F"/>
    <w:rsid w:val="001B4D2E"/>
    <w:rsid w:val="001B4E22"/>
    <w:rsid w:val="001B4F42"/>
    <w:rsid w:val="001B5292"/>
    <w:rsid w:val="001B55F6"/>
    <w:rsid w:val="001B58CB"/>
    <w:rsid w:val="001B58DD"/>
    <w:rsid w:val="001B6825"/>
    <w:rsid w:val="001B683E"/>
    <w:rsid w:val="001B6FE0"/>
    <w:rsid w:val="001B797E"/>
    <w:rsid w:val="001B7D19"/>
    <w:rsid w:val="001B7DB1"/>
    <w:rsid w:val="001C1311"/>
    <w:rsid w:val="001C1377"/>
    <w:rsid w:val="001C1809"/>
    <w:rsid w:val="001C1AFA"/>
    <w:rsid w:val="001C20BF"/>
    <w:rsid w:val="001C28BA"/>
    <w:rsid w:val="001C2C30"/>
    <w:rsid w:val="001C2E76"/>
    <w:rsid w:val="001C37A3"/>
    <w:rsid w:val="001C3DE0"/>
    <w:rsid w:val="001C4309"/>
    <w:rsid w:val="001C4EF3"/>
    <w:rsid w:val="001C5793"/>
    <w:rsid w:val="001C635F"/>
    <w:rsid w:val="001C669A"/>
    <w:rsid w:val="001C7283"/>
    <w:rsid w:val="001C7298"/>
    <w:rsid w:val="001C75D1"/>
    <w:rsid w:val="001C7641"/>
    <w:rsid w:val="001C78DD"/>
    <w:rsid w:val="001C7D09"/>
    <w:rsid w:val="001D0931"/>
    <w:rsid w:val="001D0B3E"/>
    <w:rsid w:val="001D1407"/>
    <w:rsid w:val="001D1421"/>
    <w:rsid w:val="001D1DDF"/>
    <w:rsid w:val="001D2778"/>
    <w:rsid w:val="001D2938"/>
    <w:rsid w:val="001D32D0"/>
    <w:rsid w:val="001D3570"/>
    <w:rsid w:val="001D3978"/>
    <w:rsid w:val="001D39B5"/>
    <w:rsid w:val="001D39F0"/>
    <w:rsid w:val="001D3DA9"/>
    <w:rsid w:val="001D3FD4"/>
    <w:rsid w:val="001D4260"/>
    <w:rsid w:val="001D45DE"/>
    <w:rsid w:val="001D4B55"/>
    <w:rsid w:val="001D5061"/>
    <w:rsid w:val="001D5063"/>
    <w:rsid w:val="001D566D"/>
    <w:rsid w:val="001D62D1"/>
    <w:rsid w:val="001D66FF"/>
    <w:rsid w:val="001D6875"/>
    <w:rsid w:val="001D6DFB"/>
    <w:rsid w:val="001D706B"/>
    <w:rsid w:val="001D77EE"/>
    <w:rsid w:val="001D7EF9"/>
    <w:rsid w:val="001E038E"/>
    <w:rsid w:val="001E04E6"/>
    <w:rsid w:val="001E05BC"/>
    <w:rsid w:val="001E0E5B"/>
    <w:rsid w:val="001E1945"/>
    <w:rsid w:val="001E2A30"/>
    <w:rsid w:val="001E2FAB"/>
    <w:rsid w:val="001E315D"/>
    <w:rsid w:val="001E387A"/>
    <w:rsid w:val="001E3C17"/>
    <w:rsid w:val="001E408C"/>
    <w:rsid w:val="001E45E5"/>
    <w:rsid w:val="001E46FC"/>
    <w:rsid w:val="001E4863"/>
    <w:rsid w:val="001E4E19"/>
    <w:rsid w:val="001E4E5D"/>
    <w:rsid w:val="001E57A8"/>
    <w:rsid w:val="001E6051"/>
    <w:rsid w:val="001E60F5"/>
    <w:rsid w:val="001E7112"/>
    <w:rsid w:val="001E7EF8"/>
    <w:rsid w:val="001F007B"/>
    <w:rsid w:val="001F0859"/>
    <w:rsid w:val="001F0AA1"/>
    <w:rsid w:val="001F0E54"/>
    <w:rsid w:val="001F1218"/>
    <w:rsid w:val="001F15E7"/>
    <w:rsid w:val="001F1B0E"/>
    <w:rsid w:val="001F1DC0"/>
    <w:rsid w:val="001F28CB"/>
    <w:rsid w:val="001F2FB3"/>
    <w:rsid w:val="001F3378"/>
    <w:rsid w:val="001F365E"/>
    <w:rsid w:val="001F3FAB"/>
    <w:rsid w:val="001F41D4"/>
    <w:rsid w:val="001F4304"/>
    <w:rsid w:val="001F55EA"/>
    <w:rsid w:val="001F5E71"/>
    <w:rsid w:val="001F5EF3"/>
    <w:rsid w:val="001F6072"/>
    <w:rsid w:val="001F63A0"/>
    <w:rsid w:val="001F6C6B"/>
    <w:rsid w:val="001F725A"/>
    <w:rsid w:val="001F73BA"/>
    <w:rsid w:val="001F7590"/>
    <w:rsid w:val="001F7FEC"/>
    <w:rsid w:val="001F7FFC"/>
    <w:rsid w:val="00200746"/>
    <w:rsid w:val="00200C6C"/>
    <w:rsid w:val="00200C9C"/>
    <w:rsid w:val="002025AE"/>
    <w:rsid w:val="002027B7"/>
    <w:rsid w:val="00202A2A"/>
    <w:rsid w:val="00202B8A"/>
    <w:rsid w:val="00202F61"/>
    <w:rsid w:val="00203B89"/>
    <w:rsid w:val="00204629"/>
    <w:rsid w:val="002049B4"/>
    <w:rsid w:val="0020513F"/>
    <w:rsid w:val="002052E1"/>
    <w:rsid w:val="0020569E"/>
    <w:rsid w:val="00205C5F"/>
    <w:rsid w:val="002061F1"/>
    <w:rsid w:val="0020642D"/>
    <w:rsid w:val="0020652C"/>
    <w:rsid w:val="002067E9"/>
    <w:rsid w:val="002070F8"/>
    <w:rsid w:val="00207B7A"/>
    <w:rsid w:val="002100D2"/>
    <w:rsid w:val="00210440"/>
    <w:rsid w:val="00210A35"/>
    <w:rsid w:val="00210EFB"/>
    <w:rsid w:val="0021118C"/>
    <w:rsid w:val="00211273"/>
    <w:rsid w:val="00211C2D"/>
    <w:rsid w:val="00211CDF"/>
    <w:rsid w:val="0021243B"/>
    <w:rsid w:val="00212A2B"/>
    <w:rsid w:val="00212B91"/>
    <w:rsid w:val="002130C9"/>
    <w:rsid w:val="0021329B"/>
    <w:rsid w:val="00214581"/>
    <w:rsid w:val="00214AC1"/>
    <w:rsid w:val="00214E61"/>
    <w:rsid w:val="00214FB2"/>
    <w:rsid w:val="0021541A"/>
    <w:rsid w:val="00215596"/>
    <w:rsid w:val="00215D64"/>
    <w:rsid w:val="00216076"/>
    <w:rsid w:val="0021631D"/>
    <w:rsid w:val="00216384"/>
    <w:rsid w:val="002164A2"/>
    <w:rsid w:val="00216F3A"/>
    <w:rsid w:val="002172AE"/>
    <w:rsid w:val="00217580"/>
    <w:rsid w:val="00217B91"/>
    <w:rsid w:val="00217CA3"/>
    <w:rsid w:val="00217E2A"/>
    <w:rsid w:val="00220730"/>
    <w:rsid w:val="002207FA"/>
    <w:rsid w:val="0022145B"/>
    <w:rsid w:val="0022174D"/>
    <w:rsid w:val="00221C6E"/>
    <w:rsid w:val="0022202A"/>
    <w:rsid w:val="002222BB"/>
    <w:rsid w:val="00222D42"/>
    <w:rsid w:val="00223067"/>
    <w:rsid w:val="002231BF"/>
    <w:rsid w:val="00223808"/>
    <w:rsid w:val="00223EED"/>
    <w:rsid w:val="002240A2"/>
    <w:rsid w:val="00224226"/>
    <w:rsid w:val="002243C4"/>
    <w:rsid w:val="002248DE"/>
    <w:rsid w:val="00224C58"/>
    <w:rsid w:val="002250CC"/>
    <w:rsid w:val="002251F0"/>
    <w:rsid w:val="00225FCC"/>
    <w:rsid w:val="00225FF1"/>
    <w:rsid w:val="00226118"/>
    <w:rsid w:val="00226135"/>
    <w:rsid w:val="0022647A"/>
    <w:rsid w:val="00226AFF"/>
    <w:rsid w:val="00227C0B"/>
    <w:rsid w:val="00227D14"/>
    <w:rsid w:val="00227D6E"/>
    <w:rsid w:val="00227E9F"/>
    <w:rsid w:val="002302CD"/>
    <w:rsid w:val="002305A8"/>
    <w:rsid w:val="00231178"/>
    <w:rsid w:val="002317DB"/>
    <w:rsid w:val="00231C31"/>
    <w:rsid w:val="00232096"/>
    <w:rsid w:val="00232210"/>
    <w:rsid w:val="002323A6"/>
    <w:rsid w:val="002338DA"/>
    <w:rsid w:val="00233D45"/>
    <w:rsid w:val="0023444B"/>
    <w:rsid w:val="00234FA9"/>
    <w:rsid w:val="00235238"/>
    <w:rsid w:val="002354CC"/>
    <w:rsid w:val="00236257"/>
    <w:rsid w:val="0023630E"/>
    <w:rsid w:val="0023632F"/>
    <w:rsid w:val="0023668C"/>
    <w:rsid w:val="00236888"/>
    <w:rsid w:val="0023688E"/>
    <w:rsid w:val="00236D6B"/>
    <w:rsid w:val="0023730A"/>
    <w:rsid w:val="002374DA"/>
    <w:rsid w:val="0023761E"/>
    <w:rsid w:val="00237710"/>
    <w:rsid w:val="0024028A"/>
    <w:rsid w:val="00240B43"/>
    <w:rsid w:val="00240EB8"/>
    <w:rsid w:val="0024144C"/>
    <w:rsid w:val="002416FC"/>
    <w:rsid w:val="0024187E"/>
    <w:rsid w:val="00242311"/>
    <w:rsid w:val="00242947"/>
    <w:rsid w:val="00242A57"/>
    <w:rsid w:val="00242B5C"/>
    <w:rsid w:val="00242CF6"/>
    <w:rsid w:val="002436EC"/>
    <w:rsid w:val="00243E48"/>
    <w:rsid w:val="0024411E"/>
    <w:rsid w:val="00244195"/>
    <w:rsid w:val="002443D4"/>
    <w:rsid w:val="00244707"/>
    <w:rsid w:val="00244710"/>
    <w:rsid w:val="00244DD4"/>
    <w:rsid w:val="00245027"/>
    <w:rsid w:val="00245505"/>
    <w:rsid w:val="00245ABE"/>
    <w:rsid w:val="00246440"/>
    <w:rsid w:val="002467C2"/>
    <w:rsid w:val="00246D3D"/>
    <w:rsid w:val="00246DB7"/>
    <w:rsid w:val="0024704E"/>
    <w:rsid w:val="00247411"/>
    <w:rsid w:val="0024769C"/>
    <w:rsid w:val="002507B6"/>
    <w:rsid w:val="00250853"/>
    <w:rsid w:val="0025095A"/>
    <w:rsid w:val="00250C3B"/>
    <w:rsid w:val="00250DD7"/>
    <w:rsid w:val="00251EB3"/>
    <w:rsid w:val="00252388"/>
    <w:rsid w:val="00252A9F"/>
    <w:rsid w:val="00252F94"/>
    <w:rsid w:val="002537E7"/>
    <w:rsid w:val="00253AFE"/>
    <w:rsid w:val="00253B9E"/>
    <w:rsid w:val="002541F8"/>
    <w:rsid w:val="0025444B"/>
    <w:rsid w:val="00254CBA"/>
    <w:rsid w:val="00254CDA"/>
    <w:rsid w:val="002552AE"/>
    <w:rsid w:val="0025553D"/>
    <w:rsid w:val="002555EE"/>
    <w:rsid w:val="00255751"/>
    <w:rsid w:val="00256003"/>
    <w:rsid w:val="0025651E"/>
    <w:rsid w:val="00256E53"/>
    <w:rsid w:val="00256F9B"/>
    <w:rsid w:val="00260A60"/>
    <w:rsid w:val="00261FEF"/>
    <w:rsid w:val="00262C3F"/>
    <w:rsid w:val="00262D9E"/>
    <w:rsid w:val="00263115"/>
    <w:rsid w:val="002635DD"/>
    <w:rsid w:val="00263FE6"/>
    <w:rsid w:val="0026432A"/>
    <w:rsid w:val="002644C5"/>
    <w:rsid w:val="002648F1"/>
    <w:rsid w:val="00264C4D"/>
    <w:rsid w:val="00265FB8"/>
    <w:rsid w:val="0026663D"/>
    <w:rsid w:val="00266740"/>
    <w:rsid w:val="00267B56"/>
    <w:rsid w:val="00270376"/>
    <w:rsid w:val="00270662"/>
    <w:rsid w:val="00270C47"/>
    <w:rsid w:val="00271280"/>
    <w:rsid w:val="00271E48"/>
    <w:rsid w:val="00271FB5"/>
    <w:rsid w:val="00272493"/>
    <w:rsid w:val="002725CB"/>
    <w:rsid w:val="002731C3"/>
    <w:rsid w:val="0027393A"/>
    <w:rsid w:val="00273E42"/>
    <w:rsid w:val="0027466A"/>
    <w:rsid w:val="00274784"/>
    <w:rsid w:val="00274866"/>
    <w:rsid w:val="0027543A"/>
    <w:rsid w:val="002755FA"/>
    <w:rsid w:val="00275BD7"/>
    <w:rsid w:val="002760FC"/>
    <w:rsid w:val="0027626C"/>
    <w:rsid w:val="00276599"/>
    <w:rsid w:val="002768BD"/>
    <w:rsid w:val="002768D9"/>
    <w:rsid w:val="002771CB"/>
    <w:rsid w:val="0027780E"/>
    <w:rsid w:val="00277DF1"/>
    <w:rsid w:val="00277ECF"/>
    <w:rsid w:val="00280225"/>
    <w:rsid w:val="002803DF"/>
    <w:rsid w:val="0028069E"/>
    <w:rsid w:val="00280822"/>
    <w:rsid w:val="00280CD1"/>
    <w:rsid w:val="00280D3F"/>
    <w:rsid w:val="00280DDE"/>
    <w:rsid w:val="0028230A"/>
    <w:rsid w:val="002823F0"/>
    <w:rsid w:val="0028272D"/>
    <w:rsid w:val="00282764"/>
    <w:rsid w:val="00283342"/>
    <w:rsid w:val="00283663"/>
    <w:rsid w:val="002844FB"/>
    <w:rsid w:val="0028477E"/>
    <w:rsid w:val="00284F5A"/>
    <w:rsid w:val="0028660D"/>
    <w:rsid w:val="00286E89"/>
    <w:rsid w:val="002872CF"/>
    <w:rsid w:val="00287449"/>
    <w:rsid w:val="00287C69"/>
    <w:rsid w:val="00290023"/>
    <w:rsid w:val="002901FE"/>
    <w:rsid w:val="00290690"/>
    <w:rsid w:val="00290F4E"/>
    <w:rsid w:val="00291714"/>
    <w:rsid w:val="00292956"/>
    <w:rsid w:val="002931F1"/>
    <w:rsid w:val="00293489"/>
    <w:rsid w:val="0029363E"/>
    <w:rsid w:val="002939E2"/>
    <w:rsid w:val="00293FE5"/>
    <w:rsid w:val="002946F5"/>
    <w:rsid w:val="00294864"/>
    <w:rsid w:val="00295514"/>
    <w:rsid w:val="0029575A"/>
    <w:rsid w:val="00295F19"/>
    <w:rsid w:val="00296581"/>
    <w:rsid w:val="00296B7D"/>
    <w:rsid w:val="0029750E"/>
    <w:rsid w:val="0029751C"/>
    <w:rsid w:val="002A03C4"/>
    <w:rsid w:val="002A089D"/>
    <w:rsid w:val="002A0A46"/>
    <w:rsid w:val="002A0DEA"/>
    <w:rsid w:val="002A109B"/>
    <w:rsid w:val="002A2FC2"/>
    <w:rsid w:val="002A3B21"/>
    <w:rsid w:val="002A3DEE"/>
    <w:rsid w:val="002A3E01"/>
    <w:rsid w:val="002A3EAD"/>
    <w:rsid w:val="002A4EE0"/>
    <w:rsid w:val="002A56A6"/>
    <w:rsid w:val="002A61B1"/>
    <w:rsid w:val="002A6C26"/>
    <w:rsid w:val="002A7F66"/>
    <w:rsid w:val="002A7FA4"/>
    <w:rsid w:val="002B0B89"/>
    <w:rsid w:val="002B0E6B"/>
    <w:rsid w:val="002B1311"/>
    <w:rsid w:val="002B14E2"/>
    <w:rsid w:val="002B21E0"/>
    <w:rsid w:val="002B293D"/>
    <w:rsid w:val="002B3C7A"/>
    <w:rsid w:val="002B46B4"/>
    <w:rsid w:val="002B46FA"/>
    <w:rsid w:val="002B48AB"/>
    <w:rsid w:val="002B4B91"/>
    <w:rsid w:val="002B6235"/>
    <w:rsid w:val="002B6554"/>
    <w:rsid w:val="002B66DA"/>
    <w:rsid w:val="002B6709"/>
    <w:rsid w:val="002B6998"/>
    <w:rsid w:val="002B6E02"/>
    <w:rsid w:val="002B71D3"/>
    <w:rsid w:val="002C0980"/>
    <w:rsid w:val="002C0995"/>
    <w:rsid w:val="002C0DFB"/>
    <w:rsid w:val="002C1948"/>
    <w:rsid w:val="002C1A0B"/>
    <w:rsid w:val="002C1C12"/>
    <w:rsid w:val="002C21E1"/>
    <w:rsid w:val="002C22D6"/>
    <w:rsid w:val="002C3057"/>
    <w:rsid w:val="002C365F"/>
    <w:rsid w:val="002C3D63"/>
    <w:rsid w:val="002C3E00"/>
    <w:rsid w:val="002C3EA3"/>
    <w:rsid w:val="002C4B82"/>
    <w:rsid w:val="002C4C80"/>
    <w:rsid w:val="002C4E43"/>
    <w:rsid w:val="002C4EB8"/>
    <w:rsid w:val="002C616C"/>
    <w:rsid w:val="002C62DE"/>
    <w:rsid w:val="002C663C"/>
    <w:rsid w:val="002C66F6"/>
    <w:rsid w:val="002C68AE"/>
    <w:rsid w:val="002C6C2A"/>
    <w:rsid w:val="002C6EC3"/>
    <w:rsid w:val="002C7050"/>
    <w:rsid w:val="002C7B42"/>
    <w:rsid w:val="002D006E"/>
    <w:rsid w:val="002D0074"/>
    <w:rsid w:val="002D0A34"/>
    <w:rsid w:val="002D0F26"/>
    <w:rsid w:val="002D188D"/>
    <w:rsid w:val="002D21E8"/>
    <w:rsid w:val="002D22D0"/>
    <w:rsid w:val="002D2635"/>
    <w:rsid w:val="002D29AD"/>
    <w:rsid w:val="002D335F"/>
    <w:rsid w:val="002D3505"/>
    <w:rsid w:val="002D395A"/>
    <w:rsid w:val="002D3B7B"/>
    <w:rsid w:val="002D45F2"/>
    <w:rsid w:val="002D4746"/>
    <w:rsid w:val="002D48DA"/>
    <w:rsid w:val="002D4C3C"/>
    <w:rsid w:val="002D5136"/>
    <w:rsid w:val="002D51D6"/>
    <w:rsid w:val="002D566C"/>
    <w:rsid w:val="002D61A0"/>
    <w:rsid w:val="002D69EB"/>
    <w:rsid w:val="002D6CB6"/>
    <w:rsid w:val="002D6E40"/>
    <w:rsid w:val="002D6E60"/>
    <w:rsid w:val="002D7027"/>
    <w:rsid w:val="002D725E"/>
    <w:rsid w:val="002D7874"/>
    <w:rsid w:val="002D7FCC"/>
    <w:rsid w:val="002E0F00"/>
    <w:rsid w:val="002E0F0B"/>
    <w:rsid w:val="002E1AA9"/>
    <w:rsid w:val="002E1E08"/>
    <w:rsid w:val="002E218A"/>
    <w:rsid w:val="002E255F"/>
    <w:rsid w:val="002E367B"/>
    <w:rsid w:val="002E3F04"/>
    <w:rsid w:val="002E4144"/>
    <w:rsid w:val="002E4183"/>
    <w:rsid w:val="002E5242"/>
    <w:rsid w:val="002E5929"/>
    <w:rsid w:val="002E5A53"/>
    <w:rsid w:val="002E6C2D"/>
    <w:rsid w:val="002E77AD"/>
    <w:rsid w:val="002E7AF5"/>
    <w:rsid w:val="002F0E68"/>
    <w:rsid w:val="002F16FB"/>
    <w:rsid w:val="002F1D23"/>
    <w:rsid w:val="002F24CA"/>
    <w:rsid w:val="002F325F"/>
    <w:rsid w:val="002F3329"/>
    <w:rsid w:val="002F45F7"/>
    <w:rsid w:val="002F4BF7"/>
    <w:rsid w:val="002F51C4"/>
    <w:rsid w:val="002F569B"/>
    <w:rsid w:val="002F582E"/>
    <w:rsid w:val="002F6020"/>
    <w:rsid w:val="002F6247"/>
    <w:rsid w:val="002F6474"/>
    <w:rsid w:val="002F6B44"/>
    <w:rsid w:val="002F6D8B"/>
    <w:rsid w:val="002F726C"/>
    <w:rsid w:val="002F790A"/>
    <w:rsid w:val="002F7B3D"/>
    <w:rsid w:val="003003AC"/>
    <w:rsid w:val="00300825"/>
    <w:rsid w:val="00300A5A"/>
    <w:rsid w:val="00300DB2"/>
    <w:rsid w:val="00301465"/>
    <w:rsid w:val="003014F0"/>
    <w:rsid w:val="003019AF"/>
    <w:rsid w:val="00301E2D"/>
    <w:rsid w:val="00301EDB"/>
    <w:rsid w:val="00301F1A"/>
    <w:rsid w:val="00302128"/>
    <w:rsid w:val="003023F0"/>
    <w:rsid w:val="003025F6"/>
    <w:rsid w:val="00302ADC"/>
    <w:rsid w:val="00302B22"/>
    <w:rsid w:val="00302E96"/>
    <w:rsid w:val="00303B55"/>
    <w:rsid w:val="00304305"/>
    <w:rsid w:val="003047DE"/>
    <w:rsid w:val="0030537D"/>
    <w:rsid w:val="00305383"/>
    <w:rsid w:val="00305C7F"/>
    <w:rsid w:val="0030612A"/>
    <w:rsid w:val="0030617E"/>
    <w:rsid w:val="00306A00"/>
    <w:rsid w:val="00306CB0"/>
    <w:rsid w:val="00307230"/>
    <w:rsid w:val="00310D4F"/>
    <w:rsid w:val="00311198"/>
    <w:rsid w:val="003112E7"/>
    <w:rsid w:val="003113CB"/>
    <w:rsid w:val="003117F2"/>
    <w:rsid w:val="003119DF"/>
    <w:rsid w:val="00312279"/>
    <w:rsid w:val="0031238A"/>
    <w:rsid w:val="0031241B"/>
    <w:rsid w:val="003125CA"/>
    <w:rsid w:val="003126BF"/>
    <w:rsid w:val="00313001"/>
    <w:rsid w:val="00313123"/>
    <w:rsid w:val="0031362C"/>
    <w:rsid w:val="003137CC"/>
    <w:rsid w:val="00313DA9"/>
    <w:rsid w:val="0031507F"/>
    <w:rsid w:val="0031573D"/>
    <w:rsid w:val="003163B6"/>
    <w:rsid w:val="00316D89"/>
    <w:rsid w:val="00317456"/>
    <w:rsid w:val="00317E7F"/>
    <w:rsid w:val="0032013B"/>
    <w:rsid w:val="00320425"/>
    <w:rsid w:val="00321522"/>
    <w:rsid w:val="0032237E"/>
    <w:rsid w:val="00322471"/>
    <w:rsid w:val="00322C35"/>
    <w:rsid w:val="00323121"/>
    <w:rsid w:val="003232FF"/>
    <w:rsid w:val="00323E20"/>
    <w:rsid w:val="00324DDA"/>
    <w:rsid w:val="00325494"/>
    <w:rsid w:val="003255A8"/>
    <w:rsid w:val="00325DFE"/>
    <w:rsid w:val="0032619C"/>
    <w:rsid w:val="00326887"/>
    <w:rsid w:val="00326BA7"/>
    <w:rsid w:val="00326D6B"/>
    <w:rsid w:val="00327168"/>
    <w:rsid w:val="00327941"/>
    <w:rsid w:val="00327C54"/>
    <w:rsid w:val="00327FF6"/>
    <w:rsid w:val="00330D59"/>
    <w:rsid w:val="00330DFD"/>
    <w:rsid w:val="00330E68"/>
    <w:rsid w:val="003319B4"/>
    <w:rsid w:val="00331D7B"/>
    <w:rsid w:val="00332C8E"/>
    <w:rsid w:val="00332ED9"/>
    <w:rsid w:val="0033402C"/>
    <w:rsid w:val="003342C2"/>
    <w:rsid w:val="003356FC"/>
    <w:rsid w:val="003364E4"/>
    <w:rsid w:val="0033699E"/>
    <w:rsid w:val="00336D84"/>
    <w:rsid w:val="00337832"/>
    <w:rsid w:val="00337845"/>
    <w:rsid w:val="00337D55"/>
    <w:rsid w:val="00340747"/>
    <w:rsid w:val="00340890"/>
    <w:rsid w:val="00340894"/>
    <w:rsid w:val="00343957"/>
    <w:rsid w:val="00343A47"/>
    <w:rsid w:val="00343B2F"/>
    <w:rsid w:val="00343CD1"/>
    <w:rsid w:val="003443E1"/>
    <w:rsid w:val="00344F0A"/>
    <w:rsid w:val="00344FB4"/>
    <w:rsid w:val="003450A7"/>
    <w:rsid w:val="0034536E"/>
    <w:rsid w:val="00345863"/>
    <w:rsid w:val="003459E8"/>
    <w:rsid w:val="00345E0E"/>
    <w:rsid w:val="00345EAC"/>
    <w:rsid w:val="00346449"/>
    <w:rsid w:val="00346518"/>
    <w:rsid w:val="00346D61"/>
    <w:rsid w:val="00346D99"/>
    <w:rsid w:val="003474ED"/>
    <w:rsid w:val="00347F70"/>
    <w:rsid w:val="003502E2"/>
    <w:rsid w:val="003508AC"/>
    <w:rsid w:val="00350B7E"/>
    <w:rsid w:val="00350BEA"/>
    <w:rsid w:val="00351E33"/>
    <w:rsid w:val="00351F27"/>
    <w:rsid w:val="00352694"/>
    <w:rsid w:val="00353171"/>
    <w:rsid w:val="00353595"/>
    <w:rsid w:val="00353A57"/>
    <w:rsid w:val="00353AB8"/>
    <w:rsid w:val="00354DB6"/>
    <w:rsid w:val="003552EE"/>
    <w:rsid w:val="00356316"/>
    <w:rsid w:val="00356CB0"/>
    <w:rsid w:val="0035702E"/>
    <w:rsid w:val="00360AF5"/>
    <w:rsid w:val="00360ED7"/>
    <w:rsid w:val="00361A02"/>
    <w:rsid w:val="00361DB8"/>
    <w:rsid w:val="003621B4"/>
    <w:rsid w:val="00362206"/>
    <w:rsid w:val="003624A2"/>
    <w:rsid w:val="003625BC"/>
    <w:rsid w:val="0036313C"/>
    <w:rsid w:val="00363E01"/>
    <w:rsid w:val="00364C6B"/>
    <w:rsid w:val="0036523E"/>
    <w:rsid w:val="003653C5"/>
    <w:rsid w:val="00365434"/>
    <w:rsid w:val="00366246"/>
    <w:rsid w:val="0036723A"/>
    <w:rsid w:val="003673A3"/>
    <w:rsid w:val="003675C0"/>
    <w:rsid w:val="00367601"/>
    <w:rsid w:val="003678FB"/>
    <w:rsid w:val="00367AED"/>
    <w:rsid w:val="003704C0"/>
    <w:rsid w:val="003704F7"/>
    <w:rsid w:val="003709F8"/>
    <w:rsid w:val="00370AEB"/>
    <w:rsid w:val="00370C06"/>
    <w:rsid w:val="00371C17"/>
    <w:rsid w:val="00372238"/>
    <w:rsid w:val="003722FF"/>
    <w:rsid w:val="003724E0"/>
    <w:rsid w:val="00373869"/>
    <w:rsid w:val="00373F55"/>
    <w:rsid w:val="00374239"/>
    <w:rsid w:val="00374345"/>
    <w:rsid w:val="00374A9C"/>
    <w:rsid w:val="00374C49"/>
    <w:rsid w:val="00375AE5"/>
    <w:rsid w:val="00376049"/>
    <w:rsid w:val="003763EB"/>
    <w:rsid w:val="00377577"/>
    <w:rsid w:val="00377687"/>
    <w:rsid w:val="00377D69"/>
    <w:rsid w:val="0038003D"/>
    <w:rsid w:val="00380198"/>
    <w:rsid w:val="00380D77"/>
    <w:rsid w:val="00381476"/>
    <w:rsid w:val="00381F58"/>
    <w:rsid w:val="00382C45"/>
    <w:rsid w:val="00382C7A"/>
    <w:rsid w:val="00382E2E"/>
    <w:rsid w:val="00382F30"/>
    <w:rsid w:val="00383435"/>
    <w:rsid w:val="00383485"/>
    <w:rsid w:val="003834F3"/>
    <w:rsid w:val="00383945"/>
    <w:rsid w:val="00384642"/>
    <w:rsid w:val="00384A18"/>
    <w:rsid w:val="00384EC1"/>
    <w:rsid w:val="00387CC9"/>
    <w:rsid w:val="003904A3"/>
    <w:rsid w:val="00391308"/>
    <w:rsid w:val="00391714"/>
    <w:rsid w:val="00391851"/>
    <w:rsid w:val="00391A68"/>
    <w:rsid w:val="003921B2"/>
    <w:rsid w:val="00392362"/>
    <w:rsid w:val="00392AC4"/>
    <w:rsid w:val="00393089"/>
    <w:rsid w:val="003934A6"/>
    <w:rsid w:val="00393BDB"/>
    <w:rsid w:val="00393C0E"/>
    <w:rsid w:val="003942D3"/>
    <w:rsid w:val="00394969"/>
    <w:rsid w:val="00394B92"/>
    <w:rsid w:val="003951AD"/>
    <w:rsid w:val="003953A2"/>
    <w:rsid w:val="003954EF"/>
    <w:rsid w:val="00395568"/>
    <w:rsid w:val="00395571"/>
    <w:rsid w:val="00395771"/>
    <w:rsid w:val="00395807"/>
    <w:rsid w:val="00395AE3"/>
    <w:rsid w:val="00396252"/>
    <w:rsid w:val="00396392"/>
    <w:rsid w:val="00396C25"/>
    <w:rsid w:val="00396F85"/>
    <w:rsid w:val="00397CD2"/>
    <w:rsid w:val="003A0648"/>
    <w:rsid w:val="003A0FBF"/>
    <w:rsid w:val="003A1252"/>
    <w:rsid w:val="003A1427"/>
    <w:rsid w:val="003A1715"/>
    <w:rsid w:val="003A2457"/>
    <w:rsid w:val="003A245E"/>
    <w:rsid w:val="003A3F2F"/>
    <w:rsid w:val="003A42BD"/>
    <w:rsid w:val="003A42D0"/>
    <w:rsid w:val="003A45C9"/>
    <w:rsid w:val="003A4CDC"/>
    <w:rsid w:val="003A4DBA"/>
    <w:rsid w:val="003A5954"/>
    <w:rsid w:val="003A6169"/>
    <w:rsid w:val="003A6377"/>
    <w:rsid w:val="003A64A4"/>
    <w:rsid w:val="003A680D"/>
    <w:rsid w:val="003A6B4D"/>
    <w:rsid w:val="003A6DFF"/>
    <w:rsid w:val="003A6EE0"/>
    <w:rsid w:val="003A731E"/>
    <w:rsid w:val="003A76B7"/>
    <w:rsid w:val="003A7A41"/>
    <w:rsid w:val="003A7FE4"/>
    <w:rsid w:val="003B0936"/>
    <w:rsid w:val="003B0A6B"/>
    <w:rsid w:val="003B13D5"/>
    <w:rsid w:val="003B170F"/>
    <w:rsid w:val="003B1B2F"/>
    <w:rsid w:val="003B1F3A"/>
    <w:rsid w:val="003B1FF5"/>
    <w:rsid w:val="003B2093"/>
    <w:rsid w:val="003B2199"/>
    <w:rsid w:val="003B2327"/>
    <w:rsid w:val="003B2A39"/>
    <w:rsid w:val="003B2F0B"/>
    <w:rsid w:val="003B3011"/>
    <w:rsid w:val="003B311A"/>
    <w:rsid w:val="003B3324"/>
    <w:rsid w:val="003B5313"/>
    <w:rsid w:val="003B56D7"/>
    <w:rsid w:val="003B5B3E"/>
    <w:rsid w:val="003B5B50"/>
    <w:rsid w:val="003B67BF"/>
    <w:rsid w:val="003B6977"/>
    <w:rsid w:val="003B6C0C"/>
    <w:rsid w:val="003B6FCF"/>
    <w:rsid w:val="003B7093"/>
    <w:rsid w:val="003B7960"/>
    <w:rsid w:val="003C0994"/>
    <w:rsid w:val="003C0F61"/>
    <w:rsid w:val="003C11AE"/>
    <w:rsid w:val="003C17AC"/>
    <w:rsid w:val="003C20FF"/>
    <w:rsid w:val="003C234F"/>
    <w:rsid w:val="003C27A9"/>
    <w:rsid w:val="003C2C4A"/>
    <w:rsid w:val="003C2CAD"/>
    <w:rsid w:val="003C2E74"/>
    <w:rsid w:val="003C30C8"/>
    <w:rsid w:val="003C3D67"/>
    <w:rsid w:val="003C426E"/>
    <w:rsid w:val="003C4800"/>
    <w:rsid w:val="003C5F54"/>
    <w:rsid w:val="003C6218"/>
    <w:rsid w:val="003C69CC"/>
    <w:rsid w:val="003C6D16"/>
    <w:rsid w:val="003C755D"/>
    <w:rsid w:val="003D0F85"/>
    <w:rsid w:val="003D1261"/>
    <w:rsid w:val="003D1B70"/>
    <w:rsid w:val="003D1FD3"/>
    <w:rsid w:val="003D266C"/>
    <w:rsid w:val="003D31C2"/>
    <w:rsid w:val="003D3407"/>
    <w:rsid w:val="003D47C7"/>
    <w:rsid w:val="003D4A40"/>
    <w:rsid w:val="003D4AB9"/>
    <w:rsid w:val="003D53DD"/>
    <w:rsid w:val="003D5962"/>
    <w:rsid w:val="003D5B12"/>
    <w:rsid w:val="003D6112"/>
    <w:rsid w:val="003D61BC"/>
    <w:rsid w:val="003D6222"/>
    <w:rsid w:val="003D637D"/>
    <w:rsid w:val="003D7CC8"/>
    <w:rsid w:val="003D7DA4"/>
    <w:rsid w:val="003D7EF7"/>
    <w:rsid w:val="003E0515"/>
    <w:rsid w:val="003E1E14"/>
    <w:rsid w:val="003E2391"/>
    <w:rsid w:val="003E23AB"/>
    <w:rsid w:val="003E23F5"/>
    <w:rsid w:val="003E36FC"/>
    <w:rsid w:val="003E40C8"/>
    <w:rsid w:val="003E44A5"/>
    <w:rsid w:val="003E45E6"/>
    <w:rsid w:val="003E4642"/>
    <w:rsid w:val="003E47FC"/>
    <w:rsid w:val="003E5011"/>
    <w:rsid w:val="003E5267"/>
    <w:rsid w:val="003E5DF3"/>
    <w:rsid w:val="003E60EA"/>
    <w:rsid w:val="003E62A0"/>
    <w:rsid w:val="003E6FDD"/>
    <w:rsid w:val="003E71C8"/>
    <w:rsid w:val="003E74AB"/>
    <w:rsid w:val="003E797A"/>
    <w:rsid w:val="003F04EC"/>
    <w:rsid w:val="003F0B66"/>
    <w:rsid w:val="003F0C51"/>
    <w:rsid w:val="003F104F"/>
    <w:rsid w:val="003F10EF"/>
    <w:rsid w:val="003F1141"/>
    <w:rsid w:val="003F12AF"/>
    <w:rsid w:val="003F1361"/>
    <w:rsid w:val="003F13CE"/>
    <w:rsid w:val="003F159D"/>
    <w:rsid w:val="003F1B0E"/>
    <w:rsid w:val="003F200D"/>
    <w:rsid w:val="003F28D2"/>
    <w:rsid w:val="003F2A32"/>
    <w:rsid w:val="003F2FB2"/>
    <w:rsid w:val="003F37CF"/>
    <w:rsid w:val="003F38C1"/>
    <w:rsid w:val="003F3BD5"/>
    <w:rsid w:val="003F3E92"/>
    <w:rsid w:val="003F42D1"/>
    <w:rsid w:val="003F488B"/>
    <w:rsid w:val="003F4B2E"/>
    <w:rsid w:val="003F50DE"/>
    <w:rsid w:val="003F53F8"/>
    <w:rsid w:val="003F54C6"/>
    <w:rsid w:val="003F5E57"/>
    <w:rsid w:val="003F5E60"/>
    <w:rsid w:val="003F6651"/>
    <w:rsid w:val="003F7198"/>
    <w:rsid w:val="003F7530"/>
    <w:rsid w:val="003F7ED4"/>
    <w:rsid w:val="00400364"/>
    <w:rsid w:val="004003CF"/>
    <w:rsid w:val="00400415"/>
    <w:rsid w:val="00400818"/>
    <w:rsid w:val="00400F3E"/>
    <w:rsid w:val="00401237"/>
    <w:rsid w:val="004013BD"/>
    <w:rsid w:val="004016A3"/>
    <w:rsid w:val="00401898"/>
    <w:rsid w:val="00401939"/>
    <w:rsid w:val="00401C0A"/>
    <w:rsid w:val="004024F9"/>
    <w:rsid w:val="00402860"/>
    <w:rsid w:val="00402C57"/>
    <w:rsid w:val="00402E66"/>
    <w:rsid w:val="0040422C"/>
    <w:rsid w:val="00404625"/>
    <w:rsid w:val="004048CE"/>
    <w:rsid w:val="004052DF"/>
    <w:rsid w:val="00405C87"/>
    <w:rsid w:val="00405D2E"/>
    <w:rsid w:val="00405D86"/>
    <w:rsid w:val="00406793"/>
    <w:rsid w:val="00406B15"/>
    <w:rsid w:val="00406D22"/>
    <w:rsid w:val="00407981"/>
    <w:rsid w:val="00407B3B"/>
    <w:rsid w:val="00407CB2"/>
    <w:rsid w:val="00407EED"/>
    <w:rsid w:val="004102D4"/>
    <w:rsid w:val="00410315"/>
    <w:rsid w:val="00410322"/>
    <w:rsid w:val="00410468"/>
    <w:rsid w:val="00410A4E"/>
    <w:rsid w:val="00410AEC"/>
    <w:rsid w:val="00410B65"/>
    <w:rsid w:val="00410CC9"/>
    <w:rsid w:val="0041125B"/>
    <w:rsid w:val="00411533"/>
    <w:rsid w:val="004127CC"/>
    <w:rsid w:val="00412D5D"/>
    <w:rsid w:val="00413158"/>
    <w:rsid w:val="00413543"/>
    <w:rsid w:val="00414449"/>
    <w:rsid w:val="0041473B"/>
    <w:rsid w:val="00414A52"/>
    <w:rsid w:val="00414A5B"/>
    <w:rsid w:val="00414D0F"/>
    <w:rsid w:val="0041531C"/>
    <w:rsid w:val="004159BE"/>
    <w:rsid w:val="00415C2A"/>
    <w:rsid w:val="00416067"/>
    <w:rsid w:val="0041666D"/>
    <w:rsid w:val="00416EA9"/>
    <w:rsid w:val="00417947"/>
    <w:rsid w:val="00417A24"/>
    <w:rsid w:val="00417CE9"/>
    <w:rsid w:val="00417D72"/>
    <w:rsid w:val="00417DA8"/>
    <w:rsid w:val="00420C4C"/>
    <w:rsid w:val="00421076"/>
    <w:rsid w:val="00421B6B"/>
    <w:rsid w:val="00422013"/>
    <w:rsid w:val="00422267"/>
    <w:rsid w:val="00422450"/>
    <w:rsid w:val="00423724"/>
    <w:rsid w:val="00424F4B"/>
    <w:rsid w:val="00426154"/>
    <w:rsid w:val="004265FF"/>
    <w:rsid w:val="00426F8B"/>
    <w:rsid w:val="00427396"/>
    <w:rsid w:val="0042778D"/>
    <w:rsid w:val="00427B6C"/>
    <w:rsid w:val="0043010D"/>
    <w:rsid w:val="004304DC"/>
    <w:rsid w:val="00430550"/>
    <w:rsid w:val="00430AA2"/>
    <w:rsid w:val="00431437"/>
    <w:rsid w:val="00431C82"/>
    <w:rsid w:val="00432553"/>
    <w:rsid w:val="00433769"/>
    <w:rsid w:val="00433F79"/>
    <w:rsid w:val="00434B31"/>
    <w:rsid w:val="004352BA"/>
    <w:rsid w:val="004352E3"/>
    <w:rsid w:val="00435673"/>
    <w:rsid w:val="0043572C"/>
    <w:rsid w:val="00435B0F"/>
    <w:rsid w:val="00435CF5"/>
    <w:rsid w:val="00435E07"/>
    <w:rsid w:val="0043636B"/>
    <w:rsid w:val="00436FED"/>
    <w:rsid w:val="0043708C"/>
    <w:rsid w:val="0043708D"/>
    <w:rsid w:val="0043710B"/>
    <w:rsid w:val="004372CB"/>
    <w:rsid w:val="004376F8"/>
    <w:rsid w:val="00437AAF"/>
    <w:rsid w:val="00441087"/>
    <w:rsid w:val="00441A23"/>
    <w:rsid w:val="00441FEE"/>
    <w:rsid w:val="00442098"/>
    <w:rsid w:val="0044215F"/>
    <w:rsid w:val="004421FF"/>
    <w:rsid w:val="00442214"/>
    <w:rsid w:val="00442565"/>
    <w:rsid w:val="00442630"/>
    <w:rsid w:val="00442CD0"/>
    <w:rsid w:val="004431FF"/>
    <w:rsid w:val="0044350A"/>
    <w:rsid w:val="00443827"/>
    <w:rsid w:val="00444252"/>
    <w:rsid w:val="004454AD"/>
    <w:rsid w:val="00445B8E"/>
    <w:rsid w:val="004467C8"/>
    <w:rsid w:val="00447226"/>
    <w:rsid w:val="00447271"/>
    <w:rsid w:val="00447C80"/>
    <w:rsid w:val="004505F2"/>
    <w:rsid w:val="00450A28"/>
    <w:rsid w:val="00450C0A"/>
    <w:rsid w:val="00450DE3"/>
    <w:rsid w:val="0045122B"/>
    <w:rsid w:val="0045177F"/>
    <w:rsid w:val="004519C2"/>
    <w:rsid w:val="00452A93"/>
    <w:rsid w:val="00452E56"/>
    <w:rsid w:val="00453083"/>
    <w:rsid w:val="00453608"/>
    <w:rsid w:val="0045378C"/>
    <w:rsid w:val="00454459"/>
    <w:rsid w:val="00455887"/>
    <w:rsid w:val="00455FE4"/>
    <w:rsid w:val="004564E2"/>
    <w:rsid w:val="00457509"/>
    <w:rsid w:val="00457C59"/>
    <w:rsid w:val="0046043C"/>
    <w:rsid w:val="004610ED"/>
    <w:rsid w:val="004615D8"/>
    <w:rsid w:val="00461882"/>
    <w:rsid w:val="004621AB"/>
    <w:rsid w:val="004625C4"/>
    <w:rsid w:val="00462F36"/>
    <w:rsid w:val="00462F4F"/>
    <w:rsid w:val="00463304"/>
    <w:rsid w:val="0046330A"/>
    <w:rsid w:val="0046362B"/>
    <w:rsid w:val="0046380D"/>
    <w:rsid w:val="00463FEC"/>
    <w:rsid w:val="0046485A"/>
    <w:rsid w:val="004657AD"/>
    <w:rsid w:val="0046612F"/>
    <w:rsid w:val="004662AC"/>
    <w:rsid w:val="00466744"/>
    <w:rsid w:val="00467841"/>
    <w:rsid w:val="00467B71"/>
    <w:rsid w:val="00470AC7"/>
    <w:rsid w:val="004716FA"/>
    <w:rsid w:val="00471E09"/>
    <w:rsid w:val="00472365"/>
    <w:rsid w:val="004723BA"/>
    <w:rsid w:val="00472504"/>
    <w:rsid w:val="0047363C"/>
    <w:rsid w:val="00473901"/>
    <w:rsid w:val="00473A8C"/>
    <w:rsid w:val="00473FB9"/>
    <w:rsid w:val="00474014"/>
    <w:rsid w:val="00474963"/>
    <w:rsid w:val="0047579F"/>
    <w:rsid w:val="0047606E"/>
    <w:rsid w:val="004760FA"/>
    <w:rsid w:val="00476189"/>
    <w:rsid w:val="0047643E"/>
    <w:rsid w:val="00476FF6"/>
    <w:rsid w:val="00477328"/>
    <w:rsid w:val="004775BE"/>
    <w:rsid w:val="00477A3A"/>
    <w:rsid w:val="0048042D"/>
    <w:rsid w:val="00480998"/>
    <w:rsid w:val="00480CCD"/>
    <w:rsid w:val="00480CFC"/>
    <w:rsid w:val="00480D3F"/>
    <w:rsid w:val="004818ED"/>
    <w:rsid w:val="00481A1F"/>
    <w:rsid w:val="00481EAF"/>
    <w:rsid w:val="0048203A"/>
    <w:rsid w:val="00483020"/>
    <w:rsid w:val="0048524B"/>
    <w:rsid w:val="004854A6"/>
    <w:rsid w:val="00485C10"/>
    <w:rsid w:val="00485D99"/>
    <w:rsid w:val="0048657A"/>
    <w:rsid w:val="00486845"/>
    <w:rsid w:val="00486BA5"/>
    <w:rsid w:val="00486FF1"/>
    <w:rsid w:val="004873F0"/>
    <w:rsid w:val="00487429"/>
    <w:rsid w:val="00487BF6"/>
    <w:rsid w:val="00490286"/>
    <w:rsid w:val="0049116C"/>
    <w:rsid w:val="00491242"/>
    <w:rsid w:val="0049172D"/>
    <w:rsid w:val="00491F7D"/>
    <w:rsid w:val="00492966"/>
    <w:rsid w:val="00492970"/>
    <w:rsid w:val="0049308D"/>
    <w:rsid w:val="004932AC"/>
    <w:rsid w:val="004935F4"/>
    <w:rsid w:val="004936AA"/>
    <w:rsid w:val="00493B91"/>
    <w:rsid w:val="00494323"/>
    <w:rsid w:val="0049434E"/>
    <w:rsid w:val="004944A6"/>
    <w:rsid w:val="0049484C"/>
    <w:rsid w:val="00495621"/>
    <w:rsid w:val="00496626"/>
    <w:rsid w:val="0049747B"/>
    <w:rsid w:val="00497DE1"/>
    <w:rsid w:val="004A0642"/>
    <w:rsid w:val="004A2DE6"/>
    <w:rsid w:val="004A388F"/>
    <w:rsid w:val="004A40C3"/>
    <w:rsid w:val="004A494A"/>
    <w:rsid w:val="004A4A0B"/>
    <w:rsid w:val="004A4A96"/>
    <w:rsid w:val="004A50A9"/>
    <w:rsid w:val="004A5358"/>
    <w:rsid w:val="004A5F98"/>
    <w:rsid w:val="004A6997"/>
    <w:rsid w:val="004A6DE6"/>
    <w:rsid w:val="004A712C"/>
    <w:rsid w:val="004A7437"/>
    <w:rsid w:val="004B0581"/>
    <w:rsid w:val="004B0AD7"/>
    <w:rsid w:val="004B0DB2"/>
    <w:rsid w:val="004B2361"/>
    <w:rsid w:val="004B2F62"/>
    <w:rsid w:val="004B353D"/>
    <w:rsid w:val="004B3914"/>
    <w:rsid w:val="004B396E"/>
    <w:rsid w:val="004B3F7F"/>
    <w:rsid w:val="004B41A8"/>
    <w:rsid w:val="004B48D8"/>
    <w:rsid w:val="004B5531"/>
    <w:rsid w:val="004B55FE"/>
    <w:rsid w:val="004B6270"/>
    <w:rsid w:val="004B660C"/>
    <w:rsid w:val="004B6B1E"/>
    <w:rsid w:val="004B6B93"/>
    <w:rsid w:val="004B6C86"/>
    <w:rsid w:val="004B79E7"/>
    <w:rsid w:val="004B7A6E"/>
    <w:rsid w:val="004B7C72"/>
    <w:rsid w:val="004B7CA4"/>
    <w:rsid w:val="004C0244"/>
    <w:rsid w:val="004C08E3"/>
    <w:rsid w:val="004C0B5C"/>
    <w:rsid w:val="004C1327"/>
    <w:rsid w:val="004C1455"/>
    <w:rsid w:val="004C1577"/>
    <w:rsid w:val="004C20F1"/>
    <w:rsid w:val="004C2384"/>
    <w:rsid w:val="004C2630"/>
    <w:rsid w:val="004C28A2"/>
    <w:rsid w:val="004C28D9"/>
    <w:rsid w:val="004C2D2C"/>
    <w:rsid w:val="004C2D74"/>
    <w:rsid w:val="004C39E9"/>
    <w:rsid w:val="004C3B47"/>
    <w:rsid w:val="004C4113"/>
    <w:rsid w:val="004C49C7"/>
    <w:rsid w:val="004C5701"/>
    <w:rsid w:val="004C6A39"/>
    <w:rsid w:val="004C6A45"/>
    <w:rsid w:val="004C6D20"/>
    <w:rsid w:val="004C6EA5"/>
    <w:rsid w:val="004C71D4"/>
    <w:rsid w:val="004C7C5E"/>
    <w:rsid w:val="004C7EE3"/>
    <w:rsid w:val="004D030A"/>
    <w:rsid w:val="004D0545"/>
    <w:rsid w:val="004D0BB5"/>
    <w:rsid w:val="004D0DE0"/>
    <w:rsid w:val="004D0EBB"/>
    <w:rsid w:val="004D284E"/>
    <w:rsid w:val="004D2919"/>
    <w:rsid w:val="004D3175"/>
    <w:rsid w:val="004D373D"/>
    <w:rsid w:val="004D378B"/>
    <w:rsid w:val="004D37D1"/>
    <w:rsid w:val="004D37EC"/>
    <w:rsid w:val="004D428C"/>
    <w:rsid w:val="004D42A1"/>
    <w:rsid w:val="004D5499"/>
    <w:rsid w:val="004D56E0"/>
    <w:rsid w:val="004D5E6B"/>
    <w:rsid w:val="004D615F"/>
    <w:rsid w:val="004D62DA"/>
    <w:rsid w:val="004D6F1B"/>
    <w:rsid w:val="004D737A"/>
    <w:rsid w:val="004D79EC"/>
    <w:rsid w:val="004D7C56"/>
    <w:rsid w:val="004D7D38"/>
    <w:rsid w:val="004D7E04"/>
    <w:rsid w:val="004E0210"/>
    <w:rsid w:val="004E0217"/>
    <w:rsid w:val="004E02F5"/>
    <w:rsid w:val="004E0778"/>
    <w:rsid w:val="004E0852"/>
    <w:rsid w:val="004E1050"/>
    <w:rsid w:val="004E17FA"/>
    <w:rsid w:val="004E1FE7"/>
    <w:rsid w:val="004E2B30"/>
    <w:rsid w:val="004E2DE6"/>
    <w:rsid w:val="004E440C"/>
    <w:rsid w:val="004E5130"/>
    <w:rsid w:val="004E53A5"/>
    <w:rsid w:val="004E593E"/>
    <w:rsid w:val="004E669C"/>
    <w:rsid w:val="004E7E3C"/>
    <w:rsid w:val="004F0178"/>
    <w:rsid w:val="004F0940"/>
    <w:rsid w:val="004F14BF"/>
    <w:rsid w:val="004F1BCC"/>
    <w:rsid w:val="004F1E95"/>
    <w:rsid w:val="004F2669"/>
    <w:rsid w:val="004F273A"/>
    <w:rsid w:val="004F2F3F"/>
    <w:rsid w:val="004F2F51"/>
    <w:rsid w:val="004F333F"/>
    <w:rsid w:val="004F3CA0"/>
    <w:rsid w:val="004F3FA5"/>
    <w:rsid w:val="004F4182"/>
    <w:rsid w:val="004F4CD8"/>
    <w:rsid w:val="004F4F7A"/>
    <w:rsid w:val="004F55E4"/>
    <w:rsid w:val="004F599A"/>
    <w:rsid w:val="004F60D5"/>
    <w:rsid w:val="004F6812"/>
    <w:rsid w:val="004F68DB"/>
    <w:rsid w:val="004F738E"/>
    <w:rsid w:val="004F7836"/>
    <w:rsid w:val="005002EF"/>
    <w:rsid w:val="0050112A"/>
    <w:rsid w:val="00501442"/>
    <w:rsid w:val="00501614"/>
    <w:rsid w:val="00501BA4"/>
    <w:rsid w:val="005025A4"/>
    <w:rsid w:val="00503542"/>
    <w:rsid w:val="005036BE"/>
    <w:rsid w:val="00503E94"/>
    <w:rsid w:val="00504018"/>
    <w:rsid w:val="00504683"/>
    <w:rsid w:val="0050495F"/>
    <w:rsid w:val="00504DB2"/>
    <w:rsid w:val="00505097"/>
    <w:rsid w:val="00505966"/>
    <w:rsid w:val="00506910"/>
    <w:rsid w:val="00506C04"/>
    <w:rsid w:val="00506FF2"/>
    <w:rsid w:val="00507123"/>
    <w:rsid w:val="00507302"/>
    <w:rsid w:val="00507AC6"/>
    <w:rsid w:val="0051061C"/>
    <w:rsid w:val="005110C5"/>
    <w:rsid w:val="00512713"/>
    <w:rsid w:val="00512E3E"/>
    <w:rsid w:val="00513784"/>
    <w:rsid w:val="00513B9F"/>
    <w:rsid w:val="00514751"/>
    <w:rsid w:val="00514D7E"/>
    <w:rsid w:val="00514D94"/>
    <w:rsid w:val="00515894"/>
    <w:rsid w:val="005163BE"/>
    <w:rsid w:val="00516DFE"/>
    <w:rsid w:val="00516F30"/>
    <w:rsid w:val="0051788D"/>
    <w:rsid w:val="00520032"/>
    <w:rsid w:val="005200E4"/>
    <w:rsid w:val="0052051C"/>
    <w:rsid w:val="00520A45"/>
    <w:rsid w:val="005211B5"/>
    <w:rsid w:val="005213CB"/>
    <w:rsid w:val="00521687"/>
    <w:rsid w:val="00521E27"/>
    <w:rsid w:val="00522577"/>
    <w:rsid w:val="005228F0"/>
    <w:rsid w:val="00522CE1"/>
    <w:rsid w:val="00522FE5"/>
    <w:rsid w:val="005235E8"/>
    <w:rsid w:val="005237BA"/>
    <w:rsid w:val="00523C70"/>
    <w:rsid w:val="00523C91"/>
    <w:rsid w:val="00524024"/>
    <w:rsid w:val="0052411E"/>
    <w:rsid w:val="00524286"/>
    <w:rsid w:val="005247FA"/>
    <w:rsid w:val="0052499C"/>
    <w:rsid w:val="00525088"/>
    <w:rsid w:val="0052520B"/>
    <w:rsid w:val="0052525C"/>
    <w:rsid w:val="00525F08"/>
    <w:rsid w:val="00526001"/>
    <w:rsid w:val="005261E2"/>
    <w:rsid w:val="005263E2"/>
    <w:rsid w:val="0052643C"/>
    <w:rsid w:val="00527263"/>
    <w:rsid w:val="005276CE"/>
    <w:rsid w:val="005278F9"/>
    <w:rsid w:val="00527DD7"/>
    <w:rsid w:val="0053001B"/>
    <w:rsid w:val="0053129B"/>
    <w:rsid w:val="005313B8"/>
    <w:rsid w:val="00531430"/>
    <w:rsid w:val="005326DC"/>
    <w:rsid w:val="00532D1B"/>
    <w:rsid w:val="00533242"/>
    <w:rsid w:val="00534033"/>
    <w:rsid w:val="005340B4"/>
    <w:rsid w:val="0053421A"/>
    <w:rsid w:val="00534C56"/>
    <w:rsid w:val="00534CF8"/>
    <w:rsid w:val="00534F0D"/>
    <w:rsid w:val="00535C3F"/>
    <w:rsid w:val="00535FCC"/>
    <w:rsid w:val="0053685B"/>
    <w:rsid w:val="00536B05"/>
    <w:rsid w:val="005372AF"/>
    <w:rsid w:val="0053788D"/>
    <w:rsid w:val="00537EBA"/>
    <w:rsid w:val="00540D60"/>
    <w:rsid w:val="00540F91"/>
    <w:rsid w:val="00541420"/>
    <w:rsid w:val="0054160C"/>
    <w:rsid w:val="00541FE1"/>
    <w:rsid w:val="005420D9"/>
    <w:rsid w:val="00542283"/>
    <w:rsid w:val="005428B5"/>
    <w:rsid w:val="005452DC"/>
    <w:rsid w:val="0054592F"/>
    <w:rsid w:val="00545FD7"/>
    <w:rsid w:val="005461C9"/>
    <w:rsid w:val="0054649B"/>
    <w:rsid w:val="00546744"/>
    <w:rsid w:val="005472AE"/>
    <w:rsid w:val="00547B5D"/>
    <w:rsid w:val="005503B7"/>
    <w:rsid w:val="00550A3B"/>
    <w:rsid w:val="00550CCC"/>
    <w:rsid w:val="00552C47"/>
    <w:rsid w:val="005541AC"/>
    <w:rsid w:val="0055466F"/>
    <w:rsid w:val="005546A1"/>
    <w:rsid w:val="0055492D"/>
    <w:rsid w:val="00554B55"/>
    <w:rsid w:val="00554C68"/>
    <w:rsid w:val="00554D49"/>
    <w:rsid w:val="00555073"/>
    <w:rsid w:val="0055596E"/>
    <w:rsid w:val="00555D88"/>
    <w:rsid w:val="00555F9E"/>
    <w:rsid w:val="00556426"/>
    <w:rsid w:val="00556C45"/>
    <w:rsid w:val="00556F17"/>
    <w:rsid w:val="00557CB1"/>
    <w:rsid w:val="005604A1"/>
    <w:rsid w:val="00560616"/>
    <w:rsid w:val="00560C8A"/>
    <w:rsid w:val="00560E8D"/>
    <w:rsid w:val="00561515"/>
    <w:rsid w:val="00561F29"/>
    <w:rsid w:val="00562955"/>
    <w:rsid w:val="0056336F"/>
    <w:rsid w:val="0056347C"/>
    <w:rsid w:val="0056456B"/>
    <w:rsid w:val="00564C0F"/>
    <w:rsid w:val="00564DFB"/>
    <w:rsid w:val="00564E13"/>
    <w:rsid w:val="00564E93"/>
    <w:rsid w:val="00565302"/>
    <w:rsid w:val="00565321"/>
    <w:rsid w:val="00565ABD"/>
    <w:rsid w:val="00565B8D"/>
    <w:rsid w:val="00565BE3"/>
    <w:rsid w:val="0056608A"/>
    <w:rsid w:val="005662F9"/>
    <w:rsid w:val="0056658D"/>
    <w:rsid w:val="005669DC"/>
    <w:rsid w:val="005702CE"/>
    <w:rsid w:val="005704EB"/>
    <w:rsid w:val="00570A0F"/>
    <w:rsid w:val="00571CEF"/>
    <w:rsid w:val="00571E20"/>
    <w:rsid w:val="0057229C"/>
    <w:rsid w:val="00572AB9"/>
    <w:rsid w:val="00572C5B"/>
    <w:rsid w:val="005731F9"/>
    <w:rsid w:val="00573450"/>
    <w:rsid w:val="00573EAE"/>
    <w:rsid w:val="005740D5"/>
    <w:rsid w:val="00574523"/>
    <w:rsid w:val="005748E4"/>
    <w:rsid w:val="00574FDA"/>
    <w:rsid w:val="00575A21"/>
    <w:rsid w:val="00575A74"/>
    <w:rsid w:val="00575D3C"/>
    <w:rsid w:val="00576344"/>
    <w:rsid w:val="00576E47"/>
    <w:rsid w:val="00576E51"/>
    <w:rsid w:val="0057734C"/>
    <w:rsid w:val="00577350"/>
    <w:rsid w:val="00577F12"/>
    <w:rsid w:val="005805F2"/>
    <w:rsid w:val="00580F00"/>
    <w:rsid w:val="00581993"/>
    <w:rsid w:val="00581F37"/>
    <w:rsid w:val="00582CB7"/>
    <w:rsid w:val="00582E31"/>
    <w:rsid w:val="00582E5D"/>
    <w:rsid w:val="00583234"/>
    <w:rsid w:val="00583344"/>
    <w:rsid w:val="0058351B"/>
    <w:rsid w:val="00583E0B"/>
    <w:rsid w:val="00583F4A"/>
    <w:rsid w:val="0058475E"/>
    <w:rsid w:val="00584FEE"/>
    <w:rsid w:val="00585028"/>
    <w:rsid w:val="005851F3"/>
    <w:rsid w:val="00585AFD"/>
    <w:rsid w:val="0058747F"/>
    <w:rsid w:val="00587659"/>
    <w:rsid w:val="00587796"/>
    <w:rsid w:val="00587D45"/>
    <w:rsid w:val="00587FA0"/>
    <w:rsid w:val="005903FB"/>
    <w:rsid w:val="005904EE"/>
    <w:rsid w:val="00590E39"/>
    <w:rsid w:val="00590F9A"/>
    <w:rsid w:val="00591070"/>
    <w:rsid w:val="0059121C"/>
    <w:rsid w:val="00591646"/>
    <w:rsid w:val="00591A45"/>
    <w:rsid w:val="00592401"/>
    <w:rsid w:val="00592466"/>
    <w:rsid w:val="00592A8F"/>
    <w:rsid w:val="00592BFB"/>
    <w:rsid w:val="00592E71"/>
    <w:rsid w:val="005947D7"/>
    <w:rsid w:val="00595D14"/>
    <w:rsid w:val="00595E35"/>
    <w:rsid w:val="00596398"/>
    <w:rsid w:val="005963EA"/>
    <w:rsid w:val="00596651"/>
    <w:rsid w:val="00597003"/>
    <w:rsid w:val="0059746D"/>
    <w:rsid w:val="00597DBA"/>
    <w:rsid w:val="00597E8D"/>
    <w:rsid w:val="00597FAB"/>
    <w:rsid w:val="005A0C4C"/>
    <w:rsid w:val="005A10AC"/>
    <w:rsid w:val="005A141F"/>
    <w:rsid w:val="005A1B07"/>
    <w:rsid w:val="005A1D3F"/>
    <w:rsid w:val="005A2347"/>
    <w:rsid w:val="005A26EA"/>
    <w:rsid w:val="005A2861"/>
    <w:rsid w:val="005A2F69"/>
    <w:rsid w:val="005A3293"/>
    <w:rsid w:val="005A3409"/>
    <w:rsid w:val="005A34B4"/>
    <w:rsid w:val="005A355B"/>
    <w:rsid w:val="005A35C7"/>
    <w:rsid w:val="005A3B7A"/>
    <w:rsid w:val="005A3BD1"/>
    <w:rsid w:val="005A4378"/>
    <w:rsid w:val="005A4424"/>
    <w:rsid w:val="005A4514"/>
    <w:rsid w:val="005A5EAA"/>
    <w:rsid w:val="005A6530"/>
    <w:rsid w:val="005A7C7B"/>
    <w:rsid w:val="005A7DC3"/>
    <w:rsid w:val="005A7E18"/>
    <w:rsid w:val="005B004B"/>
    <w:rsid w:val="005B0C1E"/>
    <w:rsid w:val="005B0CAE"/>
    <w:rsid w:val="005B0EC4"/>
    <w:rsid w:val="005B13B8"/>
    <w:rsid w:val="005B17C7"/>
    <w:rsid w:val="005B193D"/>
    <w:rsid w:val="005B1D01"/>
    <w:rsid w:val="005B28BF"/>
    <w:rsid w:val="005B2FFB"/>
    <w:rsid w:val="005B3A1C"/>
    <w:rsid w:val="005B4947"/>
    <w:rsid w:val="005B59BC"/>
    <w:rsid w:val="005B63EA"/>
    <w:rsid w:val="005B6733"/>
    <w:rsid w:val="005B787B"/>
    <w:rsid w:val="005B7FAD"/>
    <w:rsid w:val="005C0103"/>
    <w:rsid w:val="005C02A6"/>
    <w:rsid w:val="005C03C7"/>
    <w:rsid w:val="005C03CE"/>
    <w:rsid w:val="005C0601"/>
    <w:rsid w:val="005C0910"/>
    <w:rsid w:val="005C093B"/>
    <w:rsid w:val="005C158D"/>
    <w:rsid w:val="005C1A8B"/>
    <w:rsid w:val="005C227C"/>
    <w:rsid w:val="005C2C2C"/>
    <w:rsid w:val="005C2FFB"/>
    <w:rsid w:val="005C3358"/>
    <w:rsid w:val="005C36BA"/>
    <w:rsid w:val="005C3993"/>
    <w:rsid w:val="005C3F0B"/>
    <w:rsid w:val="005C4120"/>
    <w:rsid w:val="005C4C11"/>
    <w:rsid w:val="005C4E93"/>
    <w:rsid w:val="005C5917"/>
    <w:rsid w:val="005C6AA2"/>
    <w:rsid w:val="005C6DB1"/>
    <w:rsid w:val="005C75B8"/>
    <w:rsid w:val="005C7F4E"/>
    <w:rsid w:val="005D0391"/>
    <w:rsid w:val="005D0AD2"/>
    <w:rsid w:val="005D0ECE"/>
    <w:rsid w:val="005D1893"/>
    <w:rsid w:val="005D3109"/>
    <w:rsid w:val="005D3B60"/>
    <w:rsid w:val="005D4216"/>
    <w:rsid w:val="005D4275"/>
    <w:rsid w:val="005D5299"/>
    <w:rsid w:val="005D5DEB"/>
    <w:rsid w:val="005D648A"/>
    <w:rsid w:val="005D6D88"/>
    <w:rsid w:val="005D6EC4"/>
    <w:rsid w:val="005D7117"/>
    <w:rsid w:val="005D712F"/>
    <w:rsid w:val="005D746C"/>
    <w:rsid w:val="005D78CF"/>
    <w:rsid w:val="005D7AF3"/>
    <w:rsid w:val="005E03AE"/>
    <w:rsid w:val="005E05AD"/>
    <w:rsid w:val="005E0D22"/>
    <w:rsid w:val="005E0FF9"/>
    <w:rsid w:val="005E1236"/>
    <w:rsid w:val="005E156A"/>
    <w:rsid w:val="005E1AA2"/>
    <w:rsid w:val="005E1DED"/>
    <w:rsid w:val="005E2845"/>
    <w:rsid w:val="005E2CE8"/>
    <w:rsid w:val="005E2FE6"/>
    <w:rsid w:val="005E3194"/>
    <w:rsid w:val="005E342E"/>
    <w:rsid w:val="005E41C3"/>
    <w:rsid w:val="005E4429"/>
    <w:rsid w:val="005E49DF"/>
    <w:rsid w:val="005E5132"/>
    <w:rsid w:val="005E5A28"/>
    <w:rsid w:val="005E5F3A"/>
    <w:rsid w:val="005E63CE"/>
    <w:rsid w:val="005E6E98"/>
    <w:rsid w:val="005E7018"/>
    <w:rsid w:val="005E70AC"/>
    <w:rsid w:val="005E7A86"/>
    <w:rsid w:val="005E7D9F"/>
    <w:rsid w:val="005F0B47"/>
    <w:rsid w:val="005F1450"/>
    <w:rsid w:val="005F16B1"/>
    <w:rsid w:val="005F192F"/>
    <w:rsid w:val="005F1B26"/>
    <w:rsid w:val="005F1C53"/>
    <w:rsid w:val="005F1FA7"/>
    <w:rsid w:val="005F213F"/>
    <w:rsid w:val="005F28D2"/>
    <w:rsid w:val="005F2BEA"/>
    <w:rsid w:val="005F3527"/>
    <w:rsid w:val="005F443A"/>
    <w:rsid w:val="005F4FF1"/>
    <w:rsid w:val="005F64EA"/>
    <w:rsid w:val="005F6680"/>
    <w:rsid w:val="005F6D18"/>
    <w:rsid w:val="005F6F55"/>
    <w:rsid w:val="005F7432"/>
    <w:rsid w:val="005F7CDE"/>
    <w:rsid w:val="00600365"/>
    <w:rsid w:val="006007D3"/>
    <w:rsid w:val="00600C17"/>
    <w:rsid w:val="006016B7"/>
    <w:rsid w:val="006017D7"/>
    <w:rsid w:val="006019A3"/>
    <w:rsid w:val="00601ADC"/>
    <w:rsid w:val="00601B5D"/>
    <w:rsid w:val="00601D81"/>
    <w:rsid w:val="00602383"/>
    <w:rsid w:val="0060262E"/>
    <w:rsid w:val="006026E0"/>
    <w:rsid w:val="006026E1"/>
    <w:rsid w:val="00602C43"/>
    <w:rsid w:val="00602C96"/>
    <w:rsid w:val="00602FCB"/>
    <w:rsid w:val="0060301C"/>
    <w:rsid w:val="00603B13"/>
    <w:rsid w:val="0060475D"/>
    <w:rsid w:val="00604B2B"/>
    <w:rsid w:val="00604CF5"/>
    <w:rsid w:val="006053CD"/>
    <w:rsid w:val="00605595"/>
    <w:rsid w:val="00605A5A"/>
    <w:rsid w:val="00605F6A"/>
    <w:rsid w:val="006060B0"/>
    <w:rsid w:val="00606325"/>
    <w:rsid w:val="0060671D"/>
    <w:rsid w:val="00606C60"/>
    <w:rsid w:val="00607941"/>
    <w:rsid w:val="00610183"/>
    <w:rsid w:val="00610A2A"/>
    <w:rsid w:val="00610A52"/>
    <w:rsid w:val="00610D92"/>
    <w:rsid w:val="006111B4"/>
    <w:rsid w:val="006115C5"/>
    <w:rsid w:val="006118B5"/>
    <w:rsid w:val="006120FE"/>
    <w:rsid w:val="00612684"/>
    <w:rsid w:val="006128B8"/>
    <w:rsid w:val="0061351F"/>
    <w:rsid w:val="00613E68"/>
    <w:rsid w:val="00615166"/>
    <w:rsid w:val="0061554D"/>
    <w:rsid w:val="00615C9A"/>
    <w:rsid w:val="0061641A"/>
    <w:rsid w:val="0061778A"/>
    <w:rsid w:val="00617D07"/>
    <w:rsid w:val="00617DF7"/>
    <w:rsid w:val="00617EA4"/>
    <w:rsid w:val="00617EE2"/>
    <w:rsid w:val="00620BFE"/>
    <w:rsid w:val="006215AB"/>
    <w:rsid w:val="00621B9E"/>
    <w:rsid w:val="00621C54"/>
    <w:rsid w:val="0062202D"/>
    <w:rsid w:val="006221CD"/>
    <w:rsid w:val="006229B0"/>
    <w:rsid w:val="00624366"/>
    <w:rsid w:val="0062444D"/>
    <w:rsid w:val="00624702"/>
    <w:rsid w:val="00624E8F"/>
    <w:rsid w:val="006250EE"/>
    <w:rsid w:val="00625570"/>
    <w:rsid w:val="006257AB"/>
    <w:rsid w:val="00625D29"/>
    <w:rsid w:val="00625FDC"/>
    <w:rsid w:val="00626208"/>
    <w:rsid w:val="006269D1"/>
    <w:rsid w:val="00626A57"/>
    <w:rsid w:val="00626D06"/>
    <w:rsid w:val="00627E84"/>
    <w:rsid w:val="006300CB"/>
    <w:rsid w:val="00630245"/>
    <w:rsid w:val="006308BF"/>
    <w:rsid w:val="006309F4"/>
    <w:rsid w:val="00630BBD"/>
    <w:rsid w:val="0063248E"/>
    <w:rsid w:val="00632A8E"/>
    <w:rsid w:val="00632E8D"/>
    <w:rsid w:val="00633497"/>
    <w:rsid w:val="00633732"/>
    <w:rsid w:val="00633A71"/>
    <w:rsid w:val="00633A8C"/>
    <w:rsid w:val="00633E2F"/>
    <w:rsid w:val="00634160"/>
    <w:rsid w:val="00634670"/>
    <w:rsid w:val="00635079"/>
    <w:rsid w:val="006350E3"/>
    <w:rsid w:val="006356ED"/>
    <w:rsid w:val="006357FB"/>
    <w:rsid w:val="00636A23"/>
    <w:rsid w:val="00637093"/>
    <w:rsid w:val="0063761E"/>
    <w:rsid w:val="006377D6"/>
    <w:rsid w:val="006378BE"/>
    <w:rsid w:val="00637CC5"/>
    <w:rsid w:val="0064143D"/>
    <w:rsid w:val="0064160C"/>
    <w:rsid w:val="00642051"/>
    <w:rsid w:val="006420B1"/>
    <w:rsid w:val="006420D9"/>
    <w:rsid w:val="00642147"/>
    <w:rsid w:val="00642276"/>
    <w:rsid w:val="00642499"/>
    <w:rsid w:val="006427EE"/>
    <w:rsid w:val="00642BC7"/>
    <w:rsid w:val="00642E5D"/>
    <w:rsid w:val="006434BF"/>
    <w:rsid w:val="0064468A"/>
    <w:rsid w:val="0064489D"/>
    <w:rsid w:val="006457DA"/>
    <w:rsid w:val="00645D90"/>
    <w:rsid w:val="00646166"/>
    <w:rsid w:val="00646570"/>
    <w:rsid w:val="00646A94"/>
    <w:rsid w:val="00646C84"/>
    <w:rsid w:val="00646CC7"/>
    <w:rsid w:val="006476B0"/>
    <w:rsid w:val="00647BFA"/>
    <w:rsid w:val="00647CA0"/>
    <w:rsid w:val="00647D51"/>
    <w:rsid w:val="00647F7B"/>
    <w:rsid w:val="00650253"/>
    <w:rsid w:val="00650436"/>
    <w:rsid w:val="0065079E"/>
    <w:rsid w:val="00650889"/>
    <w:rsid w:val="00650C83"/>
    <w:rsid w:val="00650D85"/>
    <w:rsid w:val="00651534"/>
    <w:rsid w:val="006515CB"/>
    <w:rsid w:val="006529A3"/>
    <w:rsid w:val="00652D10"/>
    <w:rsid w:val="00653181"/>
    <w:rsid w:val="0065337B"/>
    <w:rsid w:val="00653757"/>
    <w:rsid w:val="00654031"/>
    <w:rsid w:val="006543B7"/>
    <w:rsid w:val="006543FE"/>
    <w:rsid w:val="00654A26"/>
    <w:rsid w:val="00654CF0"/>
    <w:rsid w:val="00654F90"/>
    <w:rsid w:val="0065590D"/>
    <w:rsid w:val="00655BAB"/>
    <w:rsid w:val="00655DD5"/>
    <w:rsid w:val="00655FB0"/>
    <w:rsid w:val="00655FF1"/>
    <w:rsid w:val="006560EC"/>
    <w:rsid w:val="00660F9B"/>
    <w:rsid w:val="00661B2B"/>
    <w:rsid w:val="00661E97"/>
    <w:rsid w:val="00662296"/>
    <w:rsid w:val="006627F7"/>
    <w:rsid w:val="00663D08"/>
    <w:rsid w:val="00663DAA"/>
    <w:rsid w:val="006645FC"/>
    <w:rsid w:val="00664613"/>
    <w:rsid w:val="006654B8"/>
    <w:rsid w:val="006662DE"/>
    <w:rsid w:val="0066655F"/>
    <w:rsid w:val="006665D3"/>
    <w:rsid w:val="006669F8"/>
    <w:rsid w:val="00667071"/>
    <w:rsid w:val="006672E3"/>
    <w:rsid w:val="006677E0"/>
    <w:rsid w:val="00667967"/>
    <w:rsid w:val="00667EEF"/>
    <w:rsid w:val="0067011D"/>
    <w:rsid w:val="006701F1"/>
    <w:rsid w:val="006711BB"/>
    <w:rsid w:val="00671260"/>
    <w:rsid w:val="00671304"/>
    <w:rsid w:val="006716D8"/>
    <w:rsid w:val="00671702"/>
    <w:rsid w:val="0067188A"/>
    <w:rsid w:val="006719A7"/>
    <w:rsid w:val="00672185"/>
    <w:rsid w:val="006721EA"/>
    <w:rsid w:val="00672F94"/>
    <w:rsid w:val="00673809"/>
    <w:rsid w:val="00673C99"/>
    <w:rsid w:val="00673D1E"/>
    <w:rsid w:val="00673DCD"/>
    <w:rsid w:val="00674314"/>
    <w:rsid w:val="00674693"/>
    <w:rsid w:val="00674700"/>
    <w:rsid w:val="006748BA"/>
    <w:rsid w:val="00674B47"/>
    <w:rsid w:val="00674F71"/>
    <w:rsid w:val="006755D6"/>
    <w:rsid w:val="00675B6F"/>
    <w:rsid w:val="0067628C"/>
    <w:rsid w:val="006762F5"/>
    <w:rsid w:val="00676923"/>
    <w:rsid w:val="00677069"/>
    <w:rsid w:val="00677848"/>
    <w:rsid w:val="00680192"/>
    <w:rsid w:val="00680337"/>
    <w:rsid w:val="0068066C"/>
    <w:rsid w:val="00681009"/>
    <w:rsid w:val="00681EBF"/>
    <w:rsid w:val="00682323"/>
    <w:rsid w:val="006826E9"/>
    <w:rsid w:val="00682E7C"/>
    <w:rsid w:val="00683F51"/>
    <w:rsid w:val="0068464E"/>
    <w:rsid w:val="00684C9D"/>
    <w:rsid w:val="00684DB1"/>
    <w:rsid w:val="006851B0"/>
    <w:rsid w:val="00685222"/>
    <w:rsid w:val="00685408"/>
    <w:rsid w:val="00685A23"/>
    <w:rsid w:val="00686318"/>
    <w:rsid w:val="00686819"/>
    <w:rsid w:val="00686B42"/>
    <w:rsid w:val="00686B78"/>
    <w:rsid w:val="00687484"/>
    <w:rsid w:val="006874C0"/>
    <w:rsid w:val="0068753B"/>
    <w:rsid w:val="00687D37"/>
    <w:rsid w:val="00687EA1"/>
    <w:rsid w:val="0069005A"/>
    <w:rsid w:val="00690723"/>
    <w:rsid w:val="00690992"/>
    <w:rsid w:val="00690CDC"/>
    <w:rsid w:val="00691754"/>
    <w:rsid w:val="006920F0"/>
    <w:rsid w:val="006926E1"/>
    <w:rsid w:val="00692E0A"/>
    <w:rsid w:val="006931CB"/>
    <w:rsid w:val="00694985"/>
    <w:rsid w:val="00694B5A"/>
    <w:rsid w:val="00694E32"/>
    <w:rsid w:val="0069588B"/>
    <w:rsid w:val="00696009"/>
    <w:rsid w:val="0069640F"/>
    <w:rsid w:val="00696DED"/>
    <w:rsid w:val="00697502"/>
    <w:rsid w:val="006975D6"/>
    <w:rsid w:val="00697C6E"/>
    <w:rsid w:val="00697FF7"/>
    <w:rsid w:val="006A06C5"/>
    <w:rsid w:val="006A0B93"/>
    <w:rsid w:val="006A0D75"/>
    <w:rsid w:val="006A0FAF"/>
    <w:rsid w:val="006A13F2"/>
    <w:rsid w:val="006A1532"/>
    <w:rsid w:val="006A16B8"/>
    <w:rsid w:val="006A17B1"/>
    <w:rsid w:val="006A17EB"/>
    <w:rsid w:val="006A21D2"/>
    <w:rsid w:val="006A23A0"/>
    <w:rsid w:val="006A28E6"/>
    <w:rsid w:val="006A2C83"/>
    <w:rsid w:val="006A3182"/>
    <w:rsid w:val="006A3D20"/>
    <w:rsid w:val="006A415F"/>
    <w:rsid w:val="006A438A"/>
    <w:rsid w:val="006A4D2C"/>
    <w:rsid w:val="006A4E42"/>
    <w:rsid w:val="006A5098"/>
    <w:rsid w:val="006A5772"/>
    <w:rsid w:val="006A58B9"/>
    <w:rsid w:val="006A59C2"/>
    <w:rsid w:val="006A65C2"/>
    <w:rsid w:val="006A68AA"/>
    <w:rsid w:val="006A6ABD"/>
    <w:rsid w:val="006A6CE8"/>
    <w:rsid w:val="006A6D2A"/>
    <w:rsid w:val="006A6D9F"/>
    <w:rsid w:val="006A6F48"/>
    <w:rsid w:val="006A7057"/>
    <w:rsid w:val="006A707A"/>
    <w:rsid w:val="006A73D8"/>
    <w:rsid w:val="006A7903"/>
    <w:rsid w:val="006A7B28"/>
    <w:rsid w:val="006B028F"/>
    <w:rsid w:val="006B0DC6"/>
    <w:rsid w:val="006B12BC"/>
    <w:rsid w:val="006B19A7"/>
    <w:rsid w:val="006B2012"/>
    <w:rsid w:val="006B289B"/>
    <w:rsid w:val="006B2CE9"/>
    <w:rsid w:val="006B2D02"/>
    <w:rsid w:val="006B30E8"/>
    <w:rsid w:val="006B43C1"/>
    <w:rsid w:val="006B448B"/>
    <w:rsid w:val="006B4808"/>
    <w:rsid w:val="006B4EFE"/>
    <w:rsid w:val="006B4F50"/>
    <w:rsid w:val="006B5A23"/>
    <w:rsid w:val="006B609C"/>
    <w:rsid w:val="006B7363"/>
    <w:rsid w:val="006B784C"/>
    <w:rsid w:val="006C0AC9"/>
    <w:rsid w:val="006C1665"/>
    <w:rsid w:val="006C16F8"/>
    <w:rsid w:val="006C1CDA"/>
    <w:rsid w:val="006C1F12"/>
    <w:rsid w:val="006C2AE2"/>
    <w:rsid w:val="006C3030"/>
    <w:rsid w:val="006C3E99"/>
    <w:rsid w:val="006C4337"/>
    <w:rsid w:val="006C4B56"/>
    <w:rsid w:val="006C4BA6"/>
    <w:rsid w:val="006C66BB"/>
    <w:rsid w:val="006C6F79"/>
    <w:rsid w:val="006C73BD"/>
    <w:rsid w:val="006D008F"/>
    <w:rsid w:val="006D03BA"/>
    <w:rsid w:val="006D05C5"/>
    <w:rsid w:val="006D0698"/>
    <w:rsid w:val="006D0EAE"/>
    <w:rsid w:val="006D1444"/>
    <w:rsid w:val="006D1683"/>
    <w:rsid w:val="006D27C5"/>
    <w:rsid w:val="006D2AC6"/>
    <w:rsid w:val="006D2B66"/>
    <w:rsid w:val="006D315D"/>
    <w:rsid w:val="006D37F9"/>
    <w:rsid w:val="006D483D"/>
    <w:rsid w:val="006D4C32"/>
    <w:rsid w:val="006D573B"/>
    <w:rsid w:val="006D593B"/>
    <w:rsid w:val="006D5FBA"/>
    <w:rsid w:val="006D649A"/>
    <w:rsid w:val="006D65F1"/>
    <w:rsid w:val="006D669E"/>
    <w:rsid w:val="006D6859"/>
    <w:rsid w:val="006D69DD"/>
    <w:rsid w:val="006D750C"/>
    <w:rsid w:val="006E02F4"/>
    <w:rsid w:val="006E056D"/>
    <w:rsid w:val="006E060F"/>
    <w:rsid w:val="006E0B05"/>
    <w:rsid w:val="006E0F8A"/>
    <w:rsid w:val="006E126C"/>
    <w:rsid w:val="006E1916"/>
    <w:rsid w:val="006E19D4"/>
    <w:rsid w:val="006E2043"/>
    <w:rsid w:val="006E2A18"/>
    <w:rsid w:val="006E3432"/>
    <w:rsid w:val="006E3541"/>
    <w:rsid w:val="006E39E6"/>
    <w:rsid w:val="006E4372"/>
    <w:rsid w:val="006E459B"/>
    <w:rsid w:val="006E4696"/>
    <w:rsid w:val="006E48FA"/>
    <w:rsid w:val="006E53AC"/>
    <w:rsid w:val="006E665B"/>
    <w:rsid w:val="006E6CA0"/>
    <w:rsid w:val="006F079A"/>
    <w:rsid w:val="006F14D0"/>
    <w:rsid w:val="006F1E51"/>
    <w:rsid w:val="006F21AB"/>
    <w:rsid w:val="006F2B31"/>
    <w:rsid w:val="006F2CCF"/>
    <w:rsid w:val="006F2E82"/>
    <w:rsid w:val="006F336A"/>
    <w:rsid w:val="006F3537"/>
    <w:rsid w:val="006F3928"/>
    <w:rsid w:val="006F3F73"/>
    <w:rsid w:val="006F519E"/>
    <w:rsid w:val="006F56A7"/>
    <w:rsid w:val="006F5F59"/>
    <w:rsid w:val="006F5F70"/>
    <w:rsid w:val="006F6372"/>
    <w:rsid w:val="006F6A10"/>
    <w:rsid w:val="006F6D76"/>
    <w:rsid w:val="006F747B"/>
    <w:rsid w:val="006F74E7"/>
    <w:rsid w:val="006F7E3D"/>
    <w:rsid w:val="00700329"/>
    <w:rsid w:val="0070052A"/>
    <w:rsid w:val="007008E2"/>
    <w:rsid w:val="00700D8C"/>
    <w:rsid w:val="00701905"/>
    <w:rsid w:val="00701AA9"/>
    <w:rsid w:val="00702BA0"/>
    <w:rsid w:val="00702D2A"/>
    <w:rsid w:val="00704EA4"/>
    <w:rsid w:val="00704F28"/>
    <w:rsid w:val="00705660"/>
    <w:rsid w:val="00705A27"/>
    <w:rsid w:val="0070600A"/>
    <w:rsid w:val="0070659D"/>
    <w:rsid w:val="00707CAB"/>
    <w:rsid w:val="00707CC4"/>
    <w:rsid w:val="00707D3B"/>
    <w:rsid w:val="007102C3"/>
    <w:rsid w:val="0071073E"/>
    <w:rsid w:val="00710D9F"/>
    <w:rsid w:val="00710DC5"/>
    <w:rsid w:val="00710E96"/>
    <w:rsid w:val="007118E0"/>
    <w:rsid w:val="00712A00"/>
    <w:rsid w:val="00712B58"/>
    <w:rsid w:val="00713A6F"/>
    <w:rsid w:val="00713C21"/>
    <w:rsid w:val="00714707"/>
    <w:rsid w:val="00715678"/>
    <w:rsid w:val="00715A6B"/>
    <w:rsid w:val="00715C9B"/>
    <w:rsid w:val="00715E9A"/>
    <w:rsid w:val="007164A1"/>
    <w:rsid w:val="007167F9"/>
    <w:rsid w:val="00716836"/>
    <w:rsid w:val="007170AB"/>
    <w:rsid w:val="00717627"/>
    <w:rsid w:val="00720AAE"/>
    <w:rsid w:val="00720D06"/>
    <w:rsid w:val="00721D7A"/>
    <w:rsid w:val="00722403"/>
    <w:rsid w:val="0072286C"/>
    <w:rsid w:val="00722B2C"/>
    <w:rsid w:val="00722CDB"/>
    <w:rsid w:val="00722CE6"/>
    <w:rsid w:val="00723D46"/>
    <w:rsid w:val="00723E30"/>
    <w:rsid w:val="00724EF9"/>
    <w:rsid w:val="007251F6"/>
    <w:rsid w:val="00725338"/>
    <w:rsid w:val="00725398"/>
    <w:rsid w:val="00725996"/>
    <w:rsid w:val="00725A0C"/>
    <w:rsid w:val="00725EAD"/>
    <w:rsid w:val="007264E3"/>
    <w:rsid w:val="00726EF3"/>
    <w:rsid w:val="00726F19"/>
    <w:rsid w:val="00727607"/>
    <w:rsid w:val="007276C9"/>
    <w:rsid w:val="007279D5"/>
    <w:rsid w:val="00727DB4"/>
    <w:rsid w:val="00727F06"/>
    <w:rsid w:val="00731436"/>
    <w:rsid w:val="00731468"/>
    <w:rsid w:val="00731897"/>
    <w:rsid w:val="00731A85"/>
    <w:rsid w:val="007320DF"/>
    <w:rsid w:val="007320F3"/>
    <w:rsid w:val="007321EB"/>
    <w:rsid w:val="00732337"/>
    <w:rsid w:val="00732372"/>
    <w:rsid w:val="00732832"/>
    <w:rsid w:val="00732D31"/>
    <w:rsid w:val="007335F3"/>
    <w:rsid w:val="00733E99"/>
    <w:rsid w:val="007342C1"/>
    <w:rsid w:val="0073432B"/>
    <w:rsid w:val="00734CDA"/>
    <w:rsid w:val="00734F4E"/>
    <w:rsid w:val="007355EA"/>
    <w:rsid w:val="00735A21"/>
    <w:rsid w:val="007367F2"/>
    <w:rsid w:val="00736ABB"/>
    <w:rsid w:val="00736BF5"/>
    <w:rsid w:val="007371C0"/>
    <w:rsid w:val="0073740C"/>
    <w:rsid w:val="00740903"/>
    <w:rsid w:val="00740AD2"/>
    <w:rsid w:val="00740B92"/>
    <w:rsid w:val="00740FDA"/>
    <w:rsid w:val="00740FE2"/>
    <w:rsid w:val="0074232B"/>
    <w:rsid w:val="00742875"/>
    <w:rsid w:val="007438FA"/>
    <w:rsid w:val="0074448E"/>
    <w:rsid w:val="00744575"/>
    <w:rsid w:val="00744C7A"/>
    <w:rsid w:val="00744CAE"/>
    <w:rsid w:val="0074511D"/>
    <w:rsid w:val="00745766"/>
    <w:rsid w:val="0074593A"/>
    <w:rsid w:val="00745EFA"/>
    <w:rsid w:val="00747145"/>
    <w:rsid w:val="007472B3"/>
    <w:rsid w:val="0074739F"/>
    <w:rsid w:val="007475DA"/>
    <w:rsid w:val="00747638"/>
    <w:rsid w:val="00747719"/>
    <w:rsid w:val="00747D20"/>
    <w:rsid w:val="00747E44"/>
    <w:rsid w:val="00750495"/>
    <w:rsid w:val="007508CC"/>
    <w:rsid w:val="00750FD9"/>
    <w:rsid w:val="0075168D"/>
    <w:rsid w:val="0075192D"/>
    <w:rsid w:val="00751C16"/>
    <w:rsid w:val="0075213B"/>
    <w:rsid w:val="0075290A"/>
    <w:rsid w:val="00754494"/>
    <w:rsid w:val="007546C7"/>
    <w:rsid w:val="007578BF"/>
    <w:rsid w:val="00757991"/>
    <w:rsid w:val="00757EC1"/>
    <w:rsid w:val="00760831"/>
    <w:rsid w:val="00760835"/>
    <w:rsid w:val="00760A63"/>
    <w:rsid w:val="00760A9E"/>
    <w:rsid w:val="00760AF9"/>
    <w:rsid w:val="00760C68"/>
    <w:rsid w:val="00761418"/>
    <w:rsid w:val="007614CE"/>
    <w:rsid w:val="007616FE"/>
    <w:rsid w:val="00761871"/>
    <w:rsid w:val="00761F6C"/>
    <w:rsid w:val="007621B3"/>
    <w:rsid w:val="007637F4"/>
    <w:rsid w:val="00764239"/>
    <w:rsid w:val="00764623"/>
    <w:rsid w:val="0076479C"/>
    <w:rsid w:val="00764A34"/>
    <w:rsid w:val="00764B7A"/>
    <w:rsid w:val="00764DB8"/>
    <w:rsid w:val="00764E96"/>
    <w:rsid w:val="00764F3C"/>
    <w:rsid w:val="007660B2"/>
    <w:rsid w:val="0076632A"/>
    <w:rsid w:val="0076633A"/>
    <w:rsid w:val="007666DE"/>
    <w:rsid w:val="00766BDF"/>
    <w:rsid w:val="00766C41"/>
    <w:rsid w:val="00770335"/>
    <w:rsid w:val="0077178A"/>
    <w:rsid w:val="007726F4"/>
    <w:rsid w:val="00772F3B"/>
    <w:rsid w:val="007734C5"/>
    <w:rsid w:val="007736AD"/>
    <w:rsid w:val="00773B47"/>
    <w:rsid w:val="00773D62"/>
    <w:rsid w:val="00773E23"/>
    <w:rsid w:val="00774018"/>
    <w:rsid w:val="007743FB"/>
    <w:rsid w:val="007745B1"/>
    <w:rsid w:val="00774989"/>
    <w:rsid w:val="00774B1B"/>
    <w:rsid w:val="007756C3"/>
    <w:rsid w:val="00775B36"/>
    <w:rsid w:val="00775F2B"/>
    <w:rsid w:val="00776021"/>
    <w:rsid w:val="00776937"/>
    <w:rsid w:val="00777149"/>
    <w:rsid w:val="0077744D"/>
    <w:rsid w:val="00777BA4"/>
    <w:rsid w:val="007802D0"/>
    <w:rsid w:val="007802F9"/>
    <w:rsid w:val="00780D3D"/>
    <w:rsid w:val="00780DB5"/>
    <w:rsid w:val="00781549"/>
    <w:rsid w:val="00781F4B"/>
    <w:rsid w:val="007828DD"/>
    <w:rsid w:val="00783104"/>
    <w:rsid w:val="00783855"/>
    <w:rsid w:val="007839C9"/>
    <w:rsid w:val="00784766"/>
    <w:rsid w:val="0078478E"/>
    <w:rsid w:val="007848E2"/>
    <w:rsid w:val="007862A6"/>
    <w:rsid w:val="007864A5"/>
    <w:rsid w:val="007870F6"/>
    <w:rsid w:val="00787CFE"/>
    <w:rsid w:val="007902BC"/>
    <w:rsid w:val="00790575"/>
    <w:rsid w:val="00790B70"/>
    <w:rsid w:val="00790CC9"/>
    <w:rsid w:val="00790EAE"/>
    <w:rsid w:val="0079111E"/>
    <w:rsid w:val="00791AC8"/>
    <w:rsid w:val="00791C8F"/>
    <w:rsid w:val="00792FBB"/>
    <w:rsid w:val="00793305"/>
    <w:rsid w:val="007938B0"/>
    <w:rsid w:val="007938FB"/>
    <w:rsid w:val="00793AAA"/>
    <w:rsid w:val="00793B3E"/>
    <w:rsid w:val="0079603D"/>
    <w:rsid w:val="00796382"/>
    <w:rsid w:val="0079642F"/>
    <w:rsid w:val="00796514"/>
    <w:rsid w:val="00796CD7"/>
    <w:rsid w:val="007A1677"/>
    <w:rsid w:val="007A1948"/>
    <w:rsid w:val="007A1B31"/>
    <w:rsid w:val="007A1BD9"/>
    <w:rsid w:val="007A26C2"/>
    <w:rsid w:val="007A2900"/>
    <w:rsid w:val="007A2E72"/>
    <w:rsid w:val="007A2EF7"/>
    <w:rsid w:val="007A34E0"/>
    <w:rsid w:val="007A3EBB"/>
    <w:rsid w:val="007A41F8"/>
    <w:rsid w:val="007A4A91"/>
    <w:rsid w:val="007A4FD0"/>
    <w:rsid w:val="007A546D"/>
    <w:rsid w:val="007A570B"/>
    <w:rsid w:val="007A580B"/>
    <w:rsid w:val="007A5A24"/>
    <w:rsid w:val="007A5B3B"/>
    <w:rsid w:val="007A5BCA"/>
    <w:rsid w:val="007A6BFF"/>
    <w:rsid w:val="007A76E0"/>
    <w:rsid w:val="007B119C"/>
    <w:rsid w:val="007B1362"/>
    <w:rsid w:val="007B1969"/>
    <w:rsid w:val="007B1D62"/>
    <w:rsid w:val="007B2152"/>
    <w:rsid w:val="007B5D53"/>
    <w:rsid w:val="007B5DC8"/>
    <w:rsid w:val="007B63BE"/>
    <w:rsid w:val="007B65A4"/>
    <w:rsid w:val="007B6D34"/>
    <w:rsid w:val="007B7591"/>
    <w:rsid w:val="007B7670"/>
    <w:rsid w:val="007B7CAD"/>
    <w:rsid w:val="007C05EC"/>
    <w:rsid w:val="007C0991"/>
    <w:rsid w:val="007C0A1C"/>
    <w:rsid w:val="007C17F0"/>
    <w:rsid w:val="007C1E0B"/>
    <w:rsid w:val="007C1FDB"/>
    <w:rsid w:val="007C20A6"/>
    <w:rsid w:val="007C2CB0"/>
    <w:rsid w:val="007C39A8"/>
    <w:rsid w:val="007C3C0F"/>
    <w:rsid w:val="007C3C29"/>
    <w:rsid w:val="007C43BF"/>
    <w:rsid w:val="007C5FA8"/>
    <w:rsid w:val="007C6319"/>
    <w:rsid w:val="007C6B39"/>
    <w:rsid w:val="007C6C6F"/>
    <w:rsid w:val="007C7081"/>
    <w:rsid w:val="007C74B5"/>
    <w:rsid w:val="007C752D"/>
    <w:rsid w:val="007C762E"/>
    <w:rsid w:val="007C7C16"/>
    <w:rsid w:val="007C7C94"/>
    <w:rsid w:val="007C7CA8"/>
    <w:rsid w:val="007C7FB2"/>
    <w:rsid w:val="007D04E8"/>
    <w:rsid w:val="007D1911"/>
    <w:rsid w:val="007D1CB6"/>
    <w:rsid w:val="007D1E73"/>
    <w:rsid w:val="007D2071"/>
    <w:rsid w:val="007D2221"/>
    <w:rsid w:val="007D2876"/>
    <w:rsid w:val="007D2983"/>
    <w:rsid w:val="007D2A29"/>
    <w:rsid w:val="007D3495"/>
    <w:rsid w:val="007D39E3"/>
    <w:rsid w:val="007D3A1A"/>
    <w:rsid w:val="007D3ABE"/>
    <w:rsid w:val="007D41F1"/>
    <w:rsid w:val="007D4411"/>
    <w:rsid w:val="007D5405"/>
    <w:rsid w:val="007D544B"/>
    <w:rsid w:val="007D583A"/>
    <w:rsid w:val="007D5947"/>
    <w:rsid w:val="007D5991"/>
    <w:rsid w:val="007D61E0"/>
    <w:rsid w:val="007D6457"/>
    <w:rsid w:val="007D7094"/>
    <w:rsid w:val="007D7549"/>
    <w:rsid w:val="007D7975"/>
    <w:rsid w:val="007D7E4F"/>
    <w:rsid w:val="007D7EBD"/>
    <w:rsid w:val="007E0B66"/>
    <w:rsid w:val="007E13AE"/>
    <w:rsid w:val="007E1479"/>
    <w:rsid w:val="007E1617"/>
    <w:rsid w:val="007E39D0"/>
    <w:rsid w:val="007E46F1"/>
    <w:rsid w:val="007E4F03"/>
    <w:rsid w:val="007E57A7"/>
    <w:rsid w:val="007E5E2F"/>
    <w:rsid w:val="007E5FC5"/>
    <w:rsid w:val="007E6E16"/>
    <w:rsid w:val="007E6EF7"/>
    <w:rsid w:val="007E70B7"/>
    <w:rsid w:val="007E7BEB"/>
    <w:rsid w:val="007F0867"/>
    <w:rsid w:val="007F0B1F"/>
    <w:rsid w:val="007F0BDC"/>
    <w:rsid w:val="007F0D37"/>
    <w:rsid w:val="007F127A"/>
    <w:rsid w:val="007F17CB"/>
    <w:rsid w:val="007F19FD"/>
    <w:rsid w:val="007F1D3D"/>
    <w:rsid w:val="007F27F4"/>
    <w:rsid w:val="007F2B9C"/>
    <w:rsid w:val="007F3841"/>
    <w:rsid w:val="007F3965"/>
    <w:rsid w:val="007F3B92"/>
    <w:rsid w:val="007F48A5"/>
    <w:rsid w:val="007F5975"/>
    <w:rsid w:val="007F5BCD"/>
    <w:rsid w:val="007F609C"/>
    <w:rsid w:val="007F664B"/>
    <w:rsid w:val="007F6BF6"/>
    <w:rsid w:val="007F6E0E"/>
    <w:rsid w:val="007F73D9"/>
    <w:rsid w:val="007F7DE0"/>
    <w:rsid w:val="008001E6"/>
    <w:rsid w:val="008005BB"/>
    <w:rsid w:val="008012FA"/>
    <w:rsid w:val="0080130D"/>
    <w:rsid w:val="00801439"/>
    <w:rsid w:val="00801A59"/>
    <w:rsid w:val="0080268A"/>
    <w:rsid w:val="008042C7"/>
    <w:rsid w:val="00804C5B"/>
    <w:rsid w:val="008053DE"/>
    <w:rsid w:val="008055DD"/>
    <w:rsid w:val="0080569C"/>
    <w:rsid w:val="00805C16"/>
    <w:rsid w:val="00805FB7"/>
    <w:rsid w:val="00806203"/>
    <w:rsid w:val="00806C1B"/>
    <w:rsid w:val="00806E04"/>
    <w:rsid w:val="00807002"/>
    <w:rsid w:val="00807486"/>
    <w:rsid w:val="008078AD"/>
    <w:rsid w:val="0080795D"/>
    <w:rsid w:val="008079CF"/>
    <w:rsid w:val="00810052"/>
    <w:rsid w:val="00810078"/>
    <w:rsid w:val="00810595"/>
    <w:rsid w:val="0081081E"/>
    <w:rsid w:val="00810989"/>
    <w:rsid w:val="0081107D"/>
    <w:rsid w:val="0081121D"/>
    <w:rsid w:val="008125EC"/>
    <w:rsid w:val="008126FB"/>
    <w:rsid w:val="008136A8"/>
    <w:rsid w:val="008139E7"/>
    <w:rsid w:val="0081505F"/>
    <w:rsid w:val="008154A6"/>
    <w:rsid w:val="0081584B"/>
    <w:rsid w:val="00816014"/>
    <w:rsid w:val="0081615B"/>
    <w:rsid w:val="0081674A"/>
    <w:rsid w:val="00816DD4"/>
    <w:rsid w:val="00816FED"/>
    <w:rsid w:val="0081766A"/>
    <w:rsid w:val="00817ACA"/>
    <w:rsid w:val="00817B76"/>
    <w:rsid w:val="00817E02"/>
    <w:rsid w:val="00817F22"/>
    <w:rsid w:val="00820625"/>
    <w:rsid w:val="0082085A"/>
    <w:rsid w:val="00820ADA"/>
    <w:rsid w:val="00820D7E"/>
    <w:rsid w:val="0082103E"/>
    <w:rsid w:val="00821D29"/>
    <w:rsid w:val="008233BE"/>
    <w:rsid w:val="00823463"/>
    <w:rsid w:val="00823614"/>
    <w:rsid w:val="00823750"/>
    <w:rsid w:val="008237DE"/>
    <w:rsid w:val="00823BA9"/>
    <w:rsid w:val="00824285"/>
    <w:rsid w:val="008242F0"/>
    <w:rsid w:val="00824A58"/>
    <w:rsid w:val="00824DBB"/>
    <w:rsid w:val="00825084"/>
    <w:rsid w:val="0082556B"/>
    <w:rsid w:val="00825684"/>
    <w:rsid w:val="008259A7"/>
    <w:rsid w:val="00825E6C"/>
    <w:rsid w:val="008261BF"/>
    <w:rsid w:val="008261CC"/>
    <w:rsid w:val="00826940"/>
    <w:rsid w:val="00826A84"/>
    <w:rsid w:val="00826BD0"/>
    <w:rsid w:val="00826D54"/>
    <w:rsid w:val="008275DD"/>
    <w:rsid w:val="00827B9B"/>
    <w:rsid w:val="00827C52"/>
    <w:rsid w:val="0083019A"/>
    <w:rsid w:val="008301A0"/>
    <w:rsid w:val="00830398"/>
    <w:rsid w:val="00830569"/>
    <w:rsid w:val="008305A2"/>
    <w:rsid w:val="00830845"/>
    <w:rsid w:val="008309FD"/>
    <w:rsid w:val="00830C84"/>
    <w:rsid w:val="00831A38"/>
    <w:rsid w:val="00832000"/>
    <w:rsid w:val="008321C3"/>
    <w:rsid w:val="008326BD"/>
    <w:rsid w:val="008327F1"/>
    <w:rsid w:val="0083369B"/>
    <w:rsid w:val="00833F89"/>
    <w:rsid w:val="00834E1B"/>
    <w:rsid w:val="00835110"/>
    <w:rsid w:val="00835A04"/>
    <w:rsid w:val="008363D6"/>
    <w:rsid w:val="008366F0"/>
    <w:rsid w:val="00836D76"/>
    <w:rsid w:val="00837012"/>
    <w:rsid w:val="00837198"/>
    <w:rsid w:val="00837CC7"/>
    <w:rsid w:val="0084099C"/>
    <w:rsid w:val="00840BDA"/>
    <w:rsid w:val="00840F26"/>
    <w:rsid w:val="00841073"/>
    <w:rsid w:val="00841444"/>
    <w:rsid w:val="008417CA"/>
    <w:rsid w:val="00841947"/>
    <w:rsid w:val="00842E4E"/>
    <w:rsid w:val="00843131"/>
    <w:rsid w:val="00844012"/>
    <w:rsid w:val="0084493F"/>
    <w:rsid w:val="00844B6E"/>
    <w:rsid w:val="0084536E"/>
    <w:rsid w:val="00845474"/>
    <w:rsid w:val="00845666"/>
    <w:rsid w:val="00845968"/>
    <w:rsid w:val="00846572"/>
    <w:rsid w:val="008465A9"/>
    <w:rsid w:val="0084686A"/>
    <w:rsid w:val="00846EF2"/>
    <w:rsid w:val="00847257"/>
    <w:rsid w:val="00850A72"/>
    <w:rsid w:val="00850FF9"/>
    <w:rsid w:val="00851ACA"/>
    <w:rsid w:val="008521F2"/>
    <w:rsid w:val="008522D8"/>
    <w:rsid w:val="008536B3"/>
    <w:rsid w:val="0085395C"/>
    <w:rsid w:val="00853EA2"/>
    <w:rsid w:val="00853F15"/>
    <w:rsid w:val="00855535"/>
    <w:rsid w:val="008555E1"/>
    <w:rsid w:val="008556D0"/>
    <w:rsid w:val="0085603E"/>
    <w:rsid w:val="00856446"/>
    <w:rsid w:val="0085655D"/>
    <w:rsid w:val="00856898"/>
    <w:rsid w:val="008572FA"/>
    <w:rsid w:val="00857922"/>
    <w:rsid w:val="00860263"/>
    <w:rsid w:val="00860D0F"/>
    <w:rsid w:val="00860D14"/>
    <w:rsid w:val="00860E22"/>
    <w:rsid w:val="008611FF"/>
    <w:rsid w:val="0086185D"/>
    <w:rsid w:val="00861881"/>
    <w:rsid w:val="00862512"/>
    <w:rsid w:val="008625E5"/>
    <w:rsid w:val="00863162"/>
    <w:rsid w:val="00863223"/>
    <w:rsid w:val="00863602"/>
    <w:rsid w:val="00863C17"/>
    <w:rsid w:val="00864127"/>
    <w:rsid w:val="008642D9"/>
    <w:rsid w:val="00864BCE"/>
    <w:rsid w:val="00865B3D"/>
    <w:rsid w:val="00865D6E"/>
    <w:rsid w:val="0086673D"/>
    <w:rsid w:val="00866820"/>
    <w:rsid w:val="00866A3A"/>
    <w:rsid w:val="00866D36"/>
    <w:rsid w:val="0086769A"/>
    <w:rsid w:val="008676C1"/>
    <w:rsid w:val="00867C4A"/>
    <w:rsid w:val="00870603"/>
    <w:rsid w:val="00870E62"/>
    <w:rsid w:val="00870EAF"/>
    <w:rsid w:val="00871018"/>
    <w:rsid w:val="00871159"/>
    <w:rsid w:val="00871594"/>
    <w:rsid w:val="008718FC"/>
    <w:rsid w:val="00871E71"/>
    <w:rsid w:val="008720F4"/>
    <w:rsid w:val="0087273D"/>
    <w:rsid w:val="008733CB"/>
    <w:rsid w:val="00873990"/>
    <w:rsid w:val="008741A8"/>
    <w:rsid w:val="00874745"/>
    <w:rsid w:val="0087495C"/>
    <w:rsid w:val="00875B33"/>
    <w:rsid w:val="0087649C"/>
    <w:rsid w:val="0087682D"/>
    <w:rsid w:val="00877A05"/>
    <w:rsid w:val="00880F2B"/>
    <w:rsid w:val="00880FB3"/>
    <w:rsid w:val="008812A5"/>
    <w:rsid w:val="008812DD"/>
    <w:rsid w:val="008817D3"/>
    <w:rsid w:val="0088187C"/>
    <w:rsid w:val="00881951"/>
    <w:rsid w:val="0088205C"/>
    <w:rsid w:val="008820E9"/>
    <w:rsid w:val="00882142"/>
    <w:rsid w:val="0088225F"/>
    <w:rsid w:val="00883343"/>
    <w:rsid w:val="008834A1"/>
    <w:rsid w:val="00883665"/>
    <w:rsid w:val="00883851"/>
    <w:rsid w:val="00883D04"/>
    <w:rsid w:val="00883DBD"/>
    <w:rsid w:val="008848E7"/>
    <w:rsid w:val="00884A6B"/>
    <w:rsid w:val="00885358"/>
    <w:rsid w:val="0088590A"/>
    <w:rsid w:val="00885F42"/>
    <w:rsid w:val="00886B84"/>
    <w:rsid w:val="008874F8"/>
    <w:rsid w:val="008876A9"/>
    <w:rsid w:val="00890E77"/>
    <w:rsid w:val="00891910"/>
    <w:rsid w:val="00891B48"/>
    <w:rsid w:val="00891FD7"/>
    <w:rsid w:val="00892152"/>
    <w:rsid w:val="00892A7C"/>
    <w:rsid w:val="00892AE6"/>
    <w:rsid w:val="00892CDD"/>
    <w:rsid w:val="008931A1"/>
    <w:rsid w:val="00893B36"/>
    <w:rsid w:val="00893D4F"/>
    <w:rsid w:val="00894306"/>
    <w:rsid w:val="00894D77"/>
    <w:rsid w:val="008952AA"/>
    <w:rsid w:val="00895FA5"/>
    <w:rsid w:val="008960F4"/>
    <w:rsid w:val="0089621A"/>
    <w:rsid w:val="00896683"/>
    <w:rsid w:val="00896DF8"/>
    <w:rsid w:val="00896F58"/>
    <w:rsid w:val="00896F86"/>
    <w:rsid w:val="0089719F"/>
    <w:rsid w:val="008978E8"/>
    <w:rsid w:val="00897A57"/>
    <w:rsid w:val="008A1339"/>
    <w:rsid w:val="008A1592"/>
    <w:rsid w:val="008A16AF"/>
    <w:rsid w:val="008A18AB"/>
    <w:rsid w:val="008A1973"/>
    <w:rsid w:val="008A1B7E"/>
    <w:rsid w:val="008A1EA6"/>
    <w:rsid w:val="008A2B05"/>
    <w:rsid w:val="008A30CF"/>
    <w:rsid w:val="008A3972"/>
    <w:rsid w:val="008A3AF2"/>
    <w:rsid w:val="008A3C8A"/>
    <w:rsid w:val="008A4554"/>
    <w:rsid w:val="008A4761"/>
    <w:rsid w:val="008A480E"/>
    <w:rsid w:val="008A4C04"/>
    <w:rsid w:val="008A4D00"/>
    <w:rsid w:val="008A5022"/>
    <w:rsid w:val="008A50C0"/>
    <w:rsid w:val="008A543B"/>
    <w:rsid w:val="008A582E"/>
    <w:rsid w:val="008A7B53"/>
    <w:rsid w:val="008A7C1D"/>
    <w:rsid w:val="008A7E74"/>
    <w:rsid w:val="008A7F0C"/>
    <w:rsid w:val="008B0200"/>
    <w:rsid w:val="008B0475"/>
    <w:rsid w:val="008B086E"/>
    <w:rsid w:val="008B0EDE"/>
    <w:rsid w:val="008B15FD"/>
    <w:rsid w:val="008B1AC9"/>
    <w:rsid w:val="008B252B"/>
    <w:rsid w:val="008B2B88"/>
    <w:rsid w:val="008B2DE4"/>
    <w:rsid w:val="008B3231"/>
    <w:rsid w:val="008B3A00"/>
    <w:rsid w:val="008B3A57"/>
    <w:rsid w:val="008B3B2D"/>
    <w:rsid w:val="008B4038"/>
    <w:rsid w:val="008B49EC"/>
    <w:rsid w:val="008B4AD8"/>
    <w:rsid w:val="008B4F6F"/>
    <w:rsid w:val="008B508B"/>
    <w:rsid w:val="008B55F0"/>
    <w:rsid w:val="008B6464"/>
    <w:rsid w:val="008B7730"/>
    <w:rsid w:val="008B78BC"/>
    <w:rsid w:val="008B7A9B"/>
    <w:rsid w:val="008B7EBE"/>
    <w:rsid w:val="008C18C5"/>
    <w:rsid w:val="008C211B"/>
    <w:rsid w:val="008C2674"/>
    <w:rsid w:val="008C280F"/>
    <w:rsid w:val="008C2841"/>
    <w:rsid w:val="008C34A1"/>
    <w:rsid w:val="008C3543"/>
    <w:rsid w:val="008C386D"/>
    <w:rsid w:val="008C3BEC"/>
    <w:rsid w:val="008C4427"/>
    <w:rsid w:val="008C4772"/>
    <w:rsid w:val="008C4BAC"/>
    <w:rsid w:val="008C4FC2"/>
    <w:rsid w:val="008C51C5"/>
    <w:rsid w:val="008C53A1"/>
    <w:rsid w:val="008C56FC"/>
    <w:rsid w:val="008C5F0F"/>
    <w:rsid w:val="008C61E1"/>
    <w:rsid w:val="008C6319"/>
    <w:rsid w:val="008C6365"/>
    <w:rsid w:val="008C6410"/>
    <w:rsid w:val="008C7454"/>
    <w:rsid w:val="008C7AD9"/>
    <w:rsid w:val="008D09E7"/>
    <w:rsid w:val="008D111D"/>
    <w:rsid w:val="008D1233"/>
    <w:rsid w:val="008D1BB4"/>
    <w:rsid w:val="008D24FD"/>
    <w:rsid w:val="008D2ECE"/>
    <w:rsid w:val="008D34D6"/>
    <w:rsid w:val="008D3B29"/>
    <w:rsid w:val="008D3F49"/>
    <w:rsid w:val="008D4068"/>
    <w:rsid w:val="008D41B5"/>
    <w:rsid w:val="008D48BC"/>
    <w:rsid w:val="008D5822"/>
    <w:rsid w:val="008D59B7"/>
    <w:rsid w:val="008D5A2B"/>
    <w:rsid w:val="008D5BDC"/>
    <w:rsid w:val="008D6417"/>
    <w:rsid w:val="008D6A03"/>
    <w:rsid w:val="008D72C1"/>
    <w:rsid w:val="008D752E"/>
    <w:rsid w:val="008D7DB1"/>
    <w:rsid w:val="008E004D"/>
    <w:rsid w:val="008E0054"/>
    <w:rsid w:val="008E0362"/>
    <w:rsid w:val="008E05D0"/>
    <w:rsid w:val="008E1057"/>
    <w:rsid w:val="008E1505"/>
    <w:rsid w:val="008E1821"/>
    <w:rsid w:val="008E2022"/>
    <w:rsid w:val="008E21C2"/>
    <w:rsid w:val="008E2B64"/>
    <w:rsid w:val="008E2DDA"/>
    <w:rsid w:val="008E33DF"/>
    <w:rsid w:val="008E34A6"/>
    <w:rsid w:val="008E38C6"/>
    <w:rsid w:val="008E3965"/>
    <w:rsid w:val="008E3B24"/>
    <w:rsid w:val="008E3CB5"/>
    <w:rsid w:val="008E3D20"/>
    <w:rsid w:val="008E3D8B"/>
    <w:rsid w:val="008E43E8"/>
    <w:rsid w:val="008E4573"/>
    <w:rsid w:val="008E4D1F"/>
    <w:rsid w:val="008E4F05"/>
    <w:rsid w:val="008E5986"/>
    <w:rsid w:val="008E5AF2"/>
    <w:rsid w:val="008E6CCF"/>
    <w:rsid w:val="008E6D6F"/>
    <w:rsid w:val="008E7139"/>
    <w:rsid w:val="008E7159"/>
    <w:rsid w:val="008E786B"/>
    <w:rsid w:val="008F01C9"/>
    <w:rsid w:val="008F0235"/>
    <w:rsid w:val="008F0237"/>
    <w:rsid w:val="008F052D"/>
    <w:rsid w:val="008F0972"/>
    <w:rsid w:val="008F099C"/>
    <w:rsid w:val="008F2F19"/>
    <w:rsid w:val="008F3342"/>
    <w:rsid w:val="008F3AB0"/>
    <w:rsid w:val="008F4B72"/>
    <w:rsid w:val="008F58B9"/>
    <w:rsid w:val="008F5FC4"/>
    <w:rsid w:val="008F661A"/>
    <w:rsid w:val="008F6A4F"/>
    <w:rsid w:val="008F6B05"/>
    <w:rsid w:val="008F7D73"/>
    <w:rsid w:val="008F7F29"/>
    <w:rsid w:val="0090034C"/>
    <w:rsid w:val="00900470"/>
    <w:rsid w:val="0090075D"/>
    <w:rsid w:val="00901914"/>
    <w:rsid w:val="00901AA2"/>
    <w:rsid w:val="00901D3D"/>
    <w:rsid w:val="00902644"/>
    <w:rsid w:val="00902A60"/>
    <w:rsid w:val="0090322C"/>
    <w:rsid w:val="009032DB"/>
    <w:rsid w:val="009035B5"/>
    <w:rsid w:val="00903E11"/>
    <w:rsid w:val="00904448"/>
    <w:rsid w:val="0090455D"/>
    <w:rsid w:val="00904D4E"/>
    <w:rsid w:val="00904F61"/>
    <w:rsid w:val="00905E18"/>
    <w:rsid w:val="00905EA1"/>
    <w:rsid w:val="0090660F"/>
    <w:rsid w:val="00906A3B"/>
    <w:rsid w:val="00906E0D"/>
    <w:rsid w:val="009070A5"/>
    <w:rsid w:val="00907C60"/>
    <w:rsid w:val="0091038B"/>
    <w:rsid w:val="0091051A"/>
    <w:rsid w:val="00910D9D"/>
    <w:rsid w:val="00911265"/>
    <w:rsid w:val="009114E0"/>
    <w:rsid w:val="00911656"/>
    <w:rsid w:val="00911B69"/>
    <w:rsid w:val="00911D69"/>
    <w:rsid w:val="00911F03"/>
    <w:rsid w:val="00912C90"/>
    <w:rsid w:val="009132B0"/>
    <w:rsid w:val="00913A65"/>
    <w:rsid w:val="00913DF2"/>
    <w:rsid w:val="00914159"/>
    <w:rsid w:val="00915115"/>
    <w:rsid w:val="00915446"/>
    <w:rsid w:val="009157AE"/>
    <w:rsid w:val="00915D17"/>
    <w:rsid w:val="00915F02"/>
    <w:rsid w:val="00915FE5"/>
    <w:rsid w:val="00916111"/>
    <w:rsid w:val="009164C9"/>
    <w:rsid w:val="00916D33"/>
    <w:rsid w:val="00917B8B"/>
    <w:rsid w:val="009205DF"/>
    <w:rsid w:val="009206CC"/>
    <w:rsid w:val="00920721"/>
    <w:rsid w:val="009207EF"/>
    <w:rsid w:val="00920807"/>
    <w:rsid w:val="00920F48"/>
    <w:rsid w:val="00921A3E"/>
    <w:rsid w:val="0092248C"/>
    <w:rsid w:val="00923958"/>
    <w:rsid w:val="0092412C"/>
    <w:rsid w:val="00924717"/>
    <w:rsid w:val="00924CAD"/>
    <w:rsid w:val="00924F93"/>
    <w:rsid w:val="00925434"/>
    <w:rsid w:val="00925529"/>
    <w:rsid w:val="0092572C"/>
    <w:rsid w:val="00925DA9"/>
    <w:rsid w:val="00925FF9"/>
    <w:rsid w:val="009262AD"/>
    <w:rsid w:val="00926321"/>
    <w:rsid w:val="00926C4C"/>
    <w:rsid w:val="00927BF4"/>
    <w:rsid w:val="0093036C"/>
    <w:rsid w:val="00930EE2"/>
    <w:rsid w:val="00931171"/>
    <w:rsid w:val="00931429"/>
    <w:rsid w:val="00931B89"/>
    <w:rsid w:val="009329E0"/>
    <w:rsid w:val="00932D21"/>
    <w:rsid w:val="00932FBE"/>
    <w:rsid w:val="00933508"/>
    <w:rsid w:val="0093362F"/>
    <w:rsid w:val="0093381A"/>
    <w:rsid w:val="00933B0C"/>
    <w:rsid w:val="009343DD"/>
    <w:rsid w:val="00934DB4"/>
    <w:rsid w:val="00935B3E"/>
    <w:rsid w:val="00935C98"/>
    <w:rsid w:val="00936193"/>
    <w:rsid w:val="00936339"/>
    <w:rsid w:val="00937047"/>
    <w:rsid w:val="009419A9"/>
    <w:rsid w:val="00941ACF"/>
    <w:rsid w:val="00941E62"/>
    <w:rsid w:val="00942833"/>
    <w:rsid w:val="00942A19"/>
    <w:rsid w:val="00943058"/>
    <w:rsid w:val="009444B4"/>
    <w:rsid w:val="00944516"/>
    <w:rsid w:val="00944588"/>
    <w:rsid w:val="00944636"/>
    <w:rsid w:val="00944639"/>
    <w:rsid w:val="009447E2"/>
    <w:rsid w:val="0094506F"/>
    <w:rsid w:val="0094552C"/>
    <w:rsid w:val="00945EF9"/>
    <w:rsid w:val="00946CF4"/>
    <w:rsid w:val="009471A3"/>
    <w:rsid w:val="009471CE"/>
    <w:rsid w:val="00947335"/>
    <w:rsid w:val="00947608"/>
    <w:rsid w:val="00947CC8"/>
    <w:rsid w:val="009506C0"/>
    <w:rsid w:val="0095088F"/>
    <w:rsid w:val="0095137F"/>
    <w:rsid w:val="0095141A"/>
    <w:rsid w:val="00951545"/>
    <w:rsid w:val="00951F6F"/>
    <w:rsid w:val="00952538"/>
    <w:rsid w:val="00952C6A"/>
    <w:rsid w:val="00952DF7"/>
    <w:rsid w:val="00953A55"/>
    <w:rsid w:val="00953AFC"/>
    <w:rsid w:val="00953B10"/>
    <w:rsid w:val="00953B78"/>
    <w:rsid w:val="00953CA4"/>
    <w:rsid w:val="00953DD3"/>
    <w:rsid w:val="00953F21"/>
    <w:rsid w:val="009541DE"/>
    <w:rsid w:val="009542F0"/>
    <w:rsid w:val="00954A4B"/>
    <w:rsid w:val="00954CE8"/>
    <w:rsid w:val="00955925"/>
    <w:rsid w:val="00955CBB"/>
    <w:rsid w:val="00955DEF"/>
    <w:rsid w:val="0095612E"/>
    <w:rsid w:val="0095689F"/>
    <w:rsid w:val="00956BB2"/>
    <w:rsid w:val="00957303"/>
    <w:rsid w:val="00957790"/>
    <w:rsid w:val="0096071C"/>
    <w:rsid w:val="00960B5F"/>
    <w:rsid w:val="00960B62"/>
    <w:rsid w:val="00961175"/>
    <w:rsid w:val="009613E0"/>
    <w:rsid w:val="009615D5"/>
    <w:rsid w:val="00962127"/>
    <w:rsid w:val="0096225E"/>
    <w:rsid w:val="00963299"/>
    <w:rsid w:val="00963409"/>
    <w:rsid w:val="00965486"/>
    <w:rsid w:val="0096657D"/>
    <w:rsid w:val="0096719F"/>
    <w:rsid w:val="009718C0"/>
    <w:rsid w:val="00971ABC"/>
    <w:rsid w:val="00971DE6"/>
    <w:rsid w:val="0097265C"/>
    <w:rsid w:val="009729D2"/>
    <w:rsid w:val="009729F9"/>
    <w:rsid w:val="00972EB8"/>
    <w:rsid w:val="00973359"/>
    <w:rsid w:val="0097371D"/>
    <w:rsid w:val="00973E20"/>
    <w:rsid w:val="0097491F"/>
    <w:rsid w:val="00974F6B"/>
    <w:rsid w:val="009750EC"/>
    <w:rsid w:val="009757D3"/>
    <w:rsid w:val="00975C5E"/>
    <w:rsid w:val="009765CF"/>
    <w:rsid w:val="009766E4"/>
    <w:rsid w:val="00977445"/>
    <w:rsid w:val="00977B3F"/>
    <w:rsid w:val="00977D14"/>
    <w:rsid w:val="00977F4C"/>
    <w:rsid w:val="009802A2"/>
    <w:rsid w:val="00980357"/>
    <w:rsid w:val="009807CB"/>
    <w:rsid w:val="00980C4F"/>
    <w:rsid w:val="00981171"/>
    <w:rsid w:val="00981A11"/>
    <w:rsid w:val="00982055"/>
    <w:rsid w:val="009820C2"/>
    <w:rsid w:val="009822D3"/>
    <w:rsid w:val="009824F2"/>
    <w:rsid w:val="009825E3"/>
    <w:rsid w:val="009828ED"/>
    <w:rsid w:val="009836CE"/>
    <w:rsid w:val="00983770"/>
    <w:rsid w:val="00983BD7"/>
    <w:rsid w:val="00984C44"/>
    <w:rsid w:val="0098529B"/>
    <w:rsid w:val="009856A5"/>
    <w:rsid w:val="009862D5"/>
    <w:rsid w:val="00986845"/>
    <w:rsid w:val="00987291"/>
    <w:rsid w:val="00987B30"/>
    <w:rsid w:val="00987C15"/>
    <w:rsid w:val="00990542"/>
    <w:rsid w:val="0099058A"/>
    <w:rsid w:val="0099195C"/>
    <w:rsid w:val="00992ACF"/>
    <w:rsid w:val="00993038"/>
    <w:rsid w:val="009938C2"/>
    <w:rsid w:val="00993FDC"/>
    <w:rsid w:val="00994631"/>
    <w:rsid w:val="009954BF"/>
    <w:rsid w:val="00995C7F"/>
    <w:rsid w:val="009962CA"/>
    <w:rsid w:val="009967DF"/>
    <w:rsid w:val="009967EE"/>
    <w:rsid w:val="00996FFC"/>
    <w:rsid w:val="009973AD"/>
    <w:rsid w:val="00997B60"/>
    <w:rsid w:val="00997BB3"/>
    <w:rsid w:val="009A0AB8"/>
    <w:rsid w:val="009A0ED8"/>
    <w:rsid w:val="009A0FAB"/>
    <w:rsid w:val="009A1D65"/>
    <w:rsid w:val="009A299E"/>
    <w:rsid w:val="009A2FB6"/>
    <w:rsid w:val="009A361B"/>
    <w:rsid w:val="009A3FF8"/>
    <w:rsid w:val="009A4373"/>
    <w:rsid w:val="009A4394"/>
    <w:rsid w:val="009A52B5"/>
    <w:rsid w:val="009A539D"/>
    <w:rsid w:val="009A55BD"/>
    <w:rsid w:val="009A570E"/>
    <w:rsid w:val="009A5E4C"/>
    <w:rsid w:val="009A6A9A"/>
    <w:rsid w:val="009A75FD"/>
    <w:rsid w:val="009A79DE"/>
    <w:rsid w:val="009A7BCE"/>
    <w:rsid w:val="009A7D8E"/>
    <w:rsid w:val="009B03EA"/>
    <w:rsid w:val="009B04ED"/>
    <w:rsid w:val="009B0B33"/>
    <w:rsid w:val="009B12BB"/>
    <w:rsid w:val="009B19DC"/>
    <w:rsid w:val="009B1A39"/>
    <w:rsid w:val="009B2016"/>
    <w:rsid w:val="009B2B2B"/>
    <w:rsid w:val="009B2C8A"/>
    <w:rsid w:val="009B2D20"/>
    <w:rsid w:val="009B2E94"/>
    <w:rsid w:val="009B362F"/>
    <w:rsid w:val="009B38E2"/>
    <w:rsid w:val="009B3AEB"/>
    <w:rsid w:val="009B4048"/>
    <w:rsid w:val="009B49B4"/>
    <w:rsid w:val="009B4AF7"/>
    <w:rsid w:val="009B5EAE"/>
    <w:rsid w:val="009B624B"/>
    <w:rsid w:val="009B6724"/>
    <w:rsid w:val="009B7DC3"/>
    <w:rsid w:val="009B7FBA"/>
    <w:rsid w:val="009C07ED"/>
    <w:rsid w:val="009C0D91"/>
    <w:rsid w:val="009C1820"/>
    <w:rsid w:val="009C1883"/>
    <w:rsid w:val="009C197F"/>
    <w:rsid w:val="009C202E"/>
    <w:rsid w:val="009C28AB"/>
    <w:rsid w:val="009C28F9"/>
    <w:rsid w:val="009C3347"/>
    <w:rsid w:val="009C359D"/>
    <w:rsid w:val="009C360E"/>
    <w:rsid w:val="009C441B"/>
    <w:rsid w:val="009C4507"/>
    <w:rsid w:val="009C4B8C"/>
    <w:rsid w:val="009C55BC"/>
    <w:rsid w:val="009C698D"/>
    <w:rsid w:val="009C6C2D"/>
    <w:rsid w:val="009C6CE9"/>
    <w:rsid w:val="009C6E7E"/>
    <w:rsid w:val="009C70CE"/>
    <w:rsid w:val="009C7167"/>
    <w:rsid w:val="009C74BD"/>
    <w:rsid w:val="009C7B83"/>
    <w:rsid w:val="009C7ECA"/>
    <w:rsid w:val="009D0B52"/>
    <w:rsid w:val="009D0B7D"/>
    <w:rsid w:val="009D0F90"/>
    <w:rsid w:val="009D1235"/>
    <w:rsid w:val="009D25AF"/>
    <w:rsid w:val="009D30D1"/>
    <w:rsid w:val="009D3917"/>
    <w:rsid w:val="009D3FA1"/>
    <w:rsid w:val="009D406F"/>
    <w:rsid w:val="009D4333"/>
    <w:rsid w:val="009D4AA9"/>
    <w:rsid w:val="009D4C3D"/>
    <w:rsid w:val="009D4D87"/>
    <w:rsid w:val="009D4F49"/>
    <w:rsid w:val="009D5878"/>
    <w:rsid w:val="009D6931"/>
    <w:rsid w:val="009D747A"/>
    <w:rsid w:val="009D7D00"/>
    <w:rsid w:val="009D7D97"/>
    <w:rsid w:val="009D7F6D"/>
    <w:rsid w:val="009E0397"/>
    <w:rsid w:val="009E14E0"/>
    <w:rsid w:val="009E2880"/>
    <w:rsid w:val="009E2E36"/>
    <w:rsid w:val="009E368E"/>
    <w:rsid w:val="009E39AA"/>
    <w:rsid w:val="009E3F67"/>
    <w:rsid w:val="009E4662"/>
    <w:rsid w:val="009E56CF"/>
    <w:rsid w:val="009E654A"/>
    <w:rsid w:val="009E693C"/>
    <w:rsid w:val="009E6DAC"/>
    <w:rsid w:val="009E7476"/>
    <w:rsid w:val="009F0000"/>
    <w:rsid w:val="009F0159"/>
    <w:rsid w:val="009F0274"/>
    <w:rsid w:val="009F07B8"/>
    <w:rsid w:val="009F0F99"/>
    <w:rsid w:val="009F136D"/>
    <w:rsid w:val="009F151D"/>
    <w:rsid w:val="009F26A5"/>
    <w:rsid w:val="009F26CC"/>
    <w:rsid w:val="009F3619"/>
    <w:rsid w:val="009F40F5"/>
    <w:rsid w:val="009F46F2"/>
    <w:rsid w:val="009F4871"/>
    <w:rsid w:val="009F4B65"/>
    <w:rsid w:val="009F5168"/>
    <w:rsid w:val="009F5225"/>
    <w:rsid w:val="009F5AB0"/>
    <w:rsid w:val="009F5B63"/>
    <w:rsid w:val="009F5BE5"/>
    <w:rsid w:val="009F6338"/>
    <w:rsid w:val="009F6EF1"/>
    <w:rsid w:val="009F7FCD"/>
    <w:rsid w:val="00A00059"/>
    <w:rsid w:val="00A000B4"/>
    <w:rsid w:val="00A002C9"/>
    <w:rsid w:val="00A00560"/>
    <w:rsid w:val="00A0089B"/>
    <w:rsid w:val="00A01048"/>
    <w:rsid w:val="00A013BC"/>
    <w:rsid w:val="00A01D58"/>
    <w:rsid w:val="00A01EFB"/>
    <w:rsid w:val="00A022A7"/>
    <w:rsid w:val="00A024FA"/>
    <w:rsid w:val="00A02927"/>
    <w:rsid w:val="00A02F32"/>
    <w:rsid w:val="00A034CF"/>
    <w:rsid w:val="00A03AFD"/>
    <w:rsid w:val="00A04A98"/>
    <w:rsid w:val="00A04D22"/>
    <w:rsid w:val="00A04E2A"/>
    <w:rsid w:val="00A0531C"/>
    <w:rsid w:val="00A05B75"/>
    <w:rsid w:val="00A05D5D"/>
    <w:rsid w:val="00A05DA5"/>
    <w:rsid w:val="00A06851"/>
    <w:rsid w:val="00A06906"/>
    <w:rsid w:val="00A06F04"/>
    <w:rsid w:val="00A07056"/>
    <w:rsid w:val="00A07375"/>
    <w:rsid w:val="00A073C5"/>
    <w:rsid w:val="00A07A4D"/>
    <w:rsid w:val="00A07D56"/>
    <w:rsid w:val="00A10457"/>
    <w:rsid w:val="00A11A83"/>
    <w:rsid w:val="00A11B1E"/>
    <w:rsid w:val="00A11C32"/>
    <w:rsid w:val="00A11D8C"/>
    <w:rsid w:val="00A121F3"/>
    <w:rsid w:val="00A1239B"/>
    <w:rsid w:val="00A134A7"/>
    <w:rsid w:val="00A136DC"/>
    <w:rsid w:val="00A1411D"/>
    <w:rsid w:val="00A14F9E"/>
    <w:rsid w:val="00A15686"/>
    <w:rsid w:val="00A156D6"/>
    <w:rsid w:val="00A16E9B"/>
    <w:rsid w:val="00A17A19"/>
    <w:rsid w:val="00A17ADF"/>
    <w:rsid w:val="00A20064"/>
    <w:rsid w:val="00A21188"/>
    <w:rsid w:val="00A2157A"/>
    <w:rsid w:val="00A215C3"/>
    <w:rsid w:val="00A21A8D"/>
    <w:rsid w:val="00A21E14"/>
    <w:rsid w:val="00A2243A"/>
    <w:rsid w:val="00A2297B"/>
    <w:rsid w:val="00A2312F"/>
    <w:rsid w:val="00A2322E"/>
    <w:rsid w:val="00A238BA"/>
    <w:rsid w:val="00A23919"/>
    <w:rsid w:val="00A2448A"/>
    <w:rsid w:val="00A24496"/>
    <w:rsid w:val="00A24CB7"/>
    <w:rsid w:val="00A24E24"/>
    <w:rsid w:val="00A256FE"/>
    <w:rsid w:val="00A2578B"/>
    <w:rsid w:val="00A25B25"/>
    <w:rsid w:val="00A25BB9"/>
    <w:rsid w:val="00A25C4F"/>
    <w:rsid w:val="00A26283"/>
    <w:rsid w:val="00A265DE"/>
    <w:rsid w:val="00A2672A"/>
    <w:rsid w:val="00A26CC9"/>
    <w:rsid w:val="00A27AB4"/>
    <w:rsid w:val="00A27D07"/>
    <w:rsid w:val="00A27E50"/>
    <w:rsid w:val="00A302BD"/>
    <w:rsid w:val="00A3078B"/>
    <w:rsid w:val="00A30796"/>
    <w:rsid w:val="00A30B81"/>
    <w:rsid w:val="00A30F8F"/>
    <w:rsid w:val="00A314A5"/>
    <w:rsid w:val="00A31884"/>
    <w:rsid w:val="00A31C74"/>
    <w:rsid w:val="00A32AC2"/>
    <w:rsid w:val="00A32C4C"/>
    <w:rsid w:val="00A33B53"/>
    <w:rsid w:val="00A33EA4"/>
    <w:rsid w:val="00A3416A"/>
    <w:rsid w:val="00A356B4"/>
    <w:rsid w:val="00A35964"/>
    <w:rsid w:val="00A35A3D"/>
    <w:rsid w:val="00A35B69"/>
    <w:rsid w:val="00A3619C"/>
    <w:rsid w:val="00A368D2"/>
    <w:rsid w:val="00A36A4E"/>
    <w:rsid w:val="00A370D3"/>
    <w:rsid w:val="00A4007F"/>
    <w:rsid w:val="00A40E98"/>
    <w:rsid w:val="00A418A0"/>
    <w:rsid w:val="00A41AD5"/>
    <w:rsid w:val="00A4236C"/>
    <w:rsid w:val="00A42651"/>
    <w:rsid w:val="00A427FF"/>
    <w:rsid w:val="00A43030"/>
    <w:rsid w:val="00A431C5"/>
    <w:rsid w:val="00A43608"/>
    <w:rsid w:val="00A43F63"/>
    <w:rsid w:val="00A44D2D"/>
    <w:rsid w:val="00A45022"/>
    <w:rsid w:val="00A4515F"/>
    <w:rsid w:val="00A45FEE"/>
    <w:rsid w:val="00A46E01"/>
    <w:rsid w:val="00A46FCF"/>
    <w:rsid w:val="00A5153F"/>
    <w:rsid w:val="00A51838"/>
    <w:rsid w:val="00A51E9A"/>
    <w:rsid w:val="00A52145"/>
    <w:rsid w:val="00A521F6"/>
    <w:rsid w:val="00A522EF"/>
    <w:rsid w:val="00A5276E"/>
    <w:rsid w:val="00A527B4"/>
    <w:rsid w:val="00A52A9F"/>
    <w:rsid w:val="00A52B7A"/>
    <w:rsid w:val="00A52C49"/>
    <w:rsid w:val="00A52D26"/>
    <w:rsid w:val="00A52DF7"/>
    <w:rsid w:val="00A52E40"/>
    <w:rsid w:val="00A52F72"/>
    <w:rsid w:val="00A53003"/>
    <w:rsid w:val="00A53348"/>
    <w:rsid w:val="00A53463"/>
    <w:rsid w:val="00A53642"/>
    <w:rsid w:val="00A53644"/>
    <w:rsid w:val="00A53B05"/>
    <w:rsid w:val="00A53CF5"/>
    <w:rsid w:val="00A53F67"/>
    <w:rsid w:val="00A543D9"/>
    <w:rsid w:val="00A54511"/>
    <w:rsid w:val="00A5528A"/>
    <w:rsid w:val="00A5588C"/>
    <w:rsid w:val="00A562D2"/>
    <w:rsid w:val="00A568F6"/>
    <w:rsid w:val="00A56CE3"/>
    <w:rsid w:val="00A56D44"/>
    <w:rsid w:val="00A56DC0"/>
    <w:rsid w:val="00A57715"/>
    <w:rsid w:val="00A57BB2"/>
    <w:rsid w:val="00A60B68"/>
    <w:rsid w:val="00A60F43"/>
    <w:rsid w:val="00A61804"/>
    <w:rsid w:val="00A61BE6"/>
    <w:rsid w:val="00A61D99"/>
    <w:rsid w:val="00A61F19"/>
    <w:rsid w:val="00A62286"/>
    <w:rsid w:val="00A6280E"/>
    <w:rsid w:val="00A62BCF"/>
    <w:rsid w:val="00A62E4A"/>
    <w:rsid w:val="00A636C6"/>
    <w:rsid w:val="00A637B4"/>
    <w:rsid w:val="00A6383A"/>
    <w:rsid w:val="00A6416E"/>
    <w:rsid w:val="00A6483C"/>
    <w:rsid w:val="00A64FF4"/>
    <w:rsid w:val="00A653D6"/>
    <w:rsid w:val="00A6549E"/>
    <w:rsid w:val="00A65635"/>
    <w:rsid w:val="00A65EE2"/>
    <w:rsid w:val="00A67950"/>
    <w:rsid w:val="00A67FCD"/>
    <w:rsid w:val="00A7003D"/>
    <w:rsid w:val="00A7021C"/>
    <w:rsid w:val="00A7040E"/>
    <w:rsid w:val="00A704D3"/>
    <w:rsid w:val="00A70510"/>
    <w:rsid w:val="00A70584"/>
    <w:rsid w:val="00A7075E"/>
    <w:rsid w:val="00A70801"/>
    <w:rsid w:val="00A70834"/>
    <w:rsid w:val="00A70961"/>
    <w:rsid w:val="00A70EDF"/>
    <w:rsid w:val="00A7123C"/>
    <w:rsid w:val="00A71944"/>
    <w:rsid w:val="00A71B6D"/>
    <w:rsid w:val="00A71F1F"/>
    <w:rsid w:val="00A72F13"/>
    <w:rsid w:val="00A732A5"/>
    <w:rsid w:val="00A74A05"/>
    <w:rsid w:val="00A74BD4"/>
    <w:rsid w:val="00A76536"/>
    <w:rsid w:val="00A7679E"/>
    <w:rsid w:val="00A769BD"/>
    <w:rsid w:val="00A76C4B"/>
    <w:rsid w:val="00A76C8C"/>
    <w:rsid w:val="00A76CB8"/>
    <w:rsid w:val="00A80409"/>
    <w:rsid w:val="00A80DE3"/>
    <w:rsid w:val="00A81ACF"/>
    <w:rsid w:val="00A820CE"/>
    <w:rsid w:val="00A825D9"/>
    <w:rsid w:val="00A82D15"/>
    <w:rsid w:val="00A832E1"/>
    <w:rsid w:val="00A837A8"/>
    <w:rsid w:val="00A83F0A"/>
    <w:rsid w:val="00A84AAA"/>
    <w:rsid w:val="00A85867"/>
    <w:rsid w:val="00A86C61"/>
    <w:rsid w:val="00A86CD4"/>
    <w:rsid w:val="00A8761D"/>
    <w:rsid w:val="00A91075"/>
    <w:rsid w:val="00A91484"/>
    <w:rsid w:val="00A91763"/>
    <w:rsid w:val="00A921DD"/>
    <w:rsid w:val="00A92823"/>
    <w:rsid w:val="00A930C6"/>
    <w:rsid w:val="00A93656"/>
    <w:rsid w:val="00A9367B"/>
    <w:rsid w:val="00A93A30"/>
    <w:rsid w:val="00A94217"/>
    <w:rsid w:val="00A944AF"/>
    <w:rsid w:val="00A94503"/>
    <w:rsid w:val="00A95134"/>
    <w:rsid w:val="00A95245"/>
    <w:rsid w:val="00A9565F"/>
    <w:rsid w:val="00A9581D"/>
    <w:rsid w:val="00A95D42"/>
    <w:rsid w:val="00A95FA8"/>
    <w:rsid w:val="00A9660B"/>
    <w:rsid w:val="00A96ADA"/>
    <w:rsid w:val="00A9767A"/>
    <w:rsid w:val="00A97976"/>
    <w:rsid w:val="00A97A81"/>
    <w:rsid w:val="00AA0128"/>
    <w:rsid w:val="00AA082D"/>
    <w:rsid w:val="00AA08F3"/>
    <w:rsid w:val="00AA0EF0"/>
    <w:rsid w:val="00AA1441"/>
    <w:rsid w:val="00AA172C"/>
    <w:rsid w:val="00AA1854"/>
    <w:rsid w:val="00AA1CF5"/>
    <w:rsid w:val="00AA22AD"/>
    <w:rsid w:val="00AA2843"/>
    <w:rsid w:val="00AA31AF"/>
    <w:rsid w:val="00AA3C51"/>
    <w:rsid w:val="00AA3F84"/>
    <w:rsid w:val="00AA40BA"/>
    <w:rsid w:val="00AA449B"/>
    <w:rsid w:val="00AA57E4"/>
    <w:rsid w:val="00AA66FA"/>
    <w:rsid w:val="00AA6BAE"/>
    <w:rsid w:val="00AA7145"/>
    <w:rsid w:val="00AA7358"/>
    <w:rsid w:val="00AA7845"/>
    <w:rsid w:val="00AA79CD"/>
    <w:rsid w:val="00AA7CDF"/>
    <w:rsid w:val="00AA7E53"/>
    <w:rsid w:val="00AB0CA1"/>
    <w:rsid w:val="00AB1167"/>
    <w:rsid w:val="00AB1623"/>
    <w:rsid w:val="00AB1D0D"/>
    <w:rsid w:val="00AB1FBB"/>
    <w:rsid w:val="00AB24AA"/>
    <w:rsid w:val="00AB2CEE"/>
    <w:rsid w:val="00AB2DD6"/>
    <w:rsid w:val="00AB2FCD"/>
    <w:rsid w:val="00AB344D"/>
    <w:rsid w:val="00AB3533"/>
    <w:rsid w:val="00AB649E"/>
    <w:rsid w:val="00AB660A"/>
    <w:rsid w:val="00AB7373"/>
    <w:rsid w:val="00AB7E10"/>
    <w:rsid w:val="00AC064F"/>
    <w:rsid w:val="00AC0A3B"/>
    <w:rsid w:val="00AC0B04"/>
    <w:rsid w:val="00AC133C"/>
    <w:rsid w:val="00AC181B"/>
    <w:rsid w:val="00AC23F3"/>
    <w:rsid w:val="00AC2445"/>
    <w:rsid w:val="00AC2936"/>
    <w:rsid w:val="00AC332B"/>
    <w:rsid w:val="00AC341C"/>
    <w:rsid w:val="00AC3D8F"/>
    <w:rsid w:val="00AC4234"/>
    <w:rsid w:val="00AC432C"/>
    <w:rsid w:val="00AC4B14"/>
    <w:rsid w:val="00AC4CC0"/>
    <w:rsid w:val="00AC4DD7"/>
    <w:rsid w:val="00AC4F7E"/>
    <w:rsid w:val="00AC544A"/>
    <w:rsid w:val="00AC5DFF"/>
    <w:rsid w:val="00AC6083"/>
    <w:rsid w:val="00AC637F"/>
    <w:rsid w:val="00AC654D"/>
    <w:rsid w:val="00AC6896"/>
    <w:rsid w:val="00AC7A4B"/>
    <w:rsid w:val="00AC7BAD"/>
    <w:rsid w:val="00AD05A1"/>
    <w:rsid w:val="00AD1255"/>
    <w:rsid w:val="00AD181C"/>
    <w:rsid w:val="00AD1C27"/>
    <w:rsid w:val="00AD1E1A"/>
    <w:rsid w:val="00AD30BE"/>
    <w:rsid w:val="00AD3206"/>
    <w:rsid w:val="00AD379B"/>
    <w:rsid w:val="00AD4148"/>
    <w:rsid w:val="00AD4CD1"/>
    <w:rsid w:val="00AD516B"/>
    <w:rsid w:val="00AD52D2"/>
    <w:rsid w:val="00AD5776"/>
    <w:rsid w:val="00AD5CF1"/>
    <w:rsid w:val="00AD6B4C"/>
    <w:rsid w:val="00AD6B8C"/>
    <w:rsid w:val="00AD6F68"/>
    <w:rsid w:val="00AD70F5"/>
    <w:rsid w:val="00AD716A"/>
    <w:rsid w:val="00AD7443"/>
    <w:rsid w:val="00AD7ACB"/>
    <w:rsid w:val="00AD7AD2"/>
    <w:rsid w:val="00AE097A"/>
    <w:rsid w:val="00AE16B0"/>
    <w:rsid w:val="00AE1F2B"/>
    <w:rsid w:val="00AE23B6"/>
    <w:rsid w:val="00AE2B7E"/>
    <w:rsid w:val="00AE3334"/>
    <w:rsid w:val="00AE3577"/>
    <w:rsid w:val="00AE379A"/>
    <w:rsid w:val="00AE37F6"/>
    <w:rsid w:val="00AE3E92"/>
    <w:rsid w:val="00AE42D5"/>
    <w:rsid w:val="00AE4770"/>
    <w:rsid w:val="00AE536D"/>
    <w:rsid w:val="00AE59C1"/>
    <w:rsid w:val="00AE5B1B"/>
    <w:rsid w:val="00AE6150"/>
    <w:rsid w:val="00AE62F6"/>
    <w:rsid w:val="00AE6581"/>
    <w:rsid w:val="00AE6D2B"/>
    <w:rsid w:val="00AE7FEC"/>
    <w:rsid w:val="00AF0252"/>
    <w:rsid w:val="00AF056C"/>
    <w:rsid w:val="00AF14BA"/>
    <w:rsid w:val="00AF15C1"/>
    <w:rsid w:val="00AF163D"/>
    <w:rsid w:val="00AF1CAA"/>
    <w:rsid w:val="00AF1D4D"/>
    <w:rsid w:val="00AF1F25"/>
    <w:rsid w:val="00AF2476"/>
    <w:rsid w:val="00AF247B"/>
    <w:rsid w:val="00AF277E"/>
    <w:rsid w:val="00AF27FB"/>
    <w:rsid w:val="00AF32E5"/>
    <w:rsid w:val="00AF3439"/>
    <w:rsid w:val="00AF3B87"/>
    <w:rsid w:val="00AF3C18"/>
    <w:rsid w:val="00AF5A51"/>
    <w:rsid w:val="00AF5CC8"/>
    <w:rsid w:val="00AF5FE4"/>
    <w:rsid w:val="00AF6115"/>
    <w:rsid w:val="00AF66EF"/>
    <w:rsid w:val="00AF6A5D"/>
    <w:rsid w:val="00AF6B97"/>
    <w:rsid w:val="00AF7826"/>
    <w:rsid w:val="00AF7865"/>
    <w:rsid w:val="00AF7D27"/>
    <w:rsid w:val="00B004E6"/>
    <w:rsid w:val="00B00595"/>
    <w:rsid w:val="00B00AD6"/>
    <w:rsid w:val="00B00E4D"/>
    <w:rsid w:val="00B0174F"/>
    <w:rsid w:val="00B0179E"/>
    <w:rsid w:val="00B017D0"/>
    <w:rsid w:val="00B01E8A"/>
    <w:rsid w:val="00B01ED7"/>
    <w:rsid w:val="00B024CD"/>
    <w:rsid w:val="00B026A1"/>
    <w:rsid w:val="00B031C5"/>
    <w:rsid w:val="00B031ED"/>
    <w:rsid w:val="00B034EB"/>
    <w:rsid w:val="00B03A2D"/>
    <w:rsid w:val="00B03B29"/>
    <w:rsid w:val="00B04300"/>
    <w:rsid w:val="00B054B5"/>
    <w:rsid w:val="00B0592A"/>
    <w:rsid w:val="00B05F10"/>
    <w:rsid w:val="00B068A6"/>
    <w:rsid w:val="00B06A91"/>
    <w:rsid w:val="00B06C39"/>
    <w:rsid w:val="00B06DBD"/>
    <w:rsid w:val="00B0701F"/>
    <w:rsid w:val="00B07BA2"/>
    <w:rsid w:val="00B07BA8"/>
    <w:rsid w:val="00B07C96"/>
    <w:rsid w:val="00B10BBC"/>
    <w:rsid w:val="00B110BE"/>
    <w:rsid w:val="00B118BE"/>
    <w:rsid w:val="00B11D8B"/>
    <w:rsid w:val="00B11F52"/>
    <w:rsid w:val="00B1231A"/>
    <w:rsid w:val="00B12381"/>
    <w:rsid w:val="00B12551"/>
    <w:rsid w:val="00B127C8"/>
    <w:rsid w:val="00B12820"/>
    <w:rsid w:val="00B1289D"/>
    <w:rsid w:val="00B128E4"/>
    <w:rsid w:val="00B1295D"/>
    <w:rsid w:val="00B12EB9"/>
    <w:rsid w:val="00B13067"/>
    <w:rsid w:val="00B13789"/>
    <w:rsid w:val="00B138EE"/>
    <w:rsid w:val="00B13E08"/>
    <w:rsid w:val="00B145C5"/>
    <w:rsid w:val="00B145C9"/>
    <w:rsid w:val="00B14901"/>
    <w:rsid w:val="00B14D0B"/>
    <w:rsid w:val="00B14FA0"/>
    <w:rsid w:val="00B151CD"/>
    <w:rsid w:val="00B16A48"/>
    <w:rsid w:val="00B16A88"/>
    <w:rsid w:val="00B170DD"/>
    <w:rsid w:val="00B1773F"/>
    <w:rsid w:val="00B17A6A"/>
    <w:rsid w:val="00B17E76"/>
    <w:rsid w:val="00B200AE"/>
    <w:rsid w:val="00B201F8"/>
    <w:rsid w:val="00B205DC"/>
    <w:rsid w:val="00B20902"/>
    <w:rsid w:val="00B20F42"/>
    <w:rsid w:val="00B213FE"/>
    <w:rsid w:val="00B21C70"/>
    <w:rsid w:val="00B21E47"/>
    <w:rsid w:val="00B22EB7"/>
    <w:rsid w:val="00B22F94"/>
    <w:rsid w:val="00B236F3"/>
    <w:rsid w:val="00B23F9C"/>
    <w:rsid w:val="00B23FC1"/>
    <w:rsid w:val="00B25046"/>
    <w:rsid w:val="00B250C0"/>
    <w:rsid w:val="00B25575"/>
    <w:rsid w:val="00B2655B"/>
    <w:rsid w:val="00B269C9"/>
    <w:rsid w:val="00B26A8A"/>
    <w:rsid w:val="00B26DC9"/>
    <w:rsid w:val="00B26E12"/>
    <w:rsid w:val="00B26EDD"/>
    <w:rsid w:val="00B2777B"/>
    <w:rsid w:val="00B30A38"/>
    <w:rsid w:val="00B30CB4"/>
    <w:rsid w:val="00B310CE"/>
    <w:rsid w:val="00B32431"/>
    <w:rsid w:val="00B32591"/>
    <w:rsid w:val="00B32CE3"/>
    <w:rsid w:val="00B32F1A"/>
    <w:rsid w:val="00B33013"/>
    <w:rsid w:val="00B33489"/>
    <w:rsid w:val="00B33A75"/>
    <w:rsid w:val="00B33B15"/>
    <w:rsid w:val="00B345FD"/>
    <w:rsid w:val="00B34628"/>
    <w:rsid w:val="00B346E7"/>
    <w:rsid w:val="00B3495E"/>
    <w:rsid w:val="00B3525F"/>
    <w:rsid w:val="00B3563A"/>
    <w:rsid w:val="00B357F1"/>
    <w:rsid w:val="00B35A54"/>
    <w:rsid w:val="00B35CDD"/>
    <w:rsid w:val="00B36E36"/>
    <w:rsid w:val="00B37A0B"/>
    <w:rsid w:val="00B40CDB"/>
    <w:rsid w:val="00B40F84"/>
    <w:rsid w:val="00B414B0"/>
    <w:rsid w:val="00B41584"/>
    <w:rsid w:val="00B4166A"/>
    <w:rsid w:val="00B41A82"/>
    <w:rsid w:val="00B4208E"/>
    <w:rsid w:val="00B427A0"/>
    <w:rsid w:val="00B42D97"/>
    <w:rsid w:val="00B438F4"/>
    <w:rsid w:val="00B43935"/>
    <w:rsid w:val="00B44EDC"/>
    <w:rsid w:val="00B4515E"/>
    <w:rsid w:val="00B457B5"/>
    <w:rsid w:val="00B46427"/>
    <w:rsid w:val="00B46860"/>
    <w:rsid w:val="00B46F98"/>
    <w:rsid w:val="00B507BB"/>
    <w:rsid w:val="00B513B7"/>
    <w:rsid w:val="00B51A82"/>
    <w:rsid w:val="00B51B75"/>
    <w:rsid w:val="00B51FD7"/>
    <w:rsid w:val="00B52738"/>
    <w:rsid w:val="00B5288B"/>
    <w:rsid w:val="00B52930"/>
    <w:rsid w:val="00B52C50"/>
    <w:rsid w:val="00B52E04"/>
    <w:rsid w:val="00B5318C"/>
    <w:rsid w:val="00B54253"/>
    <w:rsid w:val="00B5450A"/>
    <w:rsid w:val="00B54863"/>
    <w:rsid w:val="00B551DA"/>
    <w:rsid w:val="00B558CB"/>
    <w:rsid w:val="00B56949"/>
    <w:rsid w:val="00B56A10"/>
    <w:rsid w:val="00B57E69"/>
    <w:rsid w:val="00B60118"/>
    <w:rsid w:val="00B606BA"/>
    <w:rsid w:val="00B61262"/>
    <w:rsid w:val="00B616DC"/>
    <w:rsid w:val="00B61C2E"/>
    <w:rsid w:val="00B61EE8"/>
    <w:rsid w:val="00B61FE6"/>
    <w:rsid w:val="00B63095"/>
    <w:rsid w:val="00B635D2"/>
    <w:rsid w:val="00B63813"/>
    <w:rsid w:val="00B63D2B"/>
    <w:rsid w:val="00B64AAD"/>
    <w:rsid w:val="00B65ECC"/>
    <w:rsid w:val="00B6607B"/>
    <w:rsid w:val="00B664FE"/>
    <w:rsid w:val="00B668BF"/>
    <w:rsid w:val="00B668C0"/>
    <w:rsid w:val="00B66A96"/>
    <w:rsid w:val="00B67618"/>
    <w:rsid w:val="00B6766E"/>
    <w:rsid w:val="00B679DB"/>
    <w:rsid w:val="00B7027C"/>
    <w:rsid w:val="00B705BB"/>
    <w:rsid w:val="00B7074E"/>
    <w:rsid w:val="00B70B1E"/>
    <w:rsid w:val="00B70EC5"/>
    <w:rsid w:val="00B712C0"/>
    <w:rsid w:val="00B716C7"/>
    <w:rsid w:val="00B72FA7"/>
    <w:rsid w:val="00B73116"/>
    <w:rsid w:val="00B732A2"/>
    <w:rsid w:val="00B73C42"/>
    <w:rsid w:val="00B7409A"/>
    <w:rsid w:val="00B740DB"/>
    <w:rsid w:val="00B747CA"/>
    <w:rsid w:val="00B750D0"/>
    <w:rsid w:val="00B7588D"/>
    <w:rsid w:val="00B76240"/>
    <w:rsid w:val="00B76563"/>
    <w:rsid w:val="00B769FE"/>
    <w:rsid w:val="00B77156"/>
    <w:rsid w:val="00B777C1"/>
    <w:rsid w:val="00B77B1E"/>
    <w:rsid w:val="00B77E39"/>
    <w:rsid w:val="00B81E65"/>
    <w:rsid w:val="00B82605"/>
    <w:rsid w:val="00B82943"/>
    <w:rsid w:val="00B82C64"/>
    <w:rsid w:val="00B83A37"/>
    <w:rsid w:val="00B83E40"/>
    <w:rsid w:val="00B841B1"/>
    <w:rsid w:val="00B85161"/>
    <w:rsid w:val="00B85870"/>
    <w:rsid w:val="00B8657D"/>
    <w:rsid w:val="00B866CE"/>
    <w:rsid w:val="00B8703C"/>
    <w:rsid w:val="00B870F0"/>
    <w:rsid w:val="00B876EA"/>
    <w:rsid w:val="00B877BC"/>
    <w:rsid w:val="00B87BB6"/>
    <w:rsid w:val="00B903A6"/>
    <w:rsid w:val="00B91AB9"/>
    <w:rsid w:val="00B91B92"/>
    <w:rsid w:val="00B92714"/>
    <w:rsid w:val="00B92FF8"/>
    <w:rsid w:val="00B93291"/>
    <w:rsid w:val="00B93293"/>
    <w:rsid w:val="00B93849"/>
    <w:rsid w:val="00B93ED5"/>
    <w:rsid w:val="00B940A9"/>
    <w:rsid w:val="00B9497B"/>
    <w:rsid w:val="00B96307"/>
    <w:rsid w:val="00B96D36"/>
    <w:rsid w:val="00B973EA"/>
    <w:rsid w:val="00B979E8"/>
    <w:rsid w:val="00BA0049"/>
    <w:rsid w:val="00BA029F"/>
    <w:rsid w:val="00BA17CB"/>
    <w:rsid w:val="00BA2055"/>
    <w:rsid w:val="00BA323E"/>
    <w:rsid w:val="00BA4444"/>
    <w:rsid w:val="00BA4C6C"/>
    <w:rsid w:val="00BA4DF4"/>
    <w:rsid w:val="00BA54EB"/>
    <w:rsid w:val="00BA5618"/>
    <w:rsid w:val="00BA568B"/>
    <w:rsid w:val="00BA56E5"/>
    <w:rsid w:val="00BA5836"/>
    <w:rsid w:val="00BA5A38"/>
    <w:rsid w:val="00BA5BE0"/>
    <w:rsid w:val="00BA5EDA"/>
    <w:rsid w:val="00BA5F9A"/>
    <w:rsid w:val="00BA61C5"/>
    <w:rsid w:val="00BA6785"/>
    <w:rsid w:val="00BA6AF4"/>
    <w:rsid w:val="00BA716C"/>
    <w:rsid w:val="00BA7616"/>
    <w:rsid w:val="00BA7705"/>
    <w:rsid w:val="00BA7D00"/>
    <w:rsid w:val="00BA7F5D"/>
    <w:rsid w:val="00BB09C6"/>
    <w:rsid w:val="00BB09D7"/>
    <w:rsid w:val="00BB0A38"/>
    <w:rsid w:val="00BB0EBF"/>
    <w:rsid w:val="00BB11B1"/>
    <w:rsid w:val="00BB13BF"/>
    <w:rsid w:val="00BB1BDE"/>
    <w:rsid w:val="00BB2C11"/>
    <w:rsid w:val="00BB3A70"/>
    <w:rsid w:val="00BB3D6A"/>
    <w:rsid w:val="00BB3F68"/>
    <w:rsid w:val="00BB44E8"/>
    <w:rsid w:val="00BB4737"/>
    <w:rsid w:val="00BB4FA7"/>
    <w:rsid w:val="00BB54CF"/>
    <w:rsid w:val="00BB67AF"/>
    <w:rsid w:val="00BB6930"/>
    <w:rsid w:val="00BB79C0"/>
    <w:rsid w:val="00BB7B62"/>
    <w:rsid w:val="00BB7F5E"/>
    <w:rsid w:val="00BC054D"/>
    <w:rsid w:val="00BC088A"/>
    <w:rsid w:val="00BC0993"/>
    <w:rsid w:val="00BC0B98"/>
    <w:rsid w:val="00BC131E"/>
    <w:rsid w:val="00BC160B"/>
    <w:rsid w:val="00BC169E"/>
    <w:rsid w:val="00BC271A"/>
    <w:rsid w:val="00BC2B68"/>
    <w:rsid w:val="00BC33B6"/>
    <w:rsid w:val="00BC35DE"/>
    <w:rsid w:val="00BC362E"/>
    <w:rsid w:val="00BC3636"/>
    <w:rsid w:val="00BC4279"/>
    <w:rsid w:val="00BC4674"/>
    <w:rsid w:val="00BC6832"/>
    <w:rsid w:val="00BC6A39"/>
    <w:rsid w:val="00BC6D29"/>
    <w:rsid w:val="00BC6DEE"/>
    <w:rsid w:val="00BC6E16"/>
    <w:rsid w:val="00BC738F"/>
    <w:rsid w:val="00BD0064"/>
    <w:rsid w:val="00BD03BC"/>
    <w:rsid w:val="00BD03F5"/>
    <w:rsid w:val="00BD077D"/>
    <w:rsid w:val="00BD0CA0"/>
    <w:rsid w:val="00BD172D"/>
    <w:rsid w:val="00BD1739"/>
    <w:rsid w:val="00BD1A73"/>
    <w:rsid w:val="00BD21A4"/>
    <w:rsid w:val="00BD22A9"/>
    <w:rsid w:val="00BD269E"/>
    <w:rsid w:val="00BD2AA0"/>
    <w:rsid w:val="00BD2F96"/>
    <w:rsid w:val="00BD3004"/>
    <w:rsid w:val="00BD3A38"/>
    <w:rsid w:val="00BD3CF8"/>
    <w:rsid w:val="00BD4342"/>
    <w:rsid w:val="00BD4344"/>
    <w:rsid w:val="00BD508E"/>
    <w:rsid w:val="00BD540E"/>
    <w:rsid w:val="00BD5973"/>
    <w:rsid w:val="00BD61CD"/>
    <w:rsid w:val="00BD6A54"/>
    <w:rsid w:val="00BD6E95"/>
    <w:rsid w:val="00BD7295"/>
    <w:rsid w:val="00BD7BA4"/>
    <w:rsid w:val="00BD7EBA"/>
    <w:rsid w:val="00BE0481"/>
    <w:rsid w:val="00BE073A"/>
    <w:rsid w:val="00BE08FD"/>
    <w:rsid w:val="00BE0B1F"/>
    <w:rsid w:val="00BE1019"/>
    <w:rsid w:val="00BE1204"/>
    <w:rsid w:val="00BE1509"/>
    <w:rsid w:val="00BE1C60"/>
    <w:rsid w:val="00BE1F7C"/>
    <w:rsid w:val="00BE1FDC"/>
    <w:rsid w:val="00BE249B"/>
    <w:rsid w:val="00BE267C"/>
    <w:rsid w:val="00BE32EB"/>
    <w:rsid w:val="00BE41FB"/>
    <w:rsid w:val="00BE468C"/>
    <w:rsid w:val="00BE4798"/>
    <w:rsid w:val="00BE4D2A"/>
    <w:rsid w:val="00BE4E39"/>
    <w:rsid w:val="00BE563C"/>
    <w:rsid w:val="00BE56EE"/>
    <w:rsid w:val="00BE72FB"/>
    <w:rsid w:val="00BE7965"/>
    <w:rsid w:val="00BE7A1B"/>
    <w:rsid w:val="00BF012D"/>
    <w:rsid w:val="00BF0B7E"/>
    <w:rsid w:val="00BF0D25"/>
    <w:rsid w:val="00BF0F6D"/>
    <w:rsid w:val="00BF1299"/>
    <w:rsid w:val="00BF13E3"/>
    <w:rsid w:val="00BF147F"/>
    <w:rsid w:val="00BF1627"/>
    <w:rsid w:val="00BF1A08"/>
    <w:rsid w:val="00BF2123"/>
    <w:rsid w:val="00BF2B58"/>
    <w:rsid w:val="00BF2C16"/>
    <w:rsid w:val="00BF2C93"/>
    <w:rsid w:val="00BF46B7"/>
    <w:rsid w:val="00BF46C1"/>
    <w:rsid w:val="00BF491A"/>
    <w:rsid w:val="00BF5510"/>
    <w:rsid w:val="00BF650A"/>
    <w:rsid w:val="00BF6872"/>
    <w:rsid w:val="00BF6A1D"/>
    <w:rsid w:val="00BF6D0B"/>
    <w:rsid w:val="00BF6EE5"/>
    <w:rsid w:val="00BF7175"/>
    <w:rsid w:val="00BF7383"/>
    <w:rsid w:val="00BF7486"/>
    <w:rsid w:val="00BF7975"/>
    <w:rsid w:val="00BF7B15"/>
    <w:rsid w:val="00BF7B7C"/>
    <w:rsid w:val="00C0001E"/>
    <w:rsid w:val="00C0029B"/>
    <w:rsid w:val="00C00DD1"/>
    <w:rsid w:val="00C013F9"/>
    <w:rsid w:val="00C028ED"/>
    <w:rsid w:val="00C033FF"/>
    <w:rsid w:val="00C03760"/>
    <w:rsid w:val="00C03F4A"/>
    <w:rsid w:val="00C03FC2"/>
    <w:rsid w:val="00C041F9"/>
    <w:rsid w:val="00C043BC"/>
    <w:rsid w:val="00C04552"/>
    <w:rsid w:val="00C0465D"/>
    <w:rsid w:val="00C056D4"/>
    <w:rsid w:val="00C05EAC"/>
    <w:rsid w:val="00C06357"/>
    <w:rsid w:val="00C0688F"/>
    <w:rsid w:val="00C068F4"/>
    <w:rsid w:val="00C06BC3"/>
    <w:rsid w:val="00C06C29"/>
    <w:rsid w:val="00C06CE4"/>
    <w:rsid w:val="00C06CF1"/>
    <w:rsid w:val="00C06E32"/>
    <w:rsid w:val="00C070D2"/>
    <w:rsid w:val="00C07C70"/>
    <w:rsid w:val="00C1003F"/>
    <w:rsid w:val="00C1034B"/>
    <w:rsid w:val="00C11400"/>
    <w:rsid w:val="00C1154A"/>
    <w:rsid w:val="00C12193"/>
    <w:rsid w:val="00C1325D"/>
    <w:rsid w:val="00C13CE6"/>
    <w:rsid w:val="00C14084"/>
    <w:rsid w:val="00C14190"/>
    <w:rsid w:val="00C144DC"/>
    <w:rsid w:val="00C14DF6"/>
    <w:rsid w:val="00C15086"/>
    <w:rsid w:val="00C15486"/>
    <w:rsid w:val="00C15728"/>
    <w:rsid w:val="00C15CBA"/>
    <w:rsid w:val="00C16B01"/>
    <w:rsid w:val="00C16CE4"/>
    <w:rsid w:val="00C16CF7"/>
    <w:rsid w:val="00C1700A"/>
    <w:rsid w:val="00C173F7"/>
    <w:rsid w:val="00C201AF"/>
    <w:rsid w:val="00C2028B"/>
    <w:rsid w:val="00C207E3"/>
    <w:rsid w:val="00C20E27"/>
    <w:rsid w:val="00C20ED9"/>
    <w:rsid w:val="00C22183"/>
    <w:rsid w:val="00C23148"/>
    <w:rsid w:val="00C2316D"/>
    <w:rsid w:val="00C231F0"/>
    <w:rsid w:val="00C237FE"/>
    <w:rsid w:val="00C24D15"/>
    <w:rsid w:val="00C2547E"/>
    <w:rsid w:val="00C25AA8"/>
    <w:rsid w:val="00C26070"/>
    <w:rsid w:val="00C26806"/>
    <w:rsid w:val="00C27B29"/>
    <w:rsid w:val="00C27CC7"/>
    <w:rsid w:val="00C31BC9"/>
    <w:rsid w:val="00C31C4D"/>
    <w:rsid w:val="00C31CB9"/>
    <w:rsid w:val="00C325D1"/>
    <w:rsid w:val="00C325F4"/>
    <w:rsid w:val="00C33510"/>
    <w:rsid w:val="00C337AC"/>
    <w:rsid w:val="00C33A91"/>
    <w:rsid w:val="00C3525F"/>
    <w:rsid w:val="00C35489"/>
    <w:rsid w:val="00C35913"/>
    <w:rsid w:val="00C35B04"/>
    <w:rsid w:val="00C35CD4"/>
    <w:rsid w:val="00C36A63"/>
    <w:rsid w:val="00C36E4C"/>
    <w:rsid w:val="00C36F03"/>
    <w:rsid w:val="00C375DE"/>
    <w:rsid w:val="00C379F2"/>
    <w:rsid w:val="00C40881"/>
    <w:rsid w:val="00C409CD"/>
    <w:rsid w:val="00C40AE0"/>
    <w:rsid w:val="00C40C3A"/>
    <w:rsid w:val="00C40EB0"/>
    <w:rsid w:val="00C40F78"/>
    <w:rsid w:val="00C4157F"/>
    <w:rsid w:val="00C416C1"/>
    <w:rsid w:val="00C416E7"/>
    <w:rsid w:val="00C41861"/>
    <w:rsid w:val="00C418EE"/>
    <w:rsid w:val="00C42212"/>
    <w:rsid w:val="00C42753"/>
    <w:rsid w:val="00C42A9D"/>
    <w:rsid w:val="00C42FA6"/>
    <w:rsid w:val="00C430E6"/>
    <w:rsid w:val="00C43E68"/>
    <w:rsid w:val="00C443E1"/>
    <w:rsid w:val="00C452A2"/>
    <w:rsid w:val="00C452C6"/>
    <w:rsid w:val="00C45666"/>
    <w:rsid w:val="00C459E4"/>
    <w:rsid w:val="00C46C84"/>
    <w:rsid w:val="00C46DA7"/>
    <w:rsid w:val="00C46FED"/>
    <w:rsid w:val="00C46FFD"/>
    <w:rsid w:val="00C476B0"/>
    <w:rsid w:val="00C47EFB"/>
    <w:rsid w:val="00C502FB"/>
    <w:rsid w:val="00C50D28"/>
    <w:rsid w:val="00C50F35"/>
    <w:rsid w:val="00C5170F"/>
    <w:rsid w:val="00C51E60"/>
    <w:rsid w:val="00C51EC3"/>
    <w:rsid w:val="00C5252E"/>
    <w:rsid w:val="00C52932"/>
    <w:rsid w:val="00C52A2F"/>
    <w:rsid w:val="00C52ABD"/>
    <w:rsid w:val="00C533A9"/>
    <w:rsid w:val="00C5370D"/>
    <w:rsid w:val="00C53DAC"/>
    <w:rsid w:val="00C5539D"/>
    <w:rsid w:val="00C5567A"/>
    <w:rsid w:val="00C564CA"/>
    <w:rsid w:val="00C56CEE"/>
    <w:rsid w:val="00C574DB"/>
    <w:rsid w:val="00C575C6"/>
    <w:rsid w:val="00C57A1E"/>
    <w:rsid w:val="00C57C15"/>
    <w:rsid w:val="00C57EA9"/>
    <w:rsid w:val="00C604D8"/>
    <w:rsid w:val="00C60820"/>
    <w:rsid w:val="00C6119B"/>
    <w:rsid w:val="00C614C2"/>
    <w:rsid w:val="00C615C0"/>
    <w:rsid w:val="00C61792"/>
    <w:rsid w:val="00C61797"/>
    <w:rsid w:val="00C621EE"/>
    <w:rsid w:val="00C63281"/>
    <w:rsid w:val="00C641FF"/>
    <w:rsid w:val="00C64C4C"/>
    <w:rsid w:val="00C6543C"/>
    <w:rsid w:val="00C654E9"/>
    <w:rsid w:val="00C657AA"/>
    <w:rsid w:val="00C65822"/>
    <w:rsid w:val="00C65E9B"/>
    <w:rsid w:val="00C668CC"/>
    <w:rsid w:val="00C66BC9"/>
    <w:rsid w:val="00C67E5F"/>
    <w:rsid w:val="00C700A6"/>
    <w:rsid w:val="00C70324"/>
    <w:rsid w:val="00C70397"/>
    <w:rsid w:val="00C70A31"/>
    <w:rsid w:val="00C70FDF"/>
    <w:rsid w:val="00C710D6"/>
    <w:rsid w:val="00C721E5"/>
    <w:rsid w:val="00C73218"/>
    <w:rsid w:val="00C73B93"/>
    <w:rsid w:val="00C73BCD"/>
    <w:rsid w:val="00C741AB"/>
    <w:rsid w:val="00C75448"/>
    <w:rsid w:val="00C76229"/>
    <w:rsid w:val="00C7625A"/>
    <w:rsid w:val="00C76581"/>
    <w:rsid w:val="00C768EE"/>
    <w:rsid w:val="00C77072"/>
    <w:rsid w:val="00C772D7"/>
    <w:rsid w:val="00C7752D"/>
    <w:rsid w:val="00C775F1"/>
    <w:rsid w:val="00C77A19"/>
    <w:rsid w:val="00C80347"/>
    <w:rsid w:val="00C8053C"/>
    <w:rsid w:val="00C80ECA"/>
    <w:rsid w:val="00C812BA"/>
    <w:rsid w:val="00C816E3"/>
    <w:rsid w:val="00C818BC"/>
    <w:rsid w:val="00C81FC8"/>
    <w:rsid w:val="00C8207B"/>
    <w:rsid w:val="00C82268"/>
    <w:rsid w:val="00C83547"/>
    <w:rsid w:val="00C83786"/>
    <w:rsid w:val="00C84250"/>
    <w:rsid w:val="00C845F3"/>
    <w:rsid w:val="00C848FC"/>
    <w:rsid w:val="00C84953"/>
    <w:rsid w:val="00C84A53"/>
    <w:rsid w:val="00C84ACE"/>
    <w:rsid w:val="00C84ADE"/>
    <w:rsid w:val="00C8570C"/>
    <w:rsid w:val="00C85EB0"/>
    <w:rsid w:val="00C85EC0"/>
    <w:rsid w:val="00C86087"/>
    <w:rsid w:val="00C86452"/>
    <w:rsid w:val="00C86C9F"/>
    <w:rsid w:val="00C901FB"/>
    <w:rsid w:val="00C90A9D"/>
    <w:rsid w:val="00C90C71"/>
    <w:rsid w:val="00C90D0D"/>
    <w:rsid w:val="00C90D6D"/>
    <w:rsid w:val="00C90EDD"/>
    <w:rsid w:val="00C91BB2"/>
    <w:rsid w:val="00C91C6D"/>
    <w:rsid w:val="00C91E22"/>
    <w:rsid w:val="00C9224C"/>
    <w:rsid w:val="00C9239D"/>
    <w:rsid w:val="00C92699"/>
    <w:rsid w:val="00C93087"/>
    <w:rsid w:val="00C93141"/>
    <w:rsid w:val="00C93284"/>
    <w:rsid w:val="00C9394E"/>
    <w:rsid w:val="00C93E0D"/>
    <w:rsid w:val="00C950C3"/>
    <w:rsid w:val="00C95EE5"/>
    <w:rsid w:val="00C966BD"/>
    <w:rsid w:val="00C96745"/>
    <w:rsid w:val="00C96AE6"/>
    <w:rsid w:val="00C96F69"/>
    <w:rsid w:val="00C96F90"/>
    <w:rsid w:val="00C97395"/>
    <w:rsid w:val="00C973AC"/>
    <w:rsid w:val="00C9763B"/>
    <w:rsid w:val="00C9789C"/>
    <w:rsid w:val="00CA001E"/>
    <w:rsid w:val="00CA0750"/>
    <w:rsid w:val="00CA0B67"/>
    <w:rsid w:val="00CA1B0D"/>
    <w:rsid w:val="00CA26AB"/>
    <w:rsid w:val="00CA29E0"/>
    <w:rsid w:val="00CA4C46"/>
    <w:rsid w:val="00CA4F10"/>
    <w:rsid w:val="00CA5480"/>
    <w:rsid w:val="00CA5ACC"/>
    <w:rsid w:val="00CA5C76"/>
    <w:rsid w:val="00CA5EDE"/>
    <w:rsid w:val="00CA7149"/>
    <w:rsid w:val="00CA74C2"/>
    <w:rsid w:val="00CA7672"/>
    <w:rsid w:val="00CA785A"/>
    <w:rsid w:val="00CA7D79"/>
    <w:rsid w:val="00CB0857"/>
    <w:rsid w:val="00CB0A39"/>
    <w:rsid w:val="00CB19E2"/>
    <w:rsid w:val="00CB1BC3"/>
    <w:rsid w:val="00CB1D8B"/>
    <w:rsid w:val="00CB2EEC"/>
    <w:rsid w:val="00CB3294"/>
    <w:rsid w:val="00CB3441"/>
    <w:rsid w:val="00CB36A9"/>
    <w:rsid w:val="00CB46C6"/>
    <w:rsid w:val="00CB5691"/>
    <w:rsid w:val="00CB6918"/>
    <w:rsid w:val="00CB6D42"/>
    <w:rsid w:val="00CB6E3A"/>
    <w:rsid w:val="00CB767F"/>
    <w:rsid w:val="00CB7D55"/>
    <w:rsid w:val="00CC0377"/>
    <w:rsid w:val="00CC14C2"/>
    <w:rsid w:val="00CC211D"/>
    <w:rsid w:val="00CC236A"/>
    <w:rsid w:val="00CC252C"/>
    <w:rsid w:val="00CC2855"/>
    <w:rsid w:val="00CC28BA"/>
    <w:rsid w:val="00CC3307"/>
    <w:rsid w:val="00CC387D"/>
    <w:rsid w:val="00CC3B8A"/>
    <w:rsid w:val="00CC414F"/>
    <w:rsid w:val="00CC4253"/>
    <w:rsid w:val="00CC44BB"/>
    <w:rsid w:val="00CC4597"/>
    <w:rsid w:val="00CC473C"/>
    <w:rsid w:val="00CC549C"/>
    <w:rsid w:val="00CC57B3"/>
    <w:rsid w:val="00CC5A4A"/>
    <w:rsid w:val="00CC6053"/>
    <w:rsid w:val="00CC6405"/>
    <w:rsid w:val="00CC6491"/>
    <w:rsid w:val="00CC6C18"/>
    <w:rsid w:val="00CC7184"/>
    <w:rsid w:val="00CC7309"/>
    <w:rsid w:val="00CC7506"/>
    <w:rsid w:val="00CD0805"/>
    <w:rsid w:val="00CD0A7A"/>
    <w:rsid w:val="00CD1063"/>
    <w:rsid w:val="00CD16EE"/>
    <w:rsid w:val="00CD205C"/>
    <w:rsid w:val="00CD220D"/>
    <w:rsid w:val="00CD2210"/>
    <w:rsid w:val="00CD243B"/>
    <w:rsid w:val="00CD29C6"/>
    <w:rsid w:val="00CD35B2"/>
    <w:rsid w:val="00CD38C7"/>
    <w:rsid w:val="00CD39C5"/>
    <w:rsid w:val="00CD3B99"/>
    <w:rsid w:val="00CD3F82"/>
    <w:rsid w:val="00CD3FB5"/>
    <w:rsid w:val="00CD436F"/>
    <w:rsid w:val="00CD48AA"/>
    <w:rsid w:val="00CD491F"/>
    <w:rsid w:val="00CD4E7C"/>
    <w:rsid w:val="00CD5732"/>
    <w:rsid w:val="00CD57A9"/>
    <w:rsid w:val="00CD5CC7"/>
    <w:rsid w:val="00CD5D6C"/>
    <w:rsid w:val="00CD6DE2"/>
    <w:rsid w:val="00CD71D1"/>
    <w:rsid w:val="00CE035A"/>
    <w:rsid w:val="00CE054D"/>
    <w:rsid w:val="00CE0A3A"/>
    <w:rsid w:val="00CE10E4"/>
    <w:rsid w:val="00CE157B"/>
    <w:rsid w:val="00CE179D"/>
    <w:rsid w:val="00CE1B5A"/>
    <w:rsid w:val="00CE1C50"/>
    <w:rsid w:val="00CE1DF3"/>
    <w:rsid w:val="00CE25B1"/>
    <w:rsid w:val="00CE25F9"/>
    <w:rsid w:val="00CE2C74"/>
    <w:rsid w:val="00CE2E11"/>
    <w:rsid w:val="00CE2F44"/>
    <w:rsid w:val="00CE3181"/>
    <w:rsid w:val="00CE3876"/>
    <w:rsid w:val="00CE3C3B"/>
    <w:rsid w:val="00CE40BD"/>
    <w:rsid w:val="00CE42FA"/>
    <w:rsid w:val="00CE4933"/>
    <w:rsid w:val="00CE5916"/>
    <w:rsid w:val="00CE5927"/>
    <w:rsid w:val="00CE5C7D"/>
    <w:rsid w:val="00CE5CB2"/>
    <w:rsid w:val="00CE5D37"/>
    <w:rsid w:val="00CE6328"/>
    <w:rsid w:val="00CE704A"/>
    <w:rsid w:val="00CE75D2"/>
    <w:rsid w:val="00CE78A1"/>
    <w:rsid w:val="00CE7F50"/>
    <w:rsid w:val="00CE7F9D"/>
    <w:rsid w:val="00CF041A"/>
    <w:rsid w:val="00CF0A50"/>
    <w:rsid w:val="00CF0ABF"/>
    <w:rsid w:val="00CF14FE"/>
    <w:rsid w:val="00CF1A65"/>
    <w:rsid w:val="00CF209E"/>
    <w:rsid w:val="00CF3239"/>
    <w:rsid w:val="00CF35CB"/>
    <w:rsid w:val="00CF377E"/>
    <w:rsid w:val="00CF38CF"/>
    <w:rsid w:val="00CF48F7"/>
    <w:rsid w:val="00CF4A0B"/>
    <w:rsid w:val="00CF525E"/>
    <w:rsid w:val="00CF5A90"/>
    <w:rsid w:val="00CF5F49"/>
    <w:rsid w:val="00CF6B52"/>
    <w:rsid w:val="00CF70A7"/>
    <w:rsid w:val="00CF7223"/>
    <w:rsid w:val="00CF7A97"/>
    <w:rsid w:val="00CF7F98"/>
    <w:rsid w:val="00D0013E"/>
    <w:rsid w:val="00D001AF"/>
    <w:rsid w:val="00D0030D"/>
    <w:rsid w:val="00D017F1"/>
    <w:rsid w:val="00D025EA"/>
    <w:rsid w:val="00D02FDF"/>
    <w:rsid w:val="00D04439"/>
    <w:rsid w:val="00D04726"/>
    <w:rsid w:val="00D05BDC"/>
    <w:rsid w:val="00D05F94"/>
    <w:rsid w:val="00D0603A"/>
    <w:rsid w:val="00D0637D"/>
    <w:rsid w:val="00D06B43"/>
    <w:rsid w:val="00D070FD"/>
    <w:rsid w:val="00D07C14"/>
    <w:rsid w:val="00D100DA"/>
    <w:rsid w:val="00D10293"/>
    <w:rsid w:val="00D10488"/>
    <w:rsid w:val="00D1052C"/>
    <w:rsid w:val="00D10B2E"/>
    <w:rsid w:val="00D10B78"/>
    <w:rsid w:val="00D11048"/>
    <w:rsid w:val="00D115E0"/>
    <w:rsid w:val="00D11A63"/>
    <w:rsid w:val="00D1201C"/>
    <w:rsid w:val="00D1220C"/>
    <w:rsid w:val="00D1261A"/>
    <w:rsid w:val="00D1268C"/>
    <w:rsid w:val="00D13040"/>
    <w:rsid w:val="00D13786"/>
    <w:rsid w:val="00D14539"/>
    <w:rsid w:val="00D14990"/>
    <w:rsid w:val="00D14A5D"/>
    <w:rsid w:val="00D15185"/>
    <w:rsid w:val="00D151CA"/>
    <w:rsid w:val="00D15695"/>
    <w:rsid w:val="00D158D7"/>
    <w:rsid w:val="00D15AFF"/>
    <w:rsid w:val="00D15CC1"/>
    <w:rsid w:val="00D160B3"/>
    <w:rsid w:val="00D166AE"/>
    <w:rsid w:val="00D174D6"/>
    <w:rsid w:val="00D178D9"/>
    <w:rsid w:val="00D17C81"/>
    <w:rsid w:val="00D17E4E"/>
    <w:rsid w:val="00D20095"/>
    <w:rsid w:val="00D20395"/>
    <w:rsid w:val="00D20396"/>
    <w:rsid w:val="00D20777"/>
    <w:rsid w:val="00D20944"/>
    <w:rsid w:val="00D20E60"/>
    <w:rsid w:val="00D21829"/>
    <w:rsid w:val="00D2272E"/>
    <w:rsid w:val="00D2292D"/>
    <w:rsid w:val="00D22EF8"/>
    <w:rsid w:val="00D23125"/>
    <w:rsid w:val="00D238D3"/>
    <w:rsid w:val="00D24090"/>
    <w:rsid w:val="00D24478"/>
    <w:rsid w:val="00D247AC"/>
    <w:rsid w:val="00D24844"/>
    <w:rsid w:val="00D24BE5"/>
    <w:rsid w:val="00D2500B"/>
    <w:rsid w:val="00D250E5"/>
    <w:rsid w:val="00D25BB9"/>
    <w:rsid w:val="00D25EC6"/>
    <w:rsid w:val="00D26692"/>
    <w:rsid w:val="00D26BA0"/>
    <w:rsid w:val="00D26E72"/>
    <w:rsid w:val="00D2792D"/>
    <w:rsid w:val="00D30508"/>
    <w:rsid w:val="00D30EFB"/>
    <w:rsid w:val="00D31540"/>
    <w:rsid w:val="00D31F3D"/>
    <w:rsid w:val="00D3233C"/>
    <w:rsid w:val="00D327EB"/>
    <w:rsid w:val="00D32EA8"/>
    <w:rsid w:val="00D3309E"/>
    <w:rsid w:val="00D335A1"/>
    <w:rsid w:val="00D343F9"/>
    <w:rsid w:val="00D350CE"/>
    <w:rsid w:val="00D36895"/>
    <w:rsid w:val="00D36BBD"/>
    <w:rsid w:val="00D36EB9"/>
    <w:rsid w:val="00D37571"/>
    <w:rsid w:val="00D37C04"/>
    <w:rsid w:val="00D4017D"/>
    <w:rsid w:val="00D402FE"/>
    <w:rsid w:val="00D40EA6"/>
    <w:rsid w:val="00D41185"/>
    <w:rsid w:val="00D41343"/>
    <w:rsid w:val="00D41625"/>
    <w:rsid w:val="00D419F4"/>
    <w:rsid w:val="00D41D41"/>
    <w:rsid w:val="00D4264E"/>
    <w:rsid w:val="00D434F1"/>
    <w:rsid w:val="00D4373C"/>
    <w:rsid w:val="00D43863"/>
    <w:rsid w:val="00D43922"/>
    <w:rsid w:val="00D43AA0"/>
    <w:rsid w:val="00D43C3D"/>
    <w:rsid w:val="00D441C8"/>
    <w:rsid w:val="00D445F5"/>
    <w:rsid w:val="00D44812"/>
    <w:rsid w:val="00D44CE0"/>
    <w:rsid w:val="00D4608F"/>
    <w:rsid w:val="00D4614F"/>
    <w:rsid w:val="00D4674B"/>
    <w:rsid w:val="00D47067"/>
    <w:rsid w:val="00D47F8B"/>
    <w:rsid w:val="00D50311"/>
    <w:rsid w:val="00D50C91"/>
    <w:rsid w:val="00D51085"/>
    <w:rsid w:val="00D517B6"/>
    <w:rsid w:val="00D51CB1"/>
    <w:rsid w:val="00D51E65"/>
    <w:rsid w:val="00D51E6D"/>
    <w:rsid w:val="00D52805"/>
    <w:rsid w:val="00D52B99"/>
    <w:rsid w:val="00D52CFB"/>
    <w:rsid w:val="00D534F5"/>
    <w:rsid w:val="00D53970"/>
    <w:rsid w:val="00D550F2"/>
    <w:rsid w:val="00D55635"/>
    <w:rsid w:val="00D55963"/>
    <w:rsid w:val="00D56321"/>
    <w:rsid w:val="00D5659A"/>
    <w:rsid w:val="00D56943"/>
    <w:rsid w:val="00D56CB4"/>
    <w:rsid w:val="00D56D79"/>
    <w:rsid w:val="00D57358"/>
    <w:rsid w:val="00D57DD9"/>
    <w:rsid w:val="00D600C1"/>
    <w:rsid w:val="00D60300"/>
    <w:rsid w:val="00D60D87"/>
    <w:rsid w:val="00D616EF"/>
    <w:rsid w:val="00D620F7"/>
    <w:rsid w:val="00D62565"/>
    <w:rsid w:val="00D62C9D"/>
    <w:rsid w:val="00D63125"/>
    <w:rsid w:val="00D631EE"/>
    <w:rsid w:val="00D635F3"/>
    <w:rsid w:val="00D63D61"/>
    <w:rsid w:val="00D6402D"/>
    <w:rsid w:val="00D65D8B"/>
    <w:rsid w:val="00D6624A"/>
    <w:rsid w:val="00D666C9"/>
    <w:rsid w:val="00D66D30"/>
    <w:rsid w:val="00D66DBD"/>
    <w:rsid w:val="00D673D6"/>
    <w:rsid w:val="00D67BC4"/>
    <w:rsid w:val="00D67C34"/>
    <w:rsid w:val="00D67F86"/>
    <w:rsid w:val="00D70166"/>
    <w:rsid w:val="00D7132E"/>
    <w:rsid w:val="00D716AC"/>
    <w:rsid w:val="00D716C5"/>
    <w:rsid w:val="00D717E3"/>
    <w:rsid w:val="00D71C33"/>
    <w:rsid w:val="00D71CAE"/>
    <w:rsid w:val="00D7238B"/>
    <w:rsid w:val="00D724C5"/>
    <w:rsid w:val="00D7271C"/>
    <w:rsid w:val="00D72A21"/>
    <w:rsid w:val="00D72EE2"/>
    <w:rsid w:val="00D72F2B"/>
    <w:rsid w:val="00D73174"/>
    <w:rsid w:val="00D734A5"/>
    <w:rsid w:val="00D73857"/>
    <w:rsid w:val="00D738FF"/>
    <w:rsid w:val="00D7392E"/>
    <w:rsid w:val="00D73FE5"/>
    <w:rsid w:val="00D7419F"/>
    <w:rsid w:val="00D743BA"/>
    <w:rsid w:val="00D74AFF"/>
    <w:rsid w:val="00D74B29"/>
    <w:rsid w:val="00D75497"/>
    <w:rsid w:val="00D75C36"/>
    <w:rsid w:val="00D75F46"/>
    <w:rsid w:val="00D76166"/>
    <w:rsid w:val="00D7620B"/>
    <w:rsid w:val="00D76D91"/>
    <w:rsid w:val="00D771A9"/>
    <w:rsid w:val="00D77207"/>
    <w:rsid w:val="00D77418"/>
    <w:rsid w:val="00D77D9C"/>
    <w:rsid w:val="00D8205A"/>
    <w:rsid w:val="00D8205D"/>
    <w:rsid w:val="00D82089"/>
    <w:rsid w:val="00D823D7"/>
    <w:rsid w:val="00D8295B"/>
    <w:rsid w:val="00D834E4"/>
    <w:rsid w:val="00D84257"/>
    <w:rsid w:val="00D847F3"/>
    <w:rsid w:val="00D84E7D"/>
    <w:rsid w:val="00D8513C"/>
    <w:rsid w:val="00D85622"/>
    <w:rsid w:val="00D86229"/>
    <w:rsid w:val="00D8658E"/>
    <w:rsid w:val="00D879E6"/>
    <w:rsid w:val="00D87A28"/>
    <w:rsid w:val="00D90519"/>
    <w:rsid w:val="00D908E3"/>
    <w:rsid w:val="00D92789"/>
    <w:rsid w:val="00D92800"/>
    <w:rsid w:val="00D939D3"/>
    <w:rsid w:val="00D93BCB"/>
    <w:rsid w:val="00D93E12"/>
    <w:rsid w:val="00D93EB3"/>
    <w:rsid w:val="00D94176"/>
    <w:rsid w:val="00D9448B"/>
    <w:rsid w:val="00D94D61"/>
    <w:rsid w:val="00D956EF"/>
    <w:rsid w:val="00D95E38"/>
    <w:rsid w:val="00D95F65"/>
    <w:rsid w:val="00D96274"/>
    <w:rsid w:val="00D96744"/>
    <w:rsid w:val="00D96D5F"/>
    <w:rsid w:val="00DA0A5B"/>
    <w:rsid w:val="00DA0A95"/>
    <w:rsid w:val="00DA0D75"/>
    <w:rsid w:val="00DA12E0"/>
    <w:rsid w:val="00DA19A4"/>
    <w:rsid w:val="00DA1A40"/>
    <w:rsid w:val="00DA1B7F"/>
    <w:rsid w:val="00DA2B51"/>
    <w:rsid w:val="00DA2E15"/>
    <w:rsid w:val="00DA2FEC"/>
    <w:rsid w:val="00DA3173"/>
    <w:rsid w:val="00DA3317"/>
    <w:rsid w:val="00DA3321"/>
    <w:rsid w:val="00DA3359"/>
    <w:rsid w:val="00DA381C"/>
    <w:rsid w:val="00DA3834"/>
    <w:rsid w:val="00DA4915"/>
    <w:rsid w:val="00DA50CB"/>
    <w:rsid w:val="00DA520C"/>
    <w:rsid w:val="00DA5388"/>
    <w:rsid w:val="00DA56E5"/>
    <w:rsid w:val="00DA5B4D"/>
    <w:rsid w:val="00DA5E1C"/>
    <w:rsid w:val="00DA6BE0"/>
    <w:rsid w:val="00DB0153"/>
    <w:rsid w:val="00DB035C"/>
    <w:rsid w:val="00DB1273"/>
    <w:rsid w:val="00DB15E5"/>
    <w:rsid w:val="00DB1A92"/>
    <w:rsid w:val="00DB1F25"/>
    <w:rsid w:val="00DB1FFD"/>
    <w:rsid w:val="00DB20B4"/>
    <w:rsid w:val="00DB292C"/>
    <w:rsid w:val="00DB2E1A"/>
    <w:rsid w:val="00DB3598"/>
    <w:rsid w:val="00DB3856"/>
    <w:rsid w:val="00DB43CD"/>
    <w:rsid w:val="00DB43D5"/>
    <w:rsid w:val="00DB4514"/>
    <w:rsid w:val="00DB4DB0"/>
    <w:rsid w:val="00DB5703"/>
    <w:rsid w:val="00DB5C3A"/>
    <w:rsid w:val="00DB6532"/>
    <w:rsid w:val="00DB6DD2"/>
    <w:rsid w:val="00DB6F7E"/>
    <w:rsid w:val="00DB74B4"/>
    <w:rsid w:val="00DB75CD"/>
    <w:rsid w:val="00DB7DAC"/>
    <w:rsid w:val="00DB7F0E"/>
    <w:rsid w:val="00DC00DB"/>
    <w:rsid w:val="00DC0132"/>
    <w:rsid w:val="00DC01E9"/>
    <w:rsid w:val="00DC1185"/>
    <w:rsid w:val="00DC2123"/>
    <w:rsid w:val="00DC252E"/>
    <w:rsid w:val="00DC365F"/>
    <w:rsid w:val="00DC3C1A"/>
    <w:rsid w:val="00DC497F"/>
    <w:rsid w:val="00DC5514"/>
    <w:rsid w:val="00DC5D6B"/>
    <w:rsid w:val="00DC6508"/>
    <w:rsid w:val="00DC6DAC"/>
    <w:rsid w:val="00DC79A7"/>
    <w:rsid w:val="00DD058A"/>
    <w:rsid w:val="00DD07BB"/>
    <w:rsid w:val="00DD0813"/>
    <w:rsid w:val="00DD0B3D"/>
    <w:rsid w:val="00DD15E2"/>
    <w:rsid w:val="00DD17F0"/>
    <w:rsid w:val="00DD1998"/>
    <w:rsid w:val="00DD1A87"/>
    <w:rsid w:val="00DD2055"/>
    <w:rsid w:val="00DD2435"/>
    <w:rsid w:val="00DD250C"/>
    <w:rsid w:val="00DD25FC"/>
    <w:rsid w:val="00DD375F"/>
    <w:rsid w:val="00DD3927"/>
    <w:rsid w:val="00DD394A"/>
    <w:rsid w:val="00DD4F1B"/>
    <w:rsid w:val="00DD4F52"/>
    <w:rsid w:val="00DD5732"/>
    <w:rsid w:val="00DD5BCB"/>
    <w:rsid w:val="00DD5C2C"/>
    <w:rsid w:val="00DD6A0D"/>
    <w:rsid w:val="00DD6D6C"/>
    <w:rsid w:val="00DD6E49"/>
    <w:rsid w:val="00DD72F9"/>
    <w:rsid w:val="00DD7312"/>
    <w:rsid w:val="00DD794B"/>
    <w:rsid w:val="00DE0CBD"/>
    <w:rsid w:val="00DE0E55"/>
    <w:rsid w:val="00DE152B"/>
    <w:rsid w:val="00DE1736"/>
    <w:rsid w:val="00DE173D"/>
    <w:rsid w:val="00DE17B3"/>
    <w:rsid w:val="00DE2443"/>
    <w:rsid w:val="00DE27FB"/>
    <w:rsid w:val="00DE2CA9"/>
    <w:rsid w:val="00DE2FC7"/>
    <w:rsid w:val="00DE38FB"/>
    <w:rsid w:val="00DE4003"/>
    <w:rsid w:val="00DE4543"/>
    <w:rsid w:val="00DE4B5B"/>
    <w:rsid w:val="00DE58F0"/>
    <w:rsid w:val="00DE68CB"/>
    <w:rsid w:val="00DE6907"/>
    <w:rsid w:val="00DE6A5B"/>
    <w:rsid w:val="00DE6B9E"/>
    <w:rsid w:val="00DE6EB6"/>
    <w:rsid w:val="00DE777E"/>
    <w:rsid w:val="00DE7AC8"/>
    <w:rsid w:val="00DF0E20"/>
    <w:rsid w:val="00DF1FA6"/>
    <w:rsid w:val="00DF307A"/>
    <w:rsid w:val="00DF347A"/>
    <w:rsid w:val="00DF3670"/>
    <w:rsid w:val="00DF3BD9"/>
    <w:rsid w:val="00DF3D5C"/>
    <w:rsid w:val="00DF46E4"/>
    <w:rsid w:val="00DF5347"/>
    <w:rsid w:val="00DF5E3E"/>
    <w:rsid w:val="00DF664F"/>
    <w:rsid w:val="00DF6F8E"/>
    <w:rsid w:val="00DF743A"/>
    <w:rsid w:val="00DF749F"/>
    <w:rsid w:val="00DF76E4"/>
    <w:rsid w:val="00DF792D"/>
    <w:rsid w:val="00DF7D1D"/>
    <w:rsid w:val="00E0026D"/>
    <w:rsid w:val="00E005B1"/>
    <w:rsid w:val="00E0061A"/>
    <w:rsid w:val="00E007CD"/>
    <w:rsid w:val="00E00C36"/>
    <w:rsid w:val="00E00DC9"/>
    <w:rsid w:val="00E010F0"/>
    <w:rsid w:val="00E01855"/>
    <w:rsid w:val="00E01A3F"/>
    <w:rsid w:val="00E03112"/>
    <w:rsid w:val="00E0315F"/>
    <w:rsid w:val="00E031B2"/>
    <w:rsid w:val="00E0358E"/>
    <w:rsid w:val="00E037B5"/>
    <w:rsid w:val="00E03F59"/>
    <w:rsid w:val="00E04673"/>
    <w:rsid w:val="00E04A06"/>
    <w:rsid w:val="00E04CD1"/>
    <w:rsid w:val="00E05B0C"/>
    <w:rsid w:val="00E0716B"/>
    <w:rsid w:val="00E07393"/>
    <w:rsid w:val="00E07438"/>
    <w:rsid w:val="00E10CD7"/>
    <w:rsid w:val="00E115A5"/>
    <w:rsid w:val="00E115B1"/>
    <w:rsid w:val="00E12272"/>
    <w:rsid w:val="00E12290"/>
    <w:rsid w:val="00E124CC"/>
    <w:rsid w:val="00E12AE4"/>
    <w:rsid w:val="00E12F7A"/>
    <w:rsid w:val="00E13390"/>
    <w:rsid w:val="00E134F2"/>
    <w:rsid w:val="00E13815"/>
    <w:rsid w:val="00E14043"/>
    <w:rsid w:val="00E141F8"/>
    <w:rsid w:val="00E147FB"/>
    <w:rsid w:val="00E14BF6"/>
    <w:rsid w:val="00E15209"/>
    <w:rsid w:val="00E15274"/>
    <w:rsid w:val="00E16DBC"/>
    <w:rsid w:val="00E16E6C"/>
    <w:rsid w:val="00E1712A"/>
    <w:rsid w:val="00E1725F"/>
    <w:rsid w:val="00E17601"/>
    <w:rsid w:val="00E17F7B"/>
    <w:rsid w:val="00E20046"/>
    <w:rsid w:val="00E201AF"/>
    <w:rsid w:val="00E20375"/>
    <w:rsid w:val="00E203A9"/>
    <w:rsid w:val="00E20A1C"/>
    <w:rsid w:val="00E2122E"/>
    <w:rsid w:val="00E217DD"/>
    <w:rsid w:val="00E21CA8"/>
    <w:rsid w:val="00E2203E"/>
    <w:rsid w:val="00E22A4B"/>
    <w:rsid w:val="00E236FC"/>
    <w:rsid w:val="00E23EED"/>
    <w:rsid w:val="00E23FFD"/>
    <w:rsid w:val="00E2426E"/>
    <w:rsid w:val="00E24456"/>
    <w:rsid w:val="00E244FE"/>
    <w:rsid w:val="00E246B6"/>
    <w:rsid w:val="00E251D7"/>
    <w:rsid w:val="00E259EF"/>
    <w:rsid w:val="00E260D4"/>
    <w:rsid w:val="00E26B14"/>
    <w:rsid w:val="00E26C32"/>
    <w:rsid w:val="00E26CE0"/>
    <w:rsid w:val="00E2716E"/>
    <w:rsid w:val="00E27750"/>
    <w:rsid w:val="00E27A28"/>
    <w:rsid w:val="00E27AC6"/>
    <w:rsid w:val="00E27E2B"/>
    <w:rsid w:val="00E300D2"/>
    <w:rsid w:val="00E30160"/>
    <w:rsid w:val="00E304DC"/>
    <w:rsid w:val="00E31E32"/>
    <w:rsid w:val="00E326BF"/>
    <w:rsid w:val="00E337CB"/>
    <w:rsid w:val="00E33A88"/>
    <w:rsid w:val="00E34273"/>
    <w:rsid w:val="00E3456E"/>
    <w:rsid w:val="00E34879"/>
    <w:rsid w:val="00E34FA4"/>
    <w:rsid w:val="00E35818"/>
    <w:rsid w:val="00E358B7"/>
    <w:rsid w:val="00E368B6"/>
    <w:rsid w:val="00E3767B"/>
    <w:rsid w:val="00E37AAB"/>
    <w:rsid w:val="00E37B77"/>
    <w:rsid w:val="00E37BCB"/>
    <w:rsid w:val="00E41331"/>
    <w:rsid w:val="00E41EF7"/>
    <w:rsid w:val="00E422BF"/>
    <w:rsid w:val="00E42C71"/>
    <w:rsid w:val="00E43963"/>
    <w:rsid w:val="00E43AD7"/>
    <w:rsid w:val="00E44E13"/>
    <w:rsid w:val="00E45209"/>
    <w:rsid w:val="00E45405"/>
    <w:rsid w:val="00E456B1"/>
    <w:rsid w:val="00E45C7C"/>
    <w:rsid w:val="00E46271"/>
    <w:rsid w:val="00E46694"/>
    <w:rsid w:val="00E50005"/>
    <w:rsid w:val="00E506AF"/>
    <w:rsid w:val="00E5095A"/>
    <w:rsid w:val="00E50C1D"/>
    <w:rsid w:val="00E50FF2"/>
    <w:rsid w:val="00E51C78"/>
    <w:rsid w:val="00E524BD"/>
    <w:rsid w:val="00E52623"/>
    <w:rsid w:val="00E52899"/>
    <w:rsid w:val="00E52D06"/>
    <w:rsid w:val="00E53D45"/>
    <w:rsid w:val="00E540C3"/>
    <w:rsid w:val="00E55211"/>
    <w:rsid w:val="00E553E0"/>
    <w:rsid w:val="00E556F2"/>
    <w:rsid w:val="00E5613E"/>
    <w:rsid w:val="00E56F57"/>
    <w:rsid w:val="00E57715"/>
    <w:rsid w:val="00E5788E"/>
    <w:rsid w:val="00E57D8B"/>
    <w:rsid w:val="00E60A45"/>
    <w:rsid w:val="00E60E9B"/>
    <w:rsid w:val="00E6166B"/>
    <w:rsid w:val="00E624E9"/>
    <w:rsid w:val="00E625C3"/>
    <w:rsid w:val="00E627A5"/>
    <w:rsid w:val="00E6298D"/>
    <w:rsid w:val="00E637C1"/>
    <w:rsid w:val="00E6398D"/>
    <w:rsid w:val="00E64621"/>
    <w:rsid w:val="00E64B2A"/>
    <w:rsid w:val="00E64BA1"/>
    <w:rsid w:val="00E64E4E"/>
    <w:rsid w:val="00E65386"/>
    <w:rsid w:val="00E66FF9"/>
    <w:rsid w:val="00E67392"/>
    <w:rsid w:val="00E6776F"/>
    <w:rsid w:val="00E7046A"/>
    <w:rsid w:val="00E70508"/>
    <w:rsid w:val="00E70C3E"/>
    <w:rsid w:val="00E70E86"/>
    <w:rsid w:val="00E71596"/>
    <w:rsid w:val="00E71CD2"/>
    <w:rsid w:val="00E71E4E"/>
    <w:rsid w:val="00E72245"/>
    <w:rsid w:val="00E727F3"/>
    <w:rsid w:val="00E72CDA"/>
    <w:rsid w:val="00E72F15"/>
    <w:rsid w:val="00E732FD"/>
    <w:rsid w:val="00E7348F"/>
    <w:rsid w:val="00E73663"/>
    <w:rsid w:val="00E73C6B"/>
    <w:rsid w:val="00E73CCC"/>
    <w:rsid w:val="00E748E2"/>
    <w:rsid w:val="00E74A4F"/>
    <w:rsid w:val="00E759C6"/>
    <w:rsid w:val="00E7614A"/>
    <w:rsid w:val="00E769F4"/>
    <w:rsid w:val="00E77B84"/>
    <w:rsid w:val="00E8017D"/>
    <w:rsid w:val="00E81208"/>
    <w:rsid w:val="00E814D0"/>
    <w:rsid w:val="00E817CE"/>
    <w:rsid w:val="00E819BC"/>
    <w:rsid w:val="00E82159"/>
    <w:rsid w:val="00E82F0F"/>
    <w:rsid w:val="00E830A8"/>
    <w:rsid w:val="00E83659"/>
    <w:rsid w:val="00E83D44"/>
    <w:rsid w:val="00E83DF3"/>
    <w:rsid w:val="00E83E95"/>
    <w:rsid w:val="00E84481"/>
    <w:rsid w:val="00E84FC8"/>
    <w:rsid w:val="00E85B8A"/>
    <w:rsid w:val="00E8604F"/>
    <w:rsid w:val="00E86C01"/>
    <w:rsid w:val="00E86F32"/>
    <w:rsid w:val="00E875EE"/>
    <w:rsid w:val="00E905C7"/>
    <w:rsid w:val="00E919CA"/>
    <w:rsid w:val="00E92202"/>
    <w:rsid w:val="00E92D23"/>
    <w:rsid w:val="00E92F9D"/>
    <w:rsid w:val="00E93530"/>
    <w:rsid w:val="00E93607"/>
    <w:rsid w:val="00E936B4"/>
    <w:rsid w:val="00E94308"/>
    <w:rsid w:val="00E94F72"/>
    <w:rsid w:val="00E951C3"/>
    <w:rsid w:val="00E9589A"/>
    <w:rsid w:val="00E95A50"/>
    <w:rsid w:val="00E95B19"/>
    <w:rsid w:val="00E962F1"/>
    <w:rsid w:val="00E965BD"/>
    <w:rsid w:val="00E96F34"/>
    <w:rsid w:val="00E96F57"/>
    <w:rsid w:val="00E978B0"/>
    <w:rsid w:val="00E9794E"/>
    <w:rsid w:val="00EA0325"/>
    <w:rsid w:val="00EA0554"/>
    <w:rsid w:val="00EA05C1"/>
    <w:rsid w:val="00EA0659"/>
    <w:rsid w:val="00EA0C63"/>
    <w:rsid w:val="00EA0E41"/>
    <w:rsid w:val="00EA0ECA"/>
    <w:rsid w:val="00EA1211"/>
    <w:rsid w:val="00EA16A6"/>
    <w:rsid w:val="00EA23EC"/>
    <w:rsid w:val="00EA2A16"/>
    <w:rsid w:val="00EA2CD9"/>
    <w:rsid w:val="00EA4D49"/>
    <w:rsid w:val="00EA52DB"/>
    <w:rsid w:val="00EA55A9"/>
    <w:rsid w:val="00EA5764"/>
    <w:rsid w:val="00EA5BE6"/>
    <w:rsid w:val="00EA683D"/>
    <w:rsid w:val="00EA6842"/>
    <w:rsid w:val="00EA689B"/>
    <w:rsid w:val="00EA6C53"/>
    <w:rsid w:val="00EA6E2C"/>
    <w:rsid w:val="00EA788A"/>
    <w:rsid w:val="00EB0946"/>
    <w:rsid w:val="00EB0D83"/>
    <w:rsid w:val="00EB0E24"/>
    <w:rsid w:val="00EB0E79"/>
    <w:rsid w:val="00EB0E97"/>
    <w:rsid w:val="00EB1233"/>
    <w:rsid w:val="00EB1B14"/>
    <w:rsid w:val="00EB27AB"/>
    <w:rsid w:val="00EB3596"/>
    <w:rsid w:val="00EB3A9E"/>
    <w:rsid w:val="00EB3E47"/>
    <w:rsid w:val="00EB4906"/>
    <w:rsid w:val="00EB5721"/>
    <w:rsid w:val="00EB5B8A"/>
    <w:rsid w:val="00EB5E52"/>
    <w:rsid w:val="00EB6133"/>
    <w:rsid w:val="00EB6B30"/>
    <w:rsid w:val="00EB6ECA"/>
    <w:rsid w:val="00EB6ED5"/>
    <w:rsid w:val="00EB70BA"/>
    <w:rsid w:val="00EB7299"/>
    <w:rsid w:val="00EB7D62"/>
    <w:rsid w:val="00EB7DBA"/>
    <w:rsid w:val="00EC00CA"/>
    <w:rsid w:val="00EC05EF"/>
    <w:rsid w:val="00EC08E1"/>
    <w:rsid w:val="00EC0C87"/>
    <w:rsid w:val="00EC114D"/>
    <w:rsid w:val="00EC231D"/>
    <w:rsid w:val="00EC27DF"/>
    <w:rsid w:val="00EC2BDB"/>
    <w:rsid w:val="00EC3122"/>
    <w:rsid w:val="00EC318C"/>
    <w:rsid w:val="00EC3A34"/>
    <w:rsid w:val="00EC578F"/>
    <w:rsid w:val="00EC5997"/>
    <w:rsid w:val="00EC5CC7"/>
    <w:rsid w:val="00EC6D19"/>
    <w:rsid w:val="00EC6F60"/>
    <w:rsid w:val="00EC6FA0"/>
    <w:rsid w:val="00EC71FF"/>
    <w:rsid w:val="00EC7DB5"/>
    <w:rsid w:val="00EC7F9D"/>
    <w:rsid w:val="00ED03B3"/>
    <w:rsid w:val="00ED0709"/>
    <w:rsid w:val="00ED10D1"/>
    <w:rsid w:val="00ED1F73"/>
    <w:rsid w:val="00ED2FF8"/>
    <w:rsid w:val="00ED336E"/>
    <w:rsid w:val="00ED3496"/>
    <w:rsid w:val="00ED3700"/>
    <w:rsid w:val="00ED373A"/>
    <w:rsid w:val="00ED41DA"/>
    <w:rsid w:val="00ED4214"/>
    <w:rsid w:val="00ED57DC"/>
    <w:rsid w:val="00ED5B7E"/>
    <w:rsid w:val="00ED5D1C"/>
    <w:rsid w:val="00ED5F65"/>
    <w:rsid w:val="00ED6F92"/>
    <w:rsid w:val="00ED752E"/>
    <w:rsid w:val="00ED77B9"/>
    <w:rsid w:val="00ED7E7E"/>
    <w:rsid w:val="00EE024B"/>
    <w:rsid w:val="00EE0AAF"/>
    <w:rsid w:val="00EE18F0"/>
    <w:rsid w:val="00EE1B54"/>
    <w:rsid w:val="00EE1DCA"/>
    <w:rsid w:val="00EE25FF"/>
    <w:rsid w:val="00EE277F"/>
    <w:rsid w:val="00EE2BD4"/>
    <w:rsid w:val="00EE3684"/>
    <w:rsid w:val="00EE45C7"/>
    <w:rsid w:val="00EE47CD"/>
    <w:rsid w:val="00EE4947"/>
    <w:rsid w:val="00EE4F54"/>
    <w:rsid w:val="00EE5090"/>
    <w:rsid w:val="00EE54E7"/>
    <w:rsid w:val="00EE584D"/>
    <w:rsid w:val="00EE59A1"/>
    <w:rsid w:val="00EE59E7"/>
    <w:rsid w:val="00EE66AE"/>
    <w:rsid w:val="00EE6FDF"/>
    <w:rsid w:val="00EE716A"/>
    <w:rsid w:val="00EE7547"/>
    <w:rsid w:val="00EE76A8"/>
    <w:rsid w:val="00EF02CA"/>
    <w:rsid w:val="00EF03C4"/>
    <w:rsid w:val="00EF072E"/>
    <w:rsid w:val="00EF09B8"/>
    <w:rsid w:val="00EF17F1"/>
    <w:rsid w:val="00EF1AD9"/>
    <w:rsid w:val="00EF1BB7"/>
    <w:rsid w:val="00EF1E92"/>
    <w:rsid w:val="00EF2142"/>
    <w:rsid w:val="00EF22B6"/>
    <w:rsid w:val="00EF286E"/>
    <w:rsid w:val="00EF2ABD"/>
    <w:rsid w:val="00EF2D4B"/>
    <w:rsid w:val="00EF35A0"/>
    <w:rsid w:val="00EF35A5"/>
    <w:rsid w:val="00EF383C"/>
    <w:rsid w:val="00EF4607"/>
    <w:rsid w:val="00EF4E33"/>
    <w:rsid w:val="00EF4EAE"/>
    <w:rsid w:val="00EF55DC"/>
    <w:rsid w:val="00EF5925"/>
    <w:rsid w:val="00EF59BD"/>
    <w:rsid w:val="00EF5B12"/>
    <w:rsid w:val="00EF5BDB"/>
    <w:rsid w:val="00EF5C41"/>
    <w:rsid w:val="00EF5ED4"/>
    <w:rsid w:val="00EF638D"/>
    <w:rsid w:val="00EF6403"/>
    <w:rsid w:val="00EF665A"/>
    <w:rsid w:val="00EF6AA3"/>
    <w:rsid w:val="00EF6B59"/>
    <w:rsid w:val="00EF73A5"/>
    <w:rsid w:val="00EF73B8"/>
    <w:rsid w:val="00F00204"/>
    <w:rsid w:val="00F01085"/>
    <w:rsid w:val="00F02195"/>
    <w:rsid w:val="00F021E8"/>
    <w:rsid w:val="00F02F3E"/>
    <w:rsid w:val="00F03A0D"/>
    <w:rsid w:val="00F03B5B"/>
    <w:rsid w:val="00F03B86"/>
    <w:rsid w:val="00F03C86"/>
    <w:rsid w:val="00F042DB"/>
    <w:rsid w:val="00F04B94"/>
    <w:rsid w:val="00F05131"/>
    <w:rsid w:val="00F057FA"/>
    <w:rsid w:val="00F0711A"/>
    <w:rsid w:val="00F071B6"/>
    <w:rsid w:val="00F07245"/>
    <w:rsid w:val="00F07A1D"/>
    <w:rsid w:val="00F07C04"/>
    <w:rsid w:val="00F07D43"/>
    <w:rsid w:val="00F103FC"/>
    <w:rsid w:val="00F10E6B"/>
    <w:rsid w:val="00F110C0"/>
    <w:rsid w:val="00F11251"/>
    <w:rsid w:val="00F11467"/>
    <w:rsid w:val="00F11721"/>
    <w:rsid w:val="00F12735"/>
    <w:rsid w:val="00F13140"/>
    <w:rsid w:val="00F1314E"/>
    <w:rsid w:val="00F13204"/>
    <w:rsid w:val="00F1363C"/>
    <w:rsid w:val="00F13BC5"/>
    <w:rsid w:val="00F14B60"/>
    <w:rsid w:val="00F14C59"/>
    <w:rsid w:val="00F152E4"/>
    <w:rsid w:val="00F15598"/>
    <w:rsid w:val="00F15B82"/>
    <w:rsid w:val="00F15F2B"/>
    <w:rsid w:val="00F16547"/>
    <w:rsid w:val="00F165CA"/>
    <w:rsid w:val="00F16B98"/>
    <w:rsid w:val="00F16DEE"/>
    <w:rsid w:val="00F174C7"/>
    <w:rsid w:val="00F17736"/>
    <w:rsid w:val="00F179F4"/>
    <w:rsid w:val="00F20278"/>
    <w:rsid w:val="00F20495"/>
    <w:rsid w:val="00F206AD"/>
    <w:rsid w:val="00F2077E"/>
    <w:rsid w:val="00F20C8F"/>
    <w:rsid w:val="00F20DC4"/>
    <w:rsid w:val="00F21329"/>
    <w:rsid w:val="00F21AF6"/>
    <w:rsid w:val="00F21D7F"/>
    <w:rsid w:val="00F221BA"/>
    <w:rsid w:val="00F22988"/>
    <w:rsid w:val="00F23627"/>
    <w:rsid w:val="00F237F4"/>
    <w:rsid w:val="00F23C90"/>
    <w:rsid w:val="00F241D2"/>
    <w:rsid w:val="00F24AFB"/>
    <w:rsid w:val="00F25D9C"/>
    <w:rsid w:val="00F26381"/>
    <w:rsid w:val="00F26D5E"/>
    <w:rsid w:val="00F26F81"/>
    <w:rsid w:val="00F26F96"/>
    <w:rsid w:val="00F27A2C"/>
    <w:rsid w:val="00F27C2D"/>
    <w:rsid w:val="00F30543"/>
    <w:rsid w:val="00F30618"/>
    <w:rsid w:val="00F312FF"/>
    <w:rsid w:val="00F31BE4"/>
    <w:rsid w:val="00F325CF"/>
    <w:rsid w:val="00F326D6"/>
    <w:rsid w:val="00F328A4"/>
    <w:rsid w:val="00F330EE"/>
    <w:rsid w:val="00F33552"/>
    <w:rsid w:val="00F33F63"/>
    <w:rsid w:val="00F34DE8"/>
    <w:rsid w:val="00F35153"/>
    <w:rsid w:val="00F35AB1"/>
    <w:rsid w:val="00F35D3B"/>
    <w:rsid w:val="00F369E9"/>
    <w:rsid w:val="00F36AC0"/>
    <w:rsid w:val="00F36AF9"/>
    <w:rsid w:val="00F373AF"/>
    <w:rsid w:val="00F37FAF"/>
    <w:rsid w:val="00F40310"/>
    <w:rsid w:val="00F40EFC"/>
    <w:rsid w:val="00F40F46"/>
    <w:rsid w:val="00F41097"/>
    <w:rsid w:val="00F41442"/>
    <w:rsid w:val="00F41578"/>
    <w:rsid w:val="00F41F57"/>
    <w:rsid w:val="00F425B8"/>
    <w:rsid w:val="00F427C4"/>
    <w:rsid w:val="00F432D7"/>
    <w:rsid w:val="00F44122"/>
    <w:rsid w:val="00F44211"/>
    <w:rsid w:val="00F444D6"/>
    <w:rsid w:val="00F4450E"/>
    <w:rsid w:val="00F44D17"/>
    <w:rsid w:val="00F4594D"/>
    <w:rsid w:val="00F46109"/>
    <w:rsid w:val="00F462B2"/>
    <w:rsid w:val="00F465E2"/>
    <w:rsid w:val="00F466E9"/>
    <w:rsid w:val="00F467B9"/>
    <w:rsid w:val="00F4689C"/>
    <w:rsid w:val="00F46FFE"/>
    <w:rsid w:val="00F478CE"/>
    <w:rsid w:val="00F47A36"/>
    <w:rsid w:val="00F47F6A"/>
    <w:rsid w:val="00F500D5"/>
    <w:rsid w:val="00F5092A"/>
    <w:rsid w:val="00F50BDD"/>
    <w:rsid w:val="00F50FF0"/>
    <w:rsid w:val="00F51280"/>
    <w:rsid w:val="00F5204F"/>
    <w:rsid w:val="00F52222"/>
    <w:rsid w:val="00F52389"/>
    <w:rsid w:val="00F523A3"/>
    <w:rsid w:val="00F5264F"/>
    <w:rsid w:val="00F526A2"/>
    <w:rsid w:val="00F53259"/>
    <w:rsid w:val="00F53364"/>
    <w:rsid w:val="00F53C6D"/>
    <w:rsid w:val="00F54271"/>
    <w:rsid w:val="00F54307"/>
    <w:rsid w:val="00F54629"/>
    <w:rsid w:val="00F5654D"/>
    <w:rsid w:val="00F56D97"/>
    <w:rsid w:val="00F57373"/>
    <w:rsid w:val="00F57BF8"/>
    <w:rsid w:val="00F57CD9"/>
    <w:rsid w:val="00F60B14"/>
    <w:rsid w:val="00F60CB1"/>
    <w:rsid w:val="00F60ED7"/>
    <w:rsid w:val="00F60EE7"/>
    <w:rsid w:val="00F60F78"/>
    <w:rsid w:val="00F615BE"/>
    <w:rsid w:val="00F62BEF"/>
    <w:rsid w:val="00F62E9C"/>
    <w:rsid w:val="00F6389F"/>
    <w:rsid w:val="00F63A42"/>
    <w:rsid w:val="00F63C59"/>
    <w:rsid w:val="00F63D82"/>
    <w:rsid w:val="00F63F86"/>
    <w:rsid w:val="00F6497E"/>
    <w:rsid w:val="00F6538E"/>
    <w:rsid w:val="00F6558B"/>
    <w:rsid w:val="00F6595C"/>
    <w:rsid w:val="00F6597A"/>
    <w:rsid w:val="00F661B9"/>
    <w:rsid w:val="00F66508"/>
    <w:rsid w:val="00F66917"/>
    <w:rsid w:val="00F67111"/>
    <w:rsid w:val="00F6795B"/>
    <w:rsid w:val="00F67AEC"/>
    <w:rsid w:val="00F67BF1"/>
    <w:rsid w:val="00F70456"/>
    <w:rsid w:val="00F70591"/>
    <w:rsid w:val="00F714D4"/>
    <w:rsid w:val="00F71A5B"/>
    <w:rsid w:val="00F72586"/>
    <w:rsid w:val="00F7333B"/>
    <w:rsid w:val="00F735E4"/>
    <w:rsid w:val="00F7364A"/>
    <w:rsid w:val="00F7370C"/>
    <w:rsid w:val="00F74251"/>
    <w:rsid w:val="00F7426A"/>
    <w:rsid w:val="00F75505"/>
    <w:rsid w:val="00F7578F"/>
    <w:rsid w:val="00F75D9F"/>
    <w:rsid w:val="00F7627A"/>
    <w:rsid w:val="00F76C15"/>
    <w:rsid w:val="00F76C70"/>
    <w:rsid w:val="00F771AF"/>
    <w:rsid w:val="00F77EFE"/>
    <w:rsid w:val="00F800EA"/>
    <w:rsid w:val="00F823D3"/>
    <w:rsid w:val="00F82D6D"/>
    <w:rsid w:val="00F82FF7"/>
    <w:rsid w:val="00F83E35"/>
    <w:rsid w:val="00F8408B"/>
    <w:rsid w:val="00F8483E"/>
    <w:rsid w:val="00F84887"/>
    <w:rsid w:val="00F84B6B"/>
    <w:rsid w:val="00F85769"/>
    <w:rsid w:val="00F86557"/>
    <w:rsid w:val="00F869E6"/>
    <w:rsid w:val="00F86B37"/>
    <w:rsid w:val="00F872AF"/>
    <w:rsid w:val="00F87AAC"/>
    <w:rsid w:val="00F87C55"/>
    <w:rsid w:val="00F87D57"/>
    <w:rsid w:val="00F90CA1"/>
    <w:rsid w:val="00F9106C"/>
    <w:rsid w:val="00F9128C"/>
    <w:rsid w:val="00F9148E"/>
    <w:rsid w:val="00F9175F"/>
    <w:rsid w:val="00F917D1"/>
    <w:rsid w:val="00F91C4A"/>
    <w:rsid w:val="00F91C9E"/>
    <w:rsid w:val="00F92138"/>
    <w:rsid w:val="00F925DC"/>
    <w:rsid w:val="00F930DF"/>
    <w:rsid w:val="00F9342D"/>
    <w:rsid w:val="00F93F27"/>
    <w:rsid w:val="00F93FDD"/>
    <w:rsid w:val="00F94091"/>
    <w:rsid w:val="00F94D15"/>
    <w:rsid w:val="00F95866"/>
    <w:rsid w:val="00F95910"/>
    <w:rsid w:val="00F95AA1"/>
    <w:rsid w:val="00F96190"/>
    <w:rsid w:val="00F964B7"/>
    <w:rsid w:val="00F9654D"/>
    <w:rsid w:val="00F966CC"/>
    <w:rsid w:val="00F96E4E"/>
    <w:rsid w:val="00F97008"/>
    <w:rsid w:val="00F978C1"/>
    <w:rsid w:val="00F97D5E"/>
    <w:rsid w:val="00F97F0D"/>
    <w:rsid w:val="00FA0C45"/>
    <w:rsid w:val="00FA1AC5"/>
    <w:rsid w:val="00FA1C2C"/>
    <w:rsid w:val="00FA20CE"/>
    <w:rsid w:val="00FA2524"/>
    <w:rsid w:val="00FA2BA3"/>
    <w:rsid w:val="00FA2DDF"/>
    <w:rsid w:val="00FA3311"/>
    <w:rsid w:val="00FA33F0"/>
    <w:rsid w:val="00FA3C1E"/>
    <w:rsid w:val="00FA45C5"/>
    <w:rsid w:val="00FA4694"/>
    <w:rsid w:val="00FA534C"/>
    <w:rsid w:val="00FA5D90"/>
    <w:rsid w:val="00FA5F44"/>
    <w:rsid w:val="00FA7186"/>
    <w:rsid w:val="00FA7249"/>
    <w:rsid w:val="00FA756D"/>
    <w:rsid w:val="00FA7674"/>
    <w:rsid w:val="00FA787D"/>
    <w:rsid w:val="00FB09FE"/>
    <w:rsid w:val="00FB1832"/>
    <w:rsid w:val="00FB1880"/>
    <w:rsid w:val="00FB1FC1"/>
    <w:rsid w:val="00FB2502"/>
    <w:rsid w:val="00FB2746"/>
    <w:rsid w:val="00FB2B29"/>
    <w:rsid w:val="00FB37E2"/>
    <w:rsid w:val="00FB3CEE"/>
    <w:rsid w:val="00FB4648"/>
    <w:rsid w:val="00FB470E"/>
    <w:rsid w:val="00FB496E"/>
    <w:rsid w:val="00FB4BC9"/>
    <w:rsid w:val="00FB4FF7"/>
    <w:rsid w:val="00FB5252"/>
    <w:rsid w:val="00FB5D06"/>
    <w:rsid w:val="00FB5D4E"/>
    <w:rsid w:val="00FB6846"/>
    <w:rsid w:val="00FB69B3"/>
    <w:rsid w:val="00FB727F"/>
    <w:rsid w:val="00FB7AD7"/>
    <w:rsid w:val="00FB7DA7"/>
    <w:rsid w:val="00FB7E37"/>
    <w:rsid w:val="00FC125E"/>
    <w:rsid w:val="00FC1726"/>
    <w:rsid w:val="00FC1846"/>
    <w:rsid w:val="00FC1AB4"/>
    <w:rsid w:val="00FC2286"/>
    <w:rsid w:val="00FC2927"/>
    <w:rsid w:val="00FC29D2"/>
    <w:rsid w:val="00FC2FE7"/>
    <w:rsid w:val="00FC3572"/>
    <w:rsid w:val="00FC37B1"/>
    <w:rsid w:val="00FC3B72"/>
    <w:rsid w:val="00FC3E38"/>
    <w:rsid w:val="00FC4A97"/>
    <w:rsid w:val="00FC4BA3"/>
    <w:rsid w:val="00FC4DA9"/>
    <w:rsid w:val="00FC561F"/>
    <w:rsid w:val="00FC572B"/>
    <w:rsid w:val="00FC5CDC"/>
    <w:rsid w:val="00FC6CA7"/>
    <w:rsid w:val="00FC6E28"/>
    <w:rsid w:val="00FC73FA"/>
    <w:rsid w:val="00FC7F98"/>
    <w:rsid w:val="00FD1626"/>
    <w:rsid w:val="00FD1C60"/>
    <w:rsid w:val="00FD1F08"/>
    <w:rsid w:val="00FD1F68"/>
    <w:rsid w:val="00FD4156"/>
    <w:rsid w:val="00FD4560"/>
    <w:rsid w:val="00FD5BF0"/>
    <w:rsid w:val="00FD7000"/>
    <w:rsid w:val="00FD71BD"/>
    <w:rsid w:val="00FD7584"/>
    <w:rsid w:val="00FD770F"/>
    <w:rsid w:val="00FD7E67"/>
    <w:rsid w:val="00FE02D9"/>
    <w:rsid w:val="00FE0D5D"/>
    <w:rsid w:val="00FE0EB5"/>
    <w:rsid w:val="00FE0ED0"/>
    <w:rsid w:val="00FE12FA"/>
    <w:rsid w:val="00FE2553"/>
    <w:rsid w:val="00FE2A30"/>
    <w:rsid w:val="00FE349D"/>
    <w:rsid w:val="00FE4E96"/>
    <w:rsid w:val="00FE52B2"/>
    <w:rsid w:val="00FE52FF"/>
    <w:rsid w:val="00FE5380"/>
    <w:rsid w:val="00FE5FC1"/>
    <w:rsid w:val="00FE690A"/>
    <w:rsid w:val="00FE7630"/>
    <w:rsid w:val="00FE7A8A"/>
    <w:rsid w:val="00FF01C4"/>
    <w:rsid w:val="00FF0402"/>
    <w:rsid w:val="00FF0D6D"/>
    <w:rsid w:val="00FF0E7E"/>
    <w:rsid w:val="00FF116A"/>
    <w:rsid w:val="00FF1233"/>
    <w:rsid w:val="00FF18DA"/>
    <w:rsid w:val="00FF1966"/>
    <w:rsid w:val="00FF1F17"/>
    <w:rsid w:val="00FF245D"/>
    <w:rsid w:val="00FF2567"/>
    <w:rsid w:val="00FF2711"/>
    <w:rsid w:val="00FF30D2"/>
    <w:rsid w:val="00FF3203"/>
    <w:rsid w:val="00FF4153"/>
    <w:rsid w:val="00FF46DA"/>
    <w:rsid w:val="00FF4AED"/>
    <w:rsid w:val="00FF5308"/>
    <w:rsid w:val="00FF5C46"/>
    <w:rsid w:val="00FF61DA"/>
    <w:rsid w:val="00FF6428"/>
    <w:rsid w:val="00FF67C2"/>
    <w:rsid w:val="00FF7484"/>
    <w:rsid w:val="00FF7E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51202"/>
    <o:shapelayout v:ext="edit">
      <o:idmap v:ext="edit" data="1"/>
      <o:rules v:ext="edit">
        <o:r id="V:Rule26" type="connector" idref="#_x0000_s1162"/>
        <o:r id="V:Rule27" type="connector" idref="#_x0000_s1175"/>
        <o:r id="V:Rule28" type="connector" idref="#_x0000_s1179"/>
        <o:r id="V:Rule30" type="connector" idref="#_x0000_s1170"/>
        <o:r id="V:Rule31" type="connector" idref="#_x0000_s1172"/>
        <o:r id="V:Rule32" type="connector" idref="#_x0000_s1163"/>
        <o:r id="V:Rule33" type="connector" idref="#_x0000_s1168"/>
        <o:r id="V:Rule34" type="connector" idref="#_x0000_s1171"/>
        <o:r id="V:Rule37" type="connector" idref="#_x0000_s1186"/>
        <o:r id="V:Rule40" type="connector" idref="#_x0000_s1176"/>
        <o:r id="V:Rule41" type="connector" idref="#_x0000_s1173"/>
        <o:r id="V:Rule42" type="connector" idref="#_x0000_s1178"/>
        <o:r id="V:Rule43" type="connector" idref="#_x0000_s1167"/>
        <o:r id="V:Rule44" type="connector" idref="#_x0000_s1177"/>
        <o:r id="V:Rule45" type="connector" idref="#_x0000_s1164"/>
        <o:r id="V:Rule46" type="connector" idref="#_x0000_s1169"/>
        <o:r id="V:Rule47" type="connector" idref="#_x0000_s1165"/>
        <o:r id="V:Rule48" type="connector" idref="#_x0000_s1166"/>
        <o:r id="V:Rule49" type="connector" idref="#_x0000_s1183"/>
        <o:r id="V:Rule50" type="connector" idref="#_x0000_s1174"/>
        <o:r id="V:Rule53" type="connector" idref="#_x0000_s1196"/>
        <o:r id="V:Rule54" type="connector" idref="#_x0000_s1200"/>
        <o:r id="V:Rule55" type="connector" idref="#_x0000_s1195"/>
        <o:r id="V:Rule57" type="connector" idref="#_x0000_s1197"/>
        <o:r id="V:Rule58" type="connector" idref="#_x0000_s119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2DC"/>
    <w:pPr>
      <w:spacing w:after="200" w:line="276" w:lineRule="auto"/>
    </w:pPr>
    <w:rPr>
      <w:sz w:val="24"/>
      <w:szCs w:val="22"/>
    </w:rPr>
  </w:style>
  <w:style w:type="paragraph" w:styleId="Heading1">
    <w:name w:val="heading 1"/>
    <w:basedOn w:val="Normal"/>
    <w:next w:val="Normal"/>
    <w:link w:val="Heading1Char"/>
    <w:uiPriority w:val="9"/>
    <w:qFormat/>
    <w:rsid w:val="00BA7D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A7D0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A7D0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43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C86C9F"/>
    <w:rPr>
      <w:sz w:val="24"/>
      <w:szCs w:val="22"/>
    </w:rPr>
  </w:style>
  <w:style w:type="character" w:styleId="Hyperlink">
    <w:name w:val="Hyperlink"/>
    <w:basedOn w:val="DefaultParagraphFont"/>
    <w:uiPriority w:val="99"/>
    <w:unhideWhenUsed/>
    <w:rsid w:val="00C80347"/>
    <w:rPr>
      <w:color w:val="0000FF"/>
      <w:u w:val="single"/>
    </w:rPr>
  </w:style>
  <w:style w:type="paragraph" w:styleId="Header">
    <w:name w:val="header"/>
    <w:basedOn w:val="Normal"/>
    <w:link w:val="HeaderChar"/>
    <w:uiPriority w:val="99"/>
    <w:unhideWhenUsed/>
    <w:rsid w:val="005D648A"/>
    <w:pPr>
      <w:tabs>
        <w:tab w:val="center" w:pos="4680"/>
        <w:tab w:val="right" w:pos="9360"/>
      </w:tabs>
    </w:pPr>
  </w:style>
  <w:style w:type="character" w:customStyle="1" w:styleId="HeaderChar">
    <w:name w:val="Header Char"/>
    <w:basedOn w:val="DefaultParagraphFont"/>
    <w:link w:val="Header"/>
    <w:uiPriority w:val="99"/>
    <w:rsid w:val="005D648A"/>
    <w:rPr>
      <w:sz w:val="24"/>
      <w:szCs w:val="22"/>
    </w:rPr>
  </w:style>
  <w:style w:type="paragraph" w:styleId="Footer">
    <w:name w:val="footer"/>
    <w:basedOn w:val="Normal"/>
    <w:link w:val="FooterChar"/>
    <w:uiPriority w:val="99"/>
    <w:unhideWhenUsed/>
    <w:rsid w:val="005D648A"/>
    <w:pPr>
      <w:tabs>
        <w:tab w:val="center" w:pos="4680"/>
        <w:tab w:val="right" w:pos="9360"/>
      </w:tabs>
    </w:pPr>
  </w:style>
  <w:style w:type="character" w:customStyle="1" w:styleId="FooterChar">
    <w:name w:val="Footer Char"/>
    <w:basedOn w:val="DefaultParagraphFont"/>
    <w:link w:val="Footer"/>
    <w:uiPriority w:val="99"/>
    <w:rsid w:val="005D648A"/>
    <w:rPr>
      <w:sz w:val="24"/>
      <w:szCs w:val="22"/>
    </w:rPr>
  </w:style>
  <w:style w:type="paragraph" w:styleId="BalloonText">
    <w:name w:val="Balloon Text"/>
    <w:basedOn w:val="Normal"/>
    <w:link w:val="BalloonTextChar"/>
    <w:uiPriority w:val="99"/>
    <w:semiHidden/>
    <w:unhideWhenUsed/>
    <w:rsid w:val="00F60E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ED7"/>
    <w:rPr>
      <w:rFonts w:ascii="Tahoma" w:hAnsi="Tahoma" w:cs="Tahoma"/>
      <w:sz w:val="16"/>
      <w:szCs w:val="16"/>
    </w:rPr>
  </w:style>
  <w:style w:type="character" w:styleId="FollowedHyperlink">
    <w:name w:val="FollowedHyperlink"/>
    <w:basedOn w:val="DefaultParagraphFont"/>
    <w:uiPriority w:val="99"/>
    <w:semiHidden/>
    <w:unhideWhenUsed/>
    <w:rsid w:val="00F11251"/>
    <w:rPr>
      <w:color w:val="800080"/>
      <w:u w:val="single"/>
    </w:rPr>
  </w:style>
  <w:style w:type="character" w:styleId="CommentReference">
    <w:name w:val="annotation reference"/>
    <w:basedOn w:val="DefaultParagraphFont"/>
    <w:uiPriority w:val="99"/>
    <w:unhideWhenUsed/>
    <w:rsid w:val="00687D37"/>
    <w:rPr>
      <w:sz w:val="16"/>
      <w:szCs w:val="16"/>
    </w:rPr>
  </w:style>
  <w:style w:type="paragraph" w:styleId="CommentText">
    <w:name w:val="annotation text"/>
    <w:basedOn w:val="Normal"/>
    <w:link w:val="CommentTextChar"/>
    <w:uiPriority w:val="99"/>
    <w:unhideWhenUsed/>
    <w:rsid w:val="00687D37"/>
    <w:rPr>
      <w:sz w:val="20"/>
      <w:szCs w:val="20"/>
    </w:rPr>
  </w:style>
  <w:style w:type="character" w:customStyle="1" w:styleId="CommentTextChar">
    <w:name w:val="Comment Text Char"/>
    <w:basedOn w:val="DefaultParagraphFont"/>
    <w:link w:val="CommentText"/>
    <w:uiPriority w:val="99"/>
    <w:rsid w:val="00687D37"/>
  </w:style>
  <w:style w:type="paragraph" w:styleId="CommentSubject">
    <w:name w:val="annotation subject"/>
    <w:basedOn w:val="CommentText"/>
    <w:next w:val="CommentText"/>
    <w:link w:val="CommentSubjectChar"/>
    <w:uiPriority w:val="99"/>
    <w:semiHidden/>
    <w:unhideWhenUsed/>
    <w:rsid w:val="00687D37"/>
    <w:rPr>
      <w:b/>
      <w:bCs/>
    </w:rPr>
  </w:style>
  <w:style w:type="character" w:customStyle="1" w:styleId="CommentSubjectChar">
    <w:name w:val="Comment Subject Char"/>
    <w:basedOn w:val="CommentTextChar"/>
    <w:link w:val="CommentSubject"/>
    <w:uiPriority w:val="99"/>
    <w:semiHidden/>
    <w:rsid w:val="00687D37"/>
    <w:rPr>
      <w:b/>
      <w:bCs/>
    </w:rPr>
  </w:style>
  <w:style w:type="paragraph" w:styleId="EndnoteText">
    <w:name w:val="endnote text"/>
    <w:basedOn w:val="Normal"/>
    <w:link w:val="EndnoteTextChar"/>
    <w:uiPriority w:val="99"/>
    <w:semiHidden/>
    <w:unhideWhenUsed/>
    <w:rsid w:val="00ED2FF8"/>
    <w:rPr>
      <w:sz w:val="20"/>
      <w:szCs w:val="20"/>
    </w:rPr>
  </w:style>
  <w:style w:type="character" w:customStyle="1" w:styleId="EndnoteTextChar">
    <w:name w:val="Endnote Text Char"/>
    <w:basedOn w:val="DefaultParagraphFont"/>
    <w:link w:val="EndnoteText"/>
    <w:uiPriority w:val="99"/>
    <w:semiHidden/>
    <w:rsid w:val="00ED2FF8"/>
  </w:style>
  <w:style w:type="character" w:styleId="EndnoteReference">
    <w:name w:val="endnote reference"/>
    <w:basedOn w:val="DefaultParagraphFont"/>
    <w:uiPriority w:val="99"/>
    <w:semiHidden/>
    <w:unhideWhenUsed/>
    <w:rsid w:val="00ED2FF8"/>
    <w:rPr>
      <w:vertAlign w:val="superscript"/>
    </w:rPr>
  </w:style>
  <w:style w:type="paragraph" w:styleId="FootnoteText">
    <w:name w:val="footnote text"/>
    <w:basedOn w:val="Normal"/>
    <w:link w:val="FootnoteTextChar"/>
    <w:uiPriority w:val="99"/>
    <w:semiHidden/>
    <w:unhideWhenUsed/>
    <w:rsid w:val="00ED2FF8"/>
    <w:rPr>
      <w:sz w:val="20"/>
      <w:szCs w:val="20"/>
    </w:rPr>
  </w:style>
  <w:style w:type="character" w:customStyle="1" w:styleId="FootnoteTextChar">
    <w:name w:val="Footnote Text Char"/>
    <w:basedOn w:val="DefaultParagraphFont"/>
    <w:link w:val="FootnoteText"/>
    <w:uiPriority w:val="99"/>
    <w:semiHidden/>
    <w:rsid w:val="00ED2FF8"/>
  </w:style>
  <w:style w:type="character" w:styleId="FootnoteReference">
    <w:name w:val="footnote reference"/>
    <w:basedOn w:val="DefaultParagraphFont"/>
    <w:uiPriority w:val="99"/>
    <w:semiHidden/>
    <w:unhideWhenUsed/>
    <w:rsid w:val="00ED2FF8"/>
    <w:rPr>
      <w:vertAlign w:val="superscript"/>
    </w:rPr>
  </w:style>
  <w:style w:type="paragraph" w:styleId="ListParagraph">
    <w:name w:val="List Paragraph"/>
    <w:basedOn w:val="Normal"/>
    <w:uiPriority w:val="34"/>
    <w:qFormat/>
    <w:rsid w:val="00FF46DA"/>
    <w:pPr>
      <w:ind w:left="720"/>
    </w:pPr>
  </w:style>
  <w:style w:type="paragraph" w:styleId="BodyTextIndent2">
    <w:name w:val="Body Text Indent 2"/>
    <w:basedOn w:val="Normal"/>
    <w:link w:val="BodyTextIndent2Char"/>
    <w:uiPriority w:val="99"/>
    <w:unhideWhenUsed/>
    <w:rsid w:val="004F6812"/>
    <w:pPr>
      <w:spacing w:after="120" w:line="480" w:lineRule="auto"/>
      <w:ind w:left="360"/>
    </w:pPr>
  </w:style>
  <w:style w:type="character" w:customStyle="1" w:styleId="BodyTextIndent2Char">
    <w:name w:val="Body Text Indent 2 Char"/>
    <w:basedOn w:val="DefaultParagraphFont"/>
    <w:link w:val="BodyTextIndent2"/>
    <w:uiPriority w:val="99"/>
    <w:rsid w:val="004F6812"/>
    <w:rPr>
      <w:sz w:val="24"/>
      <w:szCs w:val="22"/>
    </w:rPr>
  </w:style>
  <w:style w:type="paragraph" w:styleId="NormalWeb">
    <w:name w:val="Normal (Web)"/>
    <w:basedOn w:val="Normal"/>
    <w:uiPriority w:val="99"/>
    <w:rsid w:val="004F6812"/>
    <w:pPr>
      <w:spacing w:before="100" w:beforeAutospacing="1" w:after="100" w:afterAutospacing="1" w:line="240" w:lineRule="auto"/>
    </w:pPr>
    <w:rPr>
      <w:rFonts w:eastAsia="Times New Roman"/>
      <w:szCs w:val="24"/>
    </w:rPr>
  </w:style>
  <w:style w:type="paragraph" w:styleId="Caption">
    <w:name w:val="caption"/>
    <w:basedOn w:val="Normal"/>
    <w:next w:val="Normal"/>
    <w:qFormat/>
    <w:rsid w:val="004F6812"/>
    <w:pPr>
      <w:spacing w:after="0" w:line="240" w:lineRule="auto"/>
    </w:pPr>
    <w:rPr>
      <w:rFonts w:eastAsia="Times New Roman"/>
      <w:b/>
      <w:bCs/>
      <w:sz w:val="20"/>
      <w:szCs w:val="20"/>
    </w:rPr>
  </w:style>
  <w:style w:type="paragraph" w:styleId="Subtitle">
    <w:name w:val="Subtitle"/>
    <w:basedOn w:val="Normal"/>
    <w:link w:val="SubtitleChar"/>
    <w:qFormat/>
    <w:rsid w:val="00D22EF8"/>
    <w:pPr>
      <w:overflowPunct w:val="0"/>
      <w:autoSpaceDE w:val="0"/>
      <w:autoSpaceDN w:val="0"/>
      <w:adjustRightInd w:val="0"/>
      <w:spacing w:after="0" w:line="240" w:lineRule="auto"/>
      <w:textAlignment w:val="baseline"/>
    </w:pPr>
    <w:rPr>
      <w:rFonts w:eastAsia="Times New Roman"/>
      <w:b/>
      <w:bCs/>
      <w:szCs w:val="20"/>
    </w:rPr>
  </w:style>
  <w:style w:type="character" w:customStyle="1" w:styleId="SubtitleChar">
    <w:name w:val="Subtitle Char"/>
    <w:basedOn w:val="DefaultParagraphFont"/>
    <w:link w:val="Subtitle"/>
    <w:rsid w:val="00D22EF8"/>
    <w:rPr>
      <w:rFonts w:eastAsia="Times New Roman"/>
      <w:b/>
      <w:bCs/>
      <w:sz w:val="24"/>
    </w:rPr>
  </w:style>
  <w:style w:type="paragraph" w:styleId="BodyText">
    <w:name w:val="Body Text"/>
    <w:basedOn w:val="Normal"/>
    <w:link w:val="BodyTextChar"/>
    <w:unhideWhenUsed/>
    <w:rsid w:val="004B6C86"/>
    <w:pPr>
      <w:spacing w:after="120"/>
    </w:pPr>
  </w:style>
  <w:style w:type="character" w:customStyle="1" w:styleId="BodyTextChar">
    <w:name w:val="Body Text Char"/>
    <w:basedOn w:val="DefaultParagraphFont"/>
    <w:link w:val="BodyText"/>
    <w:rsid w:val="004B6C86"/>
    <w:rPr>
      <w:sz w:val="24"/>
      <w:szCs w:val="22"/>
    </w:rPr>
  </w:style>
  <w:style w:type="paragraph" w:customStyle="1" w:styleId="Default">
    <w:name w:val="Default"/>
    <w:rsid w:val="004B6C86"/>
    <w:pPr>
      <w:autoSpaceDE w:val="0"/>
      <w:autoSpaceDN w:val="0"/>
      <w:adjustRightInd w:val="0"/>
    </w:pPr>
    <w:rPr>
      <w:rFonts w:eastAsia="MS Mincho"/>
      <w:color w:val="000000"/>
      <w:sz w:val="24"/>
      <w:szCs w:val="24"/>
      <w:lang w:eastAsia="ja-JP"/>
    </w:rPr>
  </w:style>
  <w:style w:type="paragraph" w:customStyle="1" w:styleId="NoSpacing1">
    <w:name w:val="No Spacing1"/>
    <w:uiPriority w:val="1"/>
    <w:qFormat/>
    <w:rsid w:val="001B58DD"/>
    <w:pPr>
      <w:autoSpaceDN w:val="0"/>
    </w:pPr>
    <w:rPr>
      <w:rFonts w:ascii="Calibri" w:hAnsi="Calibri"/>
      <w:sz w:val="22"/>
      <w:szCs w:val="22"/>
    </w:rPr>
  </w:style>
  <w:style w:type="paragraph" w:styleId="Revision">
    <w:name w:val="Revision"/>
    <w:hidden/>
    <w:uiPriority w:val="99"/>
    <w:semiHidden/>
    <w:rsid w:val="0044215F"/>
    <w:rPr>
      <w:sz w:val="24"/>
      <w:szCs w:val="22"/>
    </w:rPr>
  </w:style>
  <w:style w:type="table" w:styleId="TableGrid">
    <w:name w:val="Table Grid"/>
    <w:basedOn w:val="TableNormal"/>
    <w:uiPriority w:val="59"/>
    <w:rsid w:val="005A329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issertationtext">
    <w:name w:val="dissertation text"/>
    <w:basedOn w:val="Normal"/>
    <w:next w:val="Normal"/>
    <w:uiPriority w:val="99"/>
    <w:rsid w:val="005A3293"/>
    <w:pPr>
      <w:autoSpaceDE w:val="0"/>
      <w:autoSpaceDN w:val="0"/>
      <w:adjustRightInd w:val="0"/>
      <w:spacing w:after="0" w:line="240" w:lineRule="auto"/>
    </w:pPr>
    <w:rPr>
      <w:rFonts w:eastAsia="SimSun"/>
      <w:szCs w:val="24"/>
      <w:lang w:eastAsia="zh-CN"/>
    </w:rPr>
  </w:style>
  <w:style w:type="character" w:customStyle="1" w:styleId="Heading4DissertationChar">
    <w:name w:val="Heading 4: Dissertation Char"/>
    <w:uiPriority w:val="99"/>
    <w:rsid w:val="005A3293"/>
    <w:rPr>
      <w:b/>
      <w:bCs/>
      <w:i/>
      <w:iCs/>
      <w:color w:val="000000"/>
    </w:rPr>
  </w:style>
  <w:style w:type="paragraph" w:styleId="TOC1">
    <w:name w:val="toc 1"/>
    <w:basedOn w:val="Normal"/>
    <w:next w:val="Normal"/>
    <w:autoRedefine/>
    <w:uiPriority w:val="39"/>
    <w:rsid w:val="000D74D2"/>
    <w:pPr>
      <w:tabs>
        <w:tab w:val="right" w:leader="dot" w:pos="8630"/>
      </w:tabs>
      <w:spacing w:after="0" w:line="480" w:lineRule="auto"/>
      <w:jc w:val="center"/>
    </w:pPr>
    <w:rPr>
      <w:rFonts w:eastAsia="Times New Roman"/>
      <w:b/>
      <w:noProof/>
      <w:color w:val="000000" w:themeColor="text1"/>
      <w:szCs w:val="24"/>
    </w:rPr>
  </w:style>
  <w:style w:type="paragraph" w:styleId="TOC2">
    <w:name w:val="toc 2"/>
    <w:basedOn w:val="Normal"/>
    <w:next w:val="Normal"/>
    <w:autoRedefine/>
    <w:uiPriority w:val="39"/>
    <w:rsid w:val="000D74D2"/>
    <w:pPr>
      <w:tabs>
        <w:tab w:val="right" w:leader="dot" w:pos="9350"/>
      </w:tabs>
      <w:spacing w:after="0" w:line="480" w:lineRule="auto"/>
      <w:jc w:val="center"/>
    </w:pPr>
    <w:rPr>
      <w:rFonts w:eastAsia="Times New Roman"/>
      <w:b/>
      <w:noProof/>
      <w:color w:val="000000" w:themeColor="text1"/>
      <w:szCs w:val="24"/>
    </w:rPr>
  </w:style>
  <w:style w:type="paragraph" w:styleId="TOC3">
    <w:name w:val="toc 3"/>
    <w:basedOn w:val="Normal"/>
    <w:next w:val="Normal"/>
    <w:autoRedefine/>
    <w:uiPriority w:val="39"/>
    <w:rsid w:val="000D74D2"/>
    <w:pPr>
      <w:tabs>
        <w:tab w:val="left" w:pos="0"/>
        <w:tab w:val="right" w:leader="dot" w:pos="9350"/>
      </w:tabs>
      <w:spacing w:after="0" w:line="480" w:lineRule="auto"/>
      <w:ind w:left="720" w:hanging="720"/>
    </w:pPr>
    <w:rPr>
      <w:rFonts w:eastAsia="Times New Roman"/>
      <w:noProof/>
      <w:color w:val="000000" w:themeColor="text1"/>
      <w:szCs w:val="24"/>
    </w:rPr>
  </w:style>
  <w:style w:type="character" w:customStyle="1" w:styleId="Heading1Char">
    <w:name w:val="Heading 1 Char"/>
    <w:basedOn w:val="DefaultParagraphFont"/>
    <w:link w:val="Heading1"/>
    <w:uiPriority w:val="9"/>
    <w:rsid w:val="00BA7D0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A7D0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A7D00"/>
    <w:rPr>
      <w:rFonts w:asciiTheme="majorHAnsi" w:eastAsiaTheme="majorEastAsia" w:hAnsiTheme="majorHAnsi" w:cstheme="majorBidi"/>
      <w:b/>
      <w:bCs/>
      <w:color w:val="4F81BD" w:themeColor="accent1"/>
      <w:sz w:val="24"/>
      <w:szCs w:val="22"/>
    </w:rPr>
  </w:style>
  <w:style w:type="character" w:styleId="PageNumber">
    <w:name w:val="page number"/>
    <w:basedOn w:val="DefaultParagraphFont"/>
    <w:rsid w:val="00DB292C"/>
  </w:style>
  <w:style w:type="character" w:customStyle="1" w:styleId="Heading4Char">
    <w:name w:val="Heading 4 Char"/>
    <w:basedOn w:val="DefaultParagraphFont"/>
    <w:link w:val="Heading4"/>
    <w:uiPriority w:val="9"/>
    <w:semiHidden/>
    <w:rsid w:val="00AF3439"/>
    <w:rPr>
      <w:rFonts w:asciiTheme="majorHAnsi" w:eastAsiaTheme="majorEastAsia" w:hAnsiTheme="majorHAnsi" w:cstheme="majorBidi"/>
      <w:b/>
      <w:bCs/>
      <w:i/>
      <w:iCs/>
      <w:color w:val="4F81BD" w:themeColor="accent1"/>
      <w:sz w:val="24"/>
      <w:szCs w:val="22"/>
    </w:rPr>
  </w:style>
  <w:style w:type="paragraph" w:customStyle="1" w:styleId="StyleHeading2Heading2SectionTitleTimesNewRoman12pt">
    <w:name w:val="Style Heading 2Heading 2: Section Title + Times New Roman 12 pt ..."/>
    <w:basedOn w:val="Heading2"/>
    <w:rsid w:val="00AF3439"/>
    <w:pPr>
      <w:keepLines w:val="0"/>
      <w:spacing w:before="240" w:after="60" w:line="240" w:lineRule="auto"/>
      <w:jc w:val="both"/>
    </w:pPr>
    <w:rPr>
      <w:rFonts w:ascii="Times New Roman" w:eastAsia="Times New Roman" w:hAnsi="Times New Roman" w:cs="Times New Roman"/>
      <w:color w:val="auto"/>
      <w:sz w:val="24"/>
      <w:szCs w:val="20"/>
      <w:lang w:eastAsia="ja-JP"/>
    </w:rPr>
  </w:style>
  <w:style w:type="paragraph" w:customStyle="1" w:styleId="StyleHeading2Heading2SectionTitleTimesNewRoman12pt1">
    <w:name w:val="Style Heading 2Heading 2: Section Title + Times New Roman 12 pt ...1"/>
    <w:basedOn w:val="Heading2"/>
    <w:next w:val="Normal"/>
    <w:rsid w:val="00AF3439"/>
    <w:pPr>
      <w:keepLines w:val="0"/>
      <w:spacing w:before="240" w:after="60" w:line="240" w:lineRule="auto"/>
    </w:pPr>
    <w:rPr>
      <w:rFonts w:ascii="Times New Roman" w:eastAsia="MS Mincho" w:hAnsi="Times New Roman" w:cs="Arial"/>
      <w:b w:val="0"/>
      <w:i/>
      <w:color w:val="auto"/>
      <w:sz w:val="24"/>
      <w:szCs w:val="28"/>
      <w:lang w:eastAsia="ja-JP"/>
    </w:rPr>
  </w:style>
</w:styles>
</file>

<file path=word/webSettings.xml><?xml version="1.0" encoding="utf-8"?>
<w:webSettings xmlns:r="http://schemas.openxmlformats.org/officeDocument/2006/relationships" xmlns:w="http://schemas.openxmlformats.org/wordprocessingml/2006/main">
  <w:divs>
    <w:div w:id="754518864">
      <w:bodyDiv w:val="1"/>
      <w:marLeft w:val="0"/>
      <w:marRight w:val="0"/>
      <w:marTop w:val="0"/>
      <w:marBottom w:val="0"/>
      <w:divBdr>
        <w:top w:val="none" w:sz="0" w:space="0" w:color="auto"/>
        <w:left w:val="none" w:sz="0" w:space="0" w:color="auto"/>
        <w:bottom w:val="none" w:sz="0" w:space="0" w:color="auto"/>
        <w:right w:val="none" w:sz="0" w:space="0" w:color="auto"/>
      </w:divBdr>
      <w:divsChild>
        <w:div w:id="279000630">
          <w:marLeft w:val="1008"/>
          <w:marRight w:val="0"/>
          <w:marTop w:val="110"/>
          <w:marBottom w:val="0"/>
          <w:divBdr>
            <w:top w:val="none" w:sz="0" w:space="0" w:color="auto"/>
            <w:left w:val="none" w:sz="0" w:space="0" w:color="auto"/>
            <w:bottom w:val="none" w:sz="0" w:space="0" w:color="auto"/>
            <w:right w:val="none" w:sz="0" w:space="0" w:color="auto"/>
          </w:divBdr>
        </w:div>
        <w:div w:id="948780367">
          <w:marLeft w:val="1008"/>
          <w:marRight w:val="0"/>
          <w:marTop w:val="110"/>
          <w:marBottom w:val="0"/>
          <w:divBdr>
            <w:top w:val="none" w:sz="0" w:space="0" w:color="auto"/>
            <w:left w:val="none" w:sz="0" w:space="0" w:color="auto"/>
            <w:bottom w:val="none" w:sz="0" w:space="0" w:color="auto"/>
            <w:right w:val="none" w:sz="0" w:space="0" w:color="auto"/>
          </w:divBdr>
        </w:div>
        <w:div w:id="1029571522">
          <w:marLeft w:val="1008"/>
          <w:marRight w:val="0"/>
          <w:marTop w:val="110"/>
          <w:marBottom w:val="0"/>
          <w:divBdr>
            <w:top w:val="none" w:sz="0" w:space="0" w:color="auto"/>
            <w:left w:val="none" w:sz="0" w:space="0" w:color="auto"/>
            <w:bottom w:val="none" w:sz="0" w:space="0" w:color="auto"/>
            <w:right w:val="none" w:sz="0" w:space="0" w:color="auto"/>
          </w:divBdr>
        </w:div>
        <w:div w:id="1986811554">
          <w:marLeft w:val="1008"/>
          <w:marRight w:val="0"/>
          <w:marTop w:val="110"/>
          <w:marBottom w:val="0"/>
          <w:divBdr>
            <w:top w:val="none" w:sz="0" w:space="0" w:color="auto"/>
            <w:left w:val="none" w:sz="0" w:space="0" w:color="auto"/>
            <w:bottom w:val="none" w:sz="0" w:space="0" w:color="auto"/>
            <w:right w:val="none" w:sz="0" w:space="0" w:color="auto"/>
          </w:divBdr>
        </w:div>
      </w:divsChild>
    </w:div>
    <w:div w:id="755320468">
      <w:bodyDiv w:val="1"/>
      <w:marLeft w:val="0"/>
      <w:marRight w:val="0"/>
      <w:marTop w:val="0"/>
      <w:marBottom w:val="0"/>
      <w:divBdr>
        <w:top w:val="none" w:sz="0" w:space="0" w:color="auto"/>
        <w:left w:val="none" w:sz="0" w:space="0" w:color="auto"/>
        <w:bottom w:val="none" w:sz="0" w:space="0" w:color="auto"/>
        <w:right w:val="none" w:sz="0" w:space="0" w:color="auto"/>
      </w:divBdr>
    </w:div>
    <w:div w:id="1666938800">
      <w:bodyDiv w:val="1"/>
      <w:marLeft w:val="0"/>
      <w:marRight w:val="0"/>
      <w:marTop w:val="0"/>
      <w:marBottom w:val="0"/>
      <w:divBdr>
        <w:top w:val="none" w:sz="0" w:space="0" w:color="auto"/>
        <w:left w:val="none" w:sz="0" w:space="0" w:color="auto"/>
        <w:bottom w:val="none" w:sz="0" w:space="0" w:color="auto"/>
        <w:right w:val="none" w:sz="0" w:space="0" w:color="auto"/>
      </w:divBdr>
    </w:div>
    <w:div w:id="1869414711">
      <w:bodyDiv w:val="1"/>
      <w:marLeft w:val="0"/>
      <w:marRight w:val="0"/>
      <w:marTop w:val="0"/>
      <w:marBottom w:val="0"/>
      <w:divBdr>
        <w:top w:val="none" w:sz="0" w:space="0" w:color="auto"/>
        <w:left w:val="none" w:sz="0" w:space="0" w:color="auto"/>
        <w:bottom w:val="none" w:sz="0" w:space="0" w:color="auto"/>
        <w:right w:val="none" w:sz="0" w:space="0" w:color="auto"/>
      </w:divBdr>
      <w:divsChild>
        <w:div w:id="434640195">
          <w:marLeft w:val="1224"/>
          <w:marRight w:val="0"/>
          <w:marTop w:val="140"/>
          <w:marBottom w:val="0"/>
          <w:divBdr>
            <w:top w:val="none" w:sz="0" w:space="0" w:color="auto"/>
            <w:left w:val="none" w:sz="0" w:space="0" w:color="auto"/>
            <w:bottom w:val="none" w:sz="0" w:space="0" w:color="auto"/>
            <w:right w:val="none" w:sz="0" w:space="0" w:color="auto"/>
          </w:divBdr>
        </w:div>
        <w:div w:id="832256457">
          <w:marLeft w:val="1224"/>
          <w:marRight w:val="0"/>
          <w:marTop w:val="140"/>
          <w:marBottom w:val="0"/>
          <w:divBdr>
            <w:top w:val="none" w:sz="0" w:space="0" w:color="auto"/>
            <w:left w:val="none" w:sz="0" w:space="0" w:color="auto"/>
            <w:bottom w:val="none" w:sz="0" w:space="0" w:color="auto"/>
            <w:right w:val="none" w:sz="0" w:space="0" w:color="auto"/>
          </w:divBdr>
        </w:div>
        <w:div w:id="1512715634">
          <w:marLeft w:val="1224"/>
          <w:marRight w:val="0"/>
          <w:marTop w:val="140"/>
          <w:marBottom w:val="0"/>
          <w:divBdr>
            <w:top w:val="none" w:sz="0" w:space="0" w:color="auto"/>
            <w:left w:val="none" w:sz="0" w:space="0" w:color="auto"/>
            <w:bottom w:val="none" w:sz="0" w:space="0" w:color="auto"/>
            <w:right w:val="none" w:sz="0" w:space="0" w:color="auto"/>
          </w:divBdr>
        </w:div>
        <w:div w:id="1552185712">
          <w:marLeft w:val="1224"/>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B3EF9-6136-417B-89CC-FD5BC1E43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153</Pages>
  <Words>36656</Words>
  <Characters>208945</Characters>
  <Application>Microsoft Office Word</Application>
  <DocSecurity>0</DocSecurity>
  <Lines>1741</Lines>
  <Paragraphs>490</Paragraphs>
  <ScaleCrop>false</ScaleCrop>
  <HeadingPairs>
    <vt:vector size="2" baseType="variant">
      <vt:variant>
        <vt:lpstr>Title</vt:lpstr>
      </vt:variant>
      <vt:variant>
        <vt:i4>1</vt:i4>
      </vt:variant>
    </vt:vector>
  </HeadingPairs>
  <TitlesOfParts>
    <vt:vector size="1" baseType="lpstr">
      <vt:lpstr>GLOBAL SUPPLY CHAIN ENVIRONMENTAL RISK (working title only)</vt:lpstr>
    </vt:vector>
  </TitlesOfParts>
  <Company>Microsoft</Company>
  <LinksUpToDate>false</LinksUpToDate>
  <CharactersWithSpaces>245111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dc:title>
  <dc:creator>SP</dc:creator>
  <cp:lastModifiedBy>SP</cp:lastModifiedBy>
  <cp:revision>2</cp:revision>
  <cp:lastPrinted>2012-03-31T11:46:00Z</cp:lastPrinted>
  <dcterms:created xsi:type="dcterms:W3CDTF">2012-03-31T12:39:00Z</dcterms:created>
  <dcterms:modified xsi:type="dcterms:W3CDTF">2012-03-31T12:39:00Z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171414463</vt:i4>
  </property>
  <property fmtid="{D5CDD505-2E9C-101B-9397-08002B2CF9AE}" pid="4" name="_EmailSubject">
    <vt:lpwstr>Dissertation Thoughts</vt:lpwstr>
  </property>
  <property fmtid="{D5CDD505-2E9C-101B-9397-08002B2CF9AE}" pid="5" name="_AuthorEmail">
    <vt:lpwstr>tcrook@utk.edu</vt:lpwstr>
  </property>
  <property fmtid="{D5CDD505-2E9C-101B-9397-08002B2CF9AE}" pid="6" name="_AuthorEmailDisplayName">
    <vt:lpwstr>Crook, T Russell (Russell)</vt:lpwstr>
  </property>
  <property fmtid="{D5CDD505-2E9C-101B-9397-08002B2CF9AE}" pid="7" name="_ReviewingToolsShownOnce">
    <vt:lpwstr/>
  </property>
</Properties>
</file>